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528"/>
        <w:gridCol w:w="2835"/>
      </w:tblGrid>
      <w:tr w:rsidR="002041CA" w:rsidRPr="002041CA" w14:paraId="57FD71C5" w14:textId="77777777" w:rsidTr="0001071D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A6CFB92" w14:textId="77777777" w:rsidR="0064636E" w:rsidRPr="002041CA" w:rsidRDefault="0064636E" w:rsidP="003C3936"/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bottom"/>
          </w:tcPr>
          <w:p w14:paraId="21FBE7EF" w14:textId="1DCC9666" w:rsidR="0064636E" w:rsidRPr="002041CA" w:rsidRDefault="0064636E" w:rsidP="00F070AF">
            <w:pPr>
              <w:jc w:val="right"/>
            </w:pPr>
            <w:r w:rsidRPr="002041CA">
              <w:rPr>
                <w:sz w:val="40"/>
              </w:rPr>
              <w:t>E</w:t>
            </w:r>
            <w:r w:rsidRPr="002041CA">
              <w:t>/ECE/324/</w:t>
            </w:r>
            <w:r w:rsidR="00841EB5" w:rsidRPr="002041CA">
              <w:t>Rev.</w:t>
            </w:r>
            <w:r w:rsidR="0001071D" w:rsidRPr="002041CA">
              <w:t>1</w:t>
            </w:r>
            <w:r w:rsidR="00841EB5" w:rsidRPr="002041CA">
              <w:t>/</w:t>
            </w:r>
            <w:r w:rsidRPr="002041CA">
              <w:t>Add.</w:t>
            </w:r>
            <w:r w:rsidR="00A034CA" w:rsidRPr="002041CA">
              <w:t>82</w:t>
            </w:r>
            <w:r w:rsidR="000C3BA6" w:rsidRPr="002041CA">
              <w:t>/Rev.</w:t>
            </w:r>
            <w:r w:rsidR="00BF6323" w:rsidRPr="002041CA">
              <w:t>3</w:t>
            </w:r>
            <w:r w:rsidR="00EE0446" w:rsidRPr="002041CA">
              <w:t>/Amend.</w:t>
            </w:r>
            <w:r w:rsidR="00BF6323" w:rsidRPr="002041CA">
              <w:t>1</w:t>
            </w:r>
            <w:r w:rsidR="00325241" w:rsidRPr="002041CA">
              <w:t>1</w:t>
            </w:r>
            <w:r w:rsidRPr="002041CA">
              <w:t>−</w:t>
            </w:r>
            <w:r w:rsidRPr="002041CA">
              <w:rPr>
                <w:sz w:val="40"/>
              </w:rPr>
              <w:t>E</w:t>
            </w:r>
            <w:r w:rsidRPr="002041CA">
              <w:t>/ECE/TRANS/505</w:t>
            </w:r>
            <w:r w:rsidR="00841EB5" w:rsidRPr="002041CA">
              <w:t>/Rev.</w:t>
            </w:r>
            <w:r w:rsidR="0001071D" w:rsidRPr="002041CA">
              <w:t>1</w:t>
            </w:r>
            <w:r w:rsidR="00841EB5" w:rsidRPr="002041CA">
              <w:t>/Add.</w:t>
            </w:r>
            <w:r w:rsidR="00A034CA" w:rsidRPr="002041CA">
              <w:t>82</w:t>
            </w:r>
            <w:r w:rsidR="00EE0446" w:rsidRPr="002041CA">
              <w:t>/Rev.</w:t>
            </w:r>
            <w:r w:rsidR="00BF6323" w:rsidRPr="002041CA">
              <w:t>3</w:t>
            </w:r>
            <w:r w:rsidR="00EE0446" w:rsidRPr="002041CA">
              <w:t>/Amend.</w:t>
            </w:r>
            <w:r w:rsidR="00BF6323" w:rsidRPr="002041CA">
              <w:t>1</w:t>
            </w:r>
            <w:r w:rsidR="00325241" w:rsidRPr="002041CA">
              <w:t>1</w:t>
            </w:r>
          </w:p>
        </w:tc>
      </w:tr>
      <w:tr w:rsidR="002041CA" w:rsidRPr="002041CA" w14:paraId="6F985C55" w14:textId="77777777" w:rsidTr="0001071D">
        <w:trPr>
          <w:cantSplit/>
          <w:trHeight w:hRule="exact" w:val="2413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31028A61" w14:textId="77777777" w:rsidR="003C3936" w:rsidRPr="002041CA" w:rsidRDefault="003C3936" w:rsidP="003C3936">
            <w:pPr>
              <w:spacing w:before="120"/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14:paraId="49836FB9" w14:textId="77777777" w:rsidR="003C3936" w:rsidRPr="002041CA" w:rsidRDefault="003C3936" w:rsidP="003C3936">
            <w:pPr>
              <w:spacing w:before="120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5261E6CB" w14:textId="77777777" w:rsidR="003C3936" w:rsidRPr="002041CA" w:rsidRDefault="003C3936" w:rsidP="003C3936">
            <w:pPr>
              <w:spacing w:before="120"/>
            </w:pPr>
          </w:p>
          <w:p w14:paraId="10DFEABE" w14:textId="77777777" w:rsidR="00D623A7" w:rsidRPr="002041CA" w:rsidRDefault="00D623A7" w:rsidP="003C3936">
            <w:pPr>
              <w:spacing w:before="120"/>
            </w:pPr>
          </w:p>
          <w:p w14:paraId="3AAF3BDD" w14:textId="13C126D1" w:rsidR="00C84414" w:rsidRPr="002041CA" w:rsidRDefault="002041CA" w:rsidP="00C71DA4">
            <w:pPr>
              <w:spacing w:before="120"/>
            </w:pPr>
            <w:r>
              <w:t>19</w:t>
            </w:r>
            <w:r w:rsidR="00325241" w:rsidRPr="002041CA">
              <w:t xml:space="preserve"> June 2023</w:t>
            </w:r>
          </w:p>
        </w:tc>
      </w:tr>
    </w:tbl>
    <w:p w14:paraId="431B1AEB" w14:textId="77777777" w:rsidR="00C711C7" w:rsidRPr="002041CA" w:rsidRDefault="00C711C7" w:rsidP="00A41529">
      <w:pPr>
        <w:pStyle w:val="HChG"/>
        <w:spacing w:before="240" w:after="120"/>
      </w:pPr>
      <w:r w:rsidRPr="002041CA">
        <w:tab/>
      </w:r>
      <w:r w:rsidRPr="002041CA">
        <w:tab/>
      </w:r>
      <w:bookmarkStart w:id="0" w:name="_Toc340666199"/>
      <w:bookmarkStart w:id="1" w:name="_Toc340745062"/>
      <w:r w:rsidRPr="002041CA">
        <w:t>Agreement</w:t>
      </w:r>
      <w:bookmarkEnd w:id="0"/>
      <w:bookmarkEnd w:id="1"/>
    </w:p>
    <w:p w14:paraId="4130D01C" w14:textId="18DBF281" w:rsidR="00C71DA4" w:rsidRPr="002041CA" w:rsidRDefault="00C711C7" w:rsidP="00EA1AF8">
      <w:pPr>
        <w:pStyle w:val="H1G"/>
        <w:spacing w:before="240"/>
      </w:pPr>
      <w:r w:rsidRPr="002041CA">
        <w:rPr>
          <w:rStyle w:val="H1GChar"/>
        </w:rPr>
        <w:tab/>
      </w:r>
      <w:r w:rsidRPr="002041CA">
        <w:rPr>
          <w:rStyle w:val="H1GChar"/>
        </w:rPr>
        <w:tab/>
      </w:r>
      <w:r w:rsidR="00C71DA4" w:rsidRPr="002041CA">
        <w:tab/>
        <w:t>Concerning the</w:t>
      </w:r>
      <w:r w:rsidR="00C71DA4" w:rsidRPr="002041CA">
        <w:rPr>
          <w:smallCaps/>
        </w:rPr>
        <w:t xml:space="preserve"> </w:t>
      </w:r>
      <w:r w:rsidR="00C71DA4" w:rsidRPr="002041CA">
        <w:t xml:space="preserve">Adoption of Harmonized Technical United Nations Regulations for Wheeled Vehicles, Equipment and Parts which can be Fitted and/or be Used on Wheeled Vehicles and the Conditions for Reciprocal Recognition of Approvals Granted </w:t>
      </w:r>
      <w:proofErr w:type="gramStart"/>
      <w:r w:rsidR="00C71DA4" w:rsidRPr="002041CA">
        <w:t>on the Basis of</w:t>
      </w:r>
      <w:proofErr w:type="gramEnd"/>
      <w:r w:rsidR="00C71DA4" w:rsidRPr="002041CA">
        <w:t xml:space="preserve"> these United Nations Regulations</w:t>
      </w:r>
      <w:r w:rsidR="00C71DA4" w:rsidRPr="002041CA">
        <w:footnoteReference w:customMarkFollows="1" w:id="2"/>
        <w:t>*</w:t>
      </w:r>
    </w:p>
    <w:p w14:paraId="3E1B3FC4" w14:textId="25046995" w:rsidR="00C71DA4" w:rsidRPr="002041CA" w:rsidRDefault="00C71DA4" w:rsidP="00C711C7">
      <w:pPr>
        <w:pStyle w:val="SingleTxtG"/>
        <w:spacing w:before="120"/>
      </w:pPr>
      <w:r w:rsidRPr="002041CA">
        <w:t>(Revision 3, including the amendments which entered into force on 14 September 2017)</w:t>
      </w:r>
    </w:p>
    <w:p w14:paraId="23520E79" w14:textId="77777777" w:rsidR="0064636E" w:rsidRPr="002041CA" w:rsidRDefault="00C711C7" w:rsidP="00B32121">
      <w:pPr>
        <w:pStyle w:val="H1G"/>
        <w:spacing w:before="120"/>
        <w:ind w:left="0" w:right="0" w:firstLine="0"/>
        <w:jc w:val="center"/>
      </w:pPr>
      <w:r w:rsidRPr="002041CA">
        <w:t>_________</w:t>
      </w:r>
    </w:p>
    <w:p w14:paraId="1E020283" w14:textId="5CFFEACC" w:rsidR="0064636E" w:rsidRPr="002041CA" w:rsidRDefault="0064636E" w:rsidP="00A41529">
      <w:pPr>
        <w:pStyle w:val="H1G"/>
        <w:spacing w:before="240" w:after="120"/>
      </w:pPr>
      <w:r w:rsidRPr="002041CA">
        <w:tab/>
      </w:r>
      <w:r w:rsidRPr="002041CA">
        <w:tab/>
        <w:t xml:space="preserve">Addendum </w:t>
      </w:r>
      <w:r w:rsidR="00A034CA" w:rsidRPr="002041CA">
        <w:t>82</w:t>
      </w:r>
      <w:r w:rsidR="00EE0446" w:rsidRPr="002041CA">
        <w:t xml:space="preserve"> </w:t>
      </w:r>
      <w:r w:rsidRPr="002041CA">
        <w:t xml:space="preserve">– </w:t>
      </w:r>
      <w:r w:rsidR="00EA1AF8" w:rsidRPr="002041CA">
        <w:t>UN </w:t>
      </w:r>
      <w:r w:rsidRPr="002041CA">
        <w:t>Regulation No.</w:t>
      </w:r>
      <w:r w:rsidR="00271A7F" w:rsidRPr="002041CA">
        <w:t xml:space="preserve"> </w:t>
      </w:r>
      <w:r w:rsidR="002070FE" w:rsidRPr="002041CA">
        <w:t>8</w:t>
      </w:r>
      <w:r w:rsidR="00A034CA" w:rsidRPr="002041CA">
        <w:t>3</w:t>
      </w:r>
    </w:p>
    <w:p w14:paraId="4E272B2A" w14:textId="4E3D181B" w:rsidR="0064636E" w:rsidRPr="002041CA" w:rsidRDefault="0064636E" w:rsidP="00A41529">
      <w:pPr>
        <w:pStyle w:val="H1G"/>
        <w:spacing w:before="240"/>
      </w:pPr>
      <w:r w:rsidRPr="002041CA">
        <w:tab/>
      </w:r>
      <w:r w:rsidRPr="002041CA">
        <w:tab/>
        <w:t xml:space="preserve">Revision </w:t>
      </w:r>
      <w:r w:rsidR="00DA170C" w:rsidRPr="002041CA">
        <w:t>3</w:t>
      </w:r>
      <w:r w:rsidRPr="002041CA">
        <w:t xml:space="preserve"> </w:t>
      </w:r>
      <w:r w:rsidR="00DA49B8" w:rsidRPr="002041CA">
        <w:t>–</w:t>
      </w:r>
      <w:r w:rsidRPr="002041CA">
        <w:t xml:space="preserve"> </w:t>
      </w:r>
      <w:r w:rsidR="00D623A7" w:rsidRPr="002041CA">
        <w:t>Amendment</w:t>
      </w:r>
      <w:r w:rsidRPr="002041CA">
        <w:t xml:space="preserve"> </w:t>
      </w:r>
      <w:r w:rsidR="00DA170C" w:rsidRPr="002041CA">
        <w:t>1</w:t>
      </w:r>
      <w:r w:rsidR="00325241" w:rsidRPr="002041CA">
        <w:t>1</w:t>
      </w:r>
    </w:p>
    <w:p w14:paraId="4FAFC05A" w14:textId="3BC4B5E1" w:rsidR="0064636E" w:rsidRPr="002041CA" w:rsidRDefault="00D623A7" w:rsidP="0064636E">
      <w:pPr>
        <w:pStyle w:val="SingleTxtG"/>
        <w:spacing w:after="360"/>
        <w:rPr>
          <w:spacing w:val="-2"/>
        </w:rPr>
      </w:pPr>
      <w:r w:rsidRPr="002041CA">
        <w:rPr>
          <w:spacing w:val="-2"/>
        </w:rPr>
        <w:t xml:space="preserve">Supplement </w:t>
      </w:r>
      <w:r w:rsidR="00DA170C" w:rsidRPr="002041CA">
        <w:rPr>
          <w:spacing w:val="-2"/>
        </w:rPr>
        <w:t>1</w:t>
      </w:r>
      <w:r w:rsidR="00325241" w:rsidRPr="002041CA">
        <w:rPr>
          <w:spacing w:val="-2"/>
        </w:rPr>
        <w:t>6</w:t>
      </w:r>
      <w:r w:rsidRPr="002041CA">
        <w:rPr>
          <w:spacing w:val="-2"/>
        </w:rPr>
        <w:t xml:space="preserve"> to </w:t>
      </w:r>
      <w:r w:rsidR="00271A7F" w:rsidRPr="002041CA">
        <w:rPr>
          <w:spacing w:val="-2"/>
        </w:rPr>
        <w:t xml:space="preserve">the </w:t>
      </w:r>
      <w:r w:rsidR="0001071D" w:rsidRPr="002041CA">
        <w:rPr>
          <w:spacing w:val="-2"/>
        </w:rPr>
        <w:t>0</w:t>
      </w:r>
      <w:r w:rsidR="00DA170C" w:rsidRPr="002041CA">
        <w:rPr>
          <w:spacing w:val="-2"/>
        </w:rPr>
        <w:t>5</w:t>
      </w:r>
      <w:r w:rsidRPr="002041CA">
        <w:rPr>
          <w:spacing w:val="-2"/>
        </w:rPr>
        <w:t xml:space="preserve"> series of amendments</w:t>
      </w:r>
      <w:r w:rsidR="0064636E" w:rsidRPr="002041CA">
        <w:rPr>
          <w:spacing w:val="-2"/>
        </w:rPr>
        <w:t xml:space="preserve"> – Date of entry into force: </w:t>
      </w:r>
      <w:r w:rsidR="00325241" w:rsidRPr="002041CA">
        <w:t>5 June 2023</w:t>
      </w:r>
    </w:p>
    <w:p w14:paraId="24730B39" w14:textId="3841882A" w:rsidR="0064636E" w:rsidRPr="002041CA" w:rsidRDefault="0064636E" w:rsidP="00A41529">
      <w:pPr>
        <w:pStyle w:val="H1G"/>
        <w:spacing w:before="120" w:after="120" w:line="240" w:lineRule="exact"/>
        <w:rPr>
          <w:lang w:val="en-US"/>
        </w:rPr>
      </w:pPr>
      <w:r w:rsidRPr="002041CA">
        <w:rPr>
          <w:lang w:val="en-US"/>
        </w:rPr>
        <w:tab/>
      </w:r>
      <w:r w:rsidRPr="002041CA">
        <w:rPr>
          <w:lang w:val="en-US"/>
        </w:rPr>
        <w:tab/>
      </w:r>
      <w:r w:rsidR="00A034CA" w:rsidRPr="002041CA">
        <w:rPr>
          <w:lang w:val="en-US"/>
        </w:rPr>
        <w:t xml:space="preserve">Uniform provisions concerning the approval of vehicles </w:t>
      </w:r>
      <w:proofErr w:type="gramStart"/>
      <w:r w:rsidR="00A034CA" w:rsidRPr="002041CA">
        <w:rPr>
          <w:lang w:val="en-US"/>
        </w:rPr>
        <w:t>with regard to</w:t>
      </w:r>
      <w:proofErr w:type="gramEnd"/>
      <w:r w:rsidR="00A034CA" w:rsidRPr="002041CA">
        <w:rPr>
          <w:lang w:val="en-US"/>
        </w:rPr>
        <w:t xml:space="preserve"> the emission of pollutants according to engine fuel requirements</w:t>
      </w:r>
    </w:p>
    <w:p w14:paraId="02EF65D0" w14:textId="70D9D505" w:rsidR="00A41529" w:rsidRPr="002041CA" w:rsidRDefault="0001071D" w:rsidP="00A41529">
      <w:pPr>
        <w:pStyle w:val="SingleTxtG"/>
        <w:spacing w:after="0"/>
        <w:rPr>
          <w:spacing w:val="-6"/>
          <w:lang w:eastAsia="en-GB"/>
        </w:rPr>
      </w:pPr>
      <w:r w:rsidRPr="002041CA">
        <w:rPr>
          <w:spacing w:val="-4"/>
          <w:lang w:eastAsia="en-GB"/>
        </w:rPr>
        <w:t>This document is meant purely as documentation tool.</w:t>
      </w:r>
      <w:r w:rsidR="00A41529" w:rsidRPr="002041CA">
        <w:rPr>
          <w:spacing w:val="-4"/>
          <w:lang w:eastAsia="en-GB"/>
        </w:rPr>
        <w:t xml:space="preserve"> The authentic and legal binding texts </w:t>
      </w:r>
      <w:r w:rsidR="00E313A7" w:rsidRPr="002041CA">
        <w:rPr>
          <w:spacing w:val="-4"/>
          <w:lang w:eastAsia="en-GB"/>
        </w:rPr>
        <w:t>is</w:t>
      </w:r>
      <w:r w:rsidR="00A41529" w:rsidRPr="002041CA">
        <w:rPr>
          <w:spacing w:val="-4"/>
          <w:lang w:eastAsia="en-GB"/>
        </w:rPr>
        <w:t>:</w:t>
      </w:r>
      <w:r w:rsidR="00DE4B81" w:rsidRPr="002041CA">
        <w:rPr>
          <w:lang w:eastAsia="en-GB"/>
        </w:rPr>
        <w:t xml:space="preserve"> </w:t>
      </w:r>
      <w:r w:rsidR="00A41529" w:rsidRPr="002041CA">
        <w:rPr>
          <w:lang w:eastAsia="en-GB"/>
        </w:rPr>
        <w:tab/>
      </w:r>
      <w:r w:rsidR="00A41529" w:rsidRPr="002041CA">
        <w:rPr>
          <w:spacing w:val="-6"/>
          <w:lang w:eastAsia="en-GB"/>
        </w:rPr>
        <w:t>ECE/TRANS/WP.29/</w:t>
      </w:r>
      <w:r w:rsidR="00DA170C" w:rsidRPr="002041CA">
        <w:rPr>
          <w:spacing w:val="-6"/>
          <w:lang w:eastAsia="en-GB"/>
        </w:rPr>
        <w:t>2022</w:t>
      </w:r>
      <w:r w:rsidR="00A279B3" w:rsidRPr="002041CA">
        <w:rPr>
          <w:spacing w:val="-6"/>
          <w:lang w:eastAsia="en-GB"/>
        </w:rPr>
        <w:t>/1</w:t>
      </w:r>
      <w:r w:rsidR="0011312C" w:rsidRPr="002041CA">
        <w:rPr>
          <w:spacing w:val="-6"/>
          <w:lang w:eastAsia="en-GB"/>
        </w:rPr>
        <w:t>34</w:t>
      </w:r>
      <w:r w:rsidR="00A279B3" w:rsidRPr="002041CA">
        <w:rPr>
          <w:spacing w:val="-6"/>
          <w:lang w:eastAsia="en-GB"/>
        </w:rPr>
        <w:t>.</w:t>
      </w:r>
    </w:p>
    <w:p w14:paraId="62CDCABF" w14:textId="3243C074" w:rsidR="000D3A4F" w:rsidRPr="002041CA" w:rsidRDefault="00F55704" w:rsidP="00A41529">
      <w:pPr>
        <w:suppressAutoHyphens w:val="0"/>
        <w:spacing w:line="240" w:lineRule="auto"/>
        <w:jc w:val="center"/>
        <w:rPr>
          <w:b/>
          <w:sz w:val="24"/>
        </w:rPr>
      </w:pPr>
      <w:r w:rsidRPr="002041CA">
        <w:rPr>
          <w:b/>
          <w:noProof/>
          <w:sz w:val="24"/>
          <w:lang w:eastAsia="en-GB"/>
        </w:rPr>
        <w:drawing>
          <wp:anchor distT="0" distB="137160" distL="114300" distR="114300" simplePos="0" relativeHeight="251657728" behindDoc="0" locked="0" layoutInCell="1" allowOverlap="1" wp14:anchorId="1A9092C3" wp14:editId="0C339765">
            <wp:simplePos x="0" y="0"/>
            <wp:positionH relativeFrom="column">
              <wp:posOffset>2540000</wp:posOffset>
            </wp:positionH>
            <wp:positionV relativeFrom="paragraph">
              <wp:posOffset>223520</wp:posOffset>
            </wp:positionV>
            <wp:extent cx="1028700" cy="826770"/>
            <wp:effectExtent l="0" t="0" r="0" b="0"/>
            <wp:wrapTopAndBottom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A4F" w:rsidRPr="002041CA">
        <w:rPr>
          <w:b/>
          <w:sz w:val="24"/>
        </w:rPr>
        <w:t>_________</w:t>
      </w:r>
    </w:p>
    <w:p w14:paraId="0BE7EBB7" w14:textId="77777777" w:rsidR="000D3A4F" w:rsidRPr="002041CA" w:rsidRDefault="000D3A4F" w:rsidP="00A41529">
      <w:pPr>
        <w:suppressAutoHyphens w:val="0"/>
        <w:spacing w:line="100" w:lineRule="atLeast"/>
        <w:rPr>
          <w:b/>
          <w:sz w:val="24"/>
        </w:rPr>
      </w:pPr>
    </w:p>
    <w:p w14:paraId="5B4A754A" w14:textId="77777777" w:rsidR="000D3A4F" w:rsidRPr="002041CA" w:rsidRDefault="000D3A4F" w:rsidP="00A41529">
      <w:pPr>
        <w:suppressAutoHyphens w:val="0"/>
        <w:spacing w:line="240" w:lineRule="auto"/>
        <w:jc w:val="center"/>
        <w:rPr>
          <w:b/>
          <w:sz w:val="24"/>
        </w:rPr>
      </w:pPr>
      <w:r w:rsidRPr="002041CA">
        <w:rPr>
          <w:b/>
          <w:sz w:val="24"/>
        </w:rPr>
        <w:t>UNITED NATIONS</w:t>
      </w:r>
    </w:p>
    <w:p w14:paraId="484BB43A" w14:textId="77777777" w:rsidR="00C711C7" w:rsidRPr="002041CA" w:rsidRDefault="00C711C7" w:rsidP="00C711C7">
      <w:pPr>
        <w:jc w:val="center"/>
      </w:pPr>
    </w:p>
    <w:p w14:paraId="467BDD7C" w14:textId="77777777" w:rsidR="008F6653" w:rsidRPr="002041CA" w:rsidRDefault="00D5540C" w:rsidP="008F6653">
      <w:pPr>
        <w:spacing w:after="120"/>
        <w:ind w:left="1134" w:right="1134"/>
        <w:rPr>
          <w:rFonts w:eastAsia="MS Mincho"/>
          <w:i/>
          <w:lang w:eastAsia="fr-FR"/>
        </w:rPr>
      </w:pPr>
      <w:r w:rsidRPr="002041CA">
        <w:br w:type="page"/>
      </w:r>
      <w:r w:rsidR="008F6653" w:rsidRPr="002041CA">
        <w:rPr>
          <w:rFonts w:eastAsia="MS Mincho"/>
          <w:i/>
          <w:lang w:eastAsia="fr-FR"/>
        </w:rPr>
        <w:lastRenderedPageBreak/>
        <w:t xml:space="preserve">Appendix 2, paragraph 6., </w:t>
      </w:r>
      <w:r w:rsidR="008F6653" w:rsidRPr="002041CA">
        <w:rPr>
          <w:rFonts w:eastAsia="MS Mincho"/>
          <w:iCs/>
          <w:lang w:eastAsia="fr-FR"/>
        </w:rPr>
        <w:t>amend to read:</w:t>
      </w:r>
    </w:p>
    <w:p w14:paraId="18ECBEB5" w14:textId="77777777" w:rsidR="008F6653" w:rsidRPr="002041CA" w:rsidRDefault="008F6653" w:rsidP="008F6653">
      <w:pPr>
        <w:adjustRightInd w:val="0"/>
        <w:spacing w:after="120"/>
        <w:ind w:left="2268" w:right="1134" w:hanging="1134"/>
        <w:jc w:val="both"/>
        <w:rPr>
          <w:rFonts w:eastAsia="MS Mincho"/>
          <w:lang w:eastAsia="fr-FR"/>
        </w:rPr>
      </w:pPr>
      <w:r w:rsidRPr="002041CA">
        <w:rPr>
          <w:lang w:eastAsia="fr-FR"/>
        </w:rPr>
        <w:t>"</w:t>
      </w:r>
      <w:r w:rsidRPr="002041CA">
        <w:rPr>
          <w:rFonts w:eastAsia="MS Mincho"/>
          <w:lang w:eastAsia="fr-FR"/>
        </w:rPr>
        <w:t xml:space="preserve">6. </w:t>
      </w:r>
      <w:r w:rsidRPr="002041CA">
        <w:rPr>
          <w:rFonts w:eastAsia="MS Mincho"/>
          <w:lang w:eastAsia="fr-FR"/>
        </w:rPr>
        <w:tab/>
        <w:t>Remarks</w:t>
      </w:r>
    </w:p>
    <w:p w14:paraId="4D5CE55E" w14:textId="77777777" w:rsidR="008F6653" w:rsidRPr="002041CA" w:rsidRDefault="008F6653" w:rsidP="008F6653">
      <w:pPr>
        <w:adjustRightInd w:val="0"/>
        <w:spacing w:after="120"/>
        <w:ind w:left="2268" w:right="1134"/>
        <w:jc w:val="both"/>
        <w:rPr>
          <w:lang w:eastAsia="fr-FR"/>
        </w:rPr>
      </w:pPr>
      <w:r w:rsidRPr="002041CA">
        <w:rPr>
          <w:rFonts w:eastAsia="MS Mincho"/>
          <w:lang w:eastAsia="fr-FR"/>
        </w:rPr>
        <w:t>The following recursive formulae are useful for computing successive values of the test statistic:</w:t>
      </w:r>
    </w:p>
    <w:p w14:paraId="7FD82927" w14:textId="77777777" w:rsidR="008F6653" w:rsidRPr="002041CA" w:rsidRDefault="002D33A0" w:rsidP="008F6653">
      <w:pPr>
        <w:adjustRightInd w:val="0"/>
        <w:spacing w:after="120"/>
        <w:ind w:left="2268" w:right="1134"/>
        <w:jc w:val="both"/>
        <w:rPr>
          <w:bCs/>
          <w:lang w:eastAsia="fr-FR"/>
        </w:rPr>
      </w:pPr>
      <m:oMathPara>
        <m:oMath>
          <m:sSub>
            <m:sSubPr>
              <m:ctrlPr>
                <w:rPr>
                  <w:rFonts w:ascii="Cambria Math" w:eastAsia="MS Mincho" w:hAnsi="Cambria Math"/>
                  <w:i/>
                  <w:lang w:eastAsia="fr-FR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MS Mincho" w:hAnsi="Cambria Math"/>
                      <w:i/>
                      <w:lang w:eastAsia="fr-FR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lang w:eastAsia="fr-FR"/>
                    </w:rPr>
                    <m:t>d</m:t>
                  </m:r>
                </m:e>
              </m:acc>
            </m:e>
            <m:sub>
              <m:r>
                <w:rPr>
                  <w:rFonts w:ascii="Cambria Math" w:eastAsia="MS Mincho" w:hAnsi="Cambria Math"/>
                  <w:lang w:eastAsia="fr-FR"/>
                </w:rPr>
                <m:t>n</m:t>
              </m:r>
            </m:sub>
          </m:sSub>
          <m:r>
            <w:rPr>
              <w:rFonts w:ascii="Cambria Math" w:eastAsia="MS Mincho" w:hAnsi="Cambria Math"/>
              <w:lang w:eastAsia="fr-FR"/>
            </w:rPr>
            <m:t>=</m:t>
          </m:r>
          <m:d>
            <m:dPr>
              <m:ctrlPr>
                <w:rPr>
                  <w:rFonts w:ascii="Cambria Math" w:eastAsia="MS Mincho" w:hAnsi="Cambria Math"/>
                  <w:i/>
                  <w:lang w:eastAsia="fr-FR"/>
                </w:rPr>
              </m:ctrlPr>
            </m:dPr>
            <m:e>
              <m:r>
                <w:rPr>
                  <w:rFonts w:ascii="Cambria Math" w:eastAsia="MS Mincho" w:hAnsi="Cambria Math"/>
                  <w:lang w:eastAsia="fr-FR"/>
                </w:rPr>
                <m:t>1-</m:t>
              </m:r>
              <m:f>
                <m:fPr>
                  <m:ctrlPr>
                    <w:rPr>
                      <w:rFonts w:ascii="Cambria Math" w:eastAsia="MS Mincho" w:hAnsi="Cambria Math"/>
                      <w:i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MS Mincho" w:hAnsi="Cambria Math"/>
                      <w:lang w:eastAsia="fr-FR"/>
                    </w:rPr>
                    <m:t>1</m:t>
                  </m:r>
                </m:num>
                <m:den>
                  <m:r>
                    <w:rPr>
                      <w:rFonts w:ascii="Cambria Math" w:eastAsia="MS Mincho" w:hAnsi="Cambria Math"/>
                      <w:lang w:eastAsia="fr-FR"/>
                    </w:rPr>
                    <m:t>n</m:t>
                  </m:r>
                </m:den>
              </m:f>
            </m:e>
          </m:d>
          <m:sSub>
            <m:sSubPr>
              <m:ctrlPr>
                <w:rPr>
                  <w:rFonts w:ascii="Cambria Math" w:eastAsia="MS Mincho" w:hAnsi="Cambria Math"/>
                  <w:i/>
                  <w:lang w:eastAsia="fr-FR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MS Mincho" w:hAnsi="Cambria Math"/>
                      <w:i/>
                      <w:lang w:eastAsia="fr-FR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lang w:eastAsia="fr-FR"/>
                    </w:rPr>
                    <m:t>d</m:t>
                  </m:r>
                </m:e>
              </m:acc>
            </m:e>
            <m:sub>
              <m:r>
                <w:rPr>
                  <w:rFonts w:ascii="Cambria Math" w:eastAsia="MS Mincho" w:hAnsi="Cambria Math"/>
                  <w:lang w:eastAsia="fr-FR"/>
                </w:rPr>
                <m:t>n</m:t>
              </m:r>
              <m:r>
                <w:rPr>
                  <w:rFonts w:ascii="Cambria Math" w:eastAsia="MS Mincho" w:hAnsi="Cambria Math"/>
                  <w:lang w:eastAsia="fr-FR"/>
                </w:rPr>
                <m:t>-</m:t>
              </m:r>
              <m:r>
                <w:rPr>
                  <w:rFonts w:ascii="Cambria Math" w:eastAsia="MS Mincho" w:hAnsi="Cambria Math"/>
                  <w:lang w:eastAsia="fr-FR"/>
                </w:rPr>
                <m:t>1</m:t>
              </m:r>
            </m:sub>
          </m:sSub>
          <m:r>
            <w:rPr>
              <w:rFonts w:ascii="Cambria Math" w:eastAsia="MS Mincho" w:hAnsi="Cambria Math"/>
              <w:lang w:eastAsia="fr-FR"/>
            </w:rPr>
            <m:t>+</m:t>
          </m:r>
          <m:f>
            <m:fPr>
              <m:ctrlPr>
                <w:rPr>
                  <w:rFonts w:ascii="Cambria Math" w:eastAsia="MS Mincho" w:hAnsi="Cambria Math"/>
                  <w:i/>
                  <w:lang w:eastAsia="fr-FR"/>
                </w:rPr>
              </m:ctrlPr>
            </m:fPr>
            <m:num>
              <m:r>
                <w:rPr>
                  <w:rFonts w:ascii="Cambria Math" w:eastAsia="MS Mincho" w:hAnsi="Cambria Math"/>
                  <w:lang w:eastAsia="fr-FR"/>
                </w:rPr>
                <m:t>1</m:t>
              </m:r>
            </m:num>
            <m:den>
              <m:r>
                <w:rPr>
                  <w:rFonts w:ascii="Cambria Math" w:eastAsia="MS Mincho" w:hAnsi="Cambria Math"/>
                  <w:lang w:eastAsia="fr-FR"/>
                </w:rPr>
                <m:t>n</m:t>
              </m:r>
            </m:den>
          </m:f>
          <m:sSub>
            <m:sSubPr>
              <m:ctrlPr>
                <w:rPr>
                  <w:rFonts w:ascii="Cambria Math" w:eastAsia="MS Mincho" w:hAnsi="Cambria Math"/>
                  <w:i/>
                  <w:lang w:eastAsia="fr-FR"/>
                </w:rPr>
              </m:ctrlPr>
            </m:sSubPr>
            <m:e>
              <m:r>
                <w:rPr>
                  <w:rFonts w:ascii="Cambria Math" w:eastAsia="MS Mincho" w:hAnsi="Cambria Math"/>
                  <w:lang w:eastAsia="fr-FR"/>
                </w:rPr>
                <m:t>d</m:t>
              </m:r>
            </m:e>
            <m:sub>
              <m:r>
                <w:rPr>
                  <w:rFonts w:ascii="Cambria Math" w:eastAsia="MS Mincho" w:hAnsi="Cambria Math"/>
                  <w:lang w:eastAsia="fr-FR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="MS Mincho" w:hAnsi="Cambria Math"/>
              <w:lang w:eastAsia="fr-FR"/>
            </w:rPr>
            <w:br/>
          </m:r>
        </m:oMath>
        <m:oMath>
          <m:sSubSup>
            <m:sSubSupPr>
              <m:ctrlPr>
                <w:rPr>
                  <w:rFonts w:ascii="Cambria Math" w:hAnsi="Cambria Math"/>
                  <w:bCs/>
                  <w:i/>
                  <w:lang w:eastAsia="fr-FR"/>
                </w:rPr>
              </m:ctrlPr>
            </m:sSubSupPr>
            <m:e>
              <m:r>
                <w:rPr>
                  <w:rFonts w:ascii="Cambria Math" w:hAnsi="Cambria Math"/>
                  <w:lang w:eastAsia="fr-FR"/>
                </w:rPr>
                <m:t>V</m:t>
              </m:r>
            </m:e>
            <m:sub>
              <m:r>
                <w:rPr>
                  <w:rFonts w:ascii="Cambria Math" w:hAnsi="Cambria Math"/>
                  <w:lang w:eastAsia="fr-FR"/>
                </w:rPr>
                <m:t>n</m:t>
              </m:r>
            </m:sub>
            <m:sup>
              <m:r>
                <w:rPr>
                  <w:rFonts w:ascii="Cambria Math" w:hAnsi="Cambria Math"/>
                  <w:lang w:eastAsia="fr-FR"/>
                </w:rPr>
                <m:t>2</m:t>
              </m:r>
            </m:sup>
          </m:sSubSup>
          <m:r>
            <w:rPr>
              <w:rFonts w:ascii="Cambria Math" w:hAnsi="Cambria Math"/>
              <w:lang w:eastAsia="fr-FR"/>
            </w:rPr>
            <m:t>=</m:t>
          </m:r>
          <m:d>
            <m:dPr>
              <m:ctrlPr>
                <w:rPr>
                  <w:rFonts w:ascii="Cambria Math" w:hAnsi="Cambria Math"/>
                  <w:bCs/>
                  <w:i/>
                  <w:lang w:eastAsia="fr-FR"/>
                </w:rPr>
              </m:ctrlPr>
            </m:dPr>
            <m:e>
              <m:r>
                <w:rPr>
                  <w:rFonts w:ascii="Cambria Math" w:hAnsi="Cambria Math"/>
                  <w:lang w:eastAsia="fr-FR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lang w:eastAsia="fr-FR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eastAsia="fr-FR"/>
                    </w:rPr>
                    <m:t>n</m:t>
                  </m:r>
                </m:den>
              </m:f>
            </m:e>
          </m:d>
          <m:sSubSup>
            <m:sSubSupPr>
              <m:ctrlPr>
                <w:rPr>
                  <w:rFonts w:ascii="Cambria Math" w:hAnsi="Cambria Math"/>
                  <w:bCs/>
                  <w:i/>
                  <w:lang w:eastAsia="fr-FR"/>
                </w:rPr>
              </m:ctrlPr>
            </m:sSubSupPr>
            <m:e>
              <m:r>
                <w:rPr>
                  <w:rFonts w:ascii="Cambria Math" w:hAnsi="Cambria Math"/>
                  <w:lang w:eastAsia="fr-FR"/>
                </w:rPr>
                <m:t>V</m:t>
              </m:r>
            </m:e>
            <m:sub>
              <m:r>
                <w:rPr>
                  <w:rFonts w:ascii="Cambria Math" w:hAnsi="Cambria Math"/>
                  <w:lang w:eastAsia="fr-FR"/>
                </w:rPr>
                <m:t>n</m:t>
              </m:r>
              <m:r>
                <w:rPr>
                  <w:rFonts w:ascii="Cambria Math" w:hAnsi="Cambria Math"/>
                  <w:lang w:eastAsia="fr-FR"/>
                </w:rPr>
                <m:t>-1</m:t>
              </m:r>
            </m:sub>
            <m:sup>
              <m:r>
                <w:rPr>
                  <w:rFonts w:ascii="Cambria Math" w:hAnsi="Cambria Math"/>
                  <w:lang w:eastAsia="fr-FR"/>
                </w:rPr>
                <m:t>2</m:t>
              </m:r>
            </m:sup>
          </m:sSubSup>
          <m:r>
            <w:rPr>
              <w:rFonts w:ascii="Cambria Math" w:hAnsi="Cambria Math"/>
              <w:lang w:eastAsia="fr-FR"/>
            </w:rPr>
            <m:t>+</m:t>
          </m:r>
          <m:f>
            <m:fPr>
              <m:ctrlPr>
                <w:rPr>
                  <w:rFonts w:ascii="Cambria Math" w:hAnsi="Cambria Math"/>
                  <w:bCs/>
                  <w:i/>
                  <w:lang w:eastAsia="fr-F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Cs/>
                      <w:i/>
                      <w:lang w:eastAsia="fr-F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lang w:eastAsia="fr-FR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lang w:eastAsia="fr-FR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lang w:eastAsia="fr-FR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lang w:eastAsia="fr-FR"/>
                                </w:rPr>
                                <m:t>d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lang w:eastAsia="fr-FR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eastAsia="fr-FR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lang w:eastAsia="fr-F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fr-FR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fr-FR"/>
                            </w:rPr>
                            <m:t>n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lang w:eastAsia="fr-F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eastAsia="fr-FR"/>
                </w:rPr>
                <m:t>n</m:t>
              </m:r>
              <m:r>
                <w:rPr>
                  <w:rFonts w:ascii="Cambria Math" w:hAnsi="Cambria Math"/>
                  <w:lang w:eastAsia="fr-FR"/>
                </w:rPr>
                <m:t>-1</m:t>
              </m:r>
            </m:den>
          </m:f>
        </m:oMath>
      </m:oMathPara>
    </w:p>
    <w:p w14:paraId="22AFAD7D" w14:textId="77777777" w:rsidR="008F6653" w:rsidRPr="002041CA" w:rsidRDefault="002D33A0" w:rsidP="008F6653">
      <w:pPr>
        <w:adjustRightInd w:val="0"/>
        <w:spacing w:after="120"/>
        <w:ind w:left="2268" w:right="1134"/>
        <w:jc w:val="both"/>
        <w:rPr>
          <w:lang w:eastAsia="fr-FR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lang w:eastAsia="fr-FR"/>
                </w:rPr>
              </m:ctrlPr>
            </m:dPr>
            <m:e>
              <m:r>
                <w:rPr>
                  <w:rFonts w:ascii="Cambria Math" w:hAnsi="Cambria Math"/>
                  <w:lang w:eastAsia="fr-FR"/>
                </w:rPr>
                <m:t>n</m:t>
              </m:r>
              <m:r>
                <w:rPr>
                  <w:rFonts w:ascii="Cambria Math" w:hAnsi="Cambria Math"/>
                  <w:lang w:eastAsia="fr-FR"/>
                </w:rPr>
                <m:t xml:space="preserve">=2, 3, …; 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fr-FR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eastAsia="fr-FR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eastAsia="fr-FR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eastAsia="fr-FR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eastAsia="fr-FR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fr-F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fr-FR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lang w:eastAsia="fr-FR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eastAsia="fr-FR"/>
                </w:rPr>
                <m:t xml:space="preserve">; 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fr-F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fr-FR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eastAsia="fr-FR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eastAsia="fr-FR"/>
                </w:rPr>
                <m:t>=0</m:t>
              </m:r>
            </m:e>
          </m:d>
        </m:oMath>
      </m:oMathPara>
    </w:p>
    <w:p w14:paraId="489F52AD" w14:textId="77777777" w:rsidR="008F6653" w:rsidRPr="002041CA" w:rsidRDefault="008F6653" w:rsidP="008F6653">
      <w:pPr>
        <w:adjustRightInd w:val="0"/>
        <w:spacing w:after="120"/>
        <w:ind w:left="2268" w:right="1134"/>
        <w:jc w:val="both"/>
        <w:rPr>
          <w:lang w:eastAsia="fr-FR"/>
        </w:rPr>
      </w:pPr>
      <w:r w:rsidRPr="002041CA">
        <w:rPr>
          <w:lang w:eastAsia="fr-FR"/>
        </w:rPr>
        <w:t>…"</w:t>
      </w:r>
    </w:p>
    <w:p w14:paraId="23338E84" w14:textId="77777777" w:rsidR="008F6653" w:rsidRPr="002041CA" w:rsidRDefault="008F6653" w:rsidP="008F6653">
      <w:pPr>
        <w:adjustRightInd w:val="0"/>
        <w:spacing w:after="120"/>
        <w:ind w:left="1134" w:right="1134"/>
        <w:jc w:val="both"/>
        <w:rPr>
          <w:rFonts w:eastAsia="MS Mincho"/>
          <w:bCs/>
          <w:i/>
          <w:iCs/>
        </w:rPr>
      </w:pPr>
      <w:r w:rsidRPr="002041CA">
        <w:rPr>
          <w:rFonts w:eastAsia="MS Mincho"/>
          <w:bCs/>
          <w:i/>
          <w:iCs/>
        </w:rPr>
        <w:t>Annex 4a</w:t>
      </w:r>
    </w:p>
    <w:p w14:paraId="0BEF255D" w14:textId="77777777" w:rsidR="008F6653" w:rsidRPr="002041CA" w:rsidRDefault="008F6653" w:rsidP="008F6653">
      <w:pPr>
        <w:adjustRightInd w:val="0"/>
        <w:spacing w:after="120"/>
        <w:ind w:left="1134" w:right="1134"/>
        <w:jc w:val="both"/>
        <w:rPr>
          <w:rFonts w:eastAsia="MS Mincho"/>
          <w:bCs/>
        </w:rPr>
      </w:pPr>
      <w:r w:rsidRPr="002041CA">
        <w:rPr>
          <w:rFonts w:eastAsia="MS Mincho"/>
          <w:bCs/>
          <w:i/>
          <w:iCs/>
        </w:rPr>
        <w:t>Appendix 1</w:t>
      </w:r>
      <w:r w:rsidRPr="002041CA">
        <w:rPr>
          <w:i/>
          <w:iCs/>
          <w:lang w:val="en-US"/>
        </w:rPr>
        <w:t xml:space="preserve">, paragraph 1., </w:t>
      </w:r>
      <w:r w:rsidRPr="002041CA">
        <w:rPr>
          <w:lang w:val="en-US"/>
        </w:rPr>
        <w:t>amend to read:</w:t>
      </w:r>
    </w:p>
    <w:p w14:paraId="7079183B" w14:textId="77777777" w:rsidR="008F6653" w:rsidRPr="002041CA" w:rsidRDefault="008F6653" w:rsidP="008F6653">
      <w:pPr>
        <w:pStyle w:val="ListParagraph"/>
        <w:adjustRightInd w:val="0"/>
        <w:spacing w:after="120"/>
        <w:ind w:left="2268" w:right="1134" w:hanging="1134"/>
        <w:rPr>
          <w:rFonts w:asciiTheme="majorBidi" w:eastAsia="MS Mincho" w:hAnsiTheme="majorBidi" w:cstheme="majorBidi"/>
          <w:sz w:val="20"/>
          <w:szCs w:val="20"/>
          <w:lang w:val="en-GB"/>
        </w:rPr>
      </w:pPr>
      <w:r w:rsidRPr="002041CA">
        <w:rPr>
          <w:rFonts w:asciiTheme="majorBidi" w:hAnsiTheme="majorBidi" w:cstheme="majorBidi"/>
          <w:sz w:val="20"/>
          <w:szCs w:val="20"/>
          <w:lang w:val="en-GB"/>
        </w:rPr>
        <w:t>"1.</w:t>
      </w:r>
      <w:r w:rsidRPr="002041CA">
        <w:rPr>
          <w:rFonts w:asciiTheme="majorBidi" w:hAnsiTheme="majorBidi" w:cstheme="majorBidi"/>
          <w:sz w:val="20"/>
          <w:szCs w:val="20"/>
          <w:lang w:val="en-GB"/>
        </w:rPr>
        <w:tab/>
        <w:t>Specification</w:t>
      </w:r>
    </w:p>
    <w:p w14:paraId="70A37928" w14:textId="77777777" w:rsidR="008F6653" w:rsidRPr="002041CA" w:rsidRDefault="008F6653" w:rsidP="008F6653">
      <w:pPr>
        <w:pStyle w:val="Default"/>
        <w:spacing w:after="120"/>
        <w:ind w:left="2268" w:right="1134" w:hanging="1134"/>
        <w:jc w:val="both"/>
        <w:rPr>
          <w:bCs/>
          <w:color w:val="auto"/>
          <w:sz w:val="20"/>
          <w:szCs w:val="20"/>
          <w:lang w:val="en-US"/>
        </w:rPr>
      </w:pPr>
      <w:r w:rsidRPr="002041CA">
        <w:rPr>
          <w:color w:val="auto"/>
          <w:sz w:val="20"/>
          <w:szCs w:val="20"/>
          <w:lang w:val="en-US"/>
        </w:rPr>
        <w:t xml:space="preserve">1.1. </w:t>
      </w:r>
      <w:r w:rsidRPr="002041CA">
        <w:rPr>
          <w:color w:val="auto"/>
          <w:sz w:val="20"/>
          <w:szCs w:val="20"/>
          <w:lang w:val="en-US"/>
        </w:rPr>
        <w:tab/>
        <w:t>General requirements</w:t>
      </w:r>
    </w:p>
    <w:p w14:paraId="4A6BD8C2" w14:textId="77777777" w:rsidR="008F6653" w:rsidRPr="002041CA" w:rsidRDefault="008F6653" w:rsidP="008F6653">
      <w:pPr>
        <w:spacing w:after="120"/>
        <w:ind w:leftChars="1134" w:left="2268" w:right="1110"/>
        <w:jc w:val="both"/>
        <w:rPr>
          <w:rFonts w:eastAsia="MS PGothic"/>
          <w:lang w:eastAsia="fr-FR"/>
        </w:rPr>
      </w:pPr>
      <w:r w:rsidRPr="002041CA">
        <w:t>For test and measurement equipment that is compliant with the technical requirements of UN Regulation No. 154 original series or</w:t>
      </w:r>
      <w:r w:rsidRPr="002041CA">
        <w:rPr>
          <w:rFonts w:ascii="MS Mincho" w:eastAsia="MS Mincho" w:hAnsi="MS Mincho" w:hint="eastAsia"/>
          <w:lang w:eastAsia="ja-JP"/>
        </w:rPr>
        <w:t xml:space="preserve"> </w:t>
      </w:r>
      <w:r w:rsidRPr="002041CA">
        <w:t>later version, the requirements on the technical equipment described in UN Regulation No. 154 may be followed, in all other cases the following requirements shall apply:</w:t>
      </w:r>
    </w:p>
    <w:p w14:paraId="2667739A" w14:textId="77777777" w:rsidR="008F6653" w:rsidRPr="002041CA" w:rsidRDefault="008F6653" w:rsidP="008F6653">
      <w:pPr>
        <w:adjustRightInd w:val="0"/>
        <w:spacing w:after="120"/>
        <w:ind w:left="2268" w:right="1110" w:hanging="1134"/>
        <w:jc w:val="both"/>
        <w:rPr>
          <w:rFonts w:eastAsia="MS Mincho"/>
        </w:rPr>
      </w:pPr>
      <w:r w:rsidRPr="002041CA">
        <w:rPr>
          <w:rFonts w:eastAsia="MS Mincho"/>
        </w:rPr>
        <w:t xml:space="preserve">1.1.1. </w:t>
      </w:r>
      <w:r w:rsidRPr="002041CA">
        <w:rPr>
          <w:rFonts w:eastAsia="MS Mincho"/>
        </w:rPr>
        <w:tab/>
        <w:t>The dynamometer shall be capable of simulating road load within one of the following classifications: ..."</w:t>
      </w:r>
    </w:p>
    <w:p w14:paraId="69CAAEB7" w14:textId="77777777" w:rsidR="008F6653" w:rsidRPr="002041CA" w:rsidRDefault="008F6653" w:rsidP="008F6653">
      <w:pPr>
        <w:adjustRightInd w:val="0"/>
        <w:spacing w:after="120"/>
        <w:ind w:left="1134" w:right="1134"/>
        <w:jc w:val="both"/>
        <w:rPr>
          <w:rFonts w:eastAsia="MS Mincho"/>
          <w:bCs/>
        </w:rPr>
      </w:pPr>
      <w:r w:rsidRPr="002041CA">
        <w:rPr>
          <w:rFonts w:eastAsia="MS Mincho"/>
          <w:bCs/>
          <w:i/>
          <w:iCs/>
        </w:rPr>
        <w:t>Appendix 2</w:t>
      </w:r>
      <w:r w:rsidRPr="002041CA">
        <w:rPr>
          <w:i/>
          <w:iCs/>
          <w:lang w:val="en-US"/>
        </w:rPr>
        <w:t xml:space="preserve">, paragraph 1.2., </w:t>
      </w:r>
      <w:r w:rsidRPr="002041CA">
        <w:rPr>
          <w:lang w:val="en-US"/>
        </w:rPr>
        <w:t>amend to read:</w:t>
      </w:r>
    </w:p>
    <w:p w14:paraId="1F9D7F2B" w14:textId="77777777" w:rsidR="008F6653" w:rsidRPr="002041CA" w:rsidRDefault="008F6653" w:rsidP="008F6653">
      <w:pPr>
        <w:pStyle w:val="Default"/>
        <w:spacing w:after="120"/>
        <w:ind w:left="2268" w:right="1110" w:hanging="1134"/>
        <w:jc w:val="both"/>
        <w:rPr>
          <w:rFonts w:eastAsia="Times New Roman"/>
          <w:color w:val="auto"/>
          <w:sz w:val="20"/>
          <w:szCs w:val="20"/>
          <w:lang w:val="en-US"/>
        </w:rPr>
      </w:pPr>
      <w:r w:rsidRPr="002041CA">
        <w:rPr>
          <w:color w:val="auto"/>
          <w:lang w:val="en-US"/>
        </w:rPr>
        <w:t>"</w:t>
      </w:r>
      <w:r w:rsidRPr="002041CA">
        <w:rPr>
          <w:color w:val="auto"/>
          <w:sz w:val="20"/>
          <w:szCs w:val="20"/>
          <w:lang w:val="en-US"/>
        </w:rPr>
        <w:t xml:space="preserve">1.2. </w:t>
      </w:r>
      <w:r w:rsidRPr="002041CA">
        <w:rPr>
          <w:color w:val="auto"/>
          <w:sz w:val="20"/>
          <w:szCs w:val="20"/>
          <w:lang w:val="en-US"/>
        </w:rPr>
        <w:tab/>
        <w:t>General requirements</w:t>
      </w:r>
    </w:p>
    <w:p w14:paraId="7824628B" w14:textId="77777777" w:rsidR="008F6653" w:rsidRPr="002041CA" w:rsidRDefault="008F6653" w:rsidP="008F6653">
      <w:pPr>
        <w:spacing w:after="120"/>
        <w:ind w:leftChars="1134" w:left="2268" w:right="1110"/>
        <w:jc w:val="both"/>
      </w:pPr>
      <w:r w:rsidRPr="002041CA">
        <w:t>For test and measurement equipment that is compliant with the technical requirements of UN Regulation No. 154 original series or</w:t>
      </w:r>
      <w:r w:rsidRPr="002041CA">
        <w:rPr>
          <w:rFonts w:ascii="MS Mincho" w:eastAsia="MS Mincho" w:hAnsi="MS Mincho" w:hint="eastAsia"/>
          <w:lang w:eastAsia="ja-JP"/>
        </w:rPr>
        <w:t xml:space="preserve"> </w:t>
      </w:r>
      <w:r w:rsidRPr="002041CA">
        <w:t>later version, the requirements on the technical equipment described in UN Regulation No. 154 may be followed, in all other cases the following requirements shall apply:</w:t>
      </w:r>
    </w:p>
    <w:p w14:paraId="26E56B1B" w14:textId="77777777" w:rsidR="008F6653" w:rsidRPr="002041CA" w:rsidRDefault="008F6653" w:rsidP="008F6653">
      <w:pPr>
        <w:spacing w:after="120"/>
        <w:ind w:leftChars="1134" w:left="2268" w:right="1111"/>
        <w:jc w:val="both"/>
        <w:rPr>
          <w:rFonts w:eastAsia="MS PGothic"/>
        </w:rPr>
      </w:pPr>
      <w:r w:rsidRPr="002041CA">
        <w:t>…</w:t>
      </w:r>
      <w:r w:rsidRPr="002041CA">
        <w:rPr>
          <w:rFonts w:eastAsia="MS Mincho"/>
        </w:rPr>
        <w:t>"</w:t>
      </w:r>
    </w:p>
    <w:p w14:paraId="4A4AA0FB" w14:textId="77777777" w:rsidR="008F6653" w:rsidRPr="002041CA" w:rsidRDefault="008F6653" w:rsidP="008F6653">
      <w:pPr>
        <w:adjustRightInd w:val="0"/>
        <w:spacing w:after="120"/>
        <w:ind w:left="1134" w:right="1134"/>
        <w:jc w:val="both"/>
        <w:rPr>
          <w:rFonts w:eastAsia="MS Mincho"/>
          <w:bCs/>
        </w:rPr>
      </w:pPr>
      <w:r w:rsidRPr="002041CA">
        <w:rPr>
          <w:rFonts w:eastAsia="MS Mincho"/>
          <w:bCs/>
          <w:i/>
          <w:iCs/>
        </w:rPr>
        <w:t>Appendix 3</w:t>
      </w:r>
      <w:r w:rsidRPr="002041CA">
        <w:rPr>
          <w:i/>
          <w:iCs/>
          <w:lang w:val="en-US"/>
        </w:rPr>
        <w:t xml:space="preserve">, paragraph 1., </w:t>
      </w:r>
      <w:r w:rsidRPr="002041CA">
        <w:rPr>
          <w:lang w:val="en-US"/>
        </w:rPr>
        <w:t>amend to read:</w:t>
      </w:r>
    </w:p>
    <w:p w14:paraId="2C0EA38A" w14:textId="77777777" w:rsidR="008F6653" w:rsidRPr="002041CA" w:rsidRDefault="008F6653" w:rsidP="008F6653">
      <w:pPr>
        <w:pStyle w:val="Default"/>
        <w:spacing w:after="120"/>
        <w:ind w:left="2268" w:right="1110" w:hanging="1134"/>
        <w:jc w:val="both"/>
        <w:rPr>
          <w:rFonts w:eastAsia="Times New Roman"/>
          <w:bCs/>
          <w:color w:val="auto"/>
          <w:sz w:val="20"/>
          <w:szCs w:val="20"/>
          <w:lang w:val="en-US"/>
        </w:rPr>
      </w:pPr>
      <w:r w:rsidRPr="002041CA">
        <w:rPr>
          <w:color w:val="auto"/>
          <w:lang w:val="en-US"/>
        </w:rPr>
        <w:t>"</w:t>
      </w:r>
      <w:r w:rsidRPr="002041CA">
        <w:rPr>
          <w:color w:val="auto"/>
          <w:sz w:val="20"/>
          <w:szCs w:val="20"/>
          <w:lang w:val="en-US"/>
        </w:rPr>
        <w:t xml:space="preserve">1. </w:t>
      </w:r>
      <w:r w:rsidRPr="002041CA">
        <w:rPr>
          <w:color w:val="auto"/>
          <w:sz w:val="20"/>
          <w:szCs w:val="20"/>
          <w:lang w:val="en-US"/>
        </w:rPr>
        <w:tab/>
        <w:t>Specification</w:t>
      </w:r>
    </w:p>
    <w:p w14:paraId="48A49D41" w14:textId="77777777" w:rsidR="008F6653" w:rsidRPr="002041CA" w:rsidRDefault="008F6653" w:rsidP="008F6653">
      <w:pPr>
        <w:spacing w:after="120"/>
        <w:ind w:leftChars="1134" w:left="2268" w:right="1110"/>
        <w:jc w:val="both"/>
      </w:pPr>
      <w:r w:rsidRPr="002041CA">
        <w:t>For test and measurement equipment that is compliant with the technical requirements of UN Regulation No. 154 original series or</w:t>
      </w:r>
      <w:r w:rsidRPr="002041CA">
        <w:rPr>
          <w:rFonts w:ascii="MS Mincho" w:eastAsia="MS Mincho" w:hAnsi="MS Mincho" w:hint="eastAsia"/>
          <w:lang w:eastAsia="ja-JP"/>
        </w:rPr>
        <w:t xml:space="preserve"> </w:t>
      </w:r>
      <w:r w:rsidRPr="002041CA">
        <w:t>later version, the requirements on the technical equipment described in UN Regulation No. 154 may be followed, in all other cases the following requirements shall apply:</w:t>
      </w:r>
    </w:p>
    <w:p w14:paraId="6E31A253" w14:textId="77777777" w:rsidR="008F6653" w:rsidRPr="002041CA" w:rsidRDefault="008F6653" w:rsidP="008F6653">
      <w:pPr>
        <w:spacing w:after="120"/>
        <w:ind w:leftChars="1134" w:left="2268" w:right="1110"/>
        <w:jc w:val="both"/>
        <w:rPr>
          <w:rFonts w:eastAsia="MS PGothic"/>
        </w:rPr>
      </w:pPr>
      <w:r w:rsidRPr="002041CA">
        <w:t>…</w:t>
      </w:r>
      <w:r w:rsidRPr="002041CA">
        <w:rPr>
          <w:rFonts w:eastAsia="MS Mincho"/>
        </w:rPr>
        <w:t>"</w:t>
      </w:r>
    </w:p>
    <w:p w14:paraId="012D3095" w14:textId="77777777" w:rsidR="008F6653" w:rsidRPr="002041CA" w:rsidRDefault="008F6653" w:rsidP="008F6653">
      <w:pPr>
        <w:adjustRightInd w:val="0"/>
        <w:spacing w:after="120"/>
        <w:ind w:left="1134" w:right="1134"/>
        <w:jc w:val="both"/>
        <w:rPr>
          <w:rFonts w:eastAsia="MS Mincho"/>
          <w:bCs/>
        </w:rPr>
      </w:pPr>
      <w:r w:rsidRPr="002041CA">
        <w:rPr>
          <w:rFonts w:eastAsia="MS Mincho"/>
          <w:bCs/>
          <w:i/>
          <w:iCs/>
        </w:rPr>
        <w:t>Appendix 4</w:t>
      </w:r>
      <w:r w:rsidRPr="002041CA">
        <w:rPr>
          <w:i/>
          <w:iCs/>
          <w:lang w:val="en-US"/>
        </w:rPr>
        <w:t xml:space="preserve">, paragraph 1., </w:t>
      </w:r>
      <w:r w:rsidRPr="002041CA">
        <w:rPr>
          <w:lang w:val="en-US"/>
        </w:rPr>
        <w:t>amend to read:</w:t>
      </w:r>
    </w:p>
    <w:p w14:paraId="3DAD834B" w14:textId="77777777" w:rsidR="008F6653" w:rsidRPr="002041CA" w:rsidRDefault="008F6653" w:rsidP="008F6653">
      <w:pPr>
        <w:pStyle w:val="Default"/>
        <w:spacing w:after="120"/>
        <w:ind w:left="2268" w:right="1110" w:hanging="1134"/>
        <w:jc w:val="both"/>
        <w:rPr>
          <w:rFonts w:eastAsia="Times New Roman"/>
          <w:bCs/>
          <w:color w:val="auto"/>
          <w:sz w:val="20"/>
          <w:szCs w:val="20"/>
          <w:lang w:val="en-US"/>
        </w:rPr>
      </w:pPr>
      <w:r w:rsidRPr="002041CA">
        <w:rPr>
          <w:color w:val="auto"/>
          <w:lang w:val="en-US"/>
        </w:rPr>
        <w:t>"</w:t>
      </w:r>
      <w:r w:rsidRPr="002041CA">
        <w:rPr>
          <w:color w:val="auto"/>
          <w:sz w:val="20"/>
          <w:szCs w:val="20"/>
          <w:lang w:val="en-US"/>
        </w:rPr>
        <w:t xml:space="preserve">1. </w:t>
      </w:r>
      <w:r w:rsidRPr="002041CA">
        <w:rPr>
          <w:color w:val="auto"/>
          <w:sz w:val="20"/>
          <w:szCs w:val="20"/>
          <w:lang w:val="en-US"/>
        </w:rPr>
        <w:tab/>
        <w:t>Specification</w:t>
      </w:r>
    </w:p>
    <w:p w14:paraId="4492B2CF" w14:textId="77777777" w:rsidR="008F6653" w:rsidRPr="002041CA" w:rsidRDefault="008F6653" w:rsidP="008F6653">
      <w:pPr>
        <w:spacing w:after="120"/>
        <w:ind w:leftChars="1134" w:left="2268" w:right="1110"/>
        <w:jc w:val="both"/>
      </w:pPr>
      <w:r w:rsidRPr="002041CA">
        <w:t>For test and measurement equipment that is compliant with the technical requirements of UN Regulation No. 154 original series or</w:t>
      </w:r>
      <w:r w:rsidRPr="002041CA">
        <w:rPr>
          <w:rFonts w:ascii="MS Mincho" w:eastAsia="MS Mincho" w:hAnsi="MS Mincho" w:hint="eastAsia"/>
          <w:lang w:eastAsia="ja-JP"/>
        </w:rPr>
        <w:t xml:space="preserve"> </w:t>
      </w:r>
      <w:r w:rsidRPr="002041CA">
        <w:t>later version, the requirements on the technical equipment described in UN Regulation No. 154 may be followed, in all other cases the following requirements shall apply:</w:t>
      </w:r>
    </w:p>
    <w:p w14:paraId="4AE276FB" w14:textId="77777777" w:rsidR="008F6653" w:rsidRPr="002041CA" w:rsidRDefault="008F6653" w:rsidP="008F6653">
      <w:pPr>
        <w:spacing w:after="120"/>
        <w:ind w:leftChars="1134" w:left="2268" w:right="1110"/>
        <w:jc w:val="both"/>
        <w:rPr>
          <w:rFonts w:eastAsia="MS PGothic"/>
        </w:rPr>
      </w:pPr>
      <w:r w:rsidRPr="002041CA">
        <w:t>…</w:t>
      </w:r>
      <w:r w:rsidRPr="002041CA">
        <w:rPr>
          <w:rFonts w:eastAsia="MS Mincho"/>
        </w:rPr>
        <w:t>"</w:t>
      </w:r>
    </w:p>
    <w:p w14:paraId="6CFB5578" w14:textId="77777777" w:rsidR="008F6653" w:rsidRPr="002041CA" w:rsidRDefault="008F6653" w:rsidP="008F6653">
      <w:pPr>
        <w:adjustRightInd w:val="0"/>
        <w:spacing w:after="120"/>
        <w:ind w:left="1134" w:right="1134"/>
        <w:jc w:val="both"/>
        <w:rPr>
          <w:rFonts w:eastAsia="MS Mincho"/>
          <w:bCs/>
        </w:rPr>
      </w:pPr>
      <w:r w:rsidRPr="002041CA">
        <w:rPr>
          <w:rFonts w:eastAsia="MS Mincho"/>
          <w:bCs/>
          <w:i/>
          <w:iCs/>
        </w:rPr>
        <w:t>Appendix 5</w:t>
      </w:r>
      <w:r w:rsidRPr="002041CA">
        <w:rPr>
          <w:i/>
          <w:iCs/>
          <w:lang w:val="en-US"/>
        </w:rPr>
        <w:t xml:space="preserve">, paragraph 1., </w:t>
      </w:r>
      <w:r w:rsidRPr="002041CA">
        <w:rPr>
          <w:lang w:val="en-US"/>
        </w:rPr>
        <w:t>amend to read:</w:t>
      </w:r>
    </w:p>
    <w:p w14:paraId="010AD814" w14:textId="77777777" w:rsidR="008F6653" w:rsidRPr="002041CA" w:rsidRDefault="008F6653" w:rsidP="008F6653">
      <w:pPr>
        <w:pStyle w:val="Default"/>
        <w:spacing w:after="120"/>
        <w:ind w:left="2268" w:right="1110" w:hanging="1134"/>
        <w:jc w:val="both"/>
        <w:rPr>
          <w:rFonts w:eastAsia="Times New Roman"/>
          <w:bCs/>
          <w:color w:val="auto"/>
          <w:sz w:val="20"/>
          <w:szCs w:val="20"/>
          <w:lang w:val="en-US"/>
        </w:rPr>
      </w:pPr>
      <w:r w:rsidRPr="002041CA">
        <w:rPr>
          <w:color w:val="auto"/>
          <w:lang w:val="en-US"/>
        </w:rPr>
        <w:t>"</w:t>
      </w:r>
      <w:r w:rsidRPr="002041CA">
        <w:rPr>
          <w:color w:val="auto"/>
          <w:sz w:val="20"/>
          <w:szCs w:val="20"/>
          <w:lang w:val="en-US"/>
        </w:rPr>
        <w:t xml:space="preserve">1. </w:t>
      </w:r>
      <w:r w:rsidRPr="002041CA">
        <w:rPr>
          <w:color w:val="auto"/>
          <w:sz w:val="20"/>
          <w:szCs w:val="20"/>
          <w:lang w:val="en-US"/>
        </w:rPr>
        <w:tab/>
        <w:t>Specification</w:t>
      </w:r>
    </w:p>
    <w:p w14:paraId="181037EE" w14:textId="77777777" w:rsidR="008F6653" w:rsidRPr="002041CA" w:rsidRDefault="008F6653" w:rsidP="008F6653">
      <w:pPr>
        <w:spacing w:after="120"/>
        <w:ind w:leftChars="1134" w:left="2268" w:right="1110"/>
        <w:jc w:val="both"/>
      </w:pPr>
      <w:r w:rsidRPr="002041CA">
        <w:lastRenderedPageBreak/>
        <w:t>For test and measurement equipment that is compliant with the technical requirements of UN Regulation No. 154 original series or</w:t>
      </w:r>
      <w:r w:rsidRPr="002041CA">
        <w:rPr>
          <w:rFonts w:ascii="MS Mincho" w:eastAsia="MS Mincho" w:hAnsi="MS Mincho" w:hint="eastAsia"/>
          <w:lang w:eastAsia="ja-JP"/>
        </w:rPr>
        <w:t xml:space="preserve"> </w:t>
      </w:r>
      <w:r w:rsidRPr="002041CA">
        <w:t>later version, the requirements on the technical equipment described in UN Regulation No. 154 may be followed, in all other cases the following requirements shall apply:</w:t>
      </w:r>
    </w:p>
    <w:p w14:paraId="413E75EF" w14:textId="77777777" w:rsidR="008F6653" w:rsidRPr="002041CA" w:rsidRDefault="008F6653" w:rsidP="008F6653">
      <w:pPr>
        <w:spacing w:after="120"/>
        <w:ind w:leftChars="1134" w:left="2268" w:right="1110"/>
        <w:jc w:val="both"/>
        <w:rPr>
          <w:rFonts w:eastAsia="Yu Gothic"/>
          <w:kern w:val="2"/>
          <w:lang w:eastAsia="ja-JP"/>
        </w:rPr>
      </w:pPr>
      <w:r w:rsidRPr="002041CA">
        <w:t>…</w:t>
      </w:r>
      <w:r w:rsidRPr="002041CA">
        <w:rPr>
          <w:rFonts w:eastAsia="MS Mincho"/>
        </w:rPr>
        <w:t>"</w:t>
      </w:r>
    </w:p>
    <w:p w14:paraId="143F3A51" w14:textId="77777777" w:rsidR="008F6653" w:rsidRPr="002041CA" w:rsidRDefault="008F6653" w:rsidP="008F6653">
      <w:pPr>
        <w:adjustRightInd w:val="0"/>
        <w:spacing w:after="120"/>
        <w:ind w:left="1134" w:right="1134"/>
        <w:jc w:val="both"/>
        <w:rPr>
          <w:rFonts w:eastAsia="MS Mincho"/>
          <w:bCs/>
          <w:lang w:eastAsia="fr-FR"/>
        </w:rPr>
      </w:pPr>
      <w:r w:rsidRPr="002041CA">
        <w:rPr>
          <w:rFonts w:eastAsia="MS Mincho"/>
          <w:bCs/>
          <w:i/>
          <w:iCs/>
        </w:rPr>
        <w:t>Appendix 6</w:t>
      </w:r>
      <w:r w:rsidRPr="002041CA">
        <w:rPr>
          <w:i/>
          <w:iCs/>
          <w:lang w:val="en-US"/>
        </w:rPr>
        <w:t xml:space="preserve">, paragraph 1., </w:t>
      </w:r>
      <w:r w:rsidRPr="002041CA">
        <w:rPr>
          <w:lang w:val="en-US"/>
        </w:rPr>
        <w:t>amend to read:</w:t>
      </w:r>
    </w:p>
    <w:p w14:paraId="58ACE12F" w14:textId="77777777" w:rsidR="008F6653" w:rsidRPr="002041CA" w:rsidRDefault="008F6653" w:rsidP="008F6653">
      <w:pPr>
        <w:adjustRightInd w:val="0"/>
        <w:spacing w:after="120"/>
        <w:ind w:left="2268" w:right="1110" w:hanging="1134"/>
        <w:jc w:val="both"/>
        <w:rPr>
          <w:rFonts w:eastAsia="MS Mincho"/>
        </w:rPr>
      </w:pPr>
      <w:r w:rsidRPr="002041CA">
        <w:rPr>
          <w:rFonts w:eastAsia="MS Mincho"/>
        </w:rPr>
        <w:t>"</w:t>
      </w:r>
      <w:r w:rsidRPr="002041CA">
        <w:t>1.</w:t>
      </w:r>
      <w:r w:rsidRPr="002041CA">
        <w:rPr>
          <w:rFonts w:eastAsia="MS Mincho"/>
        </w:rPr>
        <w:t xml:space="preserve"> </w:t>
      </w:r>
      <w:r w:rsidRPr="002041CA">
        <w:rPr>
          <w:rFonts w:eastAsia="MS Mincho"/>
        </w:rPr>
        <w:tab/>
        <w:t>Object</w:t>
      </w:r>
    </w:p>
    <w:p w14:paraId="7B47A4E8" w14:textId="77777777" w:rsidR="008F6653" w:rsidRPr="002041CA" w:rsidRDefault="008F6653" w:rsidP="008F6653">
      <w:pPr>
        <w:adjustRightInd w:val="0"/>
        <w:spacing w:after="120"/>
        <w:ind w:leftChars="1134" w:left="2268" w:right="1110"/>
        <w:jc w:val="both"/>
        <w:rPr>
          <w:rFonts w:eastAsia="MS Mincho"/>
        </w:rPr>
      </w:pPr>
      <w:r w:rsidRPr="002041CA">
        <w:rPr>
          <w:rFonts w:eastAsia="MS Mincho"/>
        </w:rPr>
        <w:t>The method described in this appendix makes it possible to check that the</w:t>
      </w:r>
      <w:r w:rsidRPr="002041CA">
        <w:rPr>
          <w:rFonts w:eastAsia="MS Mincho"/>
          <w:lang w:eastAsia="ja-JP"/>
        </w:rPr>
        <w:t xml:space="preserve"> </w:t>
      </w:r>
      <w:r w:rsidRPr="002041CA">
        <w:rPr>
          <w:rFonts w:eastAsia="MS Mincho"/>
        </w:rPr>
        <w:t>simulated total inertia of the dynamometer is carried out satisfactorily in the</w:t>
      </w:r>
      <w:r w:rsidRPr="002041CA">
        <w:rPr>
          <w:rFonts w:eastAsia="MS Mincho"/>
          <w:lang w:eastAsia="ja-JP"/>
        </w:rPr>
        <w:t xml:space="preserve"> </w:t>
      </w:r>
      <w:r w:rsidRPr="002041CA">
        <w:rPr>
          <w:rFonts w:eastAsia="MS Mincho"/>
        </w:rPr>
        <w:t>running phase of the operating cycle. The manufacturer of the dynamometer</w:t>
      </w:r>
      <w:r w:rsidRPr="002041CA">
        <w:rPr>
          <w:rFonts w:eastAsia="MS Mincho"/>
          <w:lang w:eastAsia="ja-JP"/>
        </w:rPr>
        <w:t xml:space="preserve"> </w:t>
      </w:r>
      <w:r w:rsidRPr="002041CA">
        <w:rPr>
          <w:rFonts w:eastAsia="MS Mincho"/>
        </w:rPr>
        <w:t>shall specify a method for verifying the specifications according to paragraph 3. of this appendix.</w:t>
      </w:r>
    </w:p>
    <w:p w14:paraId="068E5A83" w14:textId="77777777" w:rsidR="008F6653" w:rsidRPr="002041CA" w:rsidRDefault="008F6653" w:rsidP="008F6653">
      <w:pPr>
        <w:pStyle w:val="SingleTxtG"/>
        <w:ind w:leftChars="1134" w:left="2268"/>
        <w:rPr>
          <w:rFonts w:eastAsia="MS Mincho"/>
          <w:bCs/>
        </w:rPr>
      </w:pPr>
      <w:r w:rsidRPr="002041CA">
        <w:rPr>
          <w:rFonts w:eastAsia="MS Mincho"/>
          <w:bCs/>
        </w:rPr>
        <w:t xml:space="preserve">In case of the equipment that meets UN Regulation No. 154 requirements, this application may not </w:t>
      </w:r>
      <w:r w:rsidRPr="002041CA">
        <w:rPr>
          <w:rFonts w:eastAsia="MS Mincho"/>
          <w:bCs/>
          <w:lang w:eastAsia="ja-JP"/>
        </w:rPr>
        <w:t xml:space="preserve">be </w:t>
      </w:r>
      <w:r w:rsidRPr="002041CA">
        <w:rPr>
          <w:rFonts w:eastAsia="MS Mincho"/>
          <w:bCs/>
        </w:rPr>
        <w:t>required.</w:t>
      </w:r>
      <w:r w:rsidRPr="002041CA">
        <w:rPr>
          <w:rFonts w:eastAsia="MS Mincho"/>
          <w:bCs/>
          <w:lang w:val="en-US"/>
        </w:rPr>
        <w:t>"</w:t>
      </w:r>
    </w:p>
    <w:p w14:paraId="1E32FB61" w14:textId="77777777" w:rsidR="008F6653" w:rsidRPr="002041CA" w:rsidRDefault="008F6653" w:rsidP="008F6653">
      <w:pPr>
        <w:pStyle w:val="SingleTxtG"/>
        <w:ind w:leftChars="515" w:left="1030" w:right="2244"/>
        <w:rPr>
          <w:i/>
          <w:iCs/>
          <w:lang w:val="en-US"/>
        </w:rPr>
      </w:pPr>
      <w:r w:rsidRPr="002041CA">
        <w:rPr>
          <w:i/>
          <w:iCs/>
          <w:lang w:val="en-US"/>
        </w:rPr>
        <w:t>Annex 7</w:t>
      </w:r>
    </w:p>
    <w:p w14:paraId="24E27D06" w14:textId="77777777" w:rsidR="008F6653" w:rsidRPr="002041CA" w:rsidRDefault="008F6653" w:rsidP="008F6653">
      <w:pPr>
        <w:pStyle w:val="SingleTxtG"/>
        <w:ind w:leftChars="515" w:left="1030" w:right="2244"/>
        <w:rPr>
          <w:lang w:val="en-US"/>
        </w:rPr>
      </w:pPr>
      <w:r w:rsidRPr="002041CA">
        <w:rPr>
          <w:i/>
          <w:iCs/>
          <w:lang w:val="en-US"/>
        </w:rPr>
        <w:t xml:space="preserve">Paragraph 4., </w:t>
      </w:r>
      <w:r w:rsidRPr="002041CA">
        <w:rPr>
          <w:lang w:val="en-US"/>
        </w:rPr>
        <w:t>amend to read:</w:t>
      </w:r>
    </w:p>
    <w:p w14:paraId="1FE31F48" w14:textId="77777777" w:rsidR="008F6653" w:rsidRPr="002041CA" w:rsidRDefault="008F6653" w:rsidP="008F6653">
      <w:pPr>
        <w:pStyle w:val="SingleTxtG"/>
        <w:ind w:left="2268" w:right="1110" w:hanging="1134"/>
        <w:rPr>
          <w:i/>
          <w:iCs/>
          <w:lang w:val="en-US"/>
        </w:rPr>
      </w:pPr>
      <w:r w:rsidRPr="002041CA">
        <w:rPr>
          <w:rFonts w:eastAsia="MS Mincho"/>
          <w:lang w:val="en-US"/>
        </w:rPr>
        <w:t>"</w:t>
      </w:r>
      <w:r w:rsidRPr="002041CA">
        <w:rPr>
          <w:rFonts w:eastAsia="MS Mincho"/>
        </w:rPr>
        <w:t xml:space="preserve">4. </w:t>
      </w:r>
      <w:r w:rsidRPr="002041CA">
        <w:rPr>
          <w:rFonts w:eastAsia="MS Mincho"/>
        </w:rPr>
        <w:tab/>
        <w:t>Test equipment for evaporative test</w:t>
      </w:r>
    </w:p>
    <w:p w14:paraId="6733C74C" w14:textId="77777777" w:rsidR="008F6653" w:rsidRPr="002041CA" w:rsidRDefault="008F6653" w:rsidP="008F6653">
      <w:pPr>
        <w:spacing w:after="120"/>
        <w:ind w:leftChars="1134" w:left="2268" w:right="1110" w:firstLine="1"/>
        <w:jc w:val="both"/>
        <w:rPr>
          <w:rFonts w:eastAsia="Yu Gothic"/>
          <w:kern w:val="2"/>
          <w:lang w:eastAsia="ja-JP"/>
        </w:rPr>
      </w:pPr>
      <w:r w:rsidRPr="002041CA">
        <w:t>For test and measurement equipment that is compliant with the technical requirements of UN Regulation No. 154 original series or</w:t>
      </w:r>
      <w:r w:rsidRPr="002041CA">
        <w:rPr>
          <w:rFonts w:eastAsia="MS Mincho"/>
          <w:lang w:eastAsia="ja-JP"/>
        </w:rPr>
        <w:t xml:space="preserve"> </w:t>
      </w:r>
      <w:r w:rsidRPr="002041CA">
        <w:t xml:space="preserve">later version, the requirements on the technical equipment described in UN Regulation </w:t>
      </w:r>
      <w:r w:rsidRPr="002041CA">
        <w:br/>
        <w:t>No. 154 may be followed, in all other cases the following requirements shall apply:</w:t>
      </w:r>
    </w:p>
    <w:p w14:paraId="4871AD03" w14:textId="77777777" w:rsidR="008F6653" w:rsidRPr="002041CA" w:rsidRDefault="008F6653" w:rsidP="008F6653">
      <w:pPr>
        <w:adjustRightInd w:val="0"/>
        <w:spacing w:after="120"/>
        <w:ind w:left="2268" w:hanging="1134"/>
        <w:jc w:val="both"/>
        <w:rPr>
          <w:rFonts w:eastAsia="MS Mincho"/>
          <w:lang w:eastAsia="fr-FR"/>
        </w:rPr>
      </w:pPr>
      <w:r w:rsidRPr="002041CA">
        <w:rPr>
          <w:rFonts w:eastAsia="MS Mincho"/>
        </w:rPr>
        <w:t xml:space="preserve">4.1. </w:t>
      </w:r>
      <w:r w:rsidRPr="002041CA">
        <w:rPr>
          <w:rFonts w:eastAsia="MS Mincho"/>
        </w:rPr>
        <w:tab/>
        <w:t>Chassis dynamometer</w:t>
      </w:r>
    </w:p>
    <w:p w14:paraId="4C073656" w14:textId="77777777" w:rsidR="008F6653" w:rsidRPr="002041CA" w:rsidRDefault="008F6653" w:rsidP="008F6653">
      <w:pPr>
        <w:adjustRightInd w:val="0"/>
        <w:spacing w:after="120"/>
        <w:ind w:left="2268" w:right="1110"/>
        <w:jc w:val="both"/>
      </w:pPr>
      <w:r w:rsidRPr="002041CA">
        <w:rPr>
          <w:rFonts w:eastAsia="MS Mincho"/>
        </w:rPr>
        <w:t xml:space="preserve">The chassis dynamometer shall meet the requirements of Appendix 1 to </w:t>
      </w:r>
      <w:r w:rsidRPr="002041CA">
        <w:t>Annex 4a to this Regulation.</w:t>
      </w:r>
    </w:p>
    <w:p w14:paraId="4BBC70CF" w14:textId="77777777" w:rsidR="008F6653" w:rsidRPr="002041CA" w:rsidRDefault="008F6653" w:rsidP="008F6653">
      <w:pPr>
        <w:adjustRightInd w:val="0"/>
        <w:spacing w:after="120"/>
        <w:ind w:left="2268" w:right="1110"/>
        <w:jc w:val="both"/>
      </w:pPr>
      <w:r w:rsidRPr="002041CA">
        <w:t>…</w:t>
      </w:r>
      <w:r w:rsidRPr="002041CA">
        <w:rPr>
          <w:rFonts w:eastAsia="MS Mincho"/>
        </w:rPr>
        <w:t>"</w:t>
      </w:r>
    </w:p>
    <w:p w14:paraId="1740A0CD" w14:textId="77777777" w:rsidR="008F6653" w:rsidRPr="002041CA" w:rsidRDefault="008F6653" w:rsidP="008F6653">
      <w:pPr>
        <w:pStyle w:val="SingleTxtG"/>
        <w:rPr>
          <w:lang w:val="en-US"/>
        </w:rPr>
      </w:pPr>
      <w:r w:rsidRPr="002041CA">
        <w:rPr>
          <w:i/>
          <w:iCs/>
          <w:lang w:val="en-US"/>
        </w:rPr>
        <w:t>Appendix 1, paragraph 1.,</w:t>
      </w:r>
      <w:r w:rsidRPr="002041CA">
        <w:rPr>
          <w:lang w:val="en-US"/>
        </w:rPr>
        <w:t xml:space="preserve"> amend to read:</w:t>
      </w:r>
    </w:p>
    <w:p w14:paraId="256585A8" w14:textId="77777777" w:rsidR="008F6653" w:rsidRPr="002041CA" w:rsidRDefault="008F6653" w:rsidP="008F6653">
      <w:pPr>
        <w:pStyle w:val="Default"/>
        <w:spacing w:after="120"/>
        <w:ind w:left="2268" w:right="805" w:hanging="1134"/>
        <w:jc w:val="both"/>
        <w:rPr>
          <w:color w:val="auto"/>
          <w:sz w:val="20"/>
          <w:szCs w:val="20"/>
          <w:lang w:val="en-US"/>
        </w:rPr>
      </w:pPr>
      <w:r w:rsidRPr="002041CA">
        <w:rPr>
          <w:color w:val="auto"/>
          <w:sz w:val="20"/>
          <w:szCs w:val="20"/>
          <w:lang w:val="en-US"/>
        </w:rPr>
        <w:t>"1.</w:t>
      </w:r>
      <w:r w:rsidRPr="002041CA">
        <w:rPr>
          <w:color w:val="auto"/>
          <w:sz w:val="20"/>
          <w:szCs w:val="20"/>
          <w:lang w:val="en-US"/>
        </w:rPr>
        <w:tab/>
        <w:t>Calibration frequency and methods</w:t>
      </w:r>
    </w:p>
    <w:p w14:paraId="42C545D0" w14:textId="77777777" w:rsidR="008F6653" w:rsidRPr="002041CA" w:rsidRDefault="008F6653" w:rsidP="008F6653">
      <w:pPr>
        <w:spacing w:after="120"/>
        <w:ind w:leftChars="1134" w:left="2268" w:right="1110" w:firstLine="1"/>
        <w:jc w:val="both"/>
      </w:pPr>
      <w:r w:rsidRPr="002041CA">
        <w:t>For test and measurement equipment that is compliant with the technical requirements of UN Regulation No. 154 original series or</w:t>
      </w:r>
      <w:r w:rsidRPr="002041CA">
        <w:rPr>
          <w:rFonts w:eastAsia="MS Mincho"/>
          <w:lang w:eastAsia="ja-JP"/>
        </w:rPr>
        <w:t xml:space="preserve"> </w:t>
      </w:r>
      <w:r w:rsidRPr="002041CA">
        <w:t>later version, the requirements on the technical equipment described in UN Regulation No. 154 may be followed, in all other cases the following requirements shall apply:</w:t>
      </w:r>
    </w:p>
    <w:p w14:paraId="251416DA" w14:textId="77777777" w:rsidR="008F6653" w:rsidRPr="002041CA" w:rsidRDefault="008F6653" w:rsidP="008F6653">
      <w:pPr>
        <w:spacing w:after="120"/>
        <w:ind w:leftChars="1134" w:left="2268" w:right="1110" w:firstLine="1"/>
        <w:jc w:val="both"/>
        <w:rPr>
          <w:rFonts w:eastAsia="MS Mincho"/>
        </w:rPr>
      </w:pPr>
      <w:r w:rsidRPr="002041CA">
        <w:t>…</w:t>
      </w:r>
      <w:r w:rsidRPr="002041CA">
        <w:rPr>
          <w:rFonts w:eastAsia="MS Mincho"/>
        </w:rPr>
        <w:t>"</w:t>
      </w:r>
    </w:p>
    <w:p w14:paraId="0EBD7E51" w14:textId="77777777" w:rsidR="008F6653" w:rsidRPr="002041CA" w:rsidRDefault="008F6653" w:rsidP="008F6653">
      <w:pPr>
        <w:keepNext/>
        <w:spacing w:after="120"/>
        <w:ind w:left="1134" w:right="1134"/>
        <w:rPr>
          <w:rFonts w:eastAsia="MS Mincho"/>
          <w:i/>
          <w:lang w:eastAsia="fr-FR"/>
        </w:rPr>
      </w:pPr>
      <w:r w:rsidRPr="002041CA">
        <w:rPr>
          <w:rFonts w:eastAsia="MS Mincho"/>
          <w:i/>
          <w:lang w:eastAsia="fr-FR"/>
        </w:rPr>
        <w:t>Annex 11,</w:t>
      </w:r>
    </w:p>
    <w:p w14:paraId="16A3AA17" w14:textId="77777777" w:rsidR="008F6653" w:rsidRPr="002041CA" w:rsidRDefault="008F6653" w:rsidP="008F6653">
      <w:pPr>
        <w:spacing w:after="120"/>
        <w:ind w:left="1134" w:right="1134"/>
        <w:rPr>
          <w:rFonts w:eastAsia="MS Mincho"/>
          <w:iCs/>
          <w:lang w:eastAsia="fr-FR"/>
        </w:rPr>
      </w:pPr>
      <w:r w:rsidRPr="002041CA">
        <w:rPr>
          <w:rFonts w:eastAsia="MS Mincho"/>
          <w:i/>
          <w:lang w:eastAsia="fr-FR"/>
        </w:rPr>
        <w:t xml:space="preserve">Paragraph 3.2.1.2., </w:t>
      </w:r>
      <w:r w:rsidRPr="002041CA">
        <w:rPr>
          <w:rFonts w:eastAsia="MS Mincho"/>
          <w:iCs/>
          <w:lang w:eastAsia="fr-FR"/>
        </w:rPr>
        <w:t>amend to read:</w:t>
      </w:r>
    </w:p>
    <w:p w14:paraId="1FC104D5" w14:textId="77777777" w:rsidR="008F6653" w:rsidRPr="002041CA" w:rsidRDefault="008F6653" w:rsidP="008F6653">
      <w:pPr>
        <w:adjustRightInd w:val="0"/>
        <w:spacing w:after="120"/>
        <w:ind w:left="2268" w:right="1134" w:hanging="1134"/>
        <w:jc w:val="both"/>
        <w:rPr>
          <w:lang w:eastAsia="fr-FR"/>
        </w:rPr>
      </w:pPr>
      <w:r w:rsidRPr="002041CA">
        <w:rPr>
          <w:lang w:eastAsia="fr-FR"/>
        </w:rPr>
        <w:t xml:space="preserve">"3.2.1.2. </w:t>
      </w:r>
      <w:r w:rsidRPr="002041CA">
        <w:rPr>
          <w:lang w:eastAsia="fr-FR"/>
        </w:rPr>
        <w:tab/>
        <w:t>A manufacturer may disable any specific OBD monitor for a given driving cycle for ambient or engine temperatures</w:t>
      </w:r>
      <w:r w:rsidRPr="002041CA">
        <w:rPr>
          <w:b/>
          <w:bCs/>
          <w:lang w:eastAsia="fr-FR"/>
        </w:rPr>
        <w:t xml:space="preserve"> </w:t>
      </w:r>
      <w:r w:rsidRPr="002041CA">
        <w:rPr>
          <w:lang w:eastAsia="fr-FR"/>
        </w:rPr>
        <w:t>below 266 K (-7° C) or at elevations over 2,500 metres above sea level provided the manufacturer submits data and/or an engineering evaluation which adequately demonstrate that monitoring would be unreliable when such conditions exist. A manufacturer may also request disablement of any specific OBD monitor at other ambient temperatures or other elevations if they demonstrate to the authority with data and/or an engineering evaluation that misdiagnosis would occur under such conditions. It is not necessary to illuminate the Malfunction Indicator (MI) if OBD thresholds are exceeded during a regeneration provided no defect is present. "</w:t>
      </w:r>
    </w:p>
    <w:p w14:paraId="4AE31600" w14:textId="77777777" w:rsidR="008F6653" w:rsidRPr="002041CA" w:rsidRDefault="008F6653" w:rsidP="008F6653">
      <w:pPr>
        <w:spacing w:before="240"/>
        <w:jc w:val="center"/>
        <w:rPr>
          <w:u w:val="single"/>
        </w:rPr>
      </w:pPr>
      <w:r w:rsidRPr="002041CA">
        <w:rPr>
          <w:u w:val="single"/>
        </w:rPr>
        <w:tab/>
      </w:r>
      <w:r w:rsidRPr="002041CA">
        <w:rPr>
          <w:u w:val="single"/>
        </w:rPr>
        <w:tab/>
      </w:r>
      <w:r w:rsidRPr="002041CA">
        <w:rPr>
          <w:u w:val="single"/>
        </w:rPr>
        <w:tab/>
      </w:r>
    </w:p>
    <w:p w14:paraId="2B54E8A9" w14:textId="04CFE7CD" w:rsidR="00A034CA" w:rsidRPr="002041CA" w:rsidRDefault="00A034CA" w:rsidP="008F6653">
      <w:pPr>
        <w:pStyle w:val="SingleTxtG"/>
        <w:rPr>
          <w:u w:val="single"/>
          <w:lang w:val="en-US"/>
        </w:rPr>
      </w:pPr>
    </w:p>
    <w:sectPr w:rsidR="00A034CA" w:rsidRPr="002041CA" w:rsidSect="00B22C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DF7D1" w14:textId="77777777" w:rsidR="00CD5A6D" w:rsidRDefault="00CD5A6D"/>
  </w:endnote>
  <w:endnote w:type="continuationSeparator" w:id="0">
    <w:p w14:paraId="2DACB574" w14:textId="77777777" w:rsidR="00CD5A6D" w:rsidRDefault="00CD5A6D"/>
  </w:endnote>
  <w:endnote w:type="continuationNotice" w:id="1">
    <w:p w14:paraId="5742A7DC" w14:textId="77777777" w:rsidR="00CD5A6D" w:rsidRDefault="00CD5A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0473" w14:textId="66B1775F" w:rsidR="00B701B3" w:rsidRPr="00D623A7" w:rsidRDefault="00B701B3">
    <w:pPr>
      <w:pStyle w:val="Footer"/>
      <w:rPr>
        <w:b/>
        <w:sz w:val="18"/>
        <w:szCs w:val="18"/>
      </w:rPr>
    </w:pPr>
    <w:r w:rsidRPr="00D623A7">
      <w:rPr>
        <w:b/>
        <w:sz w:val="18"/>
        <w:szCs w:val="18"/>
      </w:rPr>
      <w:fldChar w:fldCharType="begin"/>
    </w:r>
    <w:r w:rsidRPr="00D623A7">
      <w:rPr>
        <w:b/>
        <w:sz w:val="18"/>
        <w:szCs w:val="18"/>
      </w:rPr>
      <w:instrText xml:space="preserve"> PAGE   \* MERGEFORMAT </w:instrText>
    </w:r>
    <w:r w:rsidRPr="00D623A7">
      <w:rPr>
        <w:b/>
        <w:sz w:val="18"/>
        <w:szCs w:val="18"/>
      </w:rPr>
      <w:fldChar w:fldCharType="separate"/>
    </w:r>
    <w:r w:rsidR="006C5ABE">
      <w:rPr>
        <w:b/>
        <w:noProof/>
        <w:sz w:val="18"/>
        <w:szCs w:val="18"/>
      </w:rPr>
      <w:t>2</w:t>
    </w:r>
    <w:r w:rsidRPr="00D623A7">
      <w:rPr>
        <w:b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877D" w14:textId="6F66439D" w:rsidR="00B701B3" w:rsidRPr="00776D12" w:rsidRDefault="00B701B3" w:rsidP="00776D12">
    <w:pPr>
      <w:pStyle w:val="Footer"/>
      <w:jc w:val="right"/>
      <w:rPr>
        <w:b/>
        <w:sz w:val="18"/>
        <w:szCs w:val="18"/>
      </w:rPr>
    </w:pPr>
    <w:r w:rsidRPr="00776D12">
      <w:rPr>
        <w:b/>
        <w:sz w:val="18"/>
        <w:szCs w:val="18"/>
      </w:rPr>
      <w:fldChar w:fldCharType="begin"/>
    </w:r>
    <w:r w:rsidRPr="00776D12">
      <w:rPr>
        <w:b/>
        <w:sz w:val="18"/>
        <w:szCs w:val="18"/>
      </w:rPr>
      <w:instrText xml:space="preserve"> PAGE   \* MERGEFORMAT </w:instrText>
    </w:r>
    <w:r w:rsidRPr="00776D12">
      <w:rPr>
        <w:b/>
        <w:sz w:val="18"/>
        <w:szCs w:val="18"/>
      </w:rPr>
      <w:fldChar w:fldCharType="separate"/>
    </w:r>
    <w:r w:rsidR="00EA1AF8">
      <w:rPr>
        <w:b/>
        <w:noProof/>
        <w:sz w:val="18"/>
        <w:szCs w:val="18"/>
      </w:rPr>
      <w:t>3</w:t>
    </w:r>
    <w:r w:rsidRPr="00776D12">
      <w:rPr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9046" w14:textId="6AB2419D" w:rsidR="002D33A0" w:rsidRDefault="002D33A0" w:rsidP="002D33A0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4826C968" wp14:editId="1309669D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8C2729" w14:textId="28695735" w:rsidR="002D33A0" w:rsidRPr="002D33A0" w:rsidRDefault="002D33A0" w:rsidP="002D33A0">
    <w:pPr>
      <w:pStyle w:val="Footer"/>
      <w:ind w:right="1134"/>
      <w:rPr>
        <w:sz w:val="20"/>
      </w:rPr>
    </w:pPr>
    <w:r>
      <w:rPr>
        <w:sz w:val="20"/>
      </w:rPr>
      <w:t>GE.23-11805(E)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5014D21E" wp14:editId="73BDA435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638175" cy="6381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6C84B" w14:textId="77777777" w:rsidR="00CD5A6D" w:rsidRPr="000B175B" w:rsidRDefault="00CD5A6D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1EDD3A9" w14:textId="77777777" w:rsidR="00CD5A6D" w:rsidRPr="00FC68B7" w:rsidRDefault="00CD5A6D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5DF2D97" w14:textId="77777777" w:rsidR="00CD5A6D" w:rsidRDefault="00CD5A6D"/>
  </w:footnote>
  <w:footnote w:id="2">
    <w:p w14:paraId="6854E2C5" w14:textId="77777777" w:rsidR="00C71DA4" w:rsidRPr="002041CA" w:rsidRDefault="00C71DA4" w:rsidP="00C71DA4">
      <w:pPr>
        <w:pStyle w:val="FootnoteText"/>
      </w:pPr>
      <w:r w:rsidRPr="00A279B3">
        <w:rPr>
          <w:color w:val="FF0000"/>
        </w:rPr>
        <w:tab/>
      </w:r>
      <w:r w:rsidRPr="002041CA">
        <w:rPr>
          <w:rStyle w:val="FootnoteReference"/>
          <w:sz w:val="20"/>
        </w:rPr>
        <w:t>*</w:t>
      </w:r>
      <w:r w:rsidRPr="002041CA">
        <w:rPr>
          <w:sz w:val="20"/>
        </w:rPr>
        <w:tab/>
      </w:r>
      <w:r w:rsidRPr="002041CA">
        <w:t>Former titles of the Agreement:</w:t>
      </w:r>
    </w:p>
    <w:p w14:paraId="1B8C8000" w14:textId="77777777" w:rsidR="00C71DA4" w:rsidRPr="002041CA" w:rsidRDefault="00C71DA4" w:rsidP="00C71DA4">
      <w:pPr>
        <w:pStyle w:val="FootnoteText"/>
        <w:rPr>
          <w:sz w:val="20"/>
        </w:rPr>
      </w:pPr>
      <w:r w:rsidRPr="002041CA">
        <w:tab/>
      </w:r>
      <w:r w:rsidRPr="002041CA">
        <w:tab/>
      </w:r>
      <w:r w:rsidRPr="002041CA">
        <w:rPr>
          <w:spacing w:val="-4"/>
        </w:rPr>
        <w:t>Agreement concerning the Adoption of Uniform Conditions of Approval and Reciprocal Recognition of Approval for Motor Vehicle Equipment and Parts, done at Geneva on 20 March 1958 (original version</w:t>
      </w:r>
      <w:proofErr w:type="gramStart"/>
      <w:r w:rsidRPr="002041CA">
        <w:rPr>
          <w:spacing w:val="-4"/>
        </w:rPr>
        <w:t>);</w:t>
      </w:r>
      <w:proofErr w:type="gramEnd"/>
    </w:p>
    <w:p w14:paraId="78175112" w14:textId="77777777" w:rsidR="00C71DA4" w:rsidRDefault="00C71DA4" w:rsidP="00C71DA4">
      <w:pPr>
        <w:pStyle w:val="FootnoteText"/>
      </w:pPr>
      <w:r w:rsidRPr="002041CA">
        <w:tab/>
      </w:r>
      <w:r w:rsidRPr="002041CA">
        <w:tab/>
        <w:t xml:space="preserve">Agreement concerning the Adoption of Uniform Technical Prescriptions for Wheeled Vehicles, Equipment and Parts which can be Fitted and/or be Used on Wheeled Vehicles and the Conditions for Reciprocal Recognition of Approvals Granted </w:t>
      </w:r>
      <w:proofErr w:type="gramStart"/>
      <w:r w:rsidRPr="002041CA">
        <w:t>on the Basis of</w:t>
      </w:r>
      <w:proofErr w:type="gramEnd"/>
      <w:r w:rsidRPr="002041CA">
        <w:t xml:space="preserve"> these Prescriptions, done at Geneva on 5 October 1995 (Revision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10B60" w14:textId="0E5C3844" w:rsidR="00B701B3" w:rsidRDefault="00B701B3">
    <w:pPr>
      <w:pStyle w:val="Header"/>
    </w:pPr>
    <w:r w:rsidRPr="00D623A7">
      <w:t>E/ECE/324</w:t>
    </w:r>
    <w:r w:rsidRPr="00841EB5">
      <w:t>/Rev.</w:t>
    </w:r>
    <w:r w:rsidR="0001071D">
      <w:t>1</w:t>
    </w:r>
    <w:r w:rsidRPr="00841EB5">
      <w:t>/</w:t>
    </w:r>
    <w:r w:rsidR="004D2C93" w:rsidRPr="00D623A7">
      <w:t>Add.</w:t>
    </w:r>
    <w:r w:rsidR="00A034CA">
      <w:t>82</w:t>
    </w:r>
    <w:r w:rsidR="004D2C93" w:rsidRPr="00D623A7">
      <w:t>/Rev.</w:t>
    </w:r>
    <w:r w:rsidR="0015772C">
      <w:t>3</w:t>
    </w:r>
    <w:r w:rsidR="004D2C93" w:rsidRPr="00D623A7">
      <w:t>/Amend.</w:t>
    </w:r>
    <w:r w:rsidR="0015772C">
      <w:t>1</w:t>
    </w:r>
    <w:r w:rsidR="0011312C">
      <w:t>1</w:t>
    </w:r>
    <w:r>
      <w:br/>
    </w:r>
    <w:r w:rsidRPr="00D623A7">
      <w:t>E/ECE/TRANS/505</w:t>
    </w:r>
    <w:r w:rsidRPr="00841EB5">
      <w:t>/</w:t>
    </w:r>
    <w:r w:rsidR="0001071D" w:rsidRPr="00841EB5">
      <w:t>Rev.</w:t>
    </w:r>
    <w:r w:rsidR="0001071D">
      <w:t>1</w:t>
    </w:r>
    <w:r w:rsidR="00EE0446">
      <w:t>/</w:t>
    </w:r>
    <w:r w:rsidR="00EE0446" w:rsidRPr="00D623A7">
      <w:t>Add.</w:t>
    </w:r>
    <w:r w:rsidR="00A034CA">
      <w:t>82</w:t>
    </w:r>
    <w:r w:rsidR="00EE0446" w:rsidRPr="00D623A7">
      <w:t>/Rev.</w:t>
    </w:r>
    <w:r w:rsidR="0015772C">
      <w:t>3</w:t>
    </w:r>
    <w:r w:rsidR="00EE0446" w:rsidRPr="00D623A7">
      <w:t>/Amend.</w:t>
    </w:r>
    <w:r w:rsidR="0015772C">
      <w:t>1</w:t>
    </w:r>
    <w:r w:rsidR="0011312C">
      <w:t>1</w:t>
    </w:r>
  </w:p>
  <w:p w14:paraId="30CE593D" w14:textId="77777777" w:rsidR="00BF4A36" w:rsidRPr="00BF4A36" w:rsidRDefault="00BF4A36" w:rsidP="00BF4A3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837B" w14:textId="3D0E6C9A" w:rsidR="00B701B3" w:rsidRDefault="00B701B3" w:rsidP="00776D12">
    <w:pPr>
      <w:pStyle w:val="Header"/>
      <w:jc w:val="right"/>
    </w:pPr>
    <w:r w:rsidRPr="00D623A7">
      <w:t>E/ECE/324/</w:t>
    </w:r>
    <w:r w:rsidR="0001071D">
      <w:t>Rev.1/</w:t>
    </w:r>
    <w:r w:rsidRPr="00D623A7">
      <w:t>Add.</w:t>
    </w:r>
    <w:r w:rsidR="00A034CA">
      <w:t>82</w:t>
    </w:r>
    <w:r w:rsidRPr="00D623A7">
      <w:t>/Rev.</w:t>
    </w:r>
    <w:r w:rsidR="008F6653">
      <w:t>3</w:t>
    </w:r>
    <w:r w:rsidRPr="00D623A7">
      <w:t>/Amend.</w:t>
    </w:r>
    <w:r w:rsidR="008F6653">
      <w:t>11</w:t>
    </w:r>
    <w:r>
      <w:br/>
    </w:r>
    <w:r w:rsidRPr="00D623A7">
      <w:t>E/ECE/TRANS/505/</w:t>
    </w:r>
    <w:r w:rsidR="0001071D">
      <w:t>Rev.1/</w:t>
    </w:r>
    <w:r w:rsidR="004D2C93" w:rsidRPr="00D623A7">
      <w:t>Add.</w:t>
    </w:r>
    <w:r w:rsidR="00A034CA">
      <w:t>82</w:t>
    </w:r>
    <w:r w:rsidR="004D2C93" w:rsidRPr="00D623A7">
      <w:t>/Rev.</w:t>
    </w:r>
    <w:r w:rsidR="008F6653">
      <w:t>3</w:t>
    </w:r>
    <w:r w:rsidR="004D2C93" w:rsidRPr="00D623A7">
      <w:t>/Amend.</w:t>
    </w:r>
    <w:r w:rsidR="008F6653">
      <w:t>11</w:t>
    </w:r>
  </w:p>
  <w:p w14:paraId="4823CE24" w14:textId="77777777" w:rsidR="00BF4A36" w:rsidRPr="00BF4A36" w:rsidRDefault="00BF4A36" w:rsidP="00BF4A3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9880" w14:textId="77777777" w:rsidR="00D5540C" w:rsidRDefault="00D5540C" w:rsidP="008518D5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F174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D07B2"/>
    <w:multiLevelType w:val="hybridMultilevel"/>
    <w:tmpl w:val="D7D47906"/>
    <w:lvl w:ilvl="0" w:tplc="3B64B33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1854033338">
    <w:abstractNumId w:val="0"/>
  </w:num>
  <w:num w:numId="2" w16cid:durableId="1612321635">
    <w:abstractNumId w:val="2"/>
  </w:num>
  <w:num w:numId="3" w16cid:durableId="1958368887">
    <w:abstractNumId w:val="1"/>
  </w:num>
  <w:num w:numId="4" w16cid:durableId="169438132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330"/>
    <w:rsid w:val="0001071D"/>
    <w:rsid w:val="00050F6B"/>
    <w:rsid w:val="00072C8C"/>
    <w:rsid w:val="00077CE2"/>
    <w:rsid w:val="00086287"/>
    <w:rsid w:val="000931C0"/>
    <w:rsid w:val="000B175B"/>
    <w:rsid w:val="000B3A0F"/>
    <w:rsid w:val="000C3BA6"/>
    <w:rsid w:val="000D3A4F"/>
    <w:rsid w:val="000E0415"/>
    <w:rsid w:val="000F580C"/>
    <w:rsid w:val="0011312C"/>
    <w:rsid w:val="001220B8"/>
    <w:rsid w:val="00134B40"/>
    <w:rsid w:val="001352D9"/>
    <w:rsid w:val="0015772C"/>
    <w:rsid w:val="00165E82"/>
    <w:rsid w:val="001725FD"/>
    <w:rsid w:val="001B4B04"/>
    <w:rsid w:val="001C6663"/>
    <w:rsid w:val="001C7895"/>
    <w:rsid w:val="001D26DF"/>
    <w:rsid w:val="002041CA"/>
    <w:rsid w:val="002070FE"/>
    <w:rsid w:val="00211E0B"/>
    <w:rsid w:val="002405A7"/>
    <w:rsid w:val="00271A7F"/>
    <w:rsid w:val="00295CB5"/>
    <w:rsid w:val="002A1E3A"/>
    <w:rsid w:val="002D1113"/>
    <w:rsid w:val="002D33A0"/>
    <w:rsid w:val="002E346C"/>
    <w:rsid w:val="003107FA"/>
    <w:rsid w:val="00312E48"/>
    <w:rsid w:val="003229D8"/>
    <w:rsid w:val="00325241"/>
    <w:rsid w:val="0033745A"/>
    <w:rsid w:val="003852F5"/>
    <w:rsid w:val="0039277A"/>
    <w:rsid w:val="003972E0"/>
    <w:rsid w:val="003C2CC4"/>
    <w:rsid w:val="003C3936"/>
    <w:rsid w:val="003D4B23"/>
    <w:rsid w:val="003F1ED3"/>
    <w:rsid w:val="004325CB"/>
    <w:rsid w:val="00440758"/>
    <w:rsid w:val="00445C26"/>
    <w:rsid w:val="00446DE4"/>
    <w:rsid w:val="0049115C"/>
    <w:rsid w:val="004A41CA"/>
    <w:rsid w:val="004A5884"/>
    <w:rsid w:val="004D2C93"/>
    <w:rsid w:val="004E3FEB"/>
    <w:rsid w:val="005009F2"/>
    <w:rsid w:val="00503228"/>
    <w:rsid w:val="00504750"/>
    <w:rsid w:val="00505384"/>
    <w:rsid w:val="00516753"/>
    <w:rsid w:val="005420F2"/>
    <w:rsid w:val="0054561B"/>
    <w:rsid w:val="00582B38"/>
    <w:rsid w:val="005B3DB3"/>
    <w:rsid w:val="005E1409"/>
    <w:rsid w:val="00606809"/>
    <w:rsid w:val="00611FC4"/>
    <w:rsid w:val="006176FB"/>
    <w:rsid w:val="00627ED0"/>
    <w:rsid w:val="00640B26"/>
    <w:rsid w:val="0064636E"/>
    <w:rsid w:val="00665595"/>
    <w:rsid w:val="0069341E"/>
    <w:rsid w:val="00694209"/>
    <w:rsid w:val="006A67EF"/>
    <w:rsid w:val="006A7392"/>
    <w:rsid w:val="006C5ABE"/>
    <w:rsid w:val="006D00FE"/>
    <w:rsid w:val="006E564B"/>
    <w:rsid w:val="006F5576"/>
    <w:rsid w:val="00713BD8"/>
    <w:rsid w:val="0072632A"/>
    <w:rsid w:val="00726BD1"/>
    <w:rsid w:val="00743CD6"/>
    <w:rsid w:val="00750602"/>
    <w:rsid w:val="00776D12"/>
    <w:rsid w:val="007B6BA5"/>
    <w:rsid w:val="007C3390"/>
    <w:rsid w:val="007C4F4B"/>
    <w:rsid w:val="007F0B83"/>
    <w:rsid w:val="007F6611"/>
    <w:rsid w:val="008175E9"/>
    <w:rsid w:val="008242D7"/>
    <w:rsid w:val="00827E05"/>
    <w:rsid w:val="008311A3"/>
    <w:rsid w:val="00841EB5"/>
    <w:rsid w:val="008518D5"/>
    <w:rsid w:val="00854383"/>
    <w:rsid w:val="00871FD5"/>
    <w:rsid w:val="008979B1"/>
    <w:rsid w:val="008A6B25"/>
    <w:rsid w:val="008A6C4F"/>
    <w:rsid w:val="008C3804"/>
    <w:rsid w:val="008E0E46"/>
    <w:rsid w:val="008F6653"/>
    <w:rsid w:val="00907AD2"/>
    <w:rsid w:val="00963CBA"/>
    <w:rsid w:val="00974A8D"/>
    <w:rsid w:val="00991261"/>
    <w:rsid w:val="009952F1"/>
    <w:rsid w:val="009A0192"/>
    <w:rsid w:val="009F015A"/>
    <w:rsid w:val="009F3A17"/>
    <w:rsid w:val="00A034CA"/>
    <w:rsid w:val="00A1427D"/>
    <w:rsid w:val="00A22277"/>
    <w:rsid w:val="00A279B3"/>
    <w:rsid w:val="00A41529"/>
    <w:rsid w:val="00A5324D"/>
    <w:rsid w:val="00A569D6"/>
    <w:rsid w:val="00A72F22"/>
    <w:rsid w:val="00A748A6"/>
    <w:rsid w:val="00A85956"/>
    <w:rsid w:val="00A879A4"/>
    <w:rsid w:val="00B22C14"/>
    <w:rsid w:val="00B30179"/>
    <w:rsid w:val="00B32121"/>
    <w:rsid w:val="00B33EC0"/>
    <w:rsid w:val="00B701B3"/>
    <w:rsid w:val="00B81E12"/>
    <w:rsid w:val="00BC2683"/>
    <w:rsid w:val="00BC358D"/>
    <w:rsid w:val="00BC74E9"/>
    <w:rsid w:val="00BD2146"/>
    <w:rsid w:val="00BD221C"/>
    <w:rsid w:val="00BD538F"/>
    <w:rsid w:val="00BE4F74"/>
    <w:rsid w:val="00BE618E"/>
    <w:rsid w:val="00BF4A36"/>
    <w:rsid w:val="00BF6323"/>
    <w:rsid w:val="00C17699"/>
    <w:rsid w:val="00C41A28"/>
    <w:rsid w:val="00C463DD"/>
    <w:rsid w:val="00C711C7"/>
    <w:rsid w:val="00C71A58"/>
    <w:rsid w:val="00C71DA4"/>
    <w:rsid w:val="00C745C3"/>
    <w:rsid w:val="00C84414"/>
    <w:rsid w:val="00CD5A6D"/>
    <w:rsid w:val="00CE4A8F"/>
    <w:rsid w:val="00CE5E33"/>
    <w:rsid w:val="00CF4C18"/>
    <w:rsid w:val="00D2031B"/>
    <w:rsid w:val="00D25FE2"/>
    <w:rsid w:val="00D317BB"/>
    <w:rsid w:val="00D43252"/>
    <w:rsid w:val="00D50CEE"/>
    <w:rsid w:val="00D5540C"/>
    <w:rsid w:val="00D623A7"/>
    <w:rsid w:val="00D62A81"/>
    <w:rsid w:val="00D6614F"/>
    <w:rsid w:val="00D978C6"/>
    <w:rsid w:val="00DA170C"/>
    <w:rsid w:val="00DA49B8"/>
    <w:rsid w:val="00DA67AD"/>
    <w:rsid w:val="00DB5D0F"/>
    <w:rsid w:val="00DC3F07"/>
    <w:rsid w:val="00DE4B81"/>
    <w:rsid w:val="00DF12F7"/>
    <w:rsid w:val="00DF3A2D"/>
    <w:rsid w:val="00E02C81"/>
    <w:rsid w:val="00E130AB"/>
    <w:rsid w:val="00E313A7"/>
    <w:rsid w:val="00E506F0"/>
    <w:rsid w:val="00E53330"/>
    <w:rsid w:val="00E7260F"/>
    <w:rsid w:val="00E87921"/>
    <w:rsid w:val="00E96630"/>
    <w:rsid w:val="00EA0ED6"/>
    <w:rsid w:val="00EA1AF8"/>
    <w:rsid w:val="00EA264E"/>
    <w:rsid w:val="00ED7A2A"/>
    <w:rsid w:val="00ED7F82"/>
    <w:rsid w:val="00EE0446"/>
    <w:rsid w:val="00EF1D7F"/>
    <w:rsid w:val="00F070AF"/>
    <w:rsid w:val="00F43A63"/>
    <w:rsid w:val="00F43C58"/>
    <w:rsid w:val="00F53EDA"/>
    <w:rsid w:val="00F55704"/>
    <w:rsid w:val="00F67B72"/>
    <w:rsid w:val="00F7753D"/>
    <w:rsid w:val="00F85F34"/>
    <w:rsid w:val="00FA06F7"/>
    <w:rsid w:val="00FB171A"/>
    <w:rsid w:val="00FC68B7"/>
    <w:rsid w:val="00FD7BF6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0A858"/>
  <w15:docId w15:val="{31FFB701-ADE8-4EE5-A618-06C1B409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11C7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503228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rsid w:val="00503228"/>
    <w:pPr>
      <w:spacing w:line="240" w:lineRule="auto"/>
      <w:outlineLvl w:val="1"/>
    </w:pPr>
  </w:style>
  <w:style w:type="paragraph" w:styleId="Heading3">
    <w:name w:val="heading 3"/>
    <w:basedOn w:val="Normal"/>
    <w:next w:val="Normal"/>
    <w:rsid w:val="00503228"/>
    <w:pPr>
      <w:spacing w:line="240" w:lineRule="auto"/>
      <w:outlineLvl w:val="2"/>
    </w:pPr>
  </w:style>
  <w:style w:type="paragraph" w:styleId="Heading4">
    <w:name w:val="heading 4"/>
    <w:basedOn w:val="Normal"/>
    <w:next w:val="Normal"/>
    <w:rsid w:val="00503228"/>
    <w:pPr>
      <w:spacing w:line="240" w:lineRule="auto"/>
      <w:outlineLvl w:val="3"/>
    </w:pPr>
  </w:style>
  <w:style w:type="paragraph" w:styleId="Heading5">
    <w:name w:val="heading 5"/>
    <w:basedOn w:val="Normal"/>
    <w:next w:val="Normal"/>
    <w:rsid w:val="00503228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503228"/>
    <w:pPr>
      <w:spacing w:line="240" w:lineRule="auto"/>
      <w:outlineLvl w:val="5"/>
    </w:pPr>
  </w:style>
  <w:style w:type="paragraph" w:styleId="Heading7">
    <w:name w:val="heading 7"/>
    <w:basedOn w:val="Normal"/>
    <w:next w:val="Normal"/>
    <w:rsid w:val="00503228"/>
    <w:pPr>
      <w:spacing w:line="240" w:lineRule="auto"/>
      <w:outlineLvl w:val="6"/>
    </w:pPr>
  </w:style>
  <w:style w:type="paragraph" w:styleId="Heading8">
    <w:name w:val="heading 8"/>
    <w:basedOn w:val="Normal"/>
    <w:next w:val="Normal"/>
    <w:rsid w:val="00503228"/>
    <w:pPr>
      <w:spacing w:line="240" w:lineRule="auto"/>
      <w:outlineLvl w:val="7"/>
    </w:pPr>
  </w:style>
  <w:style w:type="paragraph" w:styleId="Heading9">
    <w:name w:val="heading 9"/>
    <w:basedOn w:val="Normal"/>
    <w:next w:val="Normal"/>
    <w:rsid w:val="00503228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uiPriority w:val="99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,(Footnote Reference),-E Fußnotenzeichen,BVI fnr, BVI fnr,Footnote symbol,Footnote,Footnote Reference Superscript,SUPERS"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50322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503228"/>
    <w:rPr>
      <w:color w:val="auto"/>
      <w:u w:val="none"/>
    </w:rPr>
  </w:style>
  <w:style w:type="character" w:styleId="FollowedHyperlink">
    <w:name w:val="FollowedHyperlink"/>
    <w:semiHidden/>
    <w:rsid w:val="00503228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PP"/>
    <w:basedOn w:val="Normal"/>
    <w:link w:val="FootnoteTextChar"/>
    <w:uiPriority w:val="99"/>
    <w:qFormat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503228"/>
  </w:style>
  <w:style w:type="character" w:styleId="PageNumber">
    <w:name w:val="page number"/>
    <w:aliases w:val="7_G"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uiPriority w:val="99"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H1GChar">
    <w:name w:val="_ H_1_G Char"/>
    <w:link w:val="H1G"/>
    <w:rsid w:val="00C711C7"/>
    <w:rPr>
      <w:b/>
      <w:sz w:val="24"/>
      <w:lang w:eastAsia="en-US"/>
    </w:rPr>
  </w:style>
  <w:style w:type="character" w:customStyle="1" w:styleId="SingleTxtGChar">
    <w:name w:val="_ Single Txt_G Char"/>
    <w:link w:val="SingleTxtG"/>
    <w:uiPriority w:val="99"/>
    <w:qFormat/>
    <w:rsid w:val="00C711C7"/>
    <w:rPr>
      <w:lang w:eastAsia="en-US"/>
    </w:rPr>
  </w:style>
  <w:style w:type="character" w:customStyle="1" w:styleId="FootnoteTextChar">
    <w:name w:val="Footnote Text Char"/>
    <w:aliases w:val="5_G Char,PP Char"/>
    <w:link w:val="FootnoteText"/>
    <w:rsid w:val="00C711C7"/>
    <w:rPr>
      <w:sz w:val="18"/>
      <w:lang w:eastAsia="en-US"/>
    </w:rPr>
  </w:style>
  <w:style w:type="character" w:customStyle="1" w:styleId="HChGChar">
    <w:name w:val="_ H _Ch_G Char"/>
    <w:link w:val="HChG"/>
    <w:rsid w:val="00C711C7"/>
    <w:rPr>
      <w:b/>
      <w:sz w:val="28"/>
      <w:lang w:eastAsia="en-US"/>
    </w:rPr>
  </w:style>
  <w:style w:type="paragraph" w:customStyle="1" w:styleId="para">
    <w:name w:val="para"/>
    <w:basedOn w:val="SingleTxtG"/>
    <w:link w:val="paraChar"/>
    <w:qFormat/>
    <w:rsid w:val="00C711C7"/>
    <w:pPr>
      <w:ind w:left="2268" w:hanging="1134"/>
    </w:pPr>
  </w:style>
  <w:style w:type="character" w:styleId="Emphasis">
    <w:name w:val="Emphasis"/>
    <w:rsid w:val="00C711C7"/>
    <w:rPr>
      <w:i/>
      <w:iCs/>
    </w:rPr>
  </w:style>
  <w:style w:type="paragraph" w:customStyle="1" w:styleId="a">
    <w:name w:val="(a)"/>
    <w:basedOn w:val="para"/>
    <w:qFormat/>
    <w:rsid w:val="00C711C7"/>
    <w:pPr>
      <w:ind w:left="2835" w:hanging="567"/>
    </w:pPr>
  </w:style>
  <w:style w:type="paragraph" w:customStyle="1" w:styleId="i">
    <w:name w:val="(i)"/>
    <w:basedOn w:val="a"/>
    <w:qFormat/>
    <w:rsid w:val="00C711C7"/>
    <w:pPr>
      <w:ind w:left="3402"/>
    </w:pPr>
  </w:style>
  <w:style w:type="paragraph" w:customStyle="1" w:styleId="bloc">
    <w:name w:val="bloc"/>
    <w:basedOn w:val="para"/>
    <w:qFormat/>
    <w:rsid w:val="00C711C7"/>
    <w:pPr>
      <w:ind w:firstLine="0"/>
    </w:pPr>
  </w:style>
  <w:style w:type="character" w:customStyle="1" w:styleId="FooterChar">
    <w:name w:val="Footer Char"/>
    <w:aliases w:val="3_G Char"/>
    <w:link w:val="Footer"/>
    <w:uiPriority w:val="99"/>
    <w:rsid w:val="00D623A7"/>
    <w:rPr>
      <w:sz w:val="16"/>
      <w:lang w:eastAsia="en-US"/>
    </w:rPr>
  </w:style>
  <w:style w:type="character" w:styleId="CommentReference">
    <w:name w:val="annotation reference"/>
    <w:rsid w:val="00B70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01B3"/>
  </w:style>
  <w:style w:type="character" w:customStyle="1" w:styleId="CommentTextChar">
    <w:name w:val="Comment Text Char"/>
    <w:link w:val="CommentText"/>
    <w:rsid w:val="00B701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01B3"/>
    <w:rPr>
      <w:b/>
      <w:bCs/>
    </w:rPr>
  </w:style>
  <w:style w:type="character" w:customStyle="1" w:styleId="CommentSubjectChar">
    <w:name w:val="Comment Subject Char"/>
    <w:link w:val="CommentSubject"/>
    <w:rsid w:val="00B701B3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B701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01B3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aliases w:val="Table_G Char"/>
    <w:link w:val="Heading1"/>
    <w:rsid w:val="0001071D"/>
    <w:rPr>
      <w:lang w:eastAsia="en-US"/>
    </w:rPr>
  </w:style>
  <w:style w:type="character" w:customStyle="1" w:styleId="paraChar">
    <w:name w:val="para Char"/>
    <w:link w:val="para"/>
    <w:locked/>
    <w:rsid w:val="0001071D"/>
    <w:rPr>
      <w:lang w:eastAsia="en-US"/>
    </w:rPr>
  </w:style>
  <w:style w:type="character" w:customStyle="1" w:styleId="FootnoteTextChar1">
    <w:name w:val="Footnote Text Char1"/>
    <w:aliases w:val="5_G Char1,PP Char1"/>
    <w:uiPriority w:val="99"/>
    <w:locked/>
    <w:rsid w:val="00C71DA4"/>
    <w:rPr>
      <w:sz w:val="18"/>
      <w:lang w:eastAsia="en-US"/>
    </w:rPr>
  </w:style>
  <w:style w:type="paragraph" w:styleId="ListParagraph">
    <w:name w:val="List Paragraph"/>
    <w:basedOn w:val="Normal"/>
    <w:uiPriority w:val="1"/>
    <w:qFormat/>
    <w:rsid w:val="008F6653"/>
    <w:pPr>
      <w:suppressAutoHyphens w:val="0"/>
      <w:spacing w:line="240" w:lineRule="auto"/>
      <w:ind w:left="720"/>
    </w:pPr>
    <w:rPr>
      <w:rFonts w:ascii="Calibri" w:hAnsi="Calibri"/>
      <w:sz w:val="22"/>
      <w:szCs w:val="22"/>
      <w:lang w:val="nl-BE" w:eastAsia="nl-BE"/>
    </w:rPr>
  </w:style>
  <w:style w:type="paragraph" w:customStyle="1" w:styleId="Default">
    <w:name w:val="Default"/>
    <w:rsid w:val="008F6653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8C3C4D-FECA-483B-A90D-01F8F333D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71F51-0DDB-4AC2-B3FE-CD930CB4ACC5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DE2C2C0C-9FBB-4871-B2D1-A9763CB85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4482</Characters>
  <Application>Microsoft Office Word</Application>
  <DocSecurity>0</DocSecurity>
  <Lines>115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CSD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E/ECE/324/Rev.1/Add.82/Rev.3/Amend.11</dc:title>
  <dc:subject>2311805</dc:subject>
  <dc:creator>Caillot</dc:creator>
  <cp:keywords>E/ECE/TRANS/505/Rev.1/Add.82/Rev.3/Amend.11</cp:keywords>
  <dc:description/>
  <cp:lastModifiedBy>Don Canete Martin</cp:lastModifiedBy>
  <cp:revision>2</cp:revision>
  <cp:lastPrinted>2015-05-06T11:39:00Z</cp:lastPrinted>
  <dcterms:created xsi:type="dcterms:W3CDTF">2023-06-19T15:08:00Z</dcterms:created>
  <dcterms:modified xsi:type="dcterms:W3CDTF">2023-06-19T15:08:00Z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541200</vt:r8>
  </property>
  <property fmtid="{D5CDD505-2E9C-101B-9397-08002B2CF9AE}" pid="4" name="MediaServiceImageTags">
    <vt:lpwstr/>
  </property>
  <property fmtid="{D5CDD505-2E9C-101B-9397-08002B2CF9AE}" pid="5" name="Office_x0020_of_x0020_Origin">
    <vt:lpwstr/>
  </property>
  <property fmtid="{D5CDD505-2E9C-101B-9397-08002B2CF9AE}" pid="6" name="gba66df640194346a5267c50f24d4797">
    <vt:lpwstr/>
  </property>
  <property fmtid="{D5CDD505-2E9C-101B-9397-08002B2CF9AE}" pid="7" name="Office of Origin">
    <vt:lpwstr/>
  </property>
</Properties>
</file>