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EE632FA" w14:textId="77777777" w:rsidTr="00C97039">
        <w:trPr>
          <w:trHeight w:hRule="exact" w:val="851"/>
        </w:trPr>
        <w:tc>
          <w:tcPr>
            <w:tcW w:w="1276" w:type="dxa"/>
            <w:tcBorders>
              <w:bottom w:val="single" w:sz="4" w:space="0" w:color="auto"/>
            </w:tcBorders>
          </w:tcPr>
          <w:p w14:paraId="6D5BF982" w14:textId="77777777" w:rsidR="00F35BAF" w:rsidRPr="00DB58B5" w:rsidRDefault="00F35BAF" w:rsidP="00F10EA0"/>
        </w:tc>
        <w:tc>
          <w:tcPr>
            <w:tcW w:w="2268" w:type="dxa"/>
            <w:tcBorders>
              <w:bottom w:val="single" w:sz="4" w:space="0" w:color="auto"/>
            </w:tcBorders>
            <w:vAlign w:val="bottom"/>
          </w:tcPr>
          <w:p w14:paraId="7C7FE84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FE2BE1" w14:textId="5F5C4979" w:rsidR="00F35BAF" w:rsidRPr="00DB58B5" w:rsidRDefault="00F10EA0" w:rsidP="00F10EA0">
            <w:pPr>
              <w:jc w:val="right"/>
            </w:pPr>
            <w:r w:rsidRPr="00F10EA0">
              <w:rPr>
                <w:sz w:val="40"/>
              </w:rPr>
              <w:t>ECE</w:t>
            </w:r>
            <w:r>
              <w:t>/TRANS/WP.15/AC.2/2023/35</w:t>
            </w:r>
          </w:p>
        </w:tc>
      </w:tr>
      <w:tr w:rsidR="00F35BAF" w:rsidRPr="00DB58B5" w14:paraId="08687DB9" w14:textId="77777777" w:rsidTr="00C97039">
        <w:trPr>
          <w:trHeight w:hRule="exact" w:val="2835"/>
        </w:trPr>
        <w:tc>
          <w:tcPr>
            <w:tcW w:w="1276" w:type="dxa"/>
            <w:tcBorders>
              <w:top w:val="single" w:sz="4" w:space="0" w:color="auto"/>
              <w:bottom w:val="single" w:sz="12" w:space="0" w:color="auto"/>
            </w:tcBorders>
          </w:tcPr>
          <w:p w14:paraId="003E6B4E" w14:textId="77777777" w:rsidR="00F35BAF" w:rsidRPr="00DB58B5" w:rsidRDefault="00F35BAF" w:rsidP="00C97039">
            <w:pPr>
              <w:spacing w:before="120"/>
              <w:jc w:val="center"/>
            </w:pPr>
            <w:r>
              <w:rPr>
                <w:noProof/>
                <w:lang w:eastAsia="fr-CH"/>
              </w:rPr>
              <w:drawing>
                <wp:inline distT="0" distB="0" distL="0" distR="0" wp14:anchorId="697E71E1" wp14:editId="32E3AA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A7319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A90D376" w14:textId="77777777" w:rsidR="00F35BAF" w:rsidRDefault="00F10EA0" w:rsidP="00C97039">
            <w:pPr>
              <w:spacing w:before="240"/>
            </w:pPr>
            <w:proofErr w:type="spellStart"/>
            <w:r>
              <w:t>Distr</w:t>
            </w:r>
            <w:proofErr w:type="spellEnd"/>
            <w:r>
              <w:t>. générale</w:t>
            </w:r>
          </w:p>
          <w:p w14:paraId="4A75EB4E" w14:textId="77777777" w:rsidR="00F10EA0" w:rsidRDefault="00F10EA0" w:rsidP="00F10EA0">
            <w:pPr>
              <w:spacing w:line="240" w:lineRule="exact"/>
            </w:pPr>
            <w:r>
              <w:t>6 juin 2023</w:t>
            </w:r>
          </w:p>
          <w:p w14:paraId="30CD9EE0" w14:textId="77777777" w:rsidR="00F10EA0" w:rsidRDefault="00F10EA0" w:rsidP="00F10EA0">
            <w:pPr>
              <w:spacing w:line="240" w:lineRule="exact"/>
            </w:pPr>
            <w:r>
              <w:t>Français</w:t>
            </w:r>
          </w:p>
          <w:p w14:paraId="2A25D4FB" w14:textId="608075ED" w:rsidR="00F10EA0" w:rsidRPr="00DB58B5" w:rsidRDefault="00F10EA0" w:rsidP="00F10EA0">
            <w:pPr>
              <w:spacing w:line="240" w:lineRule="exact"/>
            </w:pPr>
            <w:r>
              <w:t>Original : anglais</w:t>
            </w:r>
          </w:p>
        </w:tc>
      </w:tr>
    </w:tbl>
    <w:p w14:paraId="2BABE233" w14:textId="0BA31C45" w:rsidR="007F20FA" w:rsidRPr="000312C0" w:rsidRDefault="007F20FA" w:rsidP="007F20FA">
      <w:pPr>
        <w:spacing w:before="120"/>
        <w:rPr>
          <w:b/>
          <w:sz w:val="28"/>
          <w:szCs w:val="28"/>
        </w:rPr>
      </w:pPr>
      <w:r w:rsidRPr="000312C0">
        <w:rPr>
          <w:b/>
          <w:sz w:val="28"/>
          <w:szCs w:val="28"/>
        </w:rPr>
        <w:t>Commission économique pour l</w:t>
      </w:r>
      <w:r w:rsidR="00F10EA0">
        <w:rPr>
          <w:b/>
          <w:sz w:val="28"/>
          <w:szCs w:val="28"/>
        </w:rPr>
        <w:t>’</w:t>
      </w:r>
      <w:r w:rsidRPr="000312C0">
        <w:rPr>
          <w:b/>
          <w:sz w:val="28"/>
          <w:szCs w:val="28"/>
        </w:rPr>
        <w:t>Europe</w:t>
      </w:r>
    </w:p>
    <w:p w14:paraId="7C1176A5" w14:textId="77777777" w:rsidR="007F20FA" w:rsidRDefault="007F20FA" w:rsidP="007F20FA">
      <w:pPr>
        <w:spacing w:before="120"/>
        <w:rPr>
          <w:sz w:val="28"/>
          <w:szCs w:val="28"/>
        </w:rPr>
      </w:pPr>
      <w:r w:rsidRPr="00685843">
        <w:rPr>
          <w:sz w:val="28"/>
          <w:szCs w:val="28"/>
        </w:rPr>
        <w:t>Comité des transports intérieurs</w:t>
      </w:r>
    </w:p>
    <w:p w14:paraId="57794800" w14:textId="77777777" w:rsidR="00F10EA0" w:rsidRPr="009E01B8" w:rsidRDefault="00F10EA0"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62CC0D27" w14:textId="2BA7587D" w:rsidR="00F10EA0" w:rsidRPr="004812F5" w:rsidRDefault="00F10EA0" w:rsidP="00AF0CB5">
      <w:pPr>
        <w:spacing w:before="120"/>
        <w:rPr>
          <w:b/>
        </w:rPr>
      </w:pPr>
      <w:r w:rsidRPr="004812F5">
        <w:rPr>
          <w:b/>
          <w:lang w:val="fr-FR"/>
        </w:rPr>
        <w:t>Réunion commune d</w:t>
      </w:r>
      <w:r>
        <w:rPr>
          <w:b/>
          <w:lang w:val="fr-FR"/>
        </w:rPr>
        <w:t>’</w:t>
      </w:r>
      <w:r w:rsidRPr="004812F5">
        <w:rPr>
          <w:b/>
          <w:lang w:val="fr-FR"/>
        </w:rPr>
        <w:t xml:space="preserve">experts </w:t>
      </w:r>
      <w:r>
        <w:rPr>
          <w:b/>
          <w:lang w:val="fr-FR"/>
        </w:rPr>
        <w:t xml:space="preserve">du </w:t>
      </w:r>
      <w:r w:rsidRPr="004812F5">
        <w:rPr>
          <w:b/>
          <w:lang w:val="fr-FR"/>
        </w:rPr>
        <w:t>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14:paraId="67308D3D" w14:textId="77777777" w:rsidR="00F10EA0" w:rsidRPr="00395A1B" w:rsidRDefault="00F10EA0" w:rsidP="00F10EA0">
      <w:pPr>
        <w:spacing w:before="120"/>
        <w:rPr>
          <w:b/>
          <w:lang w:val="fr-FR"/>
        </w:rPr>
      </w:pPr>
      <w:r>
        <w:rPr>
          <w:b/>
          <w:bCs/>
          <w:lang w:val="fr-FR"/>
        </w:rPr>
        <w:t>Quarante-deuxième session</w:t>
      </w:r>
    </w:p>
    <w:p w14:paraId="4CA73952" w14:textId="77777777" w:rsidR="00F10EA0" w:rsidRPr="00395A1B" w:rsidRDefault="00F10EA0" w:rsidP="00F10EA0">
      <w:pPr>
        <w:rPr>
          <w:lang w:val="fr-FR"/>
        </w:rPr>
      </w:pPr>
      <w:r>
        <w:rPr>
          <w:lang w:val="fr-FR"/>
        </w:rPr>
        <w:t>Genève, 21-25 août 2023</w:t>
      </w:r>
    </w:p>
    <w:p w14:paraId="464EE8AA" w14:textId="1BF910BE" w:rsidR="00F10EA0" w:rsidRPr="00395A1B" w:rsidRDefault="00F10EA0" w:rsidP="00F10EA0">
      <w:pPr>
        <w:rPr>
          <w:lang w:val="fr-FR"/>
        </w:rPr>
      </w:pPr>
      <w:r>
        <w:rPr>
          <w:lang w:val="fr-FR"/>
        </w:rPr>
        <w:t>Point 3 b) de l’ordre du jour provisoire</w:t>
      </w:r>
    </w:p>
    <w:p w14:paraId="5C408E7C" w14:textId="5C429473" w:rsidR="00F10EA0" w:rsidRDefault="00F10EA0" w:rsidP="00F10EA0">
      <w:pPr>
        <w:rPr>
          <w:b/>
          <w:bCs/>
          <w:lang w:val="fr-FR"/>
        </w:rPr>
      </w:pPr>
      <w:r>
        <w:rPr>
          <w:b/>
          <w:bCs/>
          <w:lang w:val="fr-FR"/>
        </w:rPr>
        <w:t>Mise en œuvre de l’Accord européen relatif au transport international</w:t>
      </w:r>
    </w:p>
    <w:p w14:paraId="33A704E3" w14:textId="77777777" w:rsidR="00F10EA0" w:rsidRPr="00395A1B" w:rsidRDefault="00F10EA0" w:rsidP="00F10EA0">
      <w:pPr>
        <w:rPr>
          <w:b/>
          <w:bCs/>
          <w:lang w:val="fr-FR"/>
        </w:rPr>
      </w:pPr>
      <w:r>
        <w:rPr>
          <w:b/>
          <w:bCs/>
          <w:lang w:val="fr-FR"/>
        </w:rPr>
        <w:t>des marchandises dangereuses par voies de navigation intérieures (ADN) :</w:t>
      </w:r>
    </w:p>
    <w:p w14:paraId="29734A23" w14:textId="77777777" w:rsidR="00F10EA0" w:rsidRPr="00395A1B" w:rsidRDefault="00F10EA0" w:rsidP="00F10EA0">
      <w:pPr>
        <w:rPr>
          <w:b/>
          <w:bCs/>
          <w:lang w:val="fr-FR"/>
        </w:rPr>
      </w:pPr>
      <w:r>
        <w:rPr>
          <w:b/>
          <w:bCs/>
          <w:lang w:val="fr-FR"/>
        </w:rPr>
        <w:t>autorisations spéciales, dérogations et équivalences</w:t>
      </w:r>
    </w:p>
    <w:p w14:paraId="46EFFA1B" w14:textId="6EF11D1F" w:rsidR="00F10EA0" w:rsidRPr="00395A1B" w:rsidRDefault="00F10EA0" w:rsidP="00F10EA0">
      <w:pPr>
        <w:pStyle w:val="HChG"/>
        <w:rPr>
          <w:lang w:val="fr-FR"/>
        </w:rPr>
      </w:pPr>
      <w:r>
        <w:rPr>
          <w:lang w:val="fr-FR"/>
        </w:rPr>
        <w:tab/>
      </w:r>
      <w:r>
        <w:rPr>
          <w:lang w:val="fr-FR"/>
        </w:rPr>
        <w:tab/>
        <w:t xml:space="preserve">Demande de recommandation concernant l’utilisation </w:t>
      </w:r>
      <w:r>
        <w:rPr>
          <w:lang w:val="fr-FR"/>
        </w:rPr>
        <w:br/>
        <w:t xml:space="preserve">du méthanol comme carburant pour la propulsion </w:t>
      </w:r>
      <w:r>
        <w:rPr>
          <w:lang w:val="fr-FR"/>
        </w:rPr>
        <w:br/>
        <w:t xml:space="preserve">du bateau-citerne « </w:t>
      </w:r>
      <w:proofErr w:type="spellStart"/>
      <w:r>
        <w:rPr>
          <w:lang w:val="fr-FR"/>
        </w:rPr>
        <w:t>Stolt</w:t>
      </w:r>
      <w:proofErr w:type="spellEnd"/>
      <w:r>
        <w:rPr>
          <w:lang w:val="fr-FR"/>
        </w:rPr>
        <w:t xml:space="preserve"> Ijssel »</w:t>
      </w:r>
    </w:p>
    <w:p w14:paraId="7F5AAC08" w14:textId="10294E51" w:rsidR="00F10EA0" w:rsidRPr="006F7628" w:rsidRDefault="00F10EA0" w:rsidP="00F10EA0">
      <w:pPr>
        <w:pStyle w:val="H1G"/>
      </w:pPr>
      <w:r>
        <w:rPr>
          <w:lang w:val="fr-FR"/>
        </w:rPr>
        <w:tab/>
      </w:r>
      <w:r>
        <w:rPr>
          <w:lang w:val="fr-FR"/>
        </w:rPr>
        <w:tab/>
        <w:t xml:space="preserve">Communication du </w:t>
      </w:r>
      <w:r w:rsidRPr="00F10EA0">
        <w:t>Gouvernement</w:t>
      </w:r>
      <w:r>
        <w:rPr>
          <w:lang w:val="fr-FR"/>
        </w:rPr>
        <w:t xml:space="preserve"> néerlandais</w:t>
      </w:r>
      <w:r w:rsidRPr="00F10EA0">
        <w:rPr>
          <w:rStyle w:val="Appelnotedebasdep"/>
          <w:b w:val="0"/>
          <w:bCs/>
          <w:sz w:val="20"/>
          <w:vertAlign w:val="baseline"/>
          <w:lang w:val="fr-FR"/>
        </w:rPr>
        <w:footnoteReference w:customMarkFollows="1" w:id="2"/>
        <w:t>*</w:t>
      </w:r>
      <w:r w:rsidRPr="00F10EA0">
        <w:rPr>
          <w:b w:val="0"/>
          <w:bCs/>
          <w:position w:val="6"/>
          <w:sz w:val="20"/>
          <w:lang w:val="fr-FR"/>
        </w:rPr>
        <w:t>,</w:t>
      </w:r>
      <w:r w:rsidRPr="00F10EA0">
        <w:rPr>
          <w:b w:val="0"/>
          <w:bCs/>
          <w:lang w:val="fr-FR"/>
        </w:rPr>
        <w:t xml:space="preserve"> </w:t>
      </w:r>
      <w:r w:rsidRPr="00F10EA0">
        <w:rPr>
          <w:rStyle w:val="Appelnotedebasdep"/>
          <w:b w:val="0"/>
          <w:bCs/>
          <w:sz w:val="20"/>
          <w:vertAlign w:val="baseline"/>
          <w:lang w:val="fr-FR"/>
        </w:rPr>
        <w:footnoteReference w:customMarkFollows="1" w:id="3"/>
        <w:t>**</w:t>
      </w:r>
    </w:p>
    <w:p w14:paraId="7A8896F9" w14:textId="5486A105" w:rsidR="00F9573C" w:rsidRDefault="00F10EA0" w:rsidP="00F10EA0">
      <w:pPr>
        <w:pStyle w:val="HChG"/>
        <w:rPr>
          <w:lang w:val="fr-FR"/>
        </w:rPr>
      </w:pPr>
      <w:r>
        <w:rPr>
          <w:lang w:val="fr-FR"/>
        </w:rPr>
        <w:tab/>
      </w:r>
      <w:r>
        <w:rPr>
          <w:lang w:val="fr-FR"/>
        </w:rPr>
        <w:tab/>
        <w:t>Introduction</w:t>
      </w:r>
    </w:p>
    <w:p w14:paraId="6CEB7BD4" w14:textId="1CEBE6F2" w:rsidR="00F10EA0" w:rsidRPr="00395A1B" w:rsidRDefault="00F10EA0" w:rsidP="00F10EA0">
      <w:pPr>
        <w:pStyle w:val="SingleTxtG"/>
        <w:rPr>
          <w:lang w:val="fr-FR"/>
        </w:rPr>
      </w:pPr>
      <w:bookmarkStart w:id="0" w:name="_Hlk135736653"/>
      <w:r>
        <w:rPr>
          <w:lang w:val="fr-FR"/>
        </w:rPr>
        <w:t>1.</w:t>
      </w:r>
      <w:r>
        <w:rPr>
          <w:lang w:val="fr-FR"/>
        </w:rPr>
        <w:tab/>
        <w:t xml:space="preserve">Dans le cadre de la transition vers des combustibles plus propres, plusieurs bateaux utilisant des carburants de remplacement pour leur propulsion sont en cours de construction. L’un d’entre eux, le </w:t>
      </w:r>
      <w:proofErr w:type="spellStart"/>
      <w:r>
        <w:rPr>
          <w:lang w:val="fr-FR"/>
        </w:rPr>
        <w:t>Stolt</w:t>
      </w:r>
      <w:proofErr w:type="spellEnd"/>
      <w:r>
        <w:rPr>
          <w:lang w:val="fr-FR"/>
        </w:rPr>
        <w:t xml:space="preserve"> Ijssel, sera équipé d’un générateur hybride méthanol/gazole. Le méthanol sera stocké dans un réservoir interchangeable de 30 m</w:t>
      </w:r>
      <w:r>
        <w:rPr>
          <w:vertAlign w:val="superscript"/>
          <w:lang w:val="fr-FR"/>
        </w:rPr>
        <w:t>3</w:t>
      </w:r>
      <w:r>
        <w:rPr>
          <w:lang w:val="fr-FR"/>
        </w:rPr>
        <w:t xml:space="preserve"> situé sur le pont, dans la zone de cargaison.</w:t>
      </w:r>
    </w:p>
    <w:p w14:paraId="20FA6935" w14:textId="77777777" w:rsidR="00F10EA0" w:rsidRPr="00395A1B" w:rsidRDefault="00F10EA0" w:rsidP="00F10EA0">
      <w:pPr>
        <w:pStyle w:val="SingleTxtG"/>
        <w:rPr>
          <w:lang w:val="fr-FR"/>
        </w:rPr>
      </w:pPr>
      <w:r>
        <w:rPr>
          <w:lang w:val="fr-FR"/>
        </w:rPr>
        <w:t>2.</w:t>
      </w:r>
      <w:r>
        <w:rPr>
          <w:lang w:val="fr-FR"/>
        </w:rPr>
        <w:tab/>
        <w:t xml:space="preserve">Le </w:t>
      </w:r>
      <w:proofErr w:type="spellStart"/>
      <w:r>
        <w:rPr>
          <w:lang w:val="fr-FR"/>
        </w:rPr>
        <w:t>Stolt</w:t>
      </w:r>
      <w:proofErr w:type="spellEnd"/>
      <w:r>
        <w:rPr>
          <w:lang w:val="fr-FR"/>
        </w:rPr>
        <w:t xml:space="preserve"> Ijssel est un bateau-citerne motorisé de type C.</w:t>
      </w:r>
    </w:p>
    <w:p w14:paraId="41A2CD07" w14:textId="4B825BE2" w:rsidR="00F10EA0" w:rsidRPr="00395A1B" w:rsidRDefault="00F10EA0" w:rsidP="00F10EA0">
      <w:pPr>
        <w:pStyle w:val="SingleTxtG"/>
        <w:rPr>
          <w:lang w:val="fr-FR"/>
        </w:rPr>
      </w:pPr>
      <w:r>
        <w:rPr>
          <w:lang w:val="fr-FR"/>
        </w:rPr>
        <w:t>3.</w:t>
      </w:r>
      <w:r>
        <w:rPr>
          <w:lang w:val="fr-FR"/>
        </w:rPr>
        <w:tab/>
        <w:t xml:space="preserve">Le </w:t>
      </w:r>
      <w:proofErr w:type="spellStart"/>
      <w:r>
        <w:rPr>
          <w:lang w:val="fr-FR"/>
        </w:rPr>
        <w:t>Stolt</w:t>
      </w:r>
      <w:proofErr w:type="spellEnd"/>
      <w:r>
        <w:rPr>
          <w:lang w:val="fr-FR"/>
        </w:rPr>
        <w:t xml:space="preserve"> Ijssel a reçu une dérogation de la Commission centrale pour la navigation du Rhin (CCNR), qui est présentée en langue originale française dans le document informel</w:t>
      </w:r>
      <w:r w:rsidR="00B53724">
        <w:rPr>
          <w:lang w:val="fr-FR"/>
        </w:rPr>
        <w:t> </w:t>
      </w:r>
      <w:r>
        <w:rPr>
          <w:lang w:val="fr-FR"/>
        </w:rPr>
        <w:t>INF.6. Par ailleurs, la CCNR s’emploie à élargir le champ d’application du chapitre</w:t>
      </w:r>
      <w:r w:rsidR="00B53724">
        <w:rPr>
          <w:lang w:val="fr-FR"/>
        </w:rPr>
        <w:t> </w:t>
      </w:r>
      <w:r>
        <w:rPr>
          <w:lang w:val="fr-FR"/>
        </w:rPr>
        <w:t>30 et de l’annexe 8 du Standard européen établissant les prescriptions techniques des bateaux de navigation intérieure (ES-TRIN) en y introduisant des dispositions sur les systèmes d’alimentation au méthanol, afin que ceux-ci puissent être utilisés à titre permanent pour la propulsion.</w:t>
      </w:r>
    </w:p>
    <w:p w14:paraId="1DA056EB" w14:textId="47C64FB3" w:rsidR="00F10EA0" w:rsidRPr="00395A1B" w:rsidRDefault="00F10EA0" w:rsidP="00F10EA0">
      <w:pPr>
        <w:pStyle w:val="SingleTxtG"/>
        <w:rPr>
          <w:lang w:val="fr-FR"/>
        </w:rPr>
      </w:pPr>
      <w:bookmarkStart w:id="1" w:name="_Hlk149659943"/>
      <w:r>
        <w:rPr>
          <w:lang w:val="fr-FR"/>
        </w:rPr>
        <w:t>4.</w:t>
      </w:r>
      <w:r>
        <w:rPr>
          <w:lang w:val="fr-FR"/>
        </w:rPr>
        <w:tab/>
        <w:t>Étant donné que l’utilisation du méthanol comme carburant n’est actuellement pas autorisée conformément aux 7.1.3.31 et 9.1.0.31.1 de l’ADN, le</w:t>
      </w:r>
      <w:r w:rsidR="00E65E74">
        <w:rPr>
          <w:lang w:val="fr-FR"/>
        </w:rPr>
        <w:t xml:space="preserve"> Royaume des</w:t>
      </w:r>
      <w:r>
        <w:rPr>
          <w:lang w:val="fr-FR"/>
        </w:rPr>
        <w:t xml:space="preserve"> Pays-Bas </w:t>
      </w:r>
      <w:r>
        <w:rPr>
          <w:lang w:val="fr-FR"/>
        </w:rPr>
        <w:lastRenderedPageBreak/>
        <w:t xml:space="preserve">souhaite </w:t>
      </w:r>
      <w:bookmarkEnd w:id="1"/>
      <w:r>
        <w:rPr>
          <w:lang w:val="fr-FR"/>
        </w:rPr>
        <w:t>demander au Comité d’administration de l’ADN de recommander l’octroi d’une dérogation pour ce bateau.</w:t>
      </w:r>
    </w:p>
    <w:p w14:paraId="2B3332E4" w14:textId="239B49AD" w:rsidR="00F10EA0" w:rsidRPr="00395A1B" w:rsidRDefault="00F10EA0" w:rsidP="00F10EA0">
      <w:pPr>
        <w:pStyle w:val="SingleTxtG"/>
        <w:rPr>
          <w:lang w:val="fr-FR"/>
        </w:rPr>
      </w:pPr>
      <w:r>
        <w:rPr>
          <w:lang w:val="fr-FR"/>
        </w:rPr>
        <w:t>5.</w:t>
      </w:r>
      <w:r>
        <w:rPr>
          <w:lang w:val="fr-FR"/>
        </w:rPr>
        <w:tab/>
        <w:t>Les documents suivants (en anglais) sont fournis à l’appui de cette demande dans le document informel INF.7 de la quarante-deuxième session :</w:t>
      </w:r>
    </w:p>
    <w:p w14:paraId="66340D2C" w14:textId="77777777" w:rsidR="00F10EA0" w:rsidRPr="00395A1B" w:rsidRDefault="00F10EA0" w:rsidP="00F10EA0">
      <w:pPr>
        <w:pStyle w:val="SingleTxtG"/>
        <w:ind w:firstLine="567"/>
        <w:rPr>
          <w:lang w:val="fr-FR"/>
        </w:rPr>
      </w:pPr>
      <w:r>
        <w:rPr>
          <w:lang w:val="fr-FR"/>
        </w:rPr>
        <w:t>a)</w:t>
      </w:r>
      <w:r>
        <w:rPr>
          <w:lang w:val="fr-FR"/>
        </w:rPr>
        <w:tab/>
        <w:t xml:space="preserve">Document de conception du système de propulsion du </w:t>
      </w:r>
      <w:proofErr w:type="spellStart"/>
      <w:r>
        <w:rPr>
          <w:lang w:val="fr-FR"/>
        </w:rPr>
        <w:t>Stolt</w:t>
      </w:r>
      <w:proofErr w:type="spellEnd"/>
      <w:r>
        <w:rPr>
          <w:lang w:val="fr-FR"/>
        </w:rPr>
        <w:t xml:space="preserve"> Ijssel (voir le document informel INF.7, annexe I) ;</w:t>
      </w:r>
    </w:p>
    <w:p w14:paraId="75EA4199" w14:textId="77777777" w:rsidR="00F10EA0" w:rsidRPr="00395A1B" w:rsidRDefault="00F10EA0" w:rsidP="00F10EA0">
      <w:pPr>
        <w:pStyle w:val="SingleTxtG"/>
        <w:ind w:firstLine="567"/>
        <w:rPr>
          <w:lang w:val="fr-FR"/>
        </w:rPr>
      </w:pPr>
      <w:r>
        <w:rPr>
          <w:lang w:val="fr-FR"/>
        </w:rPr>
        <w:t>b)</w:t>
      </w:r>
      <w:r>
        <w:rPr>
          <w:lang w:val="fr-FR"/>
        </w:rPr>
        <w:tab/>
        <w:t xml:space="preserve">Rapport HAZID (Hazard Identification) de Lloyds </w:t>
      </w:r>
      <w:proofErr w:type="spellStart"/>
      <w:r>
        <w:rPr>
          <w:lang w:val="fr-FR"/>
        </w:rPr>
        <w:t>Register</w:t>
      </w:r>
      <w:proofErr w:type="spellEnd"/>
      <w:r>
        <w:rPr>
          <w:lang w:val="fr-FR"/>
        </w:rPr>
        <w:t xml:space="preserve"> (voir le document informel INF.7, annexe II) ;</w:t>
      </w:r>
    </w:p>
    <w:p w14:paraId="36E38B03" w14:textId="49E596F2" w:rsidR="00F10EA0" w:rsidRPr="00395A1B" w:rsidRDefault="00F10EA0" w:rsidP="00F10EA0">
      <w:pPr>
        <w:pStyle w:val="SingleTxtG"/>
        <w:ind w:firstLine="567"/>
        <w:rPr>
          <w:lang w:val="fr-FR"/>
        </w:rPr>
      </w:pPr>
      <w:r>
        <w:rPr>
          <w:lang w:val="fr-FR"/>
        </w:rPr>
        <w:t>c)</w:t>
      </w:r>
      <w:r>
        <w:rPr>
          <w:lang w:val="fr-FR"/>
        </w:rPr>
        <w:tab/>
        <w:t>Plan d’agencement général (voir le document informel INF.7, annexe III) ;</w:t>
      </w:r>
    </w:p>
    <w:p w14:paraId="5258B274" w14:textId="77777777" w:rsidR="00F10EA0" w:rsidRPr="00395A1B" w:rsidRDefault="00F10EA0" w:rsidP="00F10EA0">
      <w:pPr>
        <w:pStyle w:val="SingleTxtG"/>
        <w:rPr>
          <w:lang w:val="fr-FR"/>
        </w:rPr>
      </w:pPr>
      <w:r>
        <w:rPr>
          <w:lang w:val="fr-FR"/>
        </w:rPr>
        <w:t>6.</w:t>
      </w:r>
      <w:r>
        <w:rPr>
          <w:lang w:val="fr-FR"/>
        </w:rPr>
        <w:tab/>
        <w:t>Une proposition de texte de dérogation figure en annexe au présent document.</w:t>
      </w:r>
    </w:p>
    <w:bookmarkEnd w:id="0"/>
    <w:p w14:paraId="2FC2E71B" w14:textId="77777777" w:rsidR="00F10EA0" w:rsidRPr="00395A1B" w:rsidRDefault="00F10EA0" w:rsidP="00F10EA0">
      <w:pPr>
        <w:pStyle w:val="HChG"/>
        <w:rPr>
          <w:lang w:val="fr-FR"/>
        </w:rPr>
      </w:pPr>
      <w:r>
        <w:rPr>
          <w:lang w:val="fr-FR"/>
        </w:rPr>
        <w:tab/>
      </w:r>
      <w:r>
        <w:rPr>
          <w:lang w:val="fr-FR"/>
        </w:rPr>
        <w:tab/>
        <w:t>Justification et objectifs de développement durable</w:t>
      </w:r>
    </w:p>
    <w:p w14:paraId="6328BDEA" w14:textId="5E3570D5" w:rsidR="00F10EA0" w:rsidRPr="00395A1B" w:rsidRDefault="00F10EA0" w:rsidP="00F10EA0">
      <w:pPr>
        <w:pStyle w:val="SingleTxtG"/>
        <w:rPr>
          <w:lang w:val="fr-FR"/>
        </w:rPr>
      </w:pPr>
      <w:bookmarkStart w:id="2" w:name="_Hlk136002289"/>
      <w:r>
        <w:rPr>
          <w:lang w:val="fr-FR"/>
        </w:rPr>
        <w:t>7.</w:t>
      </w:r>
      <w:r>
        <w:rPr>
          <w:lang w:val="fr-FR"/>
        </w:rPr>
        <w:tab/>
        <w:t>L’utilisation de carburants de remplacement pour la propulsion des bateaux de navigation intérieure est l’une des mesures qui s’inscrivent dans le cadre de la transition générale vers l’utilisation d’énergies durables. La CCNR prévoit d’élargir les dispositions du chapitre 30 et de l’annexe 8 de l’ES-TRIN de façon à permettre l’utilisation du méthanol comme carburant. Le Comité de sécurité de l’ADN pourrait décider d’étendre aux autres systèmes qui seront inclus dans l’ES-TRIN l’exception actuelle concernant l’utilisation du gaz naturel liquéfié (GNL). La dérogation demandée permet au Comité de sécurité de l’ADN de disposer d’informations supplémentaires qui pourront l’aider à prendre une telle décision à l’avenir.</w:t>
      </w:r>
      <w:bookmarkEnd w:id="2"/>
    </w:p>
    <w:p w14:paraId="2D0AA24F" w14:textId="5F3C238C" w:rsidR="00F10EA0" w:rsidRPr="00395A1B" w:rsidRDefault="00F10EA0" w:rsidP="00F10EA0">
      <w:pPr>
        <w:pStyle w:val="SingleTxtG"/>
        <w:rPr>
          <w:lang w:val="fr-FR"/>
        </w:rPr>
      </w:pPr>
      <w:r>
        <w:rPr>
          <w:lang w:val="fr-FR"/>
        </w:rPr>
        <w:t>8.</w:t>
      </w:r>
      <w:r>
        <w:rPr>
          <w:lang w:val="fr-FR"/>
        </w:rPr>
        <w:tab/>
        <w:t>La publication de la recommandation est une étape vers la réglementation des systèmes visés dans le cadre de l’ADN, et la proposition se rattache aux objectifs de développement durable 7 (Garantir l’accès de tous à des services énergétiques fiables, durables et modernes, à un coût abordable, afin d’accroître nettement la part de l’énergie renouvelable dans le bouquet énergétique mondial), et 13 (Mesures relatives à la lutte contre les changements climatiques).</w:t>
      </w:r>
    </w:p>
    <w:p w14:paraId="0C01848C" w14:textId="77777777" w:rsidR="00F10EA0" w:rsidRPr="00395A1B" w:rsidRDefault="00F10EA0" w:rsidP="00F10EA0">
      <w:pPr>
        <w:pStyle w:val="HChG"/>
        <w:rPr>
          <w:lang w:val="fr-FR"/>
        </w:rPr>
      </w:pPr>
      <w:r>
        <w:rPr>
          <w:lang w:val="fr-FR"/>
        </w:rPr>
        <w:tab/>
      </w:r>
      <w:r>
        <w:rPr>
          <w:lang w:val="fr-FR"/>
        </w:rPr>
        <w:tab/>
      </w:r>
      <w:r>
        <w:rPr>
          <w:bCs/>
          <w:lang w:val="fr-FR"/>
        </w:rPr>
        <w:t>Mesures à prendre</w:t>
      </w:r>
    </w:p>
    <w:p w14:paraId="48564D1B" w14:textId="4D07DBFF" w:rsidR="00F10EA0" w:rsidRDefault="00F10EA0" w:rsidP="00F10EA0">
      <w:pPr>
        <w:pStyle w:val="SingleTxtG"/>
        <w:rPr>
          <w:lang w:val="fr-FR"/>
        </w:rPr>
      </w:pPr>
      <w:r>
        <w:rPr>
          <w:lang w:val="fr-FR"/>
        </w:rPr>
        <w:t>9.</w:t>
      </w:r>
      <w:r>
        <w:rPr>
          <w:lang w:val="fr-FR"/>
        </w:rPr>
        <w:tab/>
        <w:t>Le Comité de sécurité de l’ADN est prié d’examiner la proposition et de recommander son adoption au Comité d’administration de l’ADN s’il le juge approprié.</w:t>
      </w:r>
    </w:p>
    <w:p w14:paraId="124BE365" w14:textId="77777777" w:rsidR="00F10EA0" w:rsidRDefault="00F10EA0">
      <w:pPr>
        <w:suppressAutoHyphens w:val="0"/>
        <w:kinsoku/>
        <w:overflowPunct/>
        <w:autoSpaceDE/>
        <w:autoSpaceDN/>
        <w:adjustRightInd/>
        <w:snapToGrid/>
        <w:spacing w:after="200" w:line="276" w:lineRule="auto"/>
        <w:rPr>
          <w:lang w:val="fr-FR"/>
        </w:rPr>
      </w:pPr>
      <w:r>
        <w:rPr>
          <w:lang w:val="fr-FR"/>
        </w:rPr>
        <w:br w:type="page"/>
      </w:r>
    </w:p>
    <w:p w14:paraId="66061F90" w14:textId="315AC7A1" w:rsidR="00F10EA0" w:rsidRPr="00B53724" w:rsidRDefault="00F10EA0" w:rsidP="00B53724">
      <w:pPr>
        <w:pStyle w:val="HChG"/>
      </w:pPr>
      <w:r>
        <w:rPr>
          <w:lang w:val="fr-FR"/>
        </w:rPr>
        <w:lastRenderedPageBreak/>
        <w:t>Annexe</w:t>
      </w:r>
    </w:p>
    <w:p w14:paraId="13F5D605" w14:textId="3A4D2990" w:rsidR="00F10EA0" w:rsidRPr="00395A1B" w:rsidRDefault="00F10EA0" w:rsidP="00F10EA0">
      <w:pPr>
        <w:pStyle w:val="HChG"/>
        <w:rPr>
          <w:lang w:val="fr-FR"/>
        </w:rPr>
      </w:pPr>
      <w:r>
        <w:rPr>
          <w:lang w:val="fr-FR"/>
        </w:rPr>
        <w:tab/>
      </w:r>
      <w:r>
        <w:rPr>
          <w:lang w:val="fr-FR"/>
        </w:rPr>
        <w:tab/>
      </w:r>
      <w:r>
        <w:rPr>
          <w:bCs/>
          <w:lang w:val="fr-FR"/>
        </w:rPr>
        <w:t xml:space="preserve">Décision du Comité d’administration de l’ADN concernant l’utilisation d’un </w:t>
      </w:r>
      <w:r>
        <w:rPr>
          <w:lang w:val="fr-FR"/>
        </w:rPr>
        <w:t>générateur hybride méthanol/gazole</w:t>
      </w:r>
      <w:r>
        <w:rPr>
          <w:bCs/>
          <w:lang w:val="fr-FR"/>
        </w:rPr>
        <w:t xml:space="preserve"> </w:t>
      </w:r>
      <w:r>
        <w:rPr>
          <w:bCs/>
          <w:lang w:val="fr-FR"/>
        </w:rPr>
        <w:br/>
        <w:t>sur le bateau STOLT IJSSEL (62824)</w:t>
      </w:r>
    </w:p>
    <w:p w14:paraId="59203736" w14:textId="00A81609" w:rsidR="00F10EA0" w:rsidRPr="00F10EA0" w:rsidRDefault="00F10EA0" w:rsidP="00F10EA0">
      <w:pPr>
        <w:pStyle w:val="H1G"/>
      </w:pPr>
      <w:r>
        <w:rPr>
          <w:lang w:val="fr-FR"/>
        </w:rPr>
        <w:tab/>
      </w:r>
      <w:r>
        <w:rPr>
          <w:lang w:val="fr-FR"/>
        </w:rPr>
        <w:tab/>
        <w:t xml:space="preserve">Dérogation </w:t>
      </w:r>
      <w:r w:rsidRPr="00F10EA0">
        <w:rPr>
          <w:rFonts w:eastAsia="MS Mincho"/>
          <w:szCs w:val="22"/>
          <w:lang w:val="fr-FR"/>
        </w:rPr>
        <w:t>n</w:t>
      </w:r>
      <w:r w:rsidRPr="00F10EA0">
        <w:rPr>
          <w:rFonts w:eastAsia="MS Mincho"/>
          <w:szCs w:val="22"/>
          <w:vertAlign w:val="superscript"/>
          <w:lang w:val="fr-FR"/>
        </w:rPr>
        <w:t>o</w:t>
      </w:r>
      <w:r>
        <w:rPr>
          <w:lang w:val="fr-FR"/>
        </w:rPr>
        <w:t> X/2023 du 25 août 2023</w:t>
      </w:r>
    </w:p>
    <w:p w14:paraId="43F2F1B4" w14:textId="4C4E5005" w:rsidR="00F10EA0" w:rsidRPr="00395A1B" w:rsidRDefault="00F10EA0" w:rsidP="00F10EA0">
      <w:pPr>
        <w:pStyle w:val="SingleTxtG"/>
        <w:rPr>
          <w:lang w:val="fr-FR"/>
        </w:rPr>
      </w:pPr>
      <w:bookmarkStart w:id="3" w:name="_Hlk149659971"/>
      <w:r>
        <w:rPr>
          <w:lang w:val="fr-FR"/>
        </w:rPr>
        <w:t>1.</w:t>
      </w:r>
      <w:r>
        <w:rPr>
          <w:lang w:val="fr-FR"/>
        </w:rPr>
        <w:tab/>
        <w:t>L’autorité compétente d</w:t>
      </w:r>
      <w:r w:rsidR="00E65E74">
        <w:rPr>
          <w:lang w:val="fr-FR"/>
        </w:rPr>
        <w:t>u Royaume d</w:t>
      </w:r>
      <w:r>
        <w:rPr>
          <w:lang w:val="fr-FR"/>
        </w:rPr>
        <w:t xml:space="preserve">es Pays-Bas est autorisée </w:t>
      </w:r>
      <w:bookmarkEnd w:id="3"/>
      <w:r>
        <w:rPr>
          <w:lang w:val="fr-FR"/>
        </w:rPr>
        <w:t>à délivrer un complément au certificat d’agrément du bateau-citerne STOLT IJSSEL (62824) concernant l’utilisation d’un générateur hybride méthanol/gazole pour la propulsion.</w:t>
      </w:r>
    </w:p>
    <w:p w14:paraId="5A2F4D1F" w14:textId="60DFFD06" w:rsidR="00F10EA0" w:rsidRPr="00395A1B" w:rsidRDefault="00F10EA0" w:rsidP="00F10EA0">
      <w:pPr>
        <w:pStyle w:val="SingleTxtG"/>
        <w:rPr>
          <w:lang w:val="fr-FR"/>
        </w:rPr>
      </w:pPr>
      <w:r>
        <w:rPr>
          <w:lang w:val="fr-FR"/>
        </w:rPr>
        <w:t>2.</w:t>
      </w:r>
      <w:r>
        <w:rPr>
          <w:lang w:val="fr-FR"/>
        </w:rPr>
        <w:tab/>
        <w:t>Conformément au paragraphe 1.5.3.2 du Règlement annexé à l’ADN, le bateau susmentionné peut déroger aux prescriptions des 7.1.3.31 et 9.1.0.31.1 du Règlement jusqu’au 30</w:t>
      </w:r>
      <w:r w:rsidR="00B53724">
        <w:rPr>
          <w:lang w:val="fr-FR"/>
        </w:rPr>
        <w:t> </w:t>
      </w:r>
      <w:r>
        <w:rPr>
          <w:lang w:val="fr-FR"/>
        </w:rPr>
        <w:t>juin 2028, le carburant ayant un point d’éclair supérieur à 55 ºC. Le bateau est équipé d’un générateur hybride méthanol/gazole pour alimenter le système de propulsion.</w:t>
      </w:r>
    </w:p>
    <w:p w14:paraId="63AE8A15" w14:textId="085CF033" w:rsidR="00F10EA0" w:rsidRPr="00395A1B" w:rsidRDefault="00F10EA0" w:rsidP="00F10EA0">
      <w:pPr>
        <w:pStyle w:val="SingleTxtG"/>
        <w:rPr>
          <w:lang w:val="fr-FR"/>
        </w:rPr>
      </w:pPr>
      <w:r>
        <w:rPr>
          <w:lang w:val="fr-FR"/>
        </w:rPr>
        <w:t>3.</w:t>
      </w:r>
      <w:r>
        <w:rPr>
          <w:lang w:val="fr-FR"/>
        </w:rPr>
        <w:tab/>
        <w:t>Le Comité d’administration décide que l’utilisation de ce générateur hybride méthanol/gazole est réputée suffisamment sûre si les conditions posées par la Commission centrale pour la navigation du Rhin (CCNR) sont respectées en toute circonstance.</w:t>
      </w:r>
    </w:p>
    <w:p w14:paraId="39F43014" w14:textId="336D2E43" w:rsidR="00F10EA0" w:rsidRPr="00395A1B" w:rsidRDefault="00F10EA0" w:rsidP="00F10EA0">
      <w:pPr>
        <w:pStyle w:val="SingleTxtG"/>
        <w:rPr>
          <w:lang w:val="fr-FR"/>
        </w:rPr>
      </w:pPr>
      <w:r>
        <w:rPr>
          <w:lang w:val="fr-FR"/>
        </w:rPr>
        <w:t>4.</w:t>
      </w:r>
      <w:r>
        <w:rPr>
          <w:lang w:val="fr-FR"/>
        </w:rPr>
        <w:tab/>
        <w:t>Les dispositions ci-après seront aussi d’application :</w:t>
      </w:r>
    </w:p>
    <w:p w14:paraId="6682DC85" w14:textId="59A899F6" w:rsidR="00F10EA0" w:rsidRDefault="00F10EA0" w:rsidP="00617EF0">
      <w:pPr>
        <w:pStyle w:val="SingleTxtG"/>
        <w:ind w:left="1701"/>
        <w:rPr>
          <w:lang w:val="fr-FR"/>
        </w:rPr>
      </w:pPr>
      <w:r>
        <w:rPr>
          <w:lang w:val="fr-FR"/>
        </w:rPr>
        <w:t>Toutes les données relatives à l’utilisation du générateur hybride méthanol/gazole sont recueillies par le transporteur. Les données doivent être communiquées à l’autorité compétente si elle en fait la demande.</w:t>
      </w:r>
    </w:p>
    <w:p w14:paraId="5AEA8C78" w14:textId="6612F75A" w:rsidR="00F10EA0" w:rsidRPr="00F10EA0" w:rsidRDefault="00F10EA0" w:rsidP="00F10EA0">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10EA0" w:rsidRPr="00F10EA0" w:rsidSect="00F10E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8EA1" w14:textId="77777777" w:rsidR="007570E0" w:rsidRDefault="007570E0" w:rsidP="00F95C08">
      <w:pPr>
        <w:spacing w:line="240" w:lineRule="auto"/>
      </w:pPr>
    </w:p>
  </w:endnote>
  <w:endnote w:type="continuationSeparator" w:id="0">
    <w:p w14:paraId="16DE5081" w14:textId="77777777" w:rsidR="007570E0" w:rsidRPr="00AC3823" w:rsidRDefault="007570E0" w:rsidP="00AC3823">
      <w:pPr>
        <w:pStyle w:val="Pieddepage"/>
      </w:pPr>
    </w:p>
  </w:endnote>
  <w:endnote w:type="continuationNotice" w:id="1">
    <w:p w14:paraId="7D97C71E" w14:textId="77777777" w:rsidR="007570E0" w:rsidRDefault="007570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FAD5" w14:textId="0AFDC1FD" w:rsidR="00F10EA0" w:rsidRPr="00F10EA0" w:rsidRDefault="00F10EA0" w:rsidP="00F10EA0">
    <w:pPr>
      <w:pStyle w:val="Pieddepage"/>
      <w:tabs>
        <w:tab w:val="right" w:pos="9638"/>
      </w:tabs>
    </w:pPr>
    <w:r w:rsidRPr="00F10EA0">
      <w:rPr>
        <w:b/>
        <w:sz w:val="18"/>
      </w:rPr>
      <w:fldChar w:fldCharType="begin"/>
    </w:r>
    <w:r w:rsidRPr="00F10EA0">
      <w:rPr>
        <w:b/>
        <w:sz w:val="18"/>
      </w:rPr>
      <w:instrText xml:space="preserve"> PAGE  \* MERGEFORMAT </w:instrText>
    </w:r>
    <w:r w:rsidRPr="00F10EA0">
      <w:rPr>
        <w:b/>
        <w:sz w:val="18"/>
      </w:rPr>
      <w:fldChar w:fldCharType="separate"/>
    </w:r>
    <w:r w:rsidRPr="00F10EA0">
      <w:rPr>
        <w:b/>
        <w:noProof/>
        <w:sz w:val="18"/>
      </w:rPr>
      <w:t>2</w:t>
    </w:r>
    <w:r w:rsidRPr="00F10EA0">
      <w:rPr>
        <w:b/>
        <w:sz w:val="18"/>
      </w:rPr>
      <w:fldChar w:fldCharType="end"/>
    </w:r>
    <w:r>
      <w:rPr>
        <w:b/>
        <w:sz w:val="18"/>
      </w:rPr>
      <w:tab/>
    </w:r>
    <w:r>
      <w:t>GE.23-10764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4AB8" w14:textId="3C3592A3" w:rsidR="00F10EA0" w:rsidRPr="00F10EA0" w:rsidRDefault="00F10EA0" w:rsidP="00F10EA0">
    <w:pPr>
      <w:pStyle w:val="Pieddepage"/>
      <w:tabs>
        <w:tab w:val="right" w:pos="9638"/>
      </w:tabs>
      <w:rPr>
        <w:b/>
        <w:sz w:val="18"/>
      </w:rPr>
    </w:pPr>
    <w:r>
      <w:t>GE.23-10764</w:t>
    </w:r>
    <w:r>
      <w:tab/>
    </w:r>
    <w:r w:rsidRPr="00F10EA0">
      <w:rPr>
        <w:b/>
        <w:sz w:val="18"/>
      </w:rPr>
      <w:fldChar w:fldCharType="begin"/>
    </w:r>
    <w:r w:rsidRPr="00F10EA0">
      <w:rPr>
        <w:b/>
        <w:sz w:val="18"/>
      </w:rPr>
      <w:instrText xml:space="preserve"> PAGE  \* MERGEFORMAT </w:instrText>
    </w:r>
    <w:r w:rsidRPr="00F10EA0">
      <w:rPr>
        <w:b/>
        <w:sz w:val="18"/>
      </w:rPr>
      <w:fldChar w:fldCharType="separate"/>
    </w:r>
    <w:r w:rsidRPr="00F10EA0">
      <w:rPr>
        <w:b/>
        <w:noProof/>
        <w:sz w:val="18"/>
      </w:rPr>
      <w:t>3</w:t>
    </w:r>
    <w:r w:rsidRPr="00F10EA0">
      <w:rPr>
        <w:b/>
        <w:sz w:val="18"/>
      </w:rPr>
      <w:fldChar w:fldCharType="end"/>
    </w:r>
  </w:p>
  <w:p w14:paraId="248B7C0E" w14:textId="77777777" w:rsidR="00B47B31" w:rsidRDefault="00B47B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2070" w14:textId="25C0BA08" w:rsidR="007F20FA" w:rsidRPr="00F10EA0" w:rsidRDefault="00F10EA0" w:rsidP="00F10EA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C4F777" wp14:editId="5FC44C4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23-10764  (F)</w:t>
    </w:r>
    <w:r>
      <w:rPr>
        <w:noProof/>
        <w:sz w:val="20"/>
      </w:rPr>
      <w:drawing>
        <wp:anchor distT="0" distB="0" distL="114300" distR="114300" simplePos="0" relativeHeight="251660288" behindDoc="0" locked="0" layoutInCell="1" allowOverlap="1" wp14:anchorId="721F9D67" wp14:editId="5C8B33C0">
          <wp:simplePos x="0" y="0"/>
          <wp:positionH relativeFrom="margin">
            <wp:posOffset>5489575</wp:posOffset>
          </wp:positionH>
          <wp:positionV relativeFrom="margin">
            <wp:posOffset>8891905</wp:posOffset>
          </wp:positionV>
          <wp:extent cx="638175" cy="638175"/>
          <wp:effectExtent l="0" t="0" r="9525" b="9525"/>
          <wp:wrapNone/>
          <wp:docPr id="14339695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301023    </w:t>
    </w:r>
    <w:r w:rsidR="00E65E74">
      <w:rPr>
        <w:sz w:val="20"/>
      </w:rPr>
      <w:t>0111</w:t>
    </w:r>
    <w:r>
      <w:rPr>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F164" w14:textId="77777777" w:rsidR="007570E0" w:rsidRPr="00AC3823" w:rsidRDefault="007570E0" w:rsidP="00AC3823">
      <w:pPr>
        <w:pStyle w:val="Pieddepage"/>
        <w:tabs>
          <w:tab w:val="right" w:pos="2155"/>
        </w:tabs>
        <w:spacing w:after="80" w:line="240" w:lineRule="atLeast"/>
        <w:ind w:left="680"/>
        <w:rPr>
          <w:u w:val="single"/>
        </w:rPr>
      </w:pPr>
      <w:r>
        <w:rPr>
          <w:u w:val="single"/>
        </w:rPr>
        <w:tab/>
      </w:r>
    </w:p>
  </w:footnote>
  <w:footnote w:type="continuationSeparator" w:id="0">
    <w:p w14:paraId="4BB383EB" w14:textId="77777777" w:rsidR="007570E0" w:rsidRPr="00AC3823" w:rsidRDefault="007570E0" w:rsidP="00AC3823">
      <w:pPr>
        <w:pStyle w:val="Pieddepage"/>
        <w:tabs>
          <w:tab w:val="right" w:pos="2155"/>
        </w:tabs>
        <w:spacing w:after="80" w:line="240" w:lineRule="atLeast"/>
        <w:ind w:left="680"/>
        <w:rPr>
          <w:u w:val="single"/>
        </w:rPr>
      </w:pPr>
      <w:r>
        <w:rPr>
          <w:u w:val="single"/>
        </w:rPr>
        <w:tab/>
      </w:r>
    </w:p>
  </w:footnote>
  <w:footnote w:type="continuationNotice" w:id="1">
    <w:p w14:paraId="550CF685" w14:textId="77777777" w:rsidR="007570E0" w:rsidRPr="00AC3823" w:rsidRDefault="007570E0">
      <w:pPr>
        <w:spacing w:line="240" w:lineRule="auto"/>
        <w:rPr>
          <w:sz w:val="2"/>
          <w:szCs w:val="2"/>
        </w:rPr>
      </w:pPr>
    </w:p>
  </w:footnote>
  <w:footnote w:id="2">
    <w:p w14:paraId="4BDC2F3B" w14:textId="573D6D50" w:rsidR="00F10EA0" w:rsidRPr="00395A1B" w:rsidRDefault="00F10EA0" w:rsidP="00F10EA0">
      <w:pPr>
        <w:pStyle w:val="Notedebasdepage"/>
        <w:rPr>
          <w:lang w:val="fr-FR"/>
        </w:rPr>
      </w:pPr>
      <w:r>
        <w:rPr>
          <w:lang w:val="fr-FR"/>
        </w:rPr>
        <w:tab/>
      </w:r>
      <w:r w:rsidRPr="00F10EA0">
        <w:rPr>
          <w:sz w:val="20"/>
          <w:lang w:val="fr-FR"/>
        </w:rPr>
        <w:t>*</w:t>
      </w:r>
      <w:r>
        <w:rPr>
          <w:lang w:val="fr-FR"/>
        </w:rPr>
        <w:tab/>
        <w:t>Diffusée en allemand par la Commission centrale pour la navigation du Rhin sous la cote CCNR</w:t>
      </w:r>
      <w:r w:rsidR="00B53724">
        <w:rPr>
          <w:lang w:val="fr-FR"/>
        </w:rPr>
        <w:noBreakHyphen/>
      </w:r>
      <w:r>
        <w:rPr>
          <w:lang w:val="fr-FR"/>
        </w:rPr>
        <w:t>ZKR/ADN/WP.15/AC.2/2023/35.</w:t>
      </w:r>
    </w:p>
  </w:footnote>
  <w:footnote w:id="3">
    <w:p w14:paraId="590CD248" w14:textId="77777777" w:rsidR="00F10EA0" w:rsidRPr="00404A27" w:rsidRDefault="00F10EA0" w:rsidP="00F10EA0">
      <w:pPr>
        <w:pStyle w:val="Notedebasdepage"/>
      </w:pPr>
      <w:r>
        <w:rPr>
          <w:lang w:val="fr-FR"/>
        </w:rPr>
        <w:tab/>
      </w:r>
      <w:r w:rsidRPr="00F10EA0">
        <w:rPr>
          <w:sz w:val="20"/>
          <w:lang w:val="fr-FR"/>
        </w:rPr>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FB1C" w14:textId="6DEDFACD" w:rsidR="00F10EA0" w:rsidRPr="00F10EA0" w:rsidRDefault="004E4459">
    <w:pPr>
      <w:pStyle w:val="En-tte"/>
    </w:pPr>
    <w:r>
      <w:fldChar w:fldCharType="begin"/>
    </w:r>
    <w:r>
      <w:instrText xml:space="preserve"> TITLE  \* MERGEFORMAT </w:instrText>
    </w:r>
    <w:r>
      <w:fldChar w:fldCharType="separate"/>
    </w:r>
    <w:r w:rsidR="00F10EA0">
      <w:t>ECE/TRANS/WP.15/AC.2/2023/35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2DF3" w14:textId="586A0441" w:rsidR="00F10EA0" w:rsidRPr="00F10EA0" w:rsidRDefault="004E4459" w:rsidP="00F10EA0">
    <w:pPr>
      <w:pStyle w:val="En-tte"/>
      <w:jc w:val="right"/>
    </w:pPr>
    <w:r>
      <w:fldChar w:fldCharType="begin"/>
    </w:r>
    <w:r>
      <w:instrText xml:space="preserve"> TITLE  \* MERGEFORMAT </w:instrText>
    </w:r>
    <w:r>
      <w:fldChar w:fldCharType="separate"/>
    </w:r>
    <w:r w:rsidR="00F10EA0">
      <w:t>ECE/TRANS/WP.15/AC.2/2023/35</w:t>
    </w:r>
    <w:r>
      <w:fldChar w:fldCharType="end"/>
    </w:r>
  </w:p>
  <w:p w14:paraId="5FF47139" w14:textId="77777777" w:rsidR="00B47B31" w:rsidRDefault="00B47B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18377447">
    <w:abstractNumId w:val="12"/>
  </w:num>
  <w:num w:numId="2" w16cid:durableId="418067746">
    <w:abstractNumId w:val="11"/>
  </w:num>
  <w:num w:numId="3" w16cid:durableId="553389464">
    <w:abstractNumId w:val="10"/>
  </w:num>
  <w:num w:numId="4" w16cid:durableId="2012022334">
    <w:abstractNumId w:val="8"/>
  </w:num>
  <w:num w:numId="5" w16cid:durableId="520365713">
    <w:abstractNumId w:val="3"/>
  </w:num>
  <w:num w:numId="6" w16cid:durableId="1426270356">
    <w:abstractNumId w:val="2"/>
  </w:num>
  <w:num w:numId="7" w16cid:durableId="1826897033">
    <w:abstractNumId w:val="1"/>
  </w:num>
  <w:num w:numId="8" w16cid:durableId="1771313906">
    <w:abstractNumId w:val="0"/>
  </w:num>
  <w:num w:numId="9" w16cid:durableId="1065565952">
    <w:abstractNumId w:val="9"/>
  </w:num>
  <w:num w:numId="10" w16cid:durableId="1802647293">
    <w:abstractNumId w:val="7"/>
  </w:num>
  <w:num w:numId="11" w16cid:durableId="1245803323">
    <w:abstractNumId w:val="6"/>
  </w:num>
  <w:num w:numId="12" w16cid:durableId="254939395">
    <w:abstractNumId w:val="5"/>
  </w:num>
  <w:num w:numId="13" w16cid:durableId="1316377757">
    <w:abstractNumId w:val="4"/>
  </w:num>
  <w:num w:numId="14" w16cid:durableId="1749109322">
    <w:abstractNumId w:val="12"/>
  </w:num>
  <w:num w:numId="15" w16cid:durableId="1768884404">
    <w:abstractNumId w:val="11"/>
  </w:num>
  <w:num w:numId="16" w16cid:durableId="2695558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E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459"/>
    <w:rsid w:val="004E468C"/>
    <w:rsid w:val="005505B7"/>
    <w:rsid w:val="00573BE5"/>
    <w:rsid w:val="00586ED3"/>
    <w:rsid w:val="00596AA9"/>
    <w:rsid w:val="00617EF0"/>
    <w:rsid w:val="0071601D"/>
    <w:rsid w:val="007570E0"/>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47B31"/>
    <w:rsid w:val="00B53724"/>
    <w:rsid w:val="00B765F7"/>
    <w:rsid w:val="00B77993"/>
    <w:rsid w:val="00BA0CA9"/>
    <w:rsid w:val="00C02897"/>
    <w:rsid w:val="00C97039"/>
    <w:rsid w:val="00D3439C"/>
    <w:rsid w:val="00D7622E"/>
    <w:rsid w:val="00DB1831"/>
    <w:rsid w:val="00DD3BFD"/>
    <w:rsid w:val="00DF6678"/>
    <w:rsid w:val="00E0299A"/>
    <w:rsid w:val="00E65E74"/>
    <w:rsid w:val="00E85C74"/>
    <w:rsid w:val="00EA6547"/>
    <w:rsid w:val="00ED7237"/>
    <w:rsid w:val="00EF2E22"/>
    <w:rsid w:val="00F10EA0"/>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BB425"/>
  <w15:docId w15:val="{D1EC634C-5C5A-413F-814F-8BF5B9E1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F10EA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607E4-F15D-4A74-8255-F17F4A565CB9}"/>
</file>

<file path=customXml/itemProps2.xml><?xml version="1.0" encoding="utf-8"?>
<ds:datastoreItem xmlns:ds="http://schemas.openxmlformats.org/officeDocument/2006/customXml" ds:itemID="{44D84A2B-06D6-4694-A279-03032E084D87}"/>
</file>

<file path=docProps/app.xml><?xml version="1.0" encoding="utf-8"?>
<Properties xmlns="http://schemas.openxmlformats.org/officeDocument/2006/extended-properties" xmlns:vt="http://schemas.openxmlformats.org/officeDocument/2006/docPropsVTypes">
  <Template>ECE_TRANS.dotm</Template>
  <TotalTime>0</TotalTime>
  <Pages>3</Pages>
  <Words>817</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ECE/TRANS/WP.15/AC.2/2023/35</vt:lpstr>
    </vt:vector>
  </TitlesOfParts>
  <Company>DCM</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ECE/TRANS/WP.15/AC.2/2023/35</dc:title>
  <dc:subject/>
  <dc:creator>Corinne ROBERT</dc:creator>
  <cp:keywords/>
  <cp:lastModifiedBy>Corinne Robert</cp:lastModifiedBy>
  <cp:revision>2</cp:revision>
  <cp:lastPrinted>2014-05-14T10:59:00Z</cp:lastPrinted>
  <dcterms:created xsi:type="dcterms:W3CDTF">2023-11-01T14:35:00Z</dcterms:created>
  <dcterms:modified xsi:type="dcterms:W3CDTF">2023-11-01T14:35:00Z</dcterms:modified>
</cp:coreProperties>
</file>