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187FB14D"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9663FE">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r w:rsidR="009663FE">
              <w:rPr>
                <w:color w:val="000000" w:themeColor="text1"/>
              </w:rPr>
              <w:t>9</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2BBF0499" w:rsidR="00D527CB" w:rsidRPr="00A868B6" w:rsidRDefault="00F90363"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433852">
              <w:rPr>
                <w:color w:val="000000" w:themeColor="text1"/>
                <w:lang w:eastAsia="ja-JP"/>
              </w:rPr>
              <w:t>October</w:t>
            </w:r>
            <w:r w:rsidR="00D527CB" w:rsidRPr="00A868B6">
              <w:rPr>
                <w:color w:val="000000" w:themeColor="text1"/>
              </w:rPr>
              <w:t xml:space="preserve"> 202</w:t>
            </w:r>
            <w:r w:rsidR="00FF2924">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74BB40FF"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5D629C" w:rsidRPr="00885CEC">
        <w:rPr>
          <w:bCs/>
        </w:rPr>
        <w:t>9–12 January 2024</w:t>
      </w:r>
    </w:p>
    <w:p w14:paraId="3603379D" w14:textId="13F0290C" w:rsidR="00890FD2" w:rsidRPr="00094785" w:rsidRDefault="00890FD2" w:rsidP="00890FD2">
      <w:r w:rsidRPr="00DE6870">
        <w:t xml:space="preserve">Item </w:t>
      </w:r>
      <w:r>
        <w:t>3</w:t>
      </w:r>
      <w:r w:rsidR="00D71C19">
        <w:t xml:space="preserve"> </w:t>
      </w:r>
      <w:r>
        <w:t>(a)</w:t>
      </w:r>
      <w:r w:rsidRPr="00DE6870">
        <w:rPr>
          <w:bCs/>
        </w:rPr>
        <w:t xml:space="preserve"> </w:t>
      </w:r>
      <w:r w:rsidRPr="00094785">
        <w:t>of the provisional agenda</w:t>
      </w:r>
    </w:p>
    <w:p w14:paraId="34794B51" w14:textId="77777777" w:rsidR="00890FD2" w:rsidRPr="00487B3D" w:rsidRDefault="00890FD2" w:rsidP="00890FD2">
      <w:pPr>
        <w:rPr>
          <w:b/>
          <w:bCs/>
        </w:rPr>
      </w:pPr>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2C4B2EA1" w14:textId="44E120EC" w:rsidR="00890FD2" w:rsidRPr="005F1FB8" w:rsidRDefault="00890FD2" w:rsidP="00832C21">
      <w:pPr>
        <w:pStyle w:val="HChG"/>
        <w:tabs>
          <w:tab w:val="clear" w:pos="851"/>
        </w:tabs>
        <w:ind w:firstLine="0"/>
        <w:rPr>
          <w:lang w:val="en-US"/>
        </w:rPr>
      </w:pPr>
      <w:r w:rsidRPr="00B6567D">
        <w:rPr>
          <w:lang w:val="en-US"/>
        </w:rPr>
        <w:t>Proposal for</w:t>
      </w:r>
      <w:r>
        <w:rPr>
          <w:lang w:val="en-US"/>
        </w:rPr>
        <w:t xml:space="preserve"> a</w:t>
      </w:r>
      <w:r w:rsidRPr="00B6567D">
        <w:rPr>
          <w:lang w:val="en-US"/>
        </w:rPr>
        <w:t xml:space="preserve"> </w:t>
      </w:r>
      <w:r>
        <w:rPr>
          <w:lang w:val="en-US"/>
        </w:rPr>
        <w:t xml:space="preserve">new </w:t>
      </w:r>
      <w:r w:rsidRPr="00890FD2">
        <w:rPr>
          <w:lang w:val="en-US"/>
        </w:rPr>
        <w:t>Supplement to 0</w:t>
      </w:r>
      <w:r w:rsidR="00DD07BA">
        <w:rPr>
          <w:lang w:val="en-US"/>
        </w:rPr>
        <w:t>1</w:t>
      </w:r>
      <w:r w:rsidRPr="00890FD2">
        <w:rPr>
          <w:lang w:val="en-US"/>
        </w:rPr>
        <w:t xml:space="preserve"> series of amendments to UN Regulation No. </w:t>
      </w:r>
      <w:r w:rsidR="00DD07BA">
        <w:rPr>
          <w:lang w:val="en-US"/>
        </w:rPr>
        <w:t>101</w:t>
      </w:r>
      <w:r w:rsidRPr="00890FD2">
        <w:rPr>
          <w:lang w:val="en-US"/>
        </w:rPr>
        <w:t xml:space="preserve"> </w:t>
      </w:r>
      <w:r w:rsidRPr="005F1FB8">
        <w:rPr>
          <w:lang w:val="en-US"/>
        </w:rPr>
        <w:t>(</w:t>
      </w:r>
      <w:r w:rsidR="00DD07BA">
        <w:rPr>
          <w:lang w:val="en-US"/>
        </w:rPr>
        <w:t>CO2 emissions/fuel consumption)</w:t>
      </w:r>
    </w:p>
    <w:p w14:paraId="7709D5C9" w14:textId="7B3F37C0"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88295F">
        <w:rPr>
          <w:color w:val="000000" w:themeColor="text1"/>
          <w:lang w:val="en-GB"/>
        </w:rPr>
        <w:t xml:space="preserve"> </w:t>
      </w:r>
      <w:r w:rsidR="0088295F" w:rsidRPr="008A32EB">
        <w:rPr>
          <w:bCs/>
          <w:szCs w:val="24"/>
        </w:rPr>
        <w:footnoteReference w:customMarkFollows="1" w:id="2"/>
        <w:t>*</w:t>
      </w:r>
    </w:p>
    <w:p w14:paraId="4F5B7714" w14:textId="0F1EBABE" w:rsidR="00D527CB" w:rsidRPr="00A868B6" w:rsidRDefault="00AA078D" w:rsidP="00D527CB">
      <w:pPr>
        <w:pStyle w:val="SingleTxtG"/>
        <w:rPr>
          <w:color w:val="000000" w:themeColor="text1"/>
        </w:rPr>
      </w:pPr>
      <w:r w:rsidRPr="00AA078D">
        <w:t>This document proposes to amend the 01 series of amendments to UN Regulation No. 101 to allow for an alternative process for electric energy consumption verification in Conformity of Production, and to amend the charger requirement and the measurement method of REESS current for a hybrid electric power train. Both changes align with proceeding and procedures already included in 02 series of amendments to UN Regulation No. 154. The modifications to the current text of the Regulation are marked in bold for new or strikethrough for deleted characters.</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270D1759" w14:textId="1DF05D62" w:rsidR="00890FD2" w:rsidRPr="00387F0F" w:rsidRDefault="00832C21" w:rsidP="00832C21">
      <w:pPr>
        <w:pStyle w:val="HChG"/>
        <w:tabs>
          <w:tab w:val="clear" w:pos="851"/>
        </w:tabs>
        <w:spacing w:before="320" w:after="200" w:line="240" w:lineRule="atLeast"/>
        <w:ind w:left="0" w:right="-40" w:firstLine="0"/>
      </w:pPr>
      <w:r>
        <w:lastRenderedPageBreak/>
        <w:tab/>
      </w:r>
      <w:r w:rsidR="00890FD2" w:rsidRPr="007E2DDC">
        <w:t>I.</w:t>
      </w:r>
      <w:r w:rsidR="00890FD2" w:rsidRPr="007E2DDC">
        <w:tab/>
      </w:r>
      <w:r w:rsidR="00890FD2">
        <w:t>Proposal</w:t>
      </w:r>
    </w:p>
    <w:p w14:paraId="213A5446" w14:textId="77777777" w:rsidR="00BC329F" w:rsidRPr="0045065C" w:rsidRDefault="00BC329F" w:rsidP="00BC329F">
      <w:pPr>
        <w:adjustRightInd w:val="0"/>
        <w:spacing w:after="120"/>
        <w:ind w:left="2268" w:right="1134" w:hanging="1134"/>
        <w:jc w:val="both"/>
        <w:rPr>
          <w:lang w:val="en-US"/>
        </w:rPr>
      </w:pPr>
      <w:r>
        <w:rPr>
          <w:i/>
          <w:iCs/>
          <w:lang w:val="en-US"/>
        </w:rPr>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55BFCC48" w14:textId="77777777" w:rsidR="00BC329F" w:rsidRDefault="00BC329F" w:rsidP="00457EE9">
      <w:pPr>
        <w:pStyle w:val="Default"/>
        <w:ind w:left="2268" w:right="1134" w:hanging="1134"/>
        <w:jc w:val="both"/>
        <w:rPr>
          <w:rFonts w:ascii="Times New Roman" w:hAnsi="Times New Roman" w:cs="Times New Roman"/>
          <w:sz w:val="20"/>
          <w:szCs w:val="20"/>
        </w:rPr>
      </w:pPr>
      <w:r w:rsidRPr="0052554C">
        <w:t>"</w:t>
      </w:r>
      <w:r w:rsidRPr="0045065C">
        <w:rPr>
          <w:rFonts w:ascii="Times New Roman" w:hAnsi="Times New Roman" w:cs="Times New Roman"/>
          <w:sz w:val="20"/>
          <w:szCs w:val="20"/>
        </w:rPr>
        <w:t xml:space="preserve">9.4.3.1. </w:t>
      </w:r>
      <w:r>
        <w:rPr>
          <w:rFonts w:ascii="Times New Roman" w:hAnsi="Times New Roman" w:cs="Times New Roman"/>
          <w:sz w:val="20"/>
          <w:szCs w:val="20"/>
        </w:rPr>
        <w:tab/>
      </w:r>
      <w:r w:rsidRPr="00DD07BA">
        <w:rPr>
          <w:rFonts w:ascii="Times New Roman" w:hAnsi="Times New Roman" w:cs="Times New Roman"/>
          <w:b/>
          <w:bCs/>
          <w:sz w:val="20"/>
          <w:szCs w:val="20"/>
        </w:rPr>
        <w:t>The vehicle shall be prepared according to the procedure in paragraph 5.2.2. of Annex 7 to this Regulation.</w:t>
      </w:r>
    </w:p>
    <w:p w14:paraId="3A0CD19B" w14:textId="77777777" w:rsidR="00BC329F" w:rsidRDefault="00BC329F" w:rsidP="00457EE9">
      <w:pPr>
        <w:pStyle w:val="Default"/>
        <w:ind w:left="2268" w:right="1134"/>
        <w:jc w:val="both"/>
        <w:rPr>
          <w:rFonts w:ascii="Times New Roman" w:hAnsi="Times New Roman" w:cs="Times New Roman"/>
          <w:sz w:val="20"/>
          <w:szCs w:val="20"/>
        </w:rPr>
      </w:pPr>
      <w:r w:rsidRPr="0045065C">
        <w:rPr>
          <w:rFonts w:ascii="Times New Roman" w:hAnsi="Times New Roman" w:cs="Times New Roman"/>
          <w:sz w:val="20"/>
          <w:szCs w:val="20"/>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18D1ECEB" w14:textId="77777777" w:rsidR="00BC329F" w:rsidRPr="0073675C" w:rsidRDefault="00BC329F" w:rsidP="00457EE9">
      <w:pPr>
        <w:pStyle w:val="Default"/>
        <w:ind w:left="2268" w:right="1134"/>
        <w:jc w:val="both"/>
        <w:rPr>
          <w:rFonts w:ascii="Times New Roman" w:hAnsi="Times New Roman" w:cs="Times New Roman"/>
          <w:sz w:val="20"/>
          <w:szCs w:val="20"/>
        </w:rPr>
      </w:pPr>
      <w:r w:rsidRPr="0045065C">
        <w:rPr>
          <w:rFonts w:ascii="Times New Roman" w:hAnsi="Times New Roman" w:cs="Times New Roman"/>
          <w:sz w:val="20"/>
          <w:szCs w:val="20"/>
        </w:rPr>
        <w:t>The break-off criterion for the conformity of production procedure shall be reached with having finished the first two</w:t>
      </w:r>
      <w:r>
        <w:rPr>
          <w:rFonts w:ascii="Times New Roman" w:hAnsi="Times New Roman" w:cs="Times New Roman"/>
          <w:sz w:val="20"/>
          <w:szCs w:val="20"/>
        </w:rPr>
        <w:t xml:space="preserve"> </w:t>
      </w:r>
      <w:r w:rsidRPr="0045065C">
        <w:rPr>
          <w:rFonts w:ascii="Times New Roman" w:hAnsi="Times New Roman" w:cs="Times New Roman"/>
          <w:sz w:val="20"/>
          <w:szCs w:val="20"/>
        </w:rPr>
        <w:t>NEDC test cycles according to paragraph 2. to Annex 7 to this Regulation.</w:t>
      </w:r>
      <w:r w:rsidRPr="0073675C">
        <w:rPr>
          <w:rFonts w:ascii="Times New Roman" w:hAnsi="Times New Roman" w:cs="Times New Roman"/>
          <w:sz w:val="20"/>
          <w:szCs w:val="20"/>
        </w:rPr>
        <w:t>"</w:t>
      </w:r>
    </w:p>
    <w:p w14:paraId="31D1FF55" w14:textId="508A2A5B" w:rsidR="00DD07BA" w:rsidRPr="00480FA1" w:rsidRDefault="00DD07BA" w:rsidP="00166AAC">
      <w:pPr>
        <w:spacing w:before="120" w:after="120"/>
        <w:ind w:left="1134" w:right="1134"/>
        <w:jc w:val="both"/>
        <w:rPr>
          <w:i/>
          <w:iCs/>
        </w:rPr>
      </w:pPr>
      <w:r w:rsidRPr="00480FA1">
        <w:rPr>
          <w:i/>
          <w:iCs/>
        </w:rPr>
        <w:t xml:space="preserve">Annex 8, </w:t>
      </w:r>
    </w:p>
    <w:p w14:paraId="603D3406" w14:textId="77777777" w:rsidR="00DD07BA" w:rsidRDefault="00DD07BA" w:rsidP="00DD07BA">
      <w:pPr>
        <w:spacing w:after="120"/>
        <w:ind w:left="1134" w:right="1134"/>
        <w:jc w:val="both"/>
      </w:pPr>
      <w:r>
        <w:rPr>
          <w:i/>
          <w:iCs/>
        </w:rPr>
        <w:t>Delete paragraph 3.2.2.5. and paragraph 3.2.2.5.1.</w:t>
      </w:r>
    </w:p>
    <w:p w14:paraId="2701A359" w14:textId="77777777" w:rsidR="00DD07BA" w:rsidRDefault="00DD07BA" w:rsidP="00DD07BA">
      <w:pPr>
        <w:spacing w:after="120"/>
        <w:ind w:left="1134" w:right="1134"/>
        <w:jc w:val="both"/>
        <w:rPr>
          <w:i/>
          <w:iCs/>
        </w:rPr>
      </w:pPr>
      <w:r>
        <w:rPr>
          <w:i/>
          <w:lang w:val="en-US"/>
        </w:rPr>
        <w:t>Insert</w:t>
      </w:r>
      <w:r>
        <w:rPr>
          <w:iCs/>
          <w:lang w:val="en-US"/>
        </w:rPr>
        <w:t xml:space="preserve"> </w:t>
      </w:r>
      <w:r>
        <w:rPr>
          <w:i/>
          <w:lang w:val="en-US"/>
        </w:rPr>
        <w:t>new paragraph 3.2.2.5. and paragraph 3.2.2.5.1.</w:t>
      </w:r>
      <w:r>
        <w:rPr>
          <w:i/>
          <w:lang w:eastAsia="ja-JP"/>
        </w:rPr>
        <w:t>,</w:t>
      </w:r>
      <w:r>
        <w:rPr>
          <w:lang w:eastAsia="ja-JP"/>
        </w:rPr>
        <w:t xml:space="preserve"> </w:t>
      </w:r>
      <w:r>
        <w:rPr>
          <w:iCs/>
          <w:lang w:eastAsia="ja-JP"/>
        </w:rPr>
        <w:t>to read:</w:t>
      </w:r>
    </w:p>
    <w:p w14:paraId="04E446A8" w14:textId="77777777" w:rsidR="00DD07BA" w:rsidRDefault="00DD07BA" w:rsidP="00DD07BA">
      <w:pPr>
        <w:pStyle w:val="para"/>
        <w:rPr>
          <w:b/>
          <w:bCs/>
          <w:lang w:val="en-US"/>
        </w:rPr>
      </w:pPr>
      <w:bookmarkStart w:id="0" w:name="_Hlk132877674"/>
      <w:r>
        <w:rPr>
          <w:b/>
          <w:bCs/>
          <w:lang w:val="en-US"/>
        </w:rPr>
        <w:t>"3.2.2.5.</w:t>
      </w:r>
      <w:r>
        <w:rPr>
          <w:b/>
          <w:bCs/>
          <w:lang w:val="en-US"/>
        </w:rPr>
        <w:tab/>
        <w:t>Application of a normal charge</w:t>
      </w:r>
    </w:p>
    <w:p w14:paraId="44774CC9"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Normal charging is the transfer of electricity to an electrified vehicle with a power of less than or equal to 22 kW.</w:t>
      </w:r>
    </w:p>
    <w:p w14:paraId="2FC985E0"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Where there are several possible methods to perform a normal AC charge (e.g. cable, induction, etc.), the charging procedure via cable shall be used.</w:t>
      </w:r>
    </w:p>
    <w:p w14:paraId="6121A775"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0"/>
    </w:p>
    <w:p w14:paraId="63221F79" w14:textId="77777777" w:rsidR="00DD07BA" w:rsidRDefault="00DD07BA" w:rsidP="00DD07BA">
      <w:pPr>
        <w:pStyle w:val="para"/>
        <w:rPr>
          <w:b/>
          <w:bCs/>
          <w:strike/>
          <w:lang w:val="en-US"/>
        </w:rPr>
      </w:pPr>
      <w:r>
        <w:rPr>
          <w:b/>
          <w:bCs/>
          <w:lang w:val="en-US"/>
        </w:rPr>
        <w:t>3.2.2.5.1.</w:t>
      </w:r>
      <w:r>
        <w:rPr>
          <w:b/>
          <w:bCs/>
          <w:lang w:val="en-US"/>
        </w:rPr>
        <w:tab/>
        <w:t>Charging procedure</w:t>
      </w:r>
    </w:p>
    <w:p w14:paraId="2F1E5B58"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The REESS shall be charged at an ambient temperature compromised between 20°C and 30°C with the on-board charger if fitted.</w:t>
      </w:r>
    </w:p>
    <w:p w14:paraId="3AA31882"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In the following cases, a charger recommended by the manufacturer and using the charging pattern prescribed for normal charging shall be used if:</w:t>
      </w:r>
    </w:p>
    <w:p w14:paraId="1DF00F64" w14:textId="77777777" w:rsidR="00DD07BA" w:rsidRDefault="00DD07BA" w:rsidP="00DD07BA">
      <w:pPr>
        <w:suppressAutoHyphens w:val="0"/>
        <w:autoSpaceDE w:val="0"/>
        <w:autoSpaceDN w:val="0"/>
        <w:adjustRightInd w:val="0"/>
        <w:spacing w:after="120" w:line="240" w:lineRule="auto"/>
        <w:ind w:left="2835" w:right="1134" w:hanging="567"/>
        <w:jc w:val="both"/>
        <w:rPr>
          <w:b/>
          <w:bCs/>
        </w:rPr>
      </w:pPr>
      <w:r>
        <w:rPr>
          <w:b/>
          <w:bCs/>
        </w:rPr>
        <w:t>(a)</w:t>
      </w:r>
      <w:r>
        <w:rPr>
          <w:b/>
          <w:bCs/>
        </w:rPr>
        <w:tab/>
        <w:t>No on-board charger is fitted, or</w:t>
      </w:r>
    </w:p>
    <w:p w14:paraId="1D8B32D7"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(b)</w:t>
      </w:r>
      <w:r>
        <w:rPr>
          <w:b/>
          <w:bCs/>
        </w:rPr>
        <w:tab/>
        <w:t>Charging time exceeds maximum time defined in paragraph 5.2.2.2.</w:t>
      </w:r>
    </w:p>
    <w:p w14:paraId="002A2ED6" w14:textId="77777777" w:rsidR="00DD07BA" w:rsidRDefault="00DD07BA" w:rsidP="00DD07BA">
      <w:pPr>
        <w:pStyle w:val="para"/>
        <w:ind w:firstLine="0"/>
        <w:rPr>
          <w:b/>
          <w:bCs/>
          <w:lang w:val="en-US"/>
        </w:rPr>
      </w:pPr>
      <w:r>
        <w:rPr>
          <w:b/>
          <w:bCs/>
          <w:lang w:val="en-US"/>
        </w:rPr>
        <w:t xml:space="preserve">The procedures in this paragraph exclude all types of special charges that could be automatically or manually initiated, </w:t>
      </w:r>
      <w:proofErr w:type="gramStart"/>
      <w:r>
        <w:rPr>
          <w:b/>
          <w:bCs/>
          <w:lang w:val="en-US"/>
        </w:rPr>
        <w:t>e.g.</w:t>
      </w:r>
      <w:proofErr w:type="gramEnd"/>
      <w:r>
        <w:rPr>
          <w:b/>
          <w:bCs/>
          <w:lang w:val="en-US"/>
        </w:rPr>
        <w:t xml:space="preserve"> equalization charges or servicing charges.</w:t>
      </w:r>
    </w:p>
    <w:p w14:paraId="6D537B37" w14:textId="77777777" w:rsidR="00DD07BA" w:rsidRDefault="00DD07BA" w:rsidP="00DD07BA">
      <w:pPr>
        <w:pStyle w:val="para"/>
        <w:ind w:firstLine="0"/>
        <w:rPr>
          <w:b/>
          <w:bCs/>
          <w:lang w:val="en-US"/>
        </w:rPr>
      </w:pPr>
      <w:r>
        <w:rPr>
          <w:b/>
          <w:bCs/>
          <w:lang w:val="en-US"/>
        </w:rPr>
        <w:tab/>
        <w:t>The car manufacturer shall declare that during the test, a special charge procedure has not occurred."</w:t>
      </w:r>
    </w:p>
    <w:p w14:paraId="5520B23A" w14:textId="77777777" w:rsidR="00DD07BA" w:rsidRDefault="00DD07BA" w:rsidP="00DD07BA">
      <w:pPr>
        <w:spacing w:after="120"/>
        <w:ind w:left="1134" w:right="1134"/>
        <w:jc w:val="both"/>
        <w:rPr>
          <w:lang w:eastAsia="ja-JP"/>
        </w:rPr>
      </w:pPr>
      <w:r>
        <w:rPr>
          <w:i/>
          <w:iCs/>
        </w:rPr>
        <w:t>Appendix 2, insert new</w:t>
      </w:r>
      <w:r>
        <w:t xml:space="preserve"> </w:t>
      </w:r>
      <w:r>
        <w:rPr>
          <w:i/>
          <w:iCs/>
        </w:rPr>
        <w:t>paragraph 2.</w:t>
      </w:r>
      <w:r>
        <w:t>, to read</w:t>
      </w:r>
      <w:r>
        <w:rPr>
          <w:lang w:eastAsia="ja-JP"/>
        </w:rPr>
        <w:t>:</w:t>
      </w:r>
    </w:p>
    <w:p w14:paraId="62624ADD" w14:textId="77777777" w:rsidR="00DD07BA" w:rsidRDefault="00DD07BA" w:rsidP="00874D3E">
      <w:pPr>
        <w:widowControl w:val="0"/>
        <w:suppressAutoHyphens w:val="0"/>
        <w:autoSpaceDE w:val="0"/>
        <w:autoSpaceDN w:val="0"/>
        <w:adjustRightInd w:val="0"/>
        <w:spacing w:after="120" w:line="240" w:lineRule="auto"/>
        <w:ind w:leftChars="567" w:left="2218" w:right="1134" w:hangingChars="540" w:hanging="1084"/>
        <w:jc w:val="both"/>
        <w:rPr>
          <w:lang w:val="en-US" w:eastAsia="ja-JP"/>
        </w:rPr>
      </w:pPr>
      <w:r>
        <w:rPr>
          <w:b/>
          <w:bCs/>
        </w:rPr>
        <w:t>"</w:t>
      </w:r>
      <w:r>
        <w:rPr>
          <w:b/>
          <w:bCs/>
          <w:lang w:val="en-US" w:eastAsia="ja-JP"/>
        </w:rPr>
        <w:t xml:space="preserve">2. </w:t>
      </w:r>
      <w:r>
        <w:rPr>
          <w:b/>
          <w:bCs/>
          <w:lang w:val="en-US" w:eastAsia="ja-JP"/>
        </w:rPr>
        <w:tab/>
        <w:t>External REESS current measurement</w:t>
      </w:r>
      <w:r>
        <w:rPr>
          <w:b/>
          <w:bCs/>
        </w:rPr>
        <w:t>"</w:t>
      </w:r>
    </w:p>
    <w:p w14:paraId="536E4EC7" w14:textId="63675B65"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 </w:t>
      </w:r>
      <w:r>
        <w:rPr>
          <w:lang w:val="en-US" w:eastAsia="ja-JP"/>
        </w:rPr>
        <w:t xml:space="preserve">renumber </w:t>
      </w:r>
      <w:r w:rsidR="000B4A6B">
        <w:rPr>
          <w:lang w:val="en-US" w:eastAsia="ja-JP"/>
        </w:rPr>
        <w:t xml:space="preserve">to </w:t>
      </w:r>
      <w:r>
        <w:rPr>
          <w:lang w:val="en-US" w:eastAsia="ja-JP"/>
        </w:rPr>
        <w:t>2.1.</w:t>
      </w:r>
    </w:p>
    <w:p w14:paraId="49D117B6" w14:textId="5CA63F0C"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2.1., </w:t>
      </w:r>
      <w:r>
        <w:rPr>
          <w:lang w:val="en-US" w:eastAsia="ja-JP"/>
        </w:rPr>
        <w:t xml:space="preserve">renumber </w:t>
      </w:r>
      <w:r w:rsidR="000B4A6B">
        <w:rPr>
          <w:lang w:val="en-US" w:eastAsia="ja-JP"/>
        </w:rPr>
        <w:t xml:space="preserve">to </w:t>
      </w:r>
      <w:r>
        <w:rPr>
          <w:lang w:val="en-US" w:eastAsia="ja-JP"/>
        </w:rPr>
        <w:t>2.1.1.</w:t>
      </w:r>
    </w:p>
    <w:p w14:paraId="75877EC6" w14:textId="22BBDDD4"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Paragraphs 2.1.1. to 2.1.3., </w:t>
      </w:r>
      <w:r>
        <w:rPr>
          <w:lang w:val="en-US" w:eastAsia="ja-JP"/>
        </w:rPr>
        <w:t xml:space="preserve">renumber </w:t>
      </w:r>
      <w:r w:rsidR="000B4A6B">
        <w:rPr>
          <w:lang w:val="en-US" w:eastAsia="ja-JP"/>
        </w:rPr>
        <w:t xml:space="preserve">to </w:t>
      </w:r>
      <w:r>
        <w:rPr>
          <w:lang w:val="en-US" w:eastAsia="ja-JP"/>
        </w:rPr>
        <w:t>2.1.1.1 to 2.1.1.3.</w:t>
      </w:r>
    </w:p>
    <w:p w14:paraId="6A177414" w14:textId="1481C094"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2.2. </w:t>
      </w:r>
      <w:r>
        <w:rPr>
          <w:lang w:val="en-US" w:eastAsia="ja-JP"/>
        </w:rPr>
        <w:t xml:space="preserve">renumber </w:t>
      </w:r>
      <w:r w:rsidR="00491336">
        <w:rPr>
          <w:lang w:val="en-US" w:eastAsia="ja-JP"/>
        </w:rPr>
        <w:t xml:space="preserve">to </w:t>
      </w:r>
      <w:r>
        <w:rPr>
          <w:lang w:val="en-US" w:eastAsia="ja-JP"/>
        </w:rPr>
        <w:t>2.1.2.</w:t>
      </w:r>
    </w:p>
    <w:p w14:paraId="20CD10BD" w14:textId="06E4A18E"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3. </w:t>
      </w:r>
      <w:r>
        <w:rPr>
          <w:lang w:val="en-US" w:eastAsia="ja-JP"/>
        </w:rPr>
        <w:t xml:space="preserve">renumber </w:t>
      </w:r>
      <w:r w:rsidR="00491336">
        <w:rPr>
          <w:lang w:val="en-US" w:eastAsia="ja-JP"/>
        </w:rPr>
        <w:t xml:space="preserve">to </w:t>
      </w:r>
      <w:r>
        <w:rPr>
          <w:lang w:val="en-US" w:eastAsia="ja-JP"/>
        </w:rPr>
        <w:t>2.2.</w:t>
      </w:r>
    </w:p>
    <w:p w14:paraId="16CEA512" w14:textId="77777777" w:rsidR="007D6C34" w:rsidRDefault="007D6C34">
      <w:pPr>
        <w:suppressAutoHyphens w:val="0"/>
        <w:spacing w:line="240" w:lineRule="auto"/>
        <w:rPr>
          <w:i/>
          <w:iCs/>
        </w:rPr>
      </w:pPr>
      <w:r>
        <w:rPr>
          <w:i/>
          <w:iCs/>
        </w:rPr>
        <w:br w:type="page"/>
      </w:r>
    </w:p>
    <w:p w14:paraId="61465A53" w14:textId="5B52E957"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pPr>
      <w:r>
        <w:rPr>
          <w:i/>
          <w:iCs/>
        </w:rPr>
        <w:lastRenderedPageBreak/>
        <w:t>Insert new paragraph 3.,</w:t>
      </w:r>
      <w:r>
        <w:t xml:space="preserve"> </w:t>
      </w:r>
      <w:r>
        <w:rPr>
          <w:lang w:eastAsia="ja-JP"/>
        </w:rPr>
        <w:t>to read:</w:t>
      </w:r>
    </w:p>
    <w:p w14:paraId="63041949" w14:textId="77777777" w:rsidR="00DD07BA" w:rsidRDefault="00DD07BA" w:rsidP="00DD07BA">
      <w:pPr>
        <w:pStyle w:val="CM4"/>
        <w:spacing w:before="60" w:after="60"/>
        <w:ind w:left="2268" w:right="1133" w:hanging="1134"/>
        <w:jc w:val="both"/>
        <w:rPr>
          <w:b/>
          <w:bCs/>
          <w:color w:val="000000"/>
          <w:sz w:val="20"/>
          <w:szCs w:val="20"/>
          <w:lang w:val="en-GB" w:eastAsia="en-US"/>
        </w:rPr>
      </w:pPr>
      <w:r>
        <w:rPr>
          <w:rFonts w:eastAsia="MS Mincho"/>
          <w:b/>
          <w:bCs/>
          <w:sz w:val="20"/>
          <w:szCs w:val="20"/>
          <w:lang w:val="en-US"/>
        </w:rPr>
        <w:t>"</w:t>
      </w:r>
      <w:r>
        <w:rPr>
          <w:b/>
          <w:bCs/>
          <w:sz w:val="20"/>
          <w:szCs w:val="20"/>
          <w:lang w:val="en-US"/>
        </w:rPr>
        <w:t>3.</w:t>
      </w:r>
      <w:r>
        <w:rPr>
          <w:b/>
          <w:bCs/>
          <w:sz w:val="20"/>
          <w:szCs w:val="20"/>
          <w:lang w:val="en-US"/>
        </w:rPr>
        <w:tab/>
      </w:r>
      <w:r>
        <w:rPr>
          <w:b/>
          <w:bCs/>
          <w:color w:val="000000"/>
          <w:sz w:val="20"/>
          <w:szCs w:val="20"/>
          <w:lang w:val="en-GB" w:eastAsia="en-US"/>
        </w:rPr>
        <w:t>Vehicle on-board REESS current data</w:t>
      </w:r>
    </w:p>
    <w:p w14:paraId="2F4AFE61" w14:textId="77777777" w:rsidR="00DD07BA" w:rsidRDefault="00DD07BA" w:rsidP="00DD07BA">
      <w:pPr>
        <w:widowControl w:val="0"/>
        <w:suppressAutoHyphens w:val="0"/>
        <w:autoSpaceDE w:val="0"/>
        <w:autoSpaceDN w:val="0"/>
        <w:adjustRightInd w:val="0"/>
        <w:spacing w:line="240" w:lineRule="auto"/>
        <w:ind w:leftChars="567" w:left="2266" w:right="1134" w:hangingChars="564" w:hanging="1132"/>
        <w:jc w:val="both"/>
        <w:rPr>
          <w:b/>
          <w:bCs/>
        </w:rPr>
      </w:pPr>
      <w:r>
        <w:rPr>
          <w:b/>
          <w:bCs/>
          <w:color w:val="000000"/>
        </w:rPr>
        <w:tab/>
        <w:t>As an alternative to paragraph 2. of this appendix, the manufacturer may use the on-board current measurement data. The accuracy of these data shall be demonstrated to the approval authority.</w:t>
      </w:r>
      <w:r>
        <w:rPr>
          <w:b/>
          <w:bCs/>
        </w:rPr>
        <w:t>"</w:t>
      </w:r>
    </w:p>
    <w:p w14:paraId="7476887F" w14:textId="77777777" w:rsidR="00890FD2" w:rsidRPr="00DD07BA" w:rsidRDefault="00890FD2" w:rsidP="00890FD2">
      <w:pPr>
        <w:pStyle w:val="Default"/>
        <w:ind w:right="805"/>
        <w:rPr>
          <w:b/>
          <w:bCs/>
          <w:sz w:val="28"/>
          <w:szCs w:val="28"/>
          <w:lang w:val="en-GB"/>
        </w:rPr>
      </w:pPr>
    </w:p>
    <w:p w14:paraId="025F5F56" w14:textId="0568C62D" w:rsidR="00890FD2" w:rsidRPr="00D96AA7" w:rsidRDefault="00890FD2" w:rsidP="00832C21">
      <w:pPr>
        <w:pStyle w:val="Default"/>
        <w:ind w:right="805" w:firstLine="567"/>
        <w:rPr>
          <w:b/>
          <w:bCs/>
          <w:sz w:val="28"/>
          <w:szCs w:val="28"/>
          <w:lang w:val="en-GB"/>
        </w:rPr>
      </w:pPr>
      <w:r w:rsidRPr="00D96AA7">
        <w:rPr>
          <w:b/>
          <w:bCs/>
          <w:sz w:val="28"/>
          <w:szCs w:val="28"/>
          <w:lang w:val="en-GB"/>
        </w:rPr>
        <w:t>II.</w:t>
      </w:r>
      <w:r w:rsidR="00832C21">
        <w:rPr>
          <w:b/>
          <w:bCs/>
          <w:sz w:val="28"/>
          <w:szCs w:val="28"/>
          <w:lang w:val="en-GB"/>
        </w:rPr>
        <w:tab/>
      </w:r>
      <w:r w:rsidRPr="00D96AA7">
        <w:rPr>
          <w:b/>
          <w:bCs/>
          <w:sz w:val="28"/>
          <w:szCs w:val="28"/>
          <w:lang w:val="en-GB"/>
        </w:rPr>
        <w:t>Justification</w:t>
      </w:r>
    </w:p>
    <w:p w14:paraId="1FD908A3" w14:textId="77777777" w:rsidR="00890FD2" w:rsidRPr="00D96AA7" w:rsidRDefault="00890FD2" w:rsidP="00890FD2">
      <w:pPr>
        <w:pStyle w:val="Default"/>
        <w:ind w:left="1134" w:right="1110"/>
        <w:rPr>
          <w:sz w:val="28"/>
          <w:szCs w:val="28"/>
          <w:lang w:val="en-GB"/>
        </w:rPr>
      </w:pPr>
    </w:p>
    <w:p w14:paraId="724FD942" w14:textId="77777777" w:rsidR="00BC329F" w:rsidRDefault="00BC329F" w:rsidP="00BC329F">
      <w:pPr>
        <w:pStyle w:val="SingleTxtG"/>
        <w:numPr>
          <w:ilvl w:val="0"/>
          <w:numId w:val="29"/>
        </w:numPr>
        <w:ind w:left="1134" w:firstLine="0"/>
        <w:rPr>
          <w:lang w:val="en-US"/>
        </w:rPr>
      </w:pPr>
      <w:r>
        <w:rPr>
          <w:lang w:val="en-US"/>
        </w:rPr>
        <w:t>The working document for 02 series of amendments to UN Regulation No. 154. has been approved in the 89</w:t>
      </w:r>
      <w:r w:rsidRPr="007D6C34">
        <w:rPr>
          <w:lang w:val="en-US"/>
        </w:rPr>
        <w:t>th</w:t>
      </w:r>
      <w:r>
        <w:rPr>
          <w:lang w:val="en-US"/>
        </w:rPr>
        <w:t xml:space="preserve"> session of GRPE in May 2023, amending the preparation of vehicle in verification of CoP on electric energy consumption of PEV.</w:t>
      </w:r>
    </w:p>
    <w:p w14:paraId="7C4EA4B8" w14:textId="77777777" w:rsidR="00BC329F" w:rsidRPr="0045065C" w:rsidRDefault="00BC329F" w:rsidP="00BC329F">
      <w:pPr>
        <w:pStyle w:val="SingleTxtG"/>
        <w:numPr>
          <w:ilvl w:val="0"/>
          <w:numId w:val="29"/>
        </w:numPr>
        <w:ind w:left="1134" w:firstLine="0"/>
        <w:rPr>
          <w:lang w:val="en-US"/>
        </w:rPr>
      </w:pPr>
      <w:r w:rsidRPr="0045065C">
        <w:rPr>
          <w:lang w:val="en-US"/>
        </w:rPr>
        <w:t xml:space="preserve">This amendment allows manufacture to skip REESE discharge procedure in the CoP vehicle preparation. </w:t>
      </w:r>
    </w:p>
    <w:p w14:paraId="70122ED6" w14:textId="30139168" w:rsidR="00BC329F" w:rsidRDefault="00BC329F" w:rsidP="00BC329F">
      <w:pPr>
        <w:pStyle w:val="SingleTxtG"/>
        <w:numPr>
          <w:ilvl w:val="0"/>
          <w:numId w:val="29"/>
        </w:numPr>
        <w:ind w:left="1134" w:firstLine="0"/>
        <w:rPr>
          <w:lang w:val="en-US"/>
        </w:rPr>
      </w:pPr>
      <w:r w:rsidRPr="0045065C">
        <w:rPr>
          <w:lang w:val="en-US"/>
        </w:rPr>
        <w:t xml:space="preserve">The current </w:t>
      </w:r>
      <w:r w:rsidR="008A1299">
        <w:rPr>
          <w:lang w:val="en-US"/>
        </w:rPr>
        <w:t xml:space="preserve">UN Regulation No. </w:t>
      </w:r>
      <w:r w:rsidRPr="0045065C">
        <w:rPr>
          <w:lang w:val="en-US"/>
        </w:rPr>
        <w:t xml:space="preserve">101 text can be interpreted that REESE discharge is necessary in COP vehicle preparation, </w:t>
      </w:r>
      <w:r>
        <w:rPr>
          <w:lang w:val="en-US"/>
        </w:rPr>
        <w:t>paragraph 9.4.3.1.</w:t>
      </w:r>
      <w:r w:rsidRPr="0045065C">
        <w:rPr>
          <w:lang w:val="en-US"/>
        </w:rPr>
        <w:t xml:space="preserve"> should be amended to align with </w:t>
      </w:r>
      <w:r>
        <w:rPr>
          <w:lang w:val="en-US"/>
        </w:rPr>
        <w:t xml:space="preserve">the 02 series of amendments to UN Regulation No. 154 </w:t>
      </w:r>
      <w:r w:rsidRPr="0045065C">
        <w:rPr>
          <w:lang w:val="en-US"/>
        </w:rPr>
        <w:t>for clarification</w:t>
      </w:r>
      <w:r w:rsidRPr="0045065C">
        <w:rPr>
          <w:rFonts w:hint="eastAsia"/>
          <w:lang w:val="en-US"/>
        </w:rPr>
        <w:t>.</w:t>
      </w:r>
    </w:p>
    <w:p w14:paraId="58BDB188" w14:textId="77777777" w:rsidR="00DD07BA" w:rsidRPr="008A1299" w:rsidRDefault="00DD07BA" w:rsidP="008A1299">
      <w:pPr>
        <w:pStyle w:val="SingleTxtG"/>
        <w:numPr>
          <w:ilvl w:val="0"/>
          <w:numId w:val="29"/>
        </w:numPr>
        <w:ind w:left="1134" w:firstLine="0"/>
        <w:rPr>
          <w:lang w:val="en-US"/>
        </w:rPr>
      </w:pPr>
      <w:r w:rsidRPr="008A1299">
        <w:rPr>
          <w:lang w:val="en-US"/>
        </w:rPr>
        <w:t>UN GTR No. 15 (WLTP) has introduced the same requirements for the application of a normal charge, and the measurement method of REESS current between HEV and PEV.</w:t>
      </w:r>
    </w:p>
    <w:p w14:paraId="00509536" w14:textId="77777777" w:rsidR="00DD07BA" w:rsidRDefault="00DD07BA" w:rsidP="00DD07BA">
      <w:pPr>
        <w:pStyle w:val="ListParagraph"/>
        <w:widowControl/>
        <w:numPr>
          <w:ilvl w:val="0"/>
          <w:numId w:val="29"/>
        </w:numPr>
        <w:suppressAutoHyphens/>
        <w:spacing w:after="120" w:line="240" w:lineRule="atLeast"/>
        <w:ind w:left="1134" w:right="1134" w:firstLine="0"/>
        <w:rPr>
          <w:rFonts w:cs="Courier New"/>
          <w:noProof/>
          <w:sz w:val="20"/>
          <w:szCs w:val="20"/>
          <w:lang w:eastAsia="zh-CN"/>
        </w:rPr>
      </w:pPr>
      <w:r>
        <w:rPr>
          <w:sz w:val="20"/>
          <w:szCs w:val="20"/>
        </w:rPr>
        <w:t>However, Supplement 11 in UN Regulation No. 101 has introduced these requirements only for PEV in UN GTR No. 15 (WLTP).</w:t>
      </w:r>
    </w:p>
    <w:p w14:paraId="1635E31A" w14:textId="4D220521" w:rsidR="00DD07BA" w:rsidRPr="00DD07BA" w:rsidRDefault="00DD07BA" w:rsidP="00DD07BA">
      <w:pPr>
        <w:pStyle w:val="SingleTxtG"/>
        <w:numPr>
          <w:ilvl w:val="0"/>
          <w:numId w:val="29"/>
        </w:numPr>
        <w:ind w:left="1134" w:firstLine="0"/>
        <w:rPr>
          <w:lang w:val="en-US"/>
        </w:rPr>
      </w:pPr>
      <w:r>
        <w:rPr>
          <w:rFonts w:cs="Courier New"/>
          <w:noProof/>
          <w:lang w:eastAsia="zh-CN"/>
        </w:rPr>
        <w:t>This amendment in Annex 8 introduces these requirements for HEV in the same way as for PEV</w:t>
      </w:r>
      <w:r>
        <w:t>.</w:t>
      </w:r>
    </w:p>
    <w:p w14:paraId="74BC7C13" w14:textId="77777777" w:rsidR="00890FD2" w:rsidRDefault="00890FD2" w:rsidP="00890FD2">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7DF0EE05" w14:textId="77777777" w:rsidR="00890FD2" w:rsidRPr="0065242B" w:rsidRDefault="00890FD2" w:rsidP="00890FD2">
      <w:pPr>
        <w:tabs>
          <w:tab w:val="left" w:pos="8505"/>
        </w:tabs>
        <w:suppressAutoHyphens w:val="0"/>
        <w:spacing w:after="120"/>
        <w:ind w:left="1689" w:right="1134" w:hanging="555"/>
        <w:jc w:val="both"/>
        <w:rPr>
          <w:i/>
        </w:rPr>
      </w:pPr>
    </w:p>
    <w:p w14:paraId="10E34CE8" w14:textId="053B29AD" w:rsidR="00172D72" w:rsidRPr="0065242B" w:rsidRDefault="00172D72" w:rsidP="00890FD2">
      <w:pPr>
        <w:pStyle w:val="HChG"/>
        <w:tabs>
          <w:tab w:val="left" w:pos="8505"/>
        </w:tabs>
        <w:spacing w:before="320" w:after="200" w:line="240" w:lineRule="atLeast"/>
        <w:ind w:right="-40" w:hanging="294"/>
        <w:rPr>
          <w:i/>
        </w:rPr>
      </w:pPr>
    </w:p>
    <w:sectPr w:rsidR="00172D72" w:rsidRPr="0065242B" w:rsidSect="00F9036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AF51" w14:textId="77777777" w:rsidR="00BB388C" w:rsidRDefault="00BB388C"/>
  </w:endnote>
  <w:endnote w:type="continuationSeparator" w:id="0">
    <w:p w14:paraId="736059D2" w14:textId="77777777" w:rsidR="00BB388C" w:rsidRDefault="00BB388C"/>
  </w:endnote>
  <w:endnote w:type="continuationNotice" w:id="1">
    <w:p w14:paraId="327DD797" w14:textId="77777777" w:rsidR="00BB388C" w:rsidRDefault="00BB3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730" w14:textId="34B01373" w:rsidR="00E36968" w:rsidRDefault="00E36968" w:rsidP="00E36968">
    <w:pPr>
      <w:pStyle w:val="Footer"/>
    </w:pPr>
    <w:r w:rsidRPr="0027112F">
      <w:rPr>
        <w:noProof/>
        <w:lang w:val="en-US"/>
      </w:rPr>
      <w:drawing>
        <wp:anchor distT="0" distB="0" distL="114300" distR="114300" simplePos="0" relativeHeight="251659264" behindDoc="0" locked="1" layoutInCell="1" allowOverlap="1" wp14:anchorId="06241A70" wp14:editId="3216ED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E6E649" w14:textId="01AB9D6D" w:rsidR="00E36968" w:rsidRPr="00E36968" w:rsidRDefault="00E36968" w:rsidP="00E36968">
    <w:pPr>
      <w:pStyle w:val="Footer"/>
      <w:ind w:right="1134"/>
      <w:rPr>
        <w:sz w:val="20"/>
      </w:rPr>
    </w:pPr>
    <w:r>
      <w:rPr>
        <w:sz w:val="20"/>
      </w:rPr>
      <w:t>GE.23-21018(E)</w:t>
    </w:r>
    <w:r>
      <w:rPr>
        <w:noProof/>
        <w:sz w:val="20"/>
      </w:rPr>
      <w:drawing>
        <wp:anchor distT="0" distB="0" distL="114300" distR="114300" simplePos="0" relativeHeight="251660288" behindDoc="0" locked="0" layoutInCell="1" allowOverlap="1" wp14:anchorId="3A25FFB0" wp14:editId="7977561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0D9B" w14:textId="77777777" w:rsidR="00BB388C" w:rsidRPr="000B175B" w:rsidRDefault="00BB388C" w:rsidP="000B175B">
      <w:pPr>
        <w:tabs>
          <w:tab w:val="right" w:pos="2155"/>
        </w:tabs>
        <w:spacing w:after="80"/>
        <w:ind w:left="680"/>
        <w:rPr>
          <w:u w:val="single"/>
        </w:rPr>
      </w:pPr>
      <w:r>
        <w:rPr>
          <w:u w:val="single"/>
        </w:rPr>
        <w:tab/>
      </w:r>
    </w:p>
  </w:footnote>
  <w:footnote w:type="continuationSeparator" w:id="0">
    <w:p w14:paraId="5BDEEBDD" w14:textId="77777777" w:rsidR="00BB388C" w:rsidRPr="00FC68B7" w:rsidRDefault="00BB388C" w:rsidP="00FC68B7">
      <w:pPr>
        <w:tabs>
          <w:tab w:val="left" w:pos="2155"/>
        </w:tabs>
        <w:spacing w:after="80"/>
        <w:ind w:left="680"/>
        <w:rPr>
          <w:u w:val="single"/>
        </w:rPr>
      </w:pPr>
      <w:r>
        <w:rPr>
          <w:u w:val="single"/>
        </w:rPr>
        <w:tab/>
      </w:r>
    </w:p>
  </w:footnote>
  <w:footnote w:type="continuationNotice" w:id="1">
    <w:p w14:paraId="5C89A536" w14:textId="77777777" w:rsidR="00BB388C" w:rsidRDefault="00BB388C"/>
  </w:footnote>
  <w:footnote w:id="2">
    <w:p w14:paraId="340F6DBD" w14:textId="77777777" w:rsidR="0088295F" w:rsidRDefault="0088295F" w:rsidP="0088295F">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3FD176DA" w:rsidR="00D527CB" w:rsidRPr="001A3844" w:rsidRDefault="009663FE" w:rsidP="00DE1EBA">
    <w:pPr>
      <w:pStyle w:val="Header"/>
      <w:rPr>
        <w:lang w:eastAsia="ja-JP"/>
      </w:rPr>
    </w:pPr>
    <w:r w:rsidRPr="009663FE">
      <w:rPr>
        <w:bCs/>
      </w:rPr>
      <w:t>ECE/TRANS/WP.29/GRPE/2024/9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6423DF0" w:rsidR="00D527CB" w:rsidRPr="00890FD2" w:rsidRDefault="009663FE" w:rsidP="00890FD2">
    <w:pPr>
      <w:pStyle w:val="Header"/>
      <w:jc w:val="right"/>
      <w:rPr>
        <w:lang w:eastAsia="ja-JP"/>
      </w:rPr>
    </w:pPr>
    <w:r w:rsidRPr="009663FE">
      <w:rPr>
        <w:bCs/>
      </w:rPr>
      <w:t>ECE/TRANS/WP.29/GRPE/2024/9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C7A7D"/>
    <w:multiLevelType w:val="hybridMultilevel"/>
    <w:tmpl w:val="4696494E"/>
    <w:lvl w:ilvl="0" w:tplc="0409000F">
      <w:start w:val="1"/>
      <w:numFmt w:val="decimal"/>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7"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89145671">
    <w:abstractNumId w:val="1"/>
  </w:num>
  <w:num w:numId="2" w16cid:durableId="301008346">
    <w:abstractNumId w:val="0"/>
  </w:num>
  <w:num w:numId="3" w16cid:durableId="2008437796">
    <w:abstractNumId w:val="2"/>
  </w:num>
  <w:num w:numId="4" w16cid:durableId="1286695723">
    <w:abstractNumId w:val="3"/>
  </w:num>
  <w:num w:numId="5" w16cid:durableId="258606565">
    <w:abstractNumId w:val="8"/>
  </w:num>
  <w:num w:numId="6" w16cid:durableId="483545067">
    <w:abstractNumId w:val="9"/>
  </w:num>
  <w:num w:numId="7" w16cid:durableId="1936858700">
    <w:abstractNumId w:val="7"/>
  </w:num>
  <w:num w:numId="8" w16cid:durableId="640160044">
    <w:abstractNumId w:val="6"/>
  </w:num>
  <w:num w:numId="9" w16cid:durableId="1358628076">
    <w:abstractNumId w:val="5"/>
  </w:num>
  <w:num w:numId="10" w16cid:durableId="870072037">
    <w:abstractNumId w:val="4"/>
  </w:num>
  <w:num w:numId="11" w16cid:durableId="1696881671">
    <w:abstractNumId w:val="29"/>
  </w:num>
  <w:num w:numId="12" w16cid:durableId="1764718654">
    <w:abstractNumId w:val="14"/>
  </w:num>
  <w:num w:numId="13" w16cid:durableId="1108087498">
    <w:abstractNumId w:val="11"/>
  </w:num>
  <w:num w:numId="14" w16cid:durableId="1751077859">
    <w:abstractNumId w:val="31"/>
  </w:num>
  <w:num w:numId="15" w16cid:durableId="652220592">
    <w:abstractNumId w:val="35"/>
  </w:num>
  <w:num w:numId="16" w16cid:durableId="848328590">
    <w:abstractNumId w:val="15"/>
  </w:num>
  <w:num w:numId="17" w16cid:durableId="1873415562">
    <w:abstractNumId w:val="18"/>
  </w:num>
  <w:num w:numId="18" w16cid:durableId="1147942092">
    <w:abstractNumId w:val="19"/>
  </w:num>
  <w:num w:numId="19" w16cid:durableId="1901360111">
    <w:abstractNumId w:val="27"/>
  </w:num>
  <w:num w:numId="20" w16cid:durableId="1106729947">
    <w:abstractNumId w:val="30"/>
  </w:num>
  <w:num w:numId="21" w16cid:durableId="1632780276">
    <w:abstractNumId w:val="23"/>
  </w:num>
  <w:num w:numId="22" w16cid:durableId="1240478799">
    <w:abstractNumId w:val="13"/>
  </w:num>
  <w:num w:numId="23" w16cid:durableId="632249794">
    <w:abstractNumId w:val="32"/>
  </w:num>
  <w:num w:numId="24" w16cid:durableId="1242106418">
    <w:abstractNumId w:val="34"/>
  </w:num>
  <w:num w:numId="25" w16cid:durableId="1859194997">
    <w:abstractNumId w:val="10"/>
  </w:num>
  <w:num w:numId="26" w16cid:durableId="2118677249">
    <w:abstractNumId w:val="33"/>
  </w:num>
  <w:num w:numId="27" w16cid:durableId="436171831">
    <w:abstractNumId w:val="24"/>
  </w:num>
  <w:num w:numId="28" w16cid:durableId="313607965">
    <w:abstractNumId w:val="17"/>
  </w:num>
  <w:num w:numId="29" w16cid:durableId="2100178436">
    <w:abstractNumId w:val="25"/>
  </w:num>
  <w:num w:numId="30" w16cid:durableId="414281705">
    <w:abstractNumId w:val="16"/>
  </w:num>
  <w:num w:numId="31" w16cid:durableId="65306237">
    <w:abstractNumId w:val="26"/>
  </w:num>
  <w:num w:numId="32" w16cid:durableId="625085419">
    <w:abstractNumId w:val="22"/>
  </w:num>
  <w:num w:numId="33" w16cid:durableId="83114358">
    <w:abstractNumId w:val="28"/>
  </w:num>
  <w:num w:numId="34" w16cid:durableId="1280913276">
    <w:abstractNumId w:val="21"/>
  </w:num>
  <w:num w:numId="35" w16cid:durableId="60373263">
    <w:abstractNumId w:val="12"/>
  </w:num>
  <w:num w:numId="36" w16cid:durableId="414666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6DC1"/>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A6B"/>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6AAC"/>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285"/>
    <w:rsid w:val="001A7CE2"/>
    <w:rsid w:val="001B0543"/>
    <w:rsid w:val="001B1F55"/>
    <w:rsid w:val="001B291B"/>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265A"/>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22E6"/>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0A22"/>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87C51"/>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57EE9"/>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0FA1"/>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336"/>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29C"/>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22E"/>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6052"/>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6C34"/>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2AF5"/>
    <w:rsid w:val="007F3D76"/>
    <w:rsid w:val="007F42D4"/>
    <w:rsid w:val="007F42F3"/>
    <w:rsid w:val="007F44D2"/>
    <w:rsid w:val="007F50A1"/>
    <w:rsid w:val="007F6611"/>
    <w:rsid w:val="007F710A"/>
    <w:rsid w:val="007F75B9"/>
    <w:rsid w:val="007F789C"/>
    <w:rsid w:val="008007AB"/>
    <w:rsid w:val="00801FE6"/>
    <w:rsid w:val="00802462"/>
    <w:rsid w:val="0080543F"/>
    <w:rsid w:val="00805D7D"/>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C21"/>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081"/>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D3E"/>
    <w:rsid w:val="00875D94"/>
    <w:rsid w:val="00875ECD"/>
    <w:rsid w:val="00876615"/>
    <w:rsid w:val="008769EA"/>
    <w:rsid w:val="00876C7E"/>
    <w:rsid w:val="00877BEC"/>
    <w:rsid w:val="00877FD3"/>
    <w:rsid w:val="00881BF6"/>
    <w:rsid w:val="0088295F"/>
    <w:rsid w:val="00882FF2"/>
    <w:rsid w:val="00884731"/>
    <w:rsid w:val="008863EE"/>
    <w:rsid w:val="008873A0"/>
    <w:rsid w:val="008878DE"/>
    <w:rsid w:val="00890FB0"/>
    <w:rsid w:val="00890FD2"/>
    <w:rsid w:val="00891C10"/>
    <w:rsid w:val="00892101"/>
    <w:rsid w:val="00893D64"/>
    <w:rsid w:val="00895681"/>
    <w:rsid w:val="00895AF3"/>
    <w:rsid w:val="008979B1"/>
    <w:rsid w:val="008A1299"/>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55"/>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47B"/>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37CCD"/>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63FE"/>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12D5"/>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78D"/>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388C"/>
    <w:rsid w:val="00BB410C"/>
    <w:rsid w:val="00BB4543"/>
    <w:rsid w:val="00BB481C"/>
    <w:rsid w:val="00BB532B"/>
    <w:rsid w:val="00BB5EF3"/>
    <w:rsid w:val="00BB6B1D"/>
    <w:rsid w:val="00BB6C56"/>
    <w:rsid w:val="00BB7ACE"/>
    <w:rsid w:val="00BC27EB"/>
    <w:rsid w:val="00BC31D4"/>
    <w:rsid w:val="00BC329F"/>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EEF"/>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1C19"/>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64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07BA"/>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6968"/>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3BCC"/>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363"/>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2924"/>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 w:type="paragraph" w:customStyle="1" w:styleId="CM4">
    <w:name w:val="CM4"/>
    <w:basedOn w:val="Normal"/>
    <w:next w:val="Normal"/>
    <w:uiPriority w:val="99"/>
    <w:rsid w:val="00DD07BA"/>
    <w:pPr>
      <w:suppressAutoHyphens w:val="0"/>
      <w:autoSpaceDE w:val="0"/>
      <w:autoSpaceDN w:val="0"/>
      <w:adjustRightInd w:val="0"/>
      <w:spacing w:line="240" w:lineRule="auto"/>
    </w:pPr>
    <w:rPr>
      <w:rFonts w:eastAsia="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56722508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195382802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C07B-FE02-41BE-9094-30954C51E9AC}">
  <ds:schemaRefs>
    <ds:schemaRef ds:uri="http://purl.org/dc/dcmitype/"/>
    <ds:schemaRef ds:uri="http://purl.org/dc/elements/1.1/"/>
    <ds:schemaRef ds:uri="http://schemas.microsoft.com/office/2006/metadata/properties"/>
    <ds:schemaRef ds:uri="http://schemas.microsoft.com/office/2006/documentManagement/types"/>
    <ds:schemaRef ds:uri="acccb6d4-dbe5-46d2-b4d3-5733603d8cc6"/>
    <ds:schemaRef ds:uri="4b4a1c0d-4a69-4996-a84a-fc699b9f49de"/>
    <ds:schemaRef ds:uri="http://purl.org/dc/terms/"/>
    <ds:schemaRef ds:uri="http://schemas.microsoft.com/office/infopath/2007/PartnerControls"/>
    <ds:schemaRef ds:uri="http://schemas.openxmlformats.org/package/2006/metadata/core-properties"/>
    <ds:schemaRef ds:uri="985ec44e-1bab-4c0b-9df0-6ba128686fc9"/>
    <ds:schemaRef ds:uri="http://www.w3.org/XML/1998/namespace"/>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4875A988-F148-4E79-ACB2-63715F28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776</Words>
  <Characters>4221</Characters>
  <Application>Microsoft Office Word</Application>
  <DocSecurity>0</DocSecurity>
  <Lines>105</Lines>
  <Paragraphs>53</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ECE/TRANS/WP.29/GRPE/2024/9</dc:title>
  <dc:subject>2321018</dc:subject>
  <dc:creator>Una Giltsoff</dc:creator>
  <cp:keywords/>
  <dc:description/>
  <cp:lastModifiedBy>Una Giltsoff</cp:lastModifiedBy>
  <cp:revision>2</cp:revision>
  <cp:lastPrinted>2018-08-29T09:38:00Z</cp:lastPrinted>
  <dcterms:created xsi:type="dcterms:W3CDTF">2023-10-31T08:17:00Z</dcterms:created>
  <dcterms:modified xsi:type="dcterms:W3CDTF">2023-10-31T08:17:00Z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