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28A51776" w:rsidR="00D527CB" w:rsidRPr="00A868B6" w:rsidRDefault="00D527CB" w:rsidP="00D527CB">
            <w:pPr>
              <w:jc w:val="right"/>
              <w:rPr>
                <w:color w:val="000000" w:themeColor="text1"/>
                <w:lang w:eastAsia="ja-JP"/>
              </w:rPr>
            </w:pPr>
            <w:r w:rsidRPr="00A868B6">
              <w:rPr>
                <w:color w:val="000000" w:themeColor="text1"/>
                <w:sz w:val="40"/>
              </w:rPr>
              <w:t>ECE</w:t>
            </w:r>
            <w:r w:rsidRPr="00A868B6">
              <w:rPr>
                <w:color w:val="000000" w:themeColor="text1"/>
              </w:rPr>
              <w:t>/TRANS/</w:t>
            </w:r>
            <w:r w:rsidR="009106DB">
              <w:rPr>
                <w:color w:val="000000" w:themeColor="text1"/>
              </w:rPr>
              <w:t>WP.29/</w:t>
            </w:r>
            <w:r w:rsidRPr="00A868B6">
              <w:rPr>
                <w:color w:val="000000" w:themeColor="text1"/>
              </w:rPr>
              <w:t>GRPE/</w:t>
            </w:r>
            <w:r w:rsidR="00284566">
              <w:rPr>
                <w:color w:val="000000" w:themeColor="text1"/>
                <w:lang w:eastAsia="ja-JP"/>
              </w:rPr>
              <w:t>2024</w:t>
            </w:r>
            <w:r w:rsidRPr="00A868B6">
              <w:rPr>
                <w:color w:val="000000" w:themeColor="text1"/>
              </w:rPr>
              <w:t>/</w:t>
            </w:r>
            <w:r w:rsidR="009106DB">
              <w:rPr>
                <w:color w:val="000000" w:themeColor="text1"/>
              </w:rPr>
              <w:t>8</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A868B6" w:rsidRDefault="00D527CB" w:rsidP="00D527CB">
            <w:pPr>
              <w:spacing w:before="120" w:line="420" w:lineRule="exact"/>
              <w:rPr>
                <w:color w:val="000000" w:themeColor="text1"/>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4E188A3D" w:rsidR="00D527CB" w:rsidRPr="00A868B6" w:rsidRDefault="003D7BEB" w:rsidP="00D527CB">
            <w:pPr>
              <w:spacing w:line="240" w:lineRule="exact"/>
              <w:rPr>
                <w:color w:val="000000" w:themeColor="text1"/>
                <w:lang w:eastAsia="ja-JP"/>
              </w:rPr>
            </w:pPr>
            <w:r>
              <w:rPr>
                <w:color w:val="000000" w:themeColor="text1"/>
                <w:lang w:eastAsia="ja-JP"/>
              </w:rPr>
              <w:t>31</w:t>
            </w:r>
            <w:r w:rsidR="00D527CB" w:rsidRPr="00A868B6">
              <w:rPr>
                <w:color w:val="000000" w:themeColor="text1"/>
                <w:lang w:eastAsia="ja-JP"/>
              </w:rPr>
              <w:t xml:space="preserve"> </w:t>
            </w:r>
            <w:r w:rsidR="00284566">
              <w:rPr>
                <w:color w:val="000000" w:themeColor="text1"/>
                <w:lang w:eastAsia="ja-JP"/>
              </w:rPr>
              <w:t>October</w:t>
            </w:r>
            <w:r w:rsidR="00D527CB" w:rsidRPr="00A868B6">
              <w:rPr>
                <w:color w:val="000000" w:themeColor="text1"/>
              </w:rPr>
              <w:t xml:space="preserve"> 202</w:t>
            </w:r>
            <w:r w:rsidR="00284566">
              <w:rPr>
                <w:color w:val="000000" w:themeColor="text1"/>
                <w:lang w:eastAsia="ja-JP"/>
              </w:rPr>
              <w:t>3</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48F9B3AD" w14:textId="77777777" w:rsidR="00D527CB" w:rsidRPr="00A868B6" w:rsidRDefault="00D527CB" w:rsidP="00D527CB">
      <w:pPr>
        <w:tabs>
          <w:tab w:val="left" w:pos="567"/>
          <w:tab w:val="left" w:pos="1134"/>
        </w:tabs>
        <w:spacing w:before="120" w:after="120"/>
        <w:rPr>
          <w:b/>
          <w:bCs/>
          <w:color w:val="000000" w:themeColor="text1"/>
        </w:rPr>
      </w:pPr>
      <w:r w:rsidRPr="00A868B6">
        <w:rPr>
          <w:b/>
          <w:bCs/>
          <w:color w:val="000000" w:themeColor="text1"/>
        </w:rPr>
        <w:t>Working Party on Pollution and Energy</w:t>
      </w:r>
    </w:p>
    <w:p w14:paraId="2E6EC43F" w14:textId="59484978"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inetieth</w:t>
      </w:r>
      <w:r w:rsidR="00D527CB" w:rsidRPr="00A868B6">
        <w:rPr>
          <w:b/>
          <w:color w:val="000000" w:themeColor="text1"/>
        </w:rPr>
        <w:t xml:space="preserve"> session</w:t>
      </w:r>
    </w:p>
    <w:p w14:paraId="6A6B7AE7" w14:textId="0D00B8DB" w:rsidR="00D527CB" w:rsidRPr="00A868B6" w:rsidRDefault="00D527CB" w:rsidP="00D527CB">
      <w:pPr>
        <w:rPr>
          <w:color w:val="000000" w:themeColor="text1"/>
          <w:lang w:eastAsia="ja-JP"/>
        </w:rPr>
      </w:pPr>
      <w:r w:rsidRPr="00A868B6">
        <w:rPr>
          <w:color w:val="000000" w:themeColor="text1"/>
        </w:rPr>
        <w:t>Geneva</w:t>
      </w:r>
      <w:r w:rsidRPr="00A868B6">
        <w:rPr>
          <w:bCs/>
          <w:color w:val="000000" w:themeColor="text1"/>
        </w:rPr>
        <w:t xml:space="preserve">, </w:t>
      </w:r>
      <w:r w:rsidR="0040029B" w:rsidRPr="00885CEC">
        <w:rPr>
          <w:bCs/>
        </w:rPr>
        <w:t>9–12 January 2024</w:t>
      </w:r>
    </w:p>
    <w:p w14:paraId="3856DDD7" w14:textId="1B013062" w:rsidR="00D527CB" w:rsidRPr="00A868B6" w:rsidRDefault="00D527CB" w:rsidP="00D527CB">
      <w:pPr>
        <w:tabs>
          <w:tab w:val="left" w:pos="567"/>
          <w:tab w:val="left" w:pos="1134"/>
        </w:tabs>
        <w:rPr>
          <w:bCs/>
          <w:color w:val="000000" w:themeColor="text1"/>
        </w:rPr>
      </w:pPr>
      <w:r w:rsidRPr="00A868B6">
        <w:rPr>
          <w:bCs/>
          <w:color w:val="000000" w:themeColor="text1"/>
        </w:rPr>
        <w:t xml:space="preserve">Item </w:t>
      </w:r>
      <w:r w:rsidR="00284566">
        <w:rPr>
          <w:bCs/>
        </w:rPr>
        <w:t>3</w:t>
      </w:r>
      <w:r w:rsidR="003D7BEB">
        <w:rPr>
          <w:bCs/>
        </w:rPr>
        <w:t xml:space="preserve"> </w:t>
      </w:r>
      <w:r w:rsidR="00284566">
        <w:rPr>
          <w:bCs/>
        </w:rPr>
        <w:t>(a)</w:t>
      </w:r>
      <w:r w:rsidRPr="00A868B6">
        <w:rPr>
          <w:bCs/>
          <w:color w:val="000000" w:themeColor="text1"/>
        </w:rPr>
        <w:t xml:space="preserve"> of the provisional agenda</w:t>
      </w:r>
    </w:p>
    <w:p w14:paraId="009BBBF8" w14:textId="77777777" w:rsidR="004C07BB" w:rsidRPr="00487B3D" w:rsidRDefault="004C07BB" w:rsidP="004C07BB">
      <w:pPr>
        <w:rPr>
          <w:b/>
          <w:bCs/>
        </w:rPr>
      </w:pPr>
      <w:bookmarkStart w:id="0" w:name="_Hlk66108778"/>
      <w:r w:rsidRPr="00487B3D">
        <w:rPr>
          <w:b/>
          <w:bCs/>
        </w:rPr>
        <w:t>Light vehicles</w:t>
      </w:r>
      <w:r>
        <w:rPr>
          <w:b/>
          <w:bCs/>
        </w:rPr>
        <w:t>:</w:t>
      </w:r>
      <w:r w:rsidRPr="00487B3D">
        <w:rPr>
          <w:b/>
          <w:bCs/>
        </w:rPr>
        <w:br/>
        <w:t>UN Regulations Nos. 68 (Measurement of the maximum speed,</w:t>
      </w:r>
      <w:r w:rsidRPr="00487B3D">
        <w:rPr>
          <w:b/>
          <w:bCs/>
        </w:rPr>
        <w:br/>
        <w:t>including electric vehicles), 83 (Emissions of M</w:t>
      </w:r>
      <w:r w:rsidRPr="00487B3D">
        <w:rPr>
          <w:b/>
          <w:bCs/>
          <w:vertAlign w:val="subscript"/>
        </w:rPr>
        <w:t>1</w:t>
      </w:r>
      <w:r w:rsidRPr="00487B3D">
        <w:rPr>
          <w:b/>
          <w:bCs/>
        </w:rPr>
        <w:t xml:space="preserve"> and N</w:t>
      </w:r>
      <w:r w:rsidRPr="00487B3D">
        <w:rPr>
          <w:b/>
          <w:bCs/>
          <w:vertAlign w:val="subscript"/>
        </w:rPr>
        <w:t>1</w:t>
      </w:r>
      <w:r w:rsidRPr="00487B3D">
        <w:rPr>
          <w:b/>
          <w:bCs/>
        </w:rPr>
        <w:t xml:space="preserve"> vehicles),</w:t>
      </w:r>
      <w:r w:rsidRPr="00487B3D">
        <w:rPr>
          <w:b/>
          <w:bCs/>
        </w:rPr>
        <w:br/>
        <w:t>101 (CO</w:t>
      </w:r>
      <w:r w:rsidRPr="00487B3D">
        <w:rPr>
          <w:b/>
          <w:bCs/>
          <w:vertAlign w:val="subscript"/>
        </w:rPr>
        <w:t>2</w:t>
      </w:r>
      <w:r w:rsidRPr="00487B3D">
        <w:rPr>
          <w:b/>
          <w:bCs/>
        </w:rPr>
        <w:t xml:space="preserve"> emissions/fuel consumption), </w:t>
      </w:r>
      <w:r w:rsidRPr="00487B3D">
        <w:rPr>
          <w:b/>
          <w:bCs/>
        </w:rPr>
        <w:br/>
        <w:t xml:space="preserve">103 (Replacement pollution control devices) and </w:t>
      </w:r>
      <w:r w:rsidRPr="00487B3D">
        <w:rPr>
          <w:b/>
          <w:bCs/>
        </w:rPr>
        <w:br/>
        <w:t>154 (Worldwide harmonized Light vehicles Test Procedures (WLTP))</w:t>
      </w:r>
    </w:p>
    <w:p w14:paraId="5F0FAA6C" w14:textId="30FC347E" w:rsidR="00D527CB" w:rsidRPr="00A868B6" w:rsidRDefault="00D527CB" w:rsidP="00D527CB">
      <w:pPr>
        <w:pStyle w:val="HChG"/>
        <w:tabs>
          <w:tab w:val="left" w:pos="3544"/>
        </w:tabs>
        <w:jc w:val="both"/>
        <w:rPr>
          <w:color w:val="000000" w:themeColor="text1"/>
        </w:rPr>
      </w:pPr>
      <w:r w:rsidRPr="00A868B6">
        <w:rPr>
          <w:color w:val="000000" w:themeColor="text1"/>
        </w:rPr>
        <w:tab/>
      </w:r>
      <w:r w:rsidRPr="00A868B6">
        <w:rPr>
          <w:color w:val="000000" w:themeColor="text1"/>
        </w:rPr>
        <w:tab/>
        <w:t>Proposal for a new Supplement to the 0</w:t>
      </w:r>
      <w:r w:rsidR="005F0C53">
        <w:rPr>
          <w:color w:val="000000" w:themeColor="text1"/>
          <w:lang w:eastAsia="ja-JP"/>
        </w:rPr>
        <w:t>8</w:t>
      </w:r>
      <w:r w:rsidRPr="00A868B6">
        <w:rPr>
          <w:color w:val="000000" w:themeColor="text1"/>
        </w:rPr>
        <w:t xml:space="preserve"> series of amendments to UN Regulation No. </w:t>
      </w:r>
      <w:r w:rsidR="005F0C53">
        <w:rPr>
          <w:color w:val="000000" w:themeColor="text1"/>
        </w:rPr>
        <w:t>83</w:t>
      </w:r>
      <w:r w:rsidRPr="00A868B6">
        <w:rPr>
          <w:color w:val="000000" w:themeColor="text1"/>
        </w:rPr>
        <w:t xml:space="preserve"> (</w:t>
      </w:r>
      <w:r w:rsidR="005F0C53" w:rsidRPr="005F0C53">
        <w:rPr>
          <w:color w:val="000000" w:themeColor="text1"/>
        </w:rPr>
        <w:t>Emissions of M</w:t>
      </w:r>
      <w:r w:rsidR="005F0C53" w:rsidRPr="005F0C53">
        <w:rPr>
          <w:color w:val="000000" w:themeColor="text1"/>
          <w:vertAlign w:val="subscript"/>
        </w:rPr>
        <w:t>1</w:t>
      </w:r>
      <w:r w:rsidR="005F0C53" w:rsidRPr="005F0C53">
        <w:rPr>
          <w:color w:val="000000" w:themeColor="text1"/>
        </w:rPr>
        <w:t>, M</w:t>
      </w:r>
      <w:r w:rsidR="005F0C53" w:rsidRPr="005F0C53">
        <w:rPr>
          <w:color w:val="000000" w:themeColor="text1"/>
          <w:vertAlign w:val="subscript"/>
        </w:rPr>
        <w:t>2</w:t>
      </w:r>
      <w:r w:rsidR="005F0C53" w:rsidRPr="005F0C53">
        <w:rPr>
          <w:color w:val="000000" w:themeColor="text1"/>
        </w:rPr>
        <w:t>, N</w:t>
      </w:r>
      <w:r w:rsidR="005F0C53" w:rsidRPr="005F0C53">
        <w:rPr>
          <w:color w:val="000000" w:themeColor="text1"/>
          <w:vertAlign w:val="subscript"/>
        </w:rPr>
        <w:t>1</w:t>
      </w:r>
      <w:r w:rsidR="005F0C53" w:rsidRPr="005F0C53">
        <w:rPr>
          <w:color w:val="000000" w:themeColor="text1"/>
        </w:rPr>
        <w:t xml:space="preserve"> and N</w:t>
      </w:r>
      <w:r w:rsidR="005F0C53" w:rsidRPr="005F0C53">
        <w:rPr>
          <w:color w:val="000000" w:themeColor="text1"/>
          <w:vertAlign w:val="subscript"/>
        </w:rPr>
        <w:t>2</w:t>
      </w:r>
      <w:r w:rsidR="005F0C53" w:rsidRPr="005F0C53">
        <w:rPr>
          <w:color w:val="000000" w:themeColor="text1"/>
        </w:rPr>
        <w:t xml:space="preserve"> vehicles</w:t>
      </w:r>
      <w:r w:rsidRPr="00A868B6">
        <w:rPr>
          <w:color w:val="000000" w:themeColor="text1"/>
        </w:rPr>
        <w:t>)</w:t>
      </w:r>
    </w:p>
    <w:bookmarkEnd w:id="0"/>
    <w:p w14:paraId="7709D5C9" w14:textId="1F71A044" w:rsidR="00D527CB" w:rsidRPr="00A868B6" w:rsidRDefault="00D527CB" w:rsidP="00D527CB">
      <w:pPr>
        <w:pStyle w:val="H1G"/>
        <w:ind w:firstLine="0"/>
        <w:jc w:val="both"/>
        <w:rPr>
          <w:color w:val="000000" w:themeColor="text1"/>
          <w:lang w:val="en-GB"/>
        </w:rPr>
      </w:pPr>
      <w:r w:rsidRPr="00A868B6">
        <w:rPr>
          <w:color w:val="000000" w:themeColor="text1"/>
          <w:lang w:val="en-GB"/>
        </w:rPr>
        <w:t xml:space="preserve">Submitted by the experts </w:t>
      </w:r>
      <w:r w:rsidRPr="00A868B6">
        <w:rPr>
          <w:rFonts w:hint="eastAsia"/>
          <w:color w:val="000000" w:themeColor="text1"/>
          <w:lang w:val="en-GB" w:eastAsia="ja-JP"/>
        </w:rPr>
        <w:t>from</w:t>
      </w:r>
      <w:r w:rsidRPr="00A868B6">
        <w:rPr>
          <w:color w:val="000000" w:themeColor="text1"/>
          <w:lang w:val="en-GB"/>
        </w:rPr>
        <w:t xml:space="preserve"> the International Organization of Motor Vehicle Manufacturers</w:t>
      </w:r>
      <w:r w:rsidR="00061070">
        <w:rPr>
          <w:color w:val="000000" w:themeColor="text1"/>
          <w:lang w:val="en-GB"/>
        </w:rPr>
        <w:t xml:space="preserve"> </w:t>
      </w:r>
      <w:r w:rsidR="00061070" w:rsidRPr="008A32EB">
        <w:rPr>
          <w:bCs/>
          <w:szCs w:val="24"/>
        </w:rPr>
        <w:footnoteReference w:customMarkFollows="1" w:id="2"/>
        <w:t>*</w:t>
      </w:r>
    </w:p>
    <w:p w14:paraId="4F5B7714" w14:textId="0BE429F9" w:rsidR="00D527CB" w:rsidRPr="00A868B6" w:rsidRDefault="00D527CB" w:rsidP="00D527CB">
      <w:pPr>
        <w:pStyle w:val="SingleTxtG"/>
        <w:rPr>
          <w:color w:val="000000" w:themeColor="text1"/>
        </w:rPr>
      </w:pPr>
      <w:r w:rsidRPr="00A868B6">
        <w:rPr>
          <w:color w:val="000000" w:themeColor="text1"/>
        </w:rPr>
        <w:t xml:space="preserve">The text reproduced below was prepared by the experts from the International Organization of Motor Vehicle Manufacturers (OICA). </w:t>
      </w:r>
      <w:r w:rsidRPr="005F0C53">
        <w:rPr>
          <w:color w:val="000000" w:themeColor="text1"/>
        </w:rPr>
        <w:t xml:space="preserve">This document aims </w:t>
      </w:r>
      <w:r w:rsidR="005F0C53" w:rsidRPr="005F0C53">
        <w:rPr>
          <w:color w:val="000000" w:themeColor="text1"/>
        </w:rPr>
        <w:t>to introduce corrections and clarifications</w:t>
      </w:r>
      <w:r w:rsidR="005F0C53">
        <w:rPr>
          <w:color w:val="000000" w:themeColor="text1"/>
        </w:rPr>
        <w:t xml:space="preserve"> for the 08 series of amendments to UN Regulation No. 83. The contents of this document are based on the informal document GRPE-89-15 presented in the 89</w:t>
      </w:r>
      <w:r w:rsidR="005F0C53" w:rsidRPr="003D7BEB">
        <w:rPr>
          <w:color w:val="000000" w:themeColor="text1"/>
        </w:rPr>
        <w:t xml:space="preserve">th </w:t>
      </w:r>
      <w:r w:rsidR="005F0C53">
        <w:rPr>
          <w:color w:val="000000" w:themeColor="text1"/>
        </w:rPr>
        <w:t xml:space="preserve">session of GRPE. </w:t>
      </w:r>
      <w:r w:rsidR="005F0C53" w:rsidRPr="005F0C53">
        <w:rPr>
          <w:color w:val="000000" w:themeColor="text1"/>
        </w:rPr>
        <w:t>The modifications to the current text of the Regulation are marked in bold for new or strikethrough for deleted characters.</w:t>
      </w:r>
    </w:p>
    <w:p w14:paraId="7A21D38E" w14:textId="77777777" w:rsidR="005F0C53" w:rsidRDefault="00D527CB" w:rsidP="005F0C53">
      <w:pPr>
        <w:pStyle w:val="HChG"/>
        <w:tabs>
          <w:tab w:val="left" w:pos="8505"/>
        </w:tabs>
        <w:spacing w:before="320" w:after="200" w:line="240" w:lineRule="atLeast"/>
        <w:ind w:left="0" w:right="-40" w:firstLine="0"/>
        <w:rPr>
          <w:bCs/>
          <w:color w:val="000000" w:themeColor="text1"/>
          <w:szCs w:val="28"/>
        </w:rPr>
      </w:pPr>
      <w:r w:rsidRPr="00A868B6">
        <w:rPr>
          <w:bCs/>
          <w:color w:val="000000" w:themeColor="text1"/>
          <w:szCs w:val="28"/>
        </w:rPr>
        <w:br w:type="page"/>
      </w:r>
    </w:p>
    <w:p w14:paraId="50275E04" w14:textId="03F93773" w:rsidR="005F0C53" w:rsidRPr="00387F0F" w:rsidRDefault="005F0C53" w:rsidP="00DB5E99">
      <w:pPr>
        <w:pStyle w:val="HChG"/>
        <w:tabs>
          <w:tab w:val="clear" w:pos="851"/>
        </w:tabs>
        <w:spacing w:before="320" w:after="0" w:line="240" w:lineRule="atLeast"/>
        <w:ind w:left="567" w:right="-40" w:firstLine="6"/>
      </w:pPr>
      <w:r w:rsidRPr="007E2DDC">
        <w:lastRenderedPageBreak/>
        <w:t>I.</w:t>
      </w:r>
      <w:r w:rsidRPr="007E2DDC">
        <w:tab/>
      </w:r>
      <w:r>
        <w:t>Proposal</w:t>
      </w:r>
    </w:p>
    <w:p w14:paraId="114E8CC9" w14:textId="50EB0984" w:rsidR="005F0C53" w:rsidRDefault="00C77C5A" w:rsidP="005F0C53">
      <w:pPr>
        <w:adjustRightInd w:val="0"/>
        <w:spacing w:after="120"/>
        <w:ind w:left="2268" w:right="1134" w:hanging="1134"/>
        <w:jc w:val="both"/>
        <w:rPr>
          <w:lang w:val="en-US"/>
        </w:rPr>
      </w:pPr>
      <w:r>
        <w:rPr>
          <w:i/>
          <w:iCs/>
          <w:lang w:val="en-US"/>
        </w:rPr>
        <w:t>P</w:t>
      </w:r>
      <w:r w:rsidR="005F0C53" w:rsidRPr="00EA7854">
        <w:rPr>
          <w:i/>
          <w:iCs/>
          <w:lang w:val="en-US"/>
        </w:rPr>
        <w:t>aragraph 2.</w:t>
      </w:r>
      <w:r w:rsidR="005F0C53">
        <w:rPr>
          <w:i/>
          <w:iCs/>
          <w:lang w:val="en-US"/>
        </w:rPr>
        <w:t>1</w:t>
      </w:r>
      <w:r w:rsidR="005F0C53" w:rsidRPr="00EA7854">
        <w:rPr>
          <w:i/>
          <w:iCs/>
          <w:lang w:val="en-US"/>
        </w:rPr>
        <w:t>.</w:t>
      </w:r>
      <w:r w:rsidR="005F0C53">
        <w:rPr>
          <w:lang w:val="en-US"/>
        </w:rPr>
        <w:t>, amend</w:t>
      </w:r>
      <w:r w:rsidR="005F0C53">
        <w:rPr>
          <w:i/>
          <w:iCs/>
          <w:lang w:val="en-US"/>
        </w:rPr>
        <w:t xml:space="preserve"> </w:t>
      </w:r>
      <w:r w:rsidR="005F0C53" w:rsidRPr="00AE3C95">
        <w:rPr>
          <w:lang w:val="en-US"/>
        </w:rPr>
        <w:t>to read:</w:t>
      </w:r>
    </w:p>
    <w:p w14:paraId="0D7BA4FC" w14:textId="77777777" w:rsidR="005F0C53" w:rsidRPr="005A1AAC" w:rsidRDefault="005F0C53" w:rsidP="005F0C53">
      <w:pPr>
        <w:pStyle w:val="SingleTxtG"/>
        <w:ind w:left="2268" w:hanging="1134"/>
      </w:pPr>
      <w:r w:rsidRPr="0052554C">
        <w:t>"</w:t>
      </w:r>
      <w:r w:rsidRPr="005A1AAC">
        <w:t xml:space="preserve">2.1. "Vehicle type" means a group of vehicles that </w:t>
      </w:r>
      <w:r w:rsidRPr="005A1AAC">
        <w:rPr>
          <w:strike/>
        </w:rPr>
        <w:t>do not differ in the following respects:</w:t>
      </w:r>
      <w:r>
        <w:rPr>
          <w:strike/>
        </w:rPr>
        <w:t xml:space="preserve"> </w:t>
      </w:r>
      <w:r w:rsidRPr="005A1AAC">
        <w:rPr>
          <w:b/>
          <w:bCs/>
        </w:rPr>
        <w:t>fulfil the requirements for a vehicle type with regard to emissions in accordance with paragraph 3.0.1. of UN Regulation No. 154.</w:t>
      </w:r>
    </w:p>
    <w:p w14:paraId="5B75003B" w14:textId="77777777" w:rsidR="005F0C53" w:rsidRPr="005A1AAC" w:rsidRDefault="005F0C53" w:rsidP="005F0C53">
      <w:pPr>
        <w:pStyle w:val="SingleTxtG"/>
        <w:ind w:left="2268" w:hanging="1134"/>
        <w:rPr>
          <w:strike/>
        </w:rPr>
      </w:pPr>
      <w:r w:rsidRPr="005A1AAC">
        <w:rPr>
          <w:strike/>
        </w:rPr>
        <w:t>2.1.1. The equivalent inertia determined in relation to the reference mass as prescribed in Table A4a/3 of Annex 4a of the 07 series of amendments to this Regulation; and</w:t>
      </w:r>
    </w:p>
    <w:p w14:paraId="3296C97A" w14:textId="77777777" w:rsidR="005F0C53" w:rsidRDefault="005F0C53" w:rsidP="005F0C53">
      <w:pPr>
        <w:pStyle w:val="SingleTxtG"/>
        <w:ind w:left="2268" w:hanging="1134"/>
      </w:pPr>
      <w:r w:rsidRPr="005A1AAC">
        <w:rPr>
          <w:strike/>
        </w:rPr>
        <w:t>2.1.2. The engine and vehicle characteristics as defined in Annex 1 to this Regulation.</w:t>
      </w:r>
      <w:r w:rsidRPr="0052554C">
        <w:t>"</w:t>
      </w:r>
    </w:p>
    <w:p w14:paraId="13180586" w14:textId="77777777" w:rsidR="005F0C53" w:rsidRDefault="005F0C53" w:rsidP="005F0C53">
      <w:pPr>
        <w:adjustRightInd w:val="0"/>
        <w:spacing w:after="120"/>
        <w:ind w:left="2268" w:right="1134" w:hanging="1134"/>
        <w:jc w:val="both"/>
        <w:rPr>
          <w:lang w:val="en-US"/>
        </w:rPr>
      </w:pPr>
      <w:r w:rsidRPr="00EA7854">
        <w:rPr>
          <w:i/>
          <w:iCs/>
          <w:lang w:val="en-US"/>
        </w:rPr>
        <w:t>paragraph 2.37.</w:t>
      </w:r>
      <w:r>
        <w:rPr>
          <w:lang w:val="en-US"/>
        </w:rPr>
        <w:t>, amend</w:t>
      </w:r>
      <w:r>
        <w:rPr>
          <w:i/>
          <w:iCs/>
          <w:lang w:val="en-US"/>
        </w:rPr>
        <w:t xml:space="preserve"> </w:t>
      </w:r>
      <w:r w:rsidRPr="00AE3C95">
        <w:rPr>
          <w:lang w:val="en-US"/>
        </w:rPr>
        <w:t>to read:</w:t>
      </w:r>
    </w:p>
    <w:p w14:paraId="1B989377" w14:textId="73ECC491" w:rsidR="005F0C53" w:rsidRDefault="005F0C53" w:rsidP="005F0C53">
      <w:pPr>
        <w:pStyle w:val="SingleTxtG"/>
        <w:ind w:left="2268" w:hanging="1134"/>
        <w:rPr>
          <w:b/>
          <w:bCs/>
        </w:rPr>
      </w:pPr>
      <w:r w:rsidRPr="0052554C">
        <w:t xml:space="preserve">"2.37. </w:t>
      </w:r>
      <w:r w:rsidRPr="0052554C">
        <w:tab/>
        <w:t>"Portable emissions measurement system" (PEMS) means a portable emissions measurement system meeting the requirements specified in</w:t>
      </w:r>
      <w:r w:rsidRPr="00EA7854">
        <w:rPr>
          <w:b/>
          <w:bCs/>
        </w:rPr>
        <w:t xml:space="preserve"> </w:t>
      </w:r>
      <w:r w:rsidRPr="0052554C">
        <w:rPr>
          <w:strike/>
        </w:rPr>
        <w:t>Appendix 1 to Annex IIIA</w:t>
      </w:r>
      <w:r>
        <w:rPr>
          <w:b/>
          <w:bCs/>
        </w:rPr>
        <w:t xml:space="preserve"> Annex 4 of UN Regulation No. </w:t>
      </w:r>
      <w:r w:rsidR="00E86AE0">
        <w:rPr>
          <w:b/>
          <w:bCs/>
        </w:rPr>
        <w:t>[</w:t>
      </w:r>
      <w:r>
        <w:rPr>
          <w:b/>
          <w:bCs/>
        </w:rPr>
        <w:t>168</w:t>
      </w:r>
      <w:r w:rsidR="00E86AE0">
        <w:rPr>
          <w:b/>
          <w:bCs/>
        </w:rPr>
        <w:t>]</w:t>
      </w:r>
      <w:r w:rsidRPr="0052554C">
        <w:t>."</w:t>
      </w:r>
    </w:p>
    <w:p w14:paraId="79A7E596" w14:textId="116E7EB1" w:rsidR="005F0C53" w:rsidRPr="00284566" w:rsidRDefault="00C77C5A" w:rsidP="005F0C53">
      <w:pPr>
        <w:adjustRightInd w:val="0"/>
        <w:spacing w:after="120"/>
        <w:ind w:left="2268" w:right="1134" w:hanging="1134"/>
        <w:jc w:val="both"/>
        <w:rPr>
          <w:lang w:val="en-US"/>
        </w:rPr>
      </w:pPr>
      <w:r>
        <w:rPr>
          <w:i/>
          <w:iCs/>
          <w:lang w:val="en-US"/>
        </w:rPr>
        <w:t>P</w:t>
      </w:r>
      <w:r w:rsidR="005F0C53" w:rsidRPr="00284566">
        <w:rPr>
          <w:i/>
          <w:iCs/>
          <w:lang w:val="en-US"/>
        </w:rPr>
        <w:t>aragraph 3.4.10.</w:t>
      </w:r>
      <w:r w:rsidR="005F0C53" w:rsidRPr="00284566">
        <w:rPr>
          <w:lang w:val="en-US"/>
        </w:rPr>
        <w:t>, amend</w:t>
      </w:r>
      <w:r w:rsidR="005F0C53" w:rsidRPr="00284566">
        <w:rPr>
          <w:i/>
          <w:iCs/>
          <w:lang w:val="en-US"/>
        </w:rPr>
        <w:t xml:space="preserve"> </w:t>
      </w:r>
      <w:r w:rsidR="005F0C53" w:rsidRPr="00284566">
        <w:rPr>
          <w:lang w:val="en-US"/>
        </w:rPr>
        <w:t>to read:</w:t>
      </w:r>
    </w:p>
    <w:p w14:paraId="391FA9F9" w14:textId="435F376A" w:rsidR="005F0C53" w:rsidRPr="00284566" w:rsidRDefault="005F0C53" w:rsidP="005F0C53">
      <w:pPr>
        <w:pStyle w:val="SingleTxtG"/>
        <w:ind w:left="2268" w:hanging="1134"/>
      </w:pPr>
      <w:r w:rsidRPr="00284566">
        <w:t xml:space="preserve">"3.4.10. </w:t>
      </w:r>
      <w:r w:rsidRPr="00284566">
        <w:tab/>
        <w:t xml:space="preserve">Vehicles of category M1 or N1 shall be approved with emission characters EA, EB or EC as specified in Table A3/1, Annex 3, taking into account the utility factors determined in accordance with the values specified in Table A8.App5/1 </w:t>
      </w:r>
      <w:r w:rsidRPr="00284566">
        <w:rPr>
          <w:strike/>
        </w:rPr>
        <w:t>of paragraph 3.2.</w:t>
      </w:r>
      <w:r w:rsidRPr="00284566">
        <w:t xml:space="preserve"> of </w:t>
      </w:r>
      <w:r w:rsidR="00397A25" w:rsidRPr="00284566">
        <w:rPr>
          <w:b/>
          <w:bCs/>
        </w:rPr>
        <w:t>Appendix 5 to</w:t>
      </w:r>
      <w:r w:rsidR="00397A25" w:rsidRPr="00284566">
        <w:t xml:space="preserve"> </w:t>
      </w:r>
      <w:r w:rsidRPr="00284566">
        <w:t>Annex B8 to UN Regulation No. 154.</w:t>
      </w:r>
    </w:p>
    <w:p w14:paraId="0EC88050" w14:textId="0F9EA75B" w:rsidR="005F0C53" w:rsidRDefault="00C77C5A" w:rsidP="005F0C53">
      <w:pPr>
        <w:adjustRightInd w:val="0"/>
        <w:spacing w:after="120"/>
        <w:ind w:left="2268" w:right="1134" w:hanging="1134"/>
        <w:jc w:val="both"/>
        <w:rPr>
          <w:lang w:val="en-US"/>
        </w:rPr>
      </w:pPr>
      <w:r>
        <w:rPr>
          <w:i/>
          <w:iCs/>
          <w:lang w:val="en-US"/>
        </w:rPr>
        <w:t>P</w:t>
      </w:r>
      <w:r w:rsidR="005F0C53" w:rsidRPr="00EA7854">
        <w:rPr>
          <w:i/>
          <w:iCs/>
          <w:lang w:val="en-US"/>
        </w:rPr>
        <w:t xml:space="preserve">aragraph </w:t>
      </w:r>
      <w:r w:rsidR="005F0C53">
        <w:rPr>
          <w:i/>
          <w:iCs/>
          <w:lang w:val="en-US"/>
        </w:rPr>
        <w:t>7.1</w:t>
      </w:r>
      <w:r w:rsidR="005F0C53" w:rsidRPr="00EA7854">
        <w:rPr>
          <w:i/>
          <w:iCs/>
          <w:lang w:val="en-US"/>
        </w:rPr>
        <w:t>.</w:t>
      </w:r>
      <w:r w:rsidR="005F0C53">
        <w:rPr>
          <w:lang w:val="en-US"/>
        </w:rPr>
        <w:t>, amend</w:t>
      </w:r>
      <w:r w:rsidR="005F0C53">
        <w:rPr>
          <w:i/>
          <w:iCs/>
          <w:lang w:val="en-US"/>
        </w:rPr>
        <w:t xml:space="preserve"> </w:t>
      </w:r>
      <w:r w:rsidR="005F0C53" w:rsidRPr="00AE3C95">
        <w:rPr>
          <w:lang w:val="en-US"/>
        </w:rPr>
        <w:t>to read:</w:t>
      </w:r>
    </w:p>
    <w:p w14:paraId="3CEF4226" w14:textId="2583F719" w:rsidR="005F0C53" w:rsidRDefault="005F0C53" w:rsidP="005F0C53">
      <w:pPr>
        <w:pStyle w:val="SingleTxtG"/>
        <w:ind w:left="2268" w:hanging="1134"/>
      </w:pPr>
      <w:r w:rsidRPr="0052554C">
        <w:t>"</w:t>
      </w:r>
      <w:r w:rsidRPr="00C202AA">
        <w:t xml:space="preserve">7.1. </w:t>
      </w:r>
      <w:r>
        <w:tab/>
      </w:r>
      <w:r w:rsidRPr="00C202AA">
        <w:t xml:space="preserve">Extensions for </w:t>
      </w:r>
      <w:r w:rsidRPr="00C202AA">
        <w:rPr>
          <w:strike/>
        </w:rPr>
        <w:t>tailpipe</w:t>
      </w:r>
      <w:r w:rsidRPr="00C202AA">
        <w:t xml:space="preserve"> </w:t>
      </w:r>
      <w:r w:rsidRPr="00C202AA">
        <w:rPr>
          <w:b/>
          <w:bCs/>
        </w:rPr>
        <w:t>idling</w:t>
      </w:r>
      <w:r>
        <w:t xml:space="preserve"> </w:t>
      </w:r>
      <w:r w:rsidRPr="00C202AA">
        <w:t>emissions (Type 2 test)</w:t>
      </w:r>
      <w:r w:rsidRPr="0052554C">
        <w:t>"</w:t>
      </w:r>
    </w:p>
    <w:p w14:paraId="3687F539" w14:textId="5C1BC1E1" w:rsidR="005F0C53" w:rsidRDefault="00C77C5A" w:rsidP="005F0C53">
      <w:pPr>
        <w:adjustRightInd w:val="0"/>
        <w:spacing w:after="120"/>
        <w:ind w:left="2268" w:right="1134" w:hanging="1134"/>
        <w:jc w:val="both"/>
        <w:rPr>
          <w:lang w:val="en-US"/>
        </w:rPr>
      </w:pPr>
      <w:r>
        <w:rPr>
          <w:i/>
          <w:iCs/>
          <w:lang w:val="en-US"/>
        </w:rPr>
        <w:t>P</w:t>
      </w:r>
      <w:r w:rsidR="005F0C53" w:rsidRPr="00EA7854">
        <w:rPr>
          <w:i/>
          <w:iCs/>
          <w:lang w:val="en-US"/>
        </w:rPr>
        <w:t xml:space="preserve">aragraph </w:t>
      </w:r>
      <w:r w:rsidR="005F0C53">
        <w:rPr>
          <w:i/>
          <w:iCs/>
          <w:lang w:val="en-US"/>
        </w:rPr>
        <w:t>7.2.2.2.</w:t>
      </w:r>
      <w:r w:rsidR="005F0C53">
        <w:rPr>
          <w:lang w:val="en-US"/>
        </w:rPr>
        <w:t>, amend</w:t>
      </w:r>
      <w:r w:rsidR="005F0C53">
        <w:rPr>
          <w:i/>
          <w:iCs/>
          <w:lang w:val="en-US"/>
        </w:rPr>
        <w:t xml:space="preserve"> </w:t>
      </w:r>
      <w:r w:rsidR="005F0C53" w:rsidRPr="00AE3C95">
        <w:rPr>
          <w:lang w:val="en-US"/>
        </w:rPr>
        <w:t>to read:</w:t>
      </w:r>
    </w:p>
    <w:p w14:paraId="18D760D4" w14:textId="77777777" w:rsidR="005F0C53" w:rsidRPr="00050990" w:rsidRDefault="005F0C53" w:rsidP="005F0C53">
      <w:pPr>
        <w:pStyle w:val="SingleTxtG"/>
        <w:ind w:left="2268" w:hanging="1134"/>
      </w:pPr>
      <w:r w:rsidRPr="0052554C">
        <w:t>"</w:t>
      </w:r>
      <w:r w:rsidRPr="00050990">
        <w:t xml:space="preserve">7.2.2.2. </w:t>
      </w:r>
      <w:r>
        <w:tab/>
      </w:r>
      <w:r w:rsidRPr="00050990">
        <w:t>To determine whether type approval can be extended, for each of the transmission ratios used in the Type 6 test, the proportion,</w:t>
      </w:r>
    </w:p>
    <w:p w14:paraId="19AA65AE" w14:textId="14FDDF71" w:rsidR="005F0C53" w:rsidRPr="00096033" w:rsidRDefault="005F0C53" w:rsidP="005F0C53">
      <w:pPr>
        <w:pStyle w:val="SingleTxtG"/>
        <w:ind w:left="2268"/>
      </w:pPr>
      <w:r w:rsidRPr="00096033">
        <w:t xml:space="preserve">(E) = </w:t>
      </w:r>
      <w:r w:rsidR="00E478AE" w:rsidRPr="00E478AE">
        <w:rPr>
          <w:strike/>
        </w:rPr>
        <w:t>(V</w:t>
      </w:r>
      <w:r w:rsidR="00E478AE" w:rsidRPr="00E478AE">
        <w:rPr>
          <w:strike/>
          <w:vertAlign w:val="subscript"/>
        </w:rPr>
        <w:t>2</w:t>
      </w:r>
      <w:r w:rsidR="00E478AE" w:rsidRPr="00E478AE">
        <w:rPr>
          <w:strike/>
        </w:rPr>
        <w:t xml:space="preserve"> – V</w:t>
      </w:r>
      <w:r w:rsidR="00E478AE" w:rsidRPr="00E478AE">
        <w:rPr>
          <w:strike/>
          <w:vertAlign w:val="subscript"/>
        </w:rPr>
        <w:t>1</w:t>
      </w:r>
      <w:r w:rsidR="00E478AE" w:rsidRPr="00E478AE">
        <w:rPr>
          <w:strike/>
        </w:rPr>
        <w:t>)</w:t>
      </w:r>
      <w:r w:rsidRPr="00540A32">
        <w:rPr>
          <w:b/>
          <w:bCs/>
        </w:rPr>
        <w:t>|(V</w:t>
      </w:r>
      <w:r w:rsidRPr="00540A32">
        <w:rPr>
          <w:b/>
          <w:bCs/>
          <w:vertAlign w:val="subscript"/>
        </w:rPr>
        <w:t>2</w:t>
      </w:r>
      <w:r w:rsidRPr="00540A32">
        <w:rPr>
          <w:b/>
          <w:bCs/>
        </w:rPr>
        <w:t xml:space="preserve"> – V</w:t>
      </w:r>
      <w:r w:rsidRPr="00540A32">
        <w:rPr>
          <w:b/>
          <w:bCs/>
          <w:vertAlign w:val="subscript"/>
        </w:rPr>
        <w:t>1</w:t>
      </w:r>
      <w:r w:rsidRPr="00540A32">
        <w:rPr>
          <w:b/>
          <w:bCs/>
        </w:rPr>
        <w:t>)|</w:t>
      </w:r>
      <w:r w:rsidRPr="00096033">
        <w:t>/V</w:t>
      </w:r>
      <w:r w:rsidRPr="00096033">
        <w:rPr>
          <w:vertAlign w:val="subscript"/>
        </w:rPr>
        <w:t>1</w:t>
      </w:r>
    </w:p>
    <w:p w14:paraId="390B94AF" w14:textId="77777777" w:rsidR="005F0C53" w:rsidRDefault="005F0C53" w:rsidP="005F0C53">
      <w:pPr>
        <w:pStyle w:val="SingleTxtG"/>
        <w:ind w:left="2268"/>
      </w:pPr>
      <w:r w:rsidRPr="00050990">
        <w:t xml:space="preserve">shall be determined where, at an engine speed of 1,000 min </w:t>
      </w:r>
      <w:r w:rsidRPr="00050990">
        <w:rPr>
          <w:vertAlign w:val="superscript"/>
        </w:rPr>
        <w:t>–1</w:t>
      </w:r>
      <w:r w:rsidRPr="00050990">
        <w:t>, V</w:t>
      </w:r>
      <w:r w:rsidRPr="00050990">
        <w:rPr>
          <w:vertAlign w:val="subscript"/>
        </w:rPr>
        <w:t>1</w:t>
      </w:r>
      <w:r w:rsidRPr="00050990">
        <w:t xml:space="preserve"> is the speed of the vehicle-type approved and V</w:t>
      </w:r>
      <w:r w:rsidRPr="00050990">
        <w:rPr>
          <w:vertAlign w:val="subscript"/>
        </w:rPr>
        <w:t>2</w:t>
      </w:r>
      <w:r w:rsidRPr="00050990">
        <w:t xml:space="preserve"> is the speed of the vehicle type for which extension of the approval is requested.</w:t>
      </w:r>
      <w:r w:rsidRPr="0052554C">
        <w:t>"</w:t>
      </w:r>
    </w:p>
    <w:p w14:paraId="07F489C0" w14:textId="32541B84" w:rsidR="005F0C53" w:rsidRDefault="00C77C5A" w:rsidP="005F0C53">
      <w:pPr>
        <w:adjustRightInd w:val="0"/>
        <w:spacing w:after="120"/>
        <w:ind w:left="2268" w:right="1134" w:hanging="1134"/>
        <w:jc w:val="both"/>
        <w:rPr>
          <w:lang w:val="en-US"/>
        </w:rPr>
      </w:pPr>
      <w:r>
        <w:rPr>
          <w:i/>
          <w:iCs/>
          <w:lang w:val="en-US"/>
        </w:rPr>
        <w:t>P</w:t>
      </w:r>
      <w:r w:rsidR="005F0C53" w:rsidRPr="00EA7854">
        <w:rPr>
          <w:i/>
          <w:iCs/>
          <w:lang w:val="en-US"/>
        </w:rPr>
        <w:t>aragraph</w:t>
      </w:r>
      <w:r w:rsidR="005F0C53">
        <w:rPr>
          <w:i/>
          <w:iCs/>
          <w:lang w:val="en-US"/>
        </w:rPr>
        <w:t xml:space="preserve"> (a) to Appendix 3a of Annex 1</w:t>
      </w:r>
      <w:r w:rsidR="005F0C53">
        <w:rPr>
          <w:lang w:val="en-US"/>
        </w:rPr>
        <w:t>, amend</w:t>
      </w:r>
      <w:r w:rsidR="005F0C53">
        <w:rPr>
          <w:i/>
          <w:iCs/>
          <w:lang w:val="en-US"/>
        </w:rPr>
        <w:t xml:space="preserve"> </w:t>
      </w:r>
      <w:r w:rsidR="005F0C53" w:rsidRPr="00AE3C95">
        <w:rPr>
          <w:lang w:val="en-US"/>
        </w:rPr>
        <w:t>to read:</w:t>
      </w:r>
    </w:p>
    <w:p w14:paraId="4B555082" w14:textId="77777777" w:rsidR="005F0C53" w:rsidRDefault="005F0C53" w:rsidP="005F0C53">
      <w:pPr>
        <w:pStyle w:val="SingleTxtG"/>
        <w:ind w:left="2268" w:hanging="1134"/>
      </w:pPr>
      <w:r w:rsidRPr="0052554C">
        <w:t>"</w:t>
      </w:r>
      <w:r w:rsidRPr="00B36D1D">
        <w:t xml:space="preserve">(a) </w:t>
      </w:r>
      <w:r>
        <w:tab/>
      </w:r>
      <w:r w:rsidRPr="00B36D1D">
        <w:t xml:space="preserve">a declaration of the manufacturer that the vehicle does not contain any defeat device not covered by one of the exceptions in paragraph </w:t>
      </w:r>
      <w:r w:rsidRPr="00B36D1D">
        <w:rPr>
          <w:strike/>
        </w:rPr>
        <w:t>5.1.3.</w:t>
      </w:r>
      <w:r>
        <w:t xml:space="preserve"> </w:t>
      </w:r>
      <w:r w:rsidRPr="00B36D1D">
        <w:rPr>
          <w:b/>
          <w:bCs/>
        </w:rPr>
        <w:t>5.1.7.</w:t>
      </w:r>
      <w:r w:rsidRPr="00B36D1D">
        <w:t xml:space="preserve"> of this Regulation;</w:t>
      </w:r>
      <w:r w:rsidRPr="0052554C">
        <w:t>"</w:t>
      </w:r>
    </w:p>
    <w:p w14:paraId="151627BD" w14:textId="0F1A8AF7" w:rsidR="005F0C53" w:rsidRDefault="00C77C5A" w:rsidP="005F0C53">
      <w:pPr>
        <w:adjustRightInd w:val="0"/>
        <w:spacing w:after="120"/>
        <w:ind w:left="2268" w:right="1134" w:hanging="1134"/>
        <w:jc w:val="both"/>
        <w:rPr>
          <w:lang w:val="en-US"/>
        </w:rPr>
      </w:pPr>
      <w:r>
        <w:rPr>
          <w:i/>
          <w:iCs/>
          <w:lang w:val="en-US"/>
        </w:rPr>
        <w:t>I</w:t>
      </w:r>
      <w:r w:rsidR="005F0C53">
        <w:rPr>
          <w:i/>
          <w:iCs/>
          <w:lang w:val="en-US"/>
        </w:rPr>
        <w:t>tem (</w:t>
      </w:r>
      <w:proofErr w:type="spellStart"/>
      <w:r w:rsidR="005F0C53">
        <w:rPr>
          <w:i/>
          <w:iCs/>
          <w:lang w:val="en-US"/>
        </w:rPr>
        <w:t>i</w:t>
      </w:r>
      <w:proofErr w:type="spellEnd"/>
      <w:r w:rsidR="005F0C53">
        <w:rPr>
          <w:i/>
          <w:iCs/>
          <w:lang w:val="en-US"/>
        </w:rPr>
        <w:t>) to p</w:t>
      </w:r>
      <w:r w:rsidR="005F0C53" w:rsidRPr="00EA7854">
        <w:rPr>
          <w:i/>
          <w:iCs/>
          <w:lang w:val="en-US"/>
        </w:rPr>
        <w:t>aragraph</w:t>
      </w:r>
      <w:r w:rsidR="005F0C53">
        <w:rPr>
          <w:i/>
          <w:iCs/>
          <w:lang w:val="en-US"/>
        </w:rPr>
        <w:t xml:space="preserve"> (d) to Appendix 3a of Annex 1</w:t>
      </w:r>
      <w:r w:rsidR="005F0C53">
        <w:rPr>
          <w:lang w:val="en-US"/>
        </w:rPr>
        <w:t>, amend</w:t>
      </w:r>
      <w:r w:rsidR="005F0C53">
        <w:rPr>
          <w:i/>
          <w:iCs/>
          <w:lang w:val="en-US"/>
        </w:rPr>
        <w:t xml:space="preserve"> </w:t>
      </w:r>
      <w:r w:rsidR="005F0C53" w:rsidRPr="00AE3C95">
        <w:rPr>
          <w:lang w:val="en-US"/>
        </w:rPr>
        <w:t>to read:</w:t>
      </w:r>
    </w:p>
    <w:p w14:paraId="0DFF3436" w14:textId="77777777" w:rsidR="005F0C53" w:rsidRDefault="005F0C53" w:rsidP="005F0C53">
      <w:pPr>
        <w:pStyle w:val="SingleTxtG"/>
        <w:ind w:left="2268" w:hanging="1134"/>
      </w:pPr>
      <w:r w:rsidRPr="0052554C">
        <w:t>"</w:t>
      </w:r>
      <w:r w:rsidRPr="00B36D1D">
        <w:t>(</w:t>
      </w:r>
      <w:proofErr w:type="spellStart"/>
      <w:r w:rsidRPr="00B36D1D">
        <w:t>i</w:t>
      </w:r>
      <w:proofErr w:type="spellEnd"/>
      <w:r w:rsidRPr="00B36D1D">
        <w:t xml:space="preserve">) </w:t>
      </w:r>
      <w:r>
        <w:tab/>
      </w:r>
      <w:r w:rsidRPr="00B36D1D">
        <w:t xml:space="preserve">why any of the exception clauses from the defeat device prohibition in paragraph </w:t>
      </w:r>
      <w:r w:rsidRPr="00B36D1D">
        <w:rPr>
          <w:strike/>
        </w:rPr>
        <w:t>5.1.3.</w:t>
      </w:r>
      <w:r w:rsidRPr="00B36D1D">
        <w:t xml:space="preserve"> </w:t>
      </w:r>
      <w:r w:rsidRPr="00A729CF">
        <w:rPr>
          <w:b/>
          <w:bCs/>
        </w:rPr>
        <w:t>5.1.7.</w:t>
      </w:r>
      <w:r>
        <w:t xml:space="preserve"> </w:t>
      </w:r>
      <w:r w:rsidRPr="00B36D1D">
        <w:t>of this Regulation apply;</w:t>
      </w:r>
      <w:r w:rsidRPr="0052554C">
        <w:t>"</w:t>
      </w:r>
    </w:p>
    <w:p w14:paraId="3BDCEDDF" w14:textId="6B901E5D" w:rsidR="005F0C53" w:rsidRDefault="009D7C68" w:rsidP="005F0C53">
      <w:pPr>
        <w:adjustRightInd w:val="0"/>
        <w:spacing w:after="120"/>
        <w:ind w:left="2268" w:right="1134" w:hanging="1134"/>
        <w:jc w:val="both"/>
        <w:rPr>
          <w:lang w:val="en-US"/>
        </w:rPr>
      </w:pPr>
      <w:r>
        <w:rPr>
          <w:i/>
          <w:iCs/>
          <w:lang w:val="en-US"/>
        </w:rPr>
        <w:t>P</w:t>
      </w:r>
      <w:r w:rsidR="005F0C53" w:rsidRPr="00EA7854">
        <w:rPr>
          <w:i/>
          <w:iCs/>
          <w:lang w:val="en-US"/>
        </w:rPr>
        <w:t>aragraph</w:t>
      </w:r>
      <w:r w:rsidR="005F0C53">
        <w:rPr>
          <w:i/>
          <w:iCs/>
          <w:lang w:val="en-US"/>
        </w:rPr>
        <w:t xml:space="preserve"> (f) to Appendix 3a of Annex 1</w:t>
      </w:r>
      <w:r w:rsidR="005F0C53">
        <w:rPr>
          <w:lang w:val="en-US"/>
        </w:rPr>
        <w:t>, amend</w:t>
      </w:r>
      <w:r w:rsidR="005F0C53">
        <w:rPr>
          <w:i/>
          <w:iCs/>
          <w:lang w:val="en-US"/>
        </w:rPr>
        <w:t xml:space="preserve"> </w:t>
      </w:r>
      <w:r w:rsidR="005F0C53" w:rsidRPr="00AE3C95">
        <w:rPr>
          <w:lang w:val="en-US"/>
        </w:rPr>
        <w:t>to read:</w:t>
      </w:r>
    </w:p>
    <w:p w14:paraId="259E6199" w14:textId="77777777" w:rsidR="005F0C53" w:rsidRDefault="005F0C53" w:rsidP="005F0C53">
      <w:pPr>
        <w:pStyle w:val="SingleTxtG"/>
        <w:ind w:left="2268" w:hanging="1134"/>
      </w:pPr>
      <w:r w:rsidRPr="0052554C">
        <w:t>"</w:t>
      </w:r>
      <w:r w:rsidRPr="009308D8">
        <w:t>(f)</w:t>
      </w:r>
      <w:r>
        <w:tab/>
      </w:r>
      <w:r w:rsidRPr="009308D8">
        <w:t>a description of the hierarchical relations among the AES (i.e., when more than one AES can be active concurrently, an indication of which AES is primary in responding, the method by which strategies interact, including data flow diagrams and decision logic and how does the hierarchy assure emissions from all AES are controlled to the lowest practical level</w:t>
      </w:r>
      <w:r w:rsidRPr="009308D8">
        <w:rPr>
          <w:b/>
          <w:bCs/>
        </w:rPr>
        <w:t>)</w:t>
      </w:r>
      <w:r w:rsidRPr="009308D8">
        <w:t>;</w:t>
      </w:r>
      <w:r w:rsidRPr="0052554C">
        <w:t>"</w:t>
      </w:r>
    </w:p>
    <w:p w14:paraId="1BDCDD93" w14:textId="2E394E73" w:rsidR="005F0C53" w:rsidRDefault="009D7C68" w:rsidP="005F0C53">
      <w:pPr>
        <w:adjustRightInd w:val="0"/>
        <w:spacing w:after="120"/>
        <w:ind w:left="2268" w:right="1134" w:hanging="1134"/>
        <w:jc w:val="both"/>
        <w:rPr>
          <w:lang w:val="en-US"/>
        </w:rPr>
      </w:pPr>
      <w:r>
        <w:rPr>
          <w:i/>
          <w:iCs/>
          <w:lang w:val="en-US"/>
        </w:rPr>
        <w:t>I</w:t>
      </w:r>
      <w:r w:rsidR="005F0C53">
        <w:rPr>
          <w:i/>
          <w:iCs/>
          <w:lang w:val="en-US"/>
        </w:rPr>
        <w:t>tem “Versioning table” of Table A1/1 to Appendix 3a of Annex 1</w:t>
      </w:r>
      <w:r w:rsidR="005F0C53">
        <w:rPr>
          <w:lang w:val="en-US"/>
        </w:rPr>
        <w:t>, amend</w:t>
      </w:r>
      <w:r w:rsidR="005F0C53">
        <w:rPr>
          <w:i/>
          <w:iCs/>
          <w:lang w:val="en-US"/>
        </w:rPr>
        <w:t xml:space="preserve"> </w:t>
      </w:r>
      <w:r w:rsidR="005F0C53" w:rsidRPr="00AE3C95">
        <w:rPr>
          <w:lang w:val="en-US"/>
        </w:rPr>
        <w:t>to read:</w:t>
      </w:r>
    </w:p>
    <w:p w14:paraId="032D0B00" w14:textId="77777777" w:rsidR="005F0C53" w:rsidRPr="00096033" w:rsidRDefault="005F0C53" w:rsidP="005F0C53">
      <w:pPr>
        <w:adjustRightInd w:val="0"/>
        <w:spacing w:after="120"/>
        <w:ind w:left="2268" w:right="1134" w:hanging="1134"/>
        <w:jc w:val="both"/>
        <w:rPr>
          <w:lang w:val="en-US"/>
        </w:rPr>
      </w:pPr>
      <w:r w:rsidRPr="0052554C">
        <w:t>"</w:t>
      </w:r>
      <w:r>
        <w:t>…</w:t>
      </w:r>
    </w:p>
    <w:tbl>
      <w:tblPr>
        <w:tblStyle w:val="TableGrid"/>
        <w:tblW w:w="0" w:type="auto"/>
        <w:tblInd w:w="1271" w:type="dxa"/>
        <w:tblLook w:val="04A0" w:firstRow="1" w:lastRow="0" w:firstColumn="1" w:lastColumn="0" w:noHBand="0" w:noVBand="1"/>
      </w:tblPr>
      <w:tblGrid>
        <w:gridCol w:w="3544"/>
        <w:gridCol w:w="3685"/>
      </w:tblGrid>
      <w:tr w:rsidR="005F0C53" w14:paraId="08DAF157" w14:textId="77777777" w:rsidTr="00D571AA">
        <w:tc>
          <w:tcPr>
            <w:tcW w:w="3544" w:type="dxa"/>
          </w:tcPr>
          <w:p w14:paraId="720BB41F" w14:textId="77777777" w:rsidR="005F0C53" w:rsidRDefault="005F0C53" w:rsidP="00D571AA">
            <w:pPr>
              <w:pStyle w:val="SingleTxtG"/>
              <w:ind w:left="0"/>
            </w:pPr>
            <w:r w:rsidRPr="009308D8">
              <w:t>Versioning table</w:t>
            </w:r>
          </w:p>
        </w:tc>
        <w:tc>
          <w:tcPr>
            <w:tcW w:w="3685" w:type="dxa"/>
          </w:tcPr>
          <w:p w14:paraId="460A0126" w14:textId="77777777" w:rsidR="005F0C53" w:rsidRDefault="005F0C53" w:rsidP="00D571AA">
            <w:pPr>
              <w:pStyle w:val="SingleTxtG"/>
              <w:ind w:left="0"/>
            </w:pPr>
            <w:r w:rsidRPr="009308D8">
              <w:t>Content</w:t>
            </w:r>
            <w:r>
              <w:t xml:space="preserve"> </w:t>
            </w:r>
            <w:r w:rsidRPr="009308D8">
              <w:t>of each version modifications</w:t>
            </w:r>
            <w:r w:rsidRPr="009308D8">
              <w:rPr>
                <w:strike/>
              </w:rPr>
              <w:t>: and with</w:t>
            </w:r>
            <w:r w:rsidRPr="009308D8">
              <w:t xml:space="preserve"> </w:t>
            </w:r>
            <w:r w:rsidRPr="009308D8">
              <w:rPr>
                <w:b/>
                <w:bCs/>
              </w:rPr>
              <w:t>and which</w:t>
            </w:r>
            <w:r>
              <w:t xml:space="preserve"> </w:t>
            </w:r>
            <w:r w:rsidRPr="009308D8">
              <w:t>part is modified</w:t>
            </w:r>
          </w:p>
        </w:tc>
      </w:tr>
    </w:tbl>
    <w:p w14:paraId="5F0FF5DB" w14:textId="3D2433FC" w:rsidR="00C44FDB" w:rsidRDefault="005F0C53" w:rsidP="00046236">
      <w:pPr>
        <w:pStyle w:val="SingleTxtG"/>
      </w:pPr>
      <w:r>
        <w:rPr>
          <w:bCs/>
          <w:lang w:eastAsia="ja-JP"/>
        </w:rPr>
        <w:t>…</w:t>
      </w:r>
      <w:r w:rsidRPr="0052554C">
        <w:t>"</w:t>
      </w:r>
      <w:r w:rsidR="00C44FDB">
        <w:br w:type="page"/>
      </w:r>
    </w:p>
    <w:p w14:paraId="7297F235" w14:textId="1D849FF5" w:rsidR="00C44FDB" w:rsidRPr="00D96AA7" w:rsidRDefault="00C44FDB" w:rsidP="00982FC2">
      <w:pPr>
        <w:pStyle w:val="Default"/>
        <w:ind w:left="567" w:right="805"/>
        <w:rPr>
          <w:b/>
          <w:bCs/>
          <w:sz w:val="28"/>
          <w:szCs w:val="28"/>
          <w:lang w:val="en-GB"/>
        </w:rPr>
      </w:pPr>
      <w:r w:rsidRPr="00D96AA7">
        <w:rPr>
          <w:b/>
          <w:bCs/>
          <w:sz w:val="28"/>
          <w:szCs w:val="28"/>
          <w:lang w:val="en-GB"/>
        </w:rPr>
        <w:lastRenderedPageBreak/>
        <w:t>II.</w:t>
      </w:r>
      <w:r w:rsidR="009106DB">
        <w:rPr>
          <w:b/>
          <w:bCs/>
          <w:sz w:val="28"/>
          <w:szCs w:val="28"/>
          <w:lang w:val="en-GB"/>
        </w:rPr>
        <w:tab/>
      </w:r>
      <w:r w:rsidRPr="00D96AA7">
        <w:rPr>
          <w:b/>
          <w:bCs/>
          <w:sz w:val="28"/>
          <w:szCs w:val="28"/>
          <w:lang w:val="en-GB"/>
        </w:rPr>
        <w:t>Justification</w:t>
      </w:r>
    </w:p>
    <w:p w14:paraId="4A33DFF4" w14:textId="77777777" w:rsidR="00C44FDB" w:rsidRPr="00D96AA7" w:rsidRDefault="00C44FDB" w:rsidP="00C44FDB">
      <w:pPr>
        <w:pStyle w:val="Default"/>
        <w:ind w:left="1134" w:right="1110"/>
        <w:rPr>
          <w:sz w:val="28"/>
          <w:szCs w:val="28"/>
          <w:lang w:val="en-GB"/>
        </w:rPr>
      </w:pPr>
    </w:p>
    <w:p w14:paraId="4323617E" w14:textId="77777777" w:rsidR="00C44FDB" w:rsidRDefault="00C44FDB" w:rsidP="00C44FDB">
      <w:pPr>
        <w:pStyle w:val="SingleTxtG"/>
        <w:numPr>
          <w:ilvl w:val="0"/>
          <w:numId w:val="29"/>
        </w:numPr>
        <w:ind w:left="1134" w:firstLine="0"/>
        <w:rPr>
          <w:lang w:val="en-US"/>
        </w:rPr>
      </w:pPr>
      <w:r>
        <w:rPr>
          <w:lang w:val="en-US"/>
        </w:rPr>
        <w:t xml:space="preserve">The proposed definition of a vehicle type for the </w:t>
      </w:r>
      <w:r>
        <w:t xml:space="preserve">08 series of amendments to UN Regulation No. 83 could lead to the case that vehicles which fall within a single </w:t>
      </w:r>
      <w:r w:rsidRPr="005A1AAC">
        <w:rPr>
          <w:i/>
          <w:iCs/>
        </w:rPr>
        <w:t>“Vehicle type with regard to emissions”</w:t>
      </w:r>
      <w:r>
        <w:t xml:space="preserve"> in accordance with UN Regulation No. 154 would not fulfil the requirements to be covered by a single type-approval according to the 08 series of amendments to UN Regulation No. 83. Therefor it is proposed to align the vehicle type definition of the 08 series of amendments to UN Regulation No. 83 to the type definition of UN Regulation No. 154.</w:t>
      </w:r>
    </w:p>
    <w:p w14:paraId="3F5FEE0C" w14:textId="77777777" w:rsidR="00C44FDB" w:rsidRDefault="00C44FDB" w:rsidP="00C44FDB">
      <w:pPr>
        <w:pStyle w:val="SingleTxtG"/>
        <w:numPr>
          <w:ilvl w:val="0"/>
          <w:numId w:val="29"/>
        </w:numPr>
        <w:ind w:left="1134" w:firstLine="0"/>
        <w:rPr>
          <w:lang w:val="en-US"/>
        </w:rPr>
      </w:pPr>
      <w:r>
        <w:rPr>
          <w:lang w:val="en-US"/>
        </w:rPr>
        <w:t>The definition for “</w:t>
      </w:r>
      <w:r w:rsidRPr="004D6B48">
        <w:rPr>
          <w:lang w:val="en-US"/>
        </w:rPr>
        <w:t>Portable emissions measurement system (PEMS)</w:t>
      </w:r>
      <w:r>
        <w:rPr>
          <w:lang w:val="en-US"/>
        </w:rPr>
        <w:t>” refers to requirements specified in Appendix 1 to Annex IIIA. However, UN Regulation No. 83 in its 08 series of amendments does not contain an Annex IIIA. The definition got carried over unchanged from COMMISSION REGULATION (EU) 2017/1151 as amended by 2018/1832, where Appendix 1 to Annex IIIA refers to “</w:t>
      </w:r>
      <w:r w:rsidRPr="00515FCC">
        <w:rPr>
          <w:lang w:val="en-US"/>
        </w:rPr>
        <w:t>Test procedure for vehicle emissions testing with a Portable Emissions Measurement System (PEMS)</w:t>
      </w:r>
      <w:r>
        <w:rPr>
          <w:lang w:val="en-US"/>
        </w:rPr>
        <w:t>”. The chapter with the same headline is included within Annex 4 to the new UN Regulation No. 168 on RDE.</w:t>
      </w:r>
    </w:p>
    <w:p w14:paraId="5E3C22F1" w14:textId="1FF6457D" w:rsidR="00C44FDB" w:rsidRPr="00A90EBE" w:rsidRDefault="00C44FDB" w:rsidP="00C44FDB">
      <w:pPr>
        <w:pStyle w:val="SingleTxtG"/>
        <w:numPr>
          <w:ilvl w:val="0"/>
          <w:numId w:val="29"/>
        </w:numPr>
        <w:ind w:left="1134" w:firstLine="0"/>
        <w:rPr>
          <w:lang w:val="en-US"/>
        </w:rPr>
      </w:pPr>
      <w:r w:rsidRPr="00A90EBE">
        <w:rPr>
          <w:lang w:val="en-US"/>
        </w:rPr>
        <w:t xml:space="preserve">Correction of a wrong reference to </w:t>
      </w:r>
      <w:r w:rsidRPr="00C44FDB">
        <w:rPr>
          <w:lang w:val="en-US"/>
        </w:rPr>
        <w:t>paragraph 3.2. of Annex B8 to UN Regulation No. 154.</w:t>
      </w:r>
      <w:r w:rsidRPr="00A90EBE">
        <w:rPr>
          <w:lang w:val="en-US"/>
        </w:rPr>
        <w:t xml:space="preserve"> The values used for the</w:t>
      </w:r>
      <w:r>
        <w:rPr>
          <w:lang w:val="en-US"/>
        </w:rPr>
        <w:t xml:space="preserve"> </w:t>
      </w:r>
      <w:r w:rsidRPr="00A90EBE">
        <w:rPr>
          <w:lang w:val="en-US"/>
        </w:rPr>
        <w:t>utility factor calculation are included in Table A8.App5/1</w:t>
      </w:r>
      <w:r>
        <w:rPr>
          <w:lang w:val="en-US"/>
        </w:rPr>
        <w:t xml:space="preserve"> </w:t>
      </w:r>
      <w:r w:rsidRPr="00A90EBE">
        <w:rPr>
          <w:lang w:val="en-US"/>
        </w:rPr>
        <w:t xml:space="preserve">of paragraph </w:t>
      </w:r>
      <w:r>
        <w:rPr>
          <w:lang w:val="en-US"/>
        </w:rPr>
        <w:t>3</w:t>
      </w:r>
      <w:r w:rsidRPr="00A90EBE">
        <w:rPr>
          <w:lang w:val="en-US"/>
        </w:rPr>
        <w:t xml:space="preserve">. of </w:t>
      </w:r>
      <w:r>
        <w:rPr>
          <w:lang w:val="en-US"/>
        </w:rPr>
        <w:t xml:space="preserve">Appendix 5 to </w:t>
      </w:r>
      <w:r w:rsidRPr="00A90EBE">
        <w:rPr>
          <w:lang w:val="en-US"/>
        </w:rPr>
        <w:t>Annex B8 to UN Regulation No. 154</w:t>
      </w:r>
      <w:r>
        <w:rPr>
          <w:lang w:val="en-US"/>
        </w:rPr>
        <w:t xml:space="preserve"> in its original version of the 02 and 03 series of amendments and will be included in </w:t>
      </w:r>
      <w:r w:rsidRPr="00C44FDB">
        <w:rPr>
          <w:lang w:val="en-US"/>
        </w:rPr>
        <w:t xml:space="preserve">paragraph </w:t>
      </w:r>
      <w:r>
        <w:rPr>
          <w:lang w:val="en-US"/>
        </w:rPr>
        <w:t>2</w:t>
      </w:r>
      <w:r w:rsidRPr="00C44FDB">
        <w:rPr>
          <w:lang w:val="en-US"/>
        </w:rPr>
        <w:t>. of Appendix 5 to Annex B8 to UN Regulation No. 154 of the 02 and 03 series of amendments</w:t>
      </w:r>
      <w:r>
        <w:rPr>
          <w:lang w:val="en-US"/>
        </w:rPr>
        <w:t xml:space="preserve"> after the introduction of supplement 01 for the two series of amendments.</w:t>
      </w:r>
    </w:p>
    <w:p w14:paraId="4415568F" w14:textId="77777777" w:rsidR="00C44FDB" w:rsidRPr="00050990" w:rsidRDefault="00C44FDB" w:rsidP="00C44FDB">
      <w:pPr>
        <w:pStyle w:val="SingleTxtG"/>
        <w:numPr>
          <w:ilvl w:val="0"/>
          <w:numId w:val="29"/>
        </w:numPr>
        <w:ind w:left="1134" w:firstLine="0"/>
        <w:rPr>
          <w:u w:val="single"/>
        </w:rPr>
      </w:pPr>
      <w:r>
        <w:rPr>
          <w:lang w:val="en-US"/>
        </w:rPr>
        <w:t>The description of paragraph 7.1. is referring to “tailpipe emissions” and more precisely in detail to the Type 2 test. The Type 2 test however provides the procedure to determine idling emissions as it is also described within paragraph 1. of the regulation.</w:t>
      </w:r>
    </w:p>
    <w:p w14:paraId="01A69215" w14:textId="77777777" w:rsidR="00C44FDB" w:rsidRPr="00B36D1D" w:rsidRDefault="00C44FDB" w:rsidP="00C44FDB">
      <w:pPr>
        <w:pStyle w:val="SingleTxtG"/>
        <w:numPr>
          <w:ilvl w:val="0"/>
          <w:numId w:val="29"/>
        </w:numPr>
        <w:ind w:left="1134" w:firstLine="0"/>
        <w:rPr>
          <w:u w:val="single"/>
        </w:rPr>
      </w:pPr>
      <w:r>
        <w:t>The formula specified in paragraph 7.2.2.2. of the 08 series of amendments to UN Regulation No. 83 got carried over from the 07 series of amendments to UN Regulation No. 83, however within the 07 series of amendments the absolute value of (V</w:t>
      </w:r>
      <w:r w:rsidRPr="00050990">
        <w:rPr>
          <w:vertAlign w:val="subscript"/>
        </w:rPr>
        <w:t>2</w:t>
      </w:r>
      <w:r>
        <w:t xml:space="preserve"> – V</w:t>
      </w:r>
      <w:r w:rsidRPr="00050990">
        <w:rPr>
          <w:vertAlign w:val="subscript"/>
        </w:rPr>
        <w:t>1</w:t>
      </w:r>
      <w:r>
        <w:t>) is used as the numerator which fits better to the prescribed tolerances of (E).</w:t>
      </w:r>
    </w:p>
    <w:p w14:paraId="6E3ED2D8" w14:textId="77777777" w:rsidR="00C44FDB" w:rsidRPr="009308D8" w:rsidRDefault="00C44FDB" w:rsidP="00C44FDB">
      <w:pPr>
        <w:pStyle w:val="SingleTxtG"/>
        <w:numPr>
          <w:ilvl w:val="0"/>
          <w:numId w:val="29"/>
        </w:numPr>
        <w:ind w:left="1134" w:firstLine="0"/>
        <w:rPr>
          <w:u w:val="single"/>
        </w:rPr>
      </w:pPr>
      <w:r>
        <w:t>P</w:t>
      </w:r>
      <w:r w:rsidRPr="00B36D1D">
        <w:t>aragraph (a)</w:t>
      </w:r>
      <w:r>
        <w:t xml:space="preserve"> and item (</w:t>
      </w:r>
      <w:proofErr w:type="spellStart"/>
      <w:r>
        <w:t>i</w:t>
      </w:r>
      <w:proofErr w:type="spellEnd"/>
      <w:r>
        <w:t>) of paragraph (d)</w:t>
      </w:r>
      <w:r w:rsidRPr="00B36D1D">
        <w:t xml:space="preserve"> to Appendix 3a of Annex 1</w:t>
      </w:r>
      <w:r>
        <w:t xml:space="preserve"> refer to paragraph 5.1.3. of the 08 series of amendments to UN Regulation No. 83. However, the content of paragraph 5.1.3. is “Reserved”. The description of the “Extended Documentation Package” got carried over from </w:t>
      </w:r>
      <w:r>
        <w:rPr>
          <w:lang w:val="en-US"/>
        </w:rPr>
        <w:t xml:space="preserve">COMMISSION REGULATION (EU) 2017/1151 as amended by 2023/443, where the corresponding paragraphs refer to Article 5(2) of Regulation (EC) No 715/2007. The same content and requirements of Article 5(2) of Regulation (EC) No 715/2007 are contained within 5.1.7. </w:t>
      </w:r>
      <w:r>
        <w:t>of the 08 series of amendments to UN Regulation No. 83.</w:t>
      </w:r>
    </w:p>
    <w:p w14:paraId="7B2B908B" w14:textId="77777777" w:rsidR="00C44FDB" w:rsidRPr="009308D8" w:rsidRDefault="00C44FDB" w:rsidP="00C44FDB">
      <w:pPr>
        <w:pStyle w:val="SingleTxtG"/>
        <w:numPr>
          <w:ilvl w:val="0"/>
          <w:numId w:val="29"/>
        </w:numPr>
        <w:ind w:left="1134" w:firstLine="0"/>
        <w:rPr>
          <w:u w:val="single"/>
        </w:rPr>
      </w:pPr>
      <w:r>
        <w:t>Addition of a closing bracket.</w:t>
      </w:r>
    </w:p>
    <w:p w14:paraId="5155156A" w14:textId="77777777" w:rsidR="00C44FDB" w:rsidRDefault="00C44FDB" w:rsidP="00C44FDB">
      <w:pPr>
        <w:pStyle w:val="SingleTxtG"/>
        <w:numPr>
          <w:ilvl w:val="0"/>
          <w:numId w:val="29"/>
        </w:numPr>
        <w:ind w:left="1134" w:firstLine="0"/>
      </w:pPr>
      <w:r w:rsidRPr="009308D8">
        <w:t>Correction of misspelling.</w:t>
      </w:r>
    </w:p>
    <w:p w14:paraId="6CADB8CF" w14:textId="50036608" w:rsidR="005F0C53" w:rsidRPr="00C73A43" w:rsidRDefault="00C73A43" w:rsidP="00C73A43">
      <w:pPr>
        <w:spacing w:before="240"/>
        <w:jc w:val="center"/>
        <w:rPr>
          <w:u w:val="single"/>
        </w:rPr>
      </w:pPr>
      <w:r>
        <w:rPr>
          <w:u w:val="single"/>
        </w:rPr>
        <w:tab/>
      </w:r>
      <w:r>
        <w:rPr>
          <w:u w:val="single"/>
        </w:rPr>
        <w:tab/>
      </w:r>
      <w:r>
        <w:rPr>
          <w:u w:val="single"/>
        </w:rPr>
        <w:tab/>
      </w:r>
    </w:p>
    <w:p w14:paraId="3C2019BB" w14:textId="77777777" w:rsidR="005F0C53" w:rsidRDefault="005F0C53" w:rsidP="005F0C53">
      <w:pPr>
        <w:pStyle w:val="SingleTxtG"/>
        <w:ind w:left="2268" w:hanging="1134"/>
      </w:pPr>
    </w:p>
    <w:p w14:paraId="02F42C3C" w14:textId="41C9716A" w:rsidR="00D527CB" w:rsidRPr="00A868B6" w:rsidRDefault="00D527CB" w:rsidP="00D527CB">
      <w:pPr>
        <w:suppressAutoHyphens w:val="0"/>
        <w:spacing w:line="240" w:lineRule="auto"/>
        <w:rPr>
          <w:rFonts w:ascii="LJLOIP+TimesNewRoman" w:hAnsi="LJLOIP+TimesNewRoman" w:cs="LJLOIP+TimesNewRoman"/>
          <w:b/>
          <w:bCs/>
          <w:color w:val="000000" w:themeColor="text1"/>
          <w:sz w:val="28"/>
          <w:szCs w:val="28"/>
        </w:rPr>
      </w:pPr>
    </w:p>
    <w:sectPr w:rsidR="00D527CB" w:rsidRPr="00A868B6" w:rsidSect="006F29E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5617" w14:textId="77777777" w:rsidR="00C4608A" w:rsidRDefault="00C4608A"/>
  </w:endnote>
  <w:endnote w:type="continuationSeparator" w:id="0">
    <w:p w14:paraId="150C432B" w14:textId="77777777" w:rsidR="00C4608A" w:rsidRDefault="00C4608A"/>
  </w:endnote>
  <w:endnote w:type="continuationNotice" w:id="1">
    <w:p w14:paraId="5BCE0368" w14:textId="77777777" w:rsidR="00C4608A" w:rsidRDefault="00C4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17C1719D"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B70B6FD"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B1B5" w14:textId="1D23E095" w:rsidR="005C58DD" w:rsidRDefault="005C58DD" w:rsidP="005C58DD">
    <w:pPr>
      <w:pStyle w:val="Footer"/>
    </w:pPr>
    <w:bookmarkStart w:id="1" w:name="_GoBack"/>
    <w:bookmarkEnd w:id="1"/>
    <w:r>
      <w:rPr>
        <w:noProof/>
        <w:lang w:val="en-US" w:eastAsia="zh-CN"/>
      </w:rPr>
      <w:drawing>
        <wp:anchor distT="0" distB="0" distL="114300" distR="114300" simplePos="0" relativeHeight="251659264" behindDoc="1" locked="1" layoutInCell="1" allowOverlap="1" wp14:anchorId="4B7D6D73" wp14:editId="25DCA7F3">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46B7CAA" w14:textId="5E24131C" w:rsidR="005C58DD" w:rsidRPr="005C58DD" w:rsidRDefault="005C58DD" w:rsidP="005C58DD">
    <w:pPr>
      <w:pStyle w:val="Footer"/>
      <w:ind w:right="1134"/>
      <w:rPr>
        <w:sz w:val="20"/>
      </w:rPr>
    </w:pPr>
    <w:r>
      <w:rPr>
        <w:sz w:val="20"/>
      </w:rPr>
      <w:t>GE.23-21010(E)</w:t>
    </w:r>
    <w:r>
      <w:rPr>
        <w:noProof/>
        <w:sz w:val="20"/>
      </w:rPr>
      <w:drawing>
        <wp:anchor distT="0" distB="0" distL="114300" distR="114300" simplePos="0" relativeHeight="251660288" behindDoc="0" locked="0" layoutInCell="1" allowOverlap="1" wp14:anchorId="3E126BAE" wp14:editId="5FF478C2">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2AE2" w14:textId="77777777" w:rsidR="00C4608A" w:rsidRPr="000B175B" w:rsidRDefault="00C4608A" w:rsidP="000B175B">
      <w:pPr>
        <w:tabs>
          <w:tab w:val="right" w:pos="2155"/>
        </w:tabs>
        <w:spacing w:after="80"/>
        <w:ind w:left="680"/>
        <w:rPr>
          <w:u w:val="single"/>
        </w:rPr>
      </w:pPr>
      <w:r>
        <w:rPr>
          <w:u w:val="single"/>
        </w:rPr>
        <w:tab/>
      </w:r>
    </w:p>
  </w:footnote>
  <w:footnote w:type="continuationSeparator" w:id="0">
    <w:p w14:paraId="142DE2BB" w14:textId="77777777" w:rsidR="00C4608A" w:rsidRPr="00FC68B7" w:rsidRDefault="00C4608A" w:rsidP="00FC68B7">
      <w:pPr>
        <w:tabs>
          <w:tab w:val="left" w:pos="2155"/>
        </w:tabs>
        <w:spacing w:after="80"/>
        <w:ind w:left="680"/>
        <w:rPr>
          <w:u w:val="single"/>
        </w:rPr>
      </w:pPr>
      <w:r>
        <w:rPr>
          <w:u w:val="single"/>
        </w:rPr>
        <w:tab/>
      </w:r>
    </w:p>
  </w:footnote>
  <w:footnote w:type="continuationNotice" w:id="1">
    <w:p w14:paraId="5B3569B1" w14:textId="77777777" w:rsidR="00C4608A" w:rsidRDefault="00C4608A"/>
  </w:footnote>
  <w:footnote w:id="2">
    <w:p w14:paraId="651E1C74" w14:textId="77777777" w:rsidR="00061070" w:rsidRDefault="00061070" w:rsidP="00061070">
      <w:pPr>
        <w:pStyle w:val="FootnoteText"/>
      </w:pPr>
      <w:r>
        <w:tab/>
      </w:r>
      <w:r>
        <w:rPr>
          <w:rStyle w:val="FootnoteReference"/>
          <w:sz w:val="20"/>
          <w:lang w:val="en-US"/>
        </w:rPr>
        <w:t>*</w:t>
      </w:r>
      <w:r>
        <w:rPr>
          <w:sz w:val="20"/>
          <w:lang w:val="en-US"/>
        </w:rPr>
        <w:tab/>
      </w:r>
      <w:r>
        <w:rPr>
          <w:szCs w:val="18"/>
          <w:lang w:val="en-US"/>
        </w:rPr>
        <w:t>In accordance with the programme of work of the Inland Transport Committee for 2023 as outlined in proposed programme budget for 2024 (</w:t>
      </w:r>
      <w:r>
        <w:rPr>
          <w:lang w:val="en-US"/>
        </w:rPr>
        <w:t>A/78/6 (Sect. 20), table 20.5</w:t>
      </w:r>
      <w:r>
        <w:rPr>
          <w:szCs w:val="18"/>
          <w:lang w:val="en-US"/>
        </w:rPr>
        <w:t xml:space="preserve">), </w:t>
      </w:r>
      <w:r w:rsidRPr="009B60D7">
        <w:rPr>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0143F4AB" w:rsidR="00D527CB" w:rsidRPr="001A3844" w:rsidRDefault="009106DB" w:rsidP="00DE1EBA">
    <w:pPr>
      <w:pStyle w:val="Header"/>
      <w:rPr>
        <w:lang w:eastAsia="ja-JP"/>
      </w:rPr>
    </w:pPr>
    <w:r w:rsidRPr="009106DB">
      <w:rPr>
        <w:bCs/>
      </w:rPr>
      <w:t>ECE/TRANS/WP.29/GRPE/2024/8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17965340" w:rsidR="00D527CB" w:rsidRPr="001A3844" w:rsidRDefault="009106DB" w:rsidP="001A3844">
    <w:pPr>
      <w:pStyle w:val="Header"/>
      <w:jc w:val="right"/>
      <w:rPr>
        <w:lang w:eastAsia="ja-JP"/>
      </w:rPr>
    </w:pPr>
    <w:r w:rsidRPr="009106DB">
      <w:rPr>
        <w:bCs/>
      </w:rPr>
      <w:t>ECE/TRANS/WP.29/GRPE/2024/8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7777777" w:rsidR="00D527CB" w:rsidRPr="00971AC3"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5"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3"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4"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79372040">
    <w:abstractNumId w:val="1"/>
  </w:num>
  <w:num w:numId="2" w16cid:durableId="103044070">
    <w:abstractNumId w:val="0"/>
  </w:num>
  <w:num w:numId="3" w16cid:durableId="1711152247">
    <w:abstractNumId w:val="2"/>
  </w:num>
  <w:num w:numId="4" w16cid:durableId="1729915329">
    <w:abstractNumId w:val="3"/>
  </w:num>
  <w:num w:numId="5" w16cid:durableId="1380861339">
    <w:abstractNumId w:val="8"/>
  </w:num>
  <w:num w:numId="6" w16cid:durableId="1693723371">
    <w:abstractNumId w:val="9"/>
  </w:num>
  <w:num w:numId="7" w16cid:durableId="1588170">
    <w:abstractNumId w:val="7"/>
  </w:num>
  <w:num w:numId="8" w16cid:durableId="160052001">
    <w:abstractNumId w:val="6"/>
  </w:num>
  <w:num w:numId="9" w16cid:durableId="1353993405">
    <w:abstractNumId w:val="5"/>
  </w:num>
  <w:num w:numId="10" w16cid:durableId="2066173590">
    <w:abstractNumId w:val="4"/>
  </w:num>
  <w:num w:numId="11" w16cid:durableId="286208562">
    <w:abstractNumId w:val="26"/>
  </w:num>
  <w:num w:numId="12" w16cid:durableId="1234464946">
    <w:abstractNumId w:val="13"/>
  </w:num>
  <w:num w:numId="13" w16cid:durableId="871504343">
    <w:abstractNumId w:val="11"/>
  </w:num>
  <w:num w:numId="14" w16cid:durableId="1690911233">
    <w:abstractNumId w:val="28"/>
  </w:num>
  <w:num w:numId="15" w16cid:durableId="783840557">
    <w:abstractNumId w:val="32"/>
  </w:num>
  <w:num w:numId="16" w16cid:durableId="2112243149">
    <w:abstractNumId w:val="14"/>
  </w:num>
  <w:num w:numId="17" w16cid:durableId="884878289">
    <w:abstractNumId w:val="17"/>
  </w:num>
  <w:num w:numId="18" w16cid:durableId="204605009">
    <w:abstractNumId w:val="18"/>
  </w:num>
  <w:num w:numId="19" w16cid:durableId="637415858">
    <w:abstractNumId w:val="24"/>
  </w:num>
  <w:num w:numId="20" w16cid:durableId="2051303262">
    <w:abstractNumId w:val="27"/>
  </w:num>
  <w:num w:numId="21" w16cid:durableId="2076246345">
    <w:abstractNumId w:val="20"/>
  </w:num>
  <w:num w:numId="22" w16cid:durableId="34627010">
    <w:abstractNumId w:val="12"/>
  </w:num>
  <w:num w:numId="23" w16cid:durableId="2097239131">
    <w:abstractNumId w:val="29"/>
  </w:num>
  <w:num w:numId="24" w16cid:durableId="1169518607">
    <w:abstractNumId w:val="31"/>
  </w:num>
  <w:num w:numId="25" w16cid:durableId="1278559286">
    <w:abstractNumId w:val="10"/>
  </w:num>
  <w:num w:numId="26" w16cid:durableId="1799646192">
    <w:abstractNumId w:val="30"/>
  </w:num>
  <w:num w:numId="27" w16cid:durableId="1118379637">
    <w:abstractNumId w:val="21"/>
  </w:num>
  <w:num w:numId="28" w16cid:durableId="577862252">
    <w:abstractNumId w:val="16"/>
  </w:num>
  <w:num w:numId="29" w16cid:durableId="1248735587">
    <w:abstractNumId w:val="22"/>
  </w:num>
  <w:num w:numId="30" w16cid:durableId="54935188">
    <w:abstractNumId w:val="15"/>
  </w:num>
  <w:num w:numId="31" w16cid:durableId="981931521">
    <w:abstractNumId w:val="23"/>
  </w:num>
  <w:num w:numId="32" w16cid:durableId="241111453">
    <w:abstractNumId w:val="19"/>
  </w:num>
  <w:num w:numId="33" w16cid:durableId="78245635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60FD"/>
    <w:rsid w:val="0001163B"/>
    <w:rsid w:val="00012209"/>
    <w:rsid w:val="00012662"/>
    <w:rsid w:val="00012908"/>
    <w:rsid w:val="00015498"/>
    <w:rsid w:val="00017287"/>
    <w:rsid w:val="00022B30"/>
    <w:rsid w:val="000236A2"/>
    <w:rsid w:val="00023BEA"/>
    <w:rsid w:val="00023CA8"/>
    <w:rsid w:val="000246CC"/>
    <w:rsid w:val="00025AFC"/>
    <w:rsid w:val="00026104"/>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236"/>
    <w:rsid w:val="00046B1F"/>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1070"/>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2D67"/>
    <w:rsid w:val="000B2F02"/>
    <w:rsid w:val="000B3A0F"/>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63F9"/>
    <w:rsid w:val="000D64F9"/>
    <w:rsid w:val="000D7F00"/>
    <w:rsid w:val="000E0415"/>
    <w:rsid w:val="000E0854"/>
    <w:rsid w:val="000E0F30"/>
    <w:rsid w:val="000E1D94"/>
    <w:rsid w:val="000E48B0"/>
    <w:rsid w:val="000E4D42"/>
    <w:rsid w:val="000E4F4A"/>
    <w:rsid w:val="000E5276"/>
    <w:rsid w:val="000E67E1"/>
    <w:rsid w:val="000E70B3"/>
    <w:rsid w:val="000E72C1"/>
    <w:rsid w:val="000E73A7"/>
    <w:rsid w:val="000E7CC6"/>
    <w:rsid w:val="000E7E02"/>
    <w:rsid w:val="000E7E35"/>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B5A"/>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5D1C"/>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456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2A95"/>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688"/>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E47"/>
    <w:rsid w:val="003933EA"/>
    <w:rsid w:val="0039433D"/>
    <w:rsid w:val="003963F8"/>
    <w:rsid w:val="00397A25"/>
    <w:rsid w:val="003A0D28"/>
    <w:rsid w:val="003A1CDC"/>
    <w:rsid w:val="003A1FB6"/>
    <w:rsid w:val="003A28F1"/>
    <w:rsid w:val="003A2D24"/>
    <w:rsid w:val="003A4744"/>
    <w:rsid w:val="003A4C25"/>
    <w:rsid w:val="003A4D67"/>
    <w:rsid w:val="003A524C"/>
    <w:rsid w:val="003A5B22"/>
    <w:rsid w:val="003A6810"/>
    <w:rsid w:val="003A6BBC"/>
    <w:rsid w:val="003A6D2C"/>
    <w:rsid w:val="003A7494"/>
    <w:rsid w:val="003B1BC5"/>
    <w:rsid w:val="003B36F2"/>
    <w:rsid w:val="003B3E17"/>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BEB"/>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3AA4"/>
    <w:rsid w:val="003F3EC3"/>
    <w:rsid w:val="003F44F9"/>
    <w:rsid w:val="003F5021"/>
    <w:rsid w:val="003F613F"/>
    <w:rsid w:val="003F66FA"/>
    <w:rsid w:val="003F798C"/>
    <w:rsid w:val="003F7CBF"/>
    <w:rsid w:val="004000DE"/>
    <w:rsid w:val="0040013F"/>
    <w:rsid w:val="0040029B"/>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71B7"/>
    <w:rsid w:val="0042039F"/>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495B"/>
    <w:rsid w:val="00454EF0"/>
    <w:rsid w:val="004561E5"/>
    <w:rsid w:val="0045665B"/>
    <w:rsid w:val="00456AD6"/>
    <w:rsid w:val="00462505"/>
    <w:rsid w:val="00463EB4"/>
    <w:rsid w:val="004648C8"/>
    <w:rsid w:val="004648CA"/>
    <w:rsid w:val="00465BCE"/>
    <w:rsid w:val="00465DA9"/>
    <w:rsid w:val="00467E89"/>
    <w:rsid w:val="00470C61"/>
    <w:rsid w:val="00470C76"/>
    <w:rsid w:val="00470F3A"/>
    <w:rsid w:val="00470FBC"/>
    <w:rsid w:val="00471929"/>
    <w:rsid w:val="00471A76"/>
    <w:rsid w:val="0047221D"/>
    <w:rsid w:val="00472948"/>
    <w:rsid w:val="00473EA1"/>
    <w:rsid w:val="0047442E"/>
    <w:rsid w:val="004778E7"/>
    <w:rsid w:val="0048107A"/>
    <w:rsid w:val="0048161D"/>
    <w:rsid w:val="00481FD3"/>
    <w:rsid w:val="004822DE"/>
    <w:rsid w:val="0048271F"/>
    <w:rsid w:val="00482E1A"/>
    <w:rsid w:val="0048397A"/>
    <w:rsid w:val="004839E9"/>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7BB"/>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0C1"/>
    <w:rsid w:val="004D5EA4"/>
    <w:rsid w:val="004D6FFE"/>
    <w:rsid w:val="004D7196"/>
    <w:rsid w:val="004D7F55"/>
    <w:rsid w:val="004E0F46"/>
    <w:rsid w:val="004E11CC"/>
    <w:rsid w:val="004E3269"/>
    <w:rsid w:val="004E4D2D"/>
    <w:rsid w:val="004E4DAA"/>
    <w:rsid w:val="004E543F"/>
    <w:rsid w:val="004E54EE"/>
    <w:rsid w:val="004E6190"/>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A32"/>
    <w:rsid w:val="00540E1C"/>
    <w:rsid w:val="00540F14"/>
    <w:rsid w:val="0054145F"/>
    <w:rsid w:val="005420F2"/>
    <w:rsid w:val="00542742"/>
    <w:rsid w:val="00543F29"/>
    <w:rsid w:val="005447D0"/>
    <w:rsid w:val="00544A6E"/>
    <w:rsid w:val="00545350"/>
    <w:rsid w:val="00546D35"/>
    <w:rsid w:val="00547AA2"/>
    <w:rsid w:val="0055039D"/>
    <w:rsid w:val="00551D91"/>
    <w:rsid w:val="00552597"/>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2BD8"/>
    <w:rsid w:val="00592DA2"/>
    <w:rsid w:val="00593AE9"/>
    <w:rsid w:val="005941EC"/>
    <w:rsid w:val="00595CD3"/>
    <w:rsid w:val="00595DEE"/>
    <w:rsid w:val="00595F66"/>
    <w:rsid w:val="00595FE8"/>
    <w:rsid w:val="00596C0C"/>
    <w:rsid w:val="0059724D"/>
    <w:rsid w:val="00597470"/>
    <w:rsid w:val="00597621"/>
    <w:rsid w:val="00597B3A"/>
    <w:rsid w:val="00597E46"/>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71CB"/>
    <w:rsid w:val="005C342F"/>
    <w:rsid w:val="005C37C7"/>
    <w:rsid w:val="005C56EB"/>
    <w:rsid w:val="005C58DD"/>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DE2"/>
    <w:rsid w:val="005E37A4"/>
    <w:rsid w:val="005E4FF5"/>
    <w:rsid w:val="005E5D89"/>
    <w:rsid w:val="005E6AB9"/>
    <w:rsid w:val="005E6FA0"/>
    <w:rsid w:val="005F0C53"/>
    <w:rsid w:val="005F139A"/>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9C0"/>
    <w:rsid w:val="00615214"/>
    <w:rsid w:val="00616015"/>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B26"/>
    <w:rsid w:val="00641B1F"/>
    <w:rsid w:val="00642837"/>
    <w:rsid w:val="00642B77"/>
    <w:rsid w:val="00643823"/>
    <w:rsid w:val="00643EBD"/>
    <w:rsid w:val="006461C8"/>
    <w:rsid w:val="00646320"/>
    <w:rsid w:val="00646ABD"/>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694"/>
    <w:rsid w:val="00691A02"/>
    <w:rsid w:val="00691EB1"/>
    <w:rsid w:val="00693741"/>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2100"/>
    <w:rsid w:val="006D37AF"/>
    <w:rsid w:val="006D51D0"/>
    <w:rsid w:val="006D5213"/>
    <w:rsid w:val="006D5644"/>
    <w:rsid w:val="006D5FB9"/>
    <w:rsid w:val="006D658E"/>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29E1"/>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7D2"/>
    <w:rsid w:val="00726AC1"/>
    <w:rsid w:val="00726E5B"/>
    <w:rsid w:val="0072799D"/>
    <w:rsid w:val="00730687"/>
    <w:rsid w:val="00730C56"/>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B3C"/>
    <w:rsid w:val="007A167E"/>
    <w:rsid w:val="007A1D4A"/>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543F"/>
    <w:rsid w:val="008062AC"/>
    <w:rsid w:val="0080637C"/>
    <w:rsid w:val="008065ED"/>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5D87"/>
    <w:rsid w:val="008464BA"/>
    <w:rsid w:val="00847172"/>
    <w:rsid w:val="008479F9"/>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FE5"/>
    <w:rsid w:val="00871D37"/>
    <w:rsid w:val="00872F35"/>
    <w:rsid w:val="00875D94"/>
    <w:rsid w:val="00875ECD"/>
    <w:rsid w:val="00876615"/>
    <w:rsid w:val="008769EA"/>
    <w:rsid w:val="00876C7E"/>
    <w:rsid w:val="00877BEC"/>
    <w:rsid w:val="00877FD3"/>
    <w:rsid w:val="00881BF6"/>
    <w:rsid w:val="00882FF2"/>
    <w:rsid w:val="00884731"/>
    <w:rsid w:val="008863EE"/>
    <w:rsid w:val="008873A0"/>
    <w:rsid w:val="008878DE"/>
    <w:rsid w:val="00890FB0"/>
    <w:rsid w:val="00891C10"/>
    <w:rsid w:val="00892101"/>
    <w:rsid w:val="00893D64"/>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2335"/>
    <w:rsid w:val="008B2E36"/>
    <w:rsid w:val="008B5CF0"/>
    <w:rsid w:val="008B6D38"/>
    <w:rsid w:val="008C05F1"/>
    <w:rsid w:val="008C104F"/>
    <w:rsid w:val="008C1B44"/>
    <w:rsid w:val="008C1B8D"/>
    <w:rsid w:val="008C2C6C"/>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D84"/>
    <w:rsid w:val="009106DB"/>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A0D"/>
    <w:rsid w:val="00957A10"/>
    <w:rsid w:val="00960106"/>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1AC3"/>
    <w:rsid w:val="0097284C"/>
    <w:rsid w:val="00972E21"/>
    <w:rsid w:val="009760F3"/>
    <w:rsid w:val="00976BCB"/>
    <w:rsid w:val="00976CFB"/>
    <w:rsid w:val="00980594"/>
    <w:rsid w:val="009827DC"/>
    <w:rsid w:val="00982FC2"/>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D7C68"/>
    <w:rsid w:val="009E2D1A"/>
    <w:rsid w:val="009E3266"/>
    <w:rsid w:val="009E3509"/>
    <w:rsid w:val="009E5350"/>
    <w:rsid w:val="009E56DB"/>
    <w:rsid w:val="009E5748"/>
    <w:rsid w:val="009E6579"/>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78E"/>
    <w:rsid w:val="00A16603"/>
    <w:rsid w:val="00A16A78"/>
    <w:rsid w:val="00A177C1"/>
    <w:rsid w:val="00A208A5"/>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43B78"/>
    <w:rsid w:val="00A43FB6"/>
    <w:rsid w:val="00A44BE0"/>
    <w:rsid w:val="00A44D4A"/>
    <w:rsid w:val="00A457DD"/>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370A"/>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567D"/>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543"/>
    <w:rsid w:val="00BB481C"/>
    <w:rsid w:val="00BB532B"/>
    <w:rsid w:val="00BB5EF3"/>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E7BB2"/>
    <w:rsid w:val="00BF06EF"/>
    <w:rsid w:val="00BF0D69"/>
    <w:rsid w:val="00BF4AFF"/>
    <w:rsid w:val="00BF4D22"/>
    <w:rsid w:val="00BF4EC6"/>
    <w:rsid w:val="00BF4FBB"/>
    <w:rsid w:val="00BF52B3"/>
    <w:rsid w:val="00BF538C"/>
    <w:rsid w:val="00BF6208"/>
    <w:rsid w:val="00BF6370"/>
    <w:rsid w:val="00BF68A8"/>
    <w:rsid w:val="00C0151E"/>
    <w:rsid w:val="00C02A34"/>
    <w:rsid w:val="00C03005"/>
    <w:rsid w:val="00C03F4E"/>
    <w:rsid w:val="00C04C4A"/>
    <w:rsid w:val="00C0628C"/>
    <w:rsid w:val="00C0670B"/>
    <w:rsid w:val="00C06D0E"/>
    <w:rsid w:val="00C11A03"/>
    <w:rsid w:val="00C11C9F"/>
    <w:rsid w:val="00C1318B"/>
    <w:rsid w:val="00C13698"/>
    <w:rsid w:val="00C1420F"/>
    <w:rsid w:val="00C1470C"/>
    <w:rsid w:val="00C14999"/>
    <w:rsid w:val="00C14AA6"/>
    <w:rsid w:val="00C159B4"/>
    <w:rsid w:val="00C165E7"/>
    <w:rsid w:val="00C16A37"/>
    <w:rsid w:val="00C16C6B"/>
    <w:rsid w:val="00C17010"/>
    <w:rsid w:val="00C17352"/>
    <w:rsid w:val="00C1786F"/>
    <w:rsid w:val="00C17F69"/>
    <w:rsid w:val="00C206FA"/>
    <w:rsid w:val="00C20E0F"/>
    <w:rsid w:val="00C2127B"/>
    <w:rsid w:val="00C228FE"/>
    <w:rsid w:val="00C22C0C"/>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4FDB"/>
    <w:rsid w:val="00C4527F"/>
    <w:rsid w:val="00C452C9"/>
    <w:rsid w:val="00C459B6"/>
    <w:rsid w:val="00C45D9D"/>
    <w:rsid w:val="00C4608A"/>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A43"/>
    <w:rsid w:val="00C73CCF"/>
    <w:rsid w:val="00C74157"/>
    <w:rsid w:val="00C745C3"/>
    <w:rsid w:val="00C7592E"/>
    <w:rsid w:val="00C75D61"/>
    <w:rsid w:val="00C76D1E"/>
    <w:rsid w:val="00C76E29"/>
    <w:rsid w:val="00C77377"/>
    <w:rsid w:val="00C77C5A"/>
    <w:rsid w:val="00C80243"/>
    <w:rsid w:val="00C80D36"/>
    <w:rsid w:val="00C80DB6"/>
    <w:rsid w:val="00C81208"/>
    <w:rsid w:val="00C818BF"/>
    <w:rsid w:val="00C82CCB"/>
    <w:rsid w:val="00C82FF9"/>
    <w:rsid w:val="00C836EF"/>
    <w:rsid w:val="00C8661D"/>
    <w:rsid w:val="00C905A8"/>
    <w:rsid w:val="00C908CB"/>
    <w:rsid w:val="00C90AFA"/>
    <w:rsid w:val="00C91C84"/>
    <w:rsid w:val="00C91D63"/>
    <w:rsid w:val="00C93E9D"/>
    <w:rsid w:val="00C944D7"/>
    <w:rsid w:val="00C94611"/>
    <w:rsid w:val="00C94667"/>
    <w:rsid w:val="00C9563B"/>
    <w:rsid w:val="00C9617F"/>
    <w:rsid w:val="00C96DF2"/>
    <w:rsid w:val="00C97374"/>
    <w:rsid w:val="00C973B2"/>
    <w:rsid w:val="00CA0D54"/>
    <w:rsid w:val="00CA0F2C"/>
    <w:rsid w:val="00CA1852"/>
    <w:rsid w:val="00CA2661"/>
    <w:rsid w:val="00CA2E10"/>
    <w:rsid w:val="00CA3C0F"/>
    <w:rsid w:val="00CA3E2B"/>
    <w:rsid w:val="00CA52B2"/>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27CB"/>
    <w:rsid w:val="00D531BE"/>
    <w:rsid w:val="00D54489"/>
    <w:rsid w:val="00D54A3A"/>
    <w:rsid w:val="00D54FF0"/>
    <w:rsid w:val="00D556AE"/>
    <w:rsid w:val="00D56030"/>
    <w:rsid w:val="00D606CA"/>
    <w:rsid w:val="00D60EE2"/>
    <w:rsid w:val="00D633A6"/>
    <w:rsid w:val="00D63E2E"/>
    <w:rsid w:val="00D648E3"/>
    <w:rsid w:val="00D652A8"/>
    <w:rsid w:val="00D66C43"/>
    <w:rsid w:val="00D678C9"/>
    <w:rsid w:val="00D67AF5"/>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5E99"/>
    <w:rsid w:val="00DB7E31"/>
    <w:rsid w:val="00DC00B7"/>
    <w:rsid w:val="00DC0B3D"/>
    <w:rsid w:val="00DC0B7A"/>
    <w:rsid w:val="00DC38FA"/>
    <w:rsid w:val="00DC49FD"/>
    <w:rsid w:val="00DC5628"/>
    <w:rsid w:val="00DC57B4"/>
    <w:rsid w:val="00DC648C"/>
    <w:rsid w:val="00DC6D39"/>
    <w:rsid w:val="00DD17E2"/>
    <w:rsid w:val="00DD28F2"/>
    <w:rsid w:val="00DD3229"/>
    <w:rsid w:val="00DD705D"/>
    <w:rsid w:val="00DE1C02"/>
    <w:rsid w:val="00DE1EBA"/>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6855"/>
    <w:rsid w:val="00E07251"/>
    <w:rsid w:val="00E10A8F"/>
    <w:rsid w:val="00E10F4C"/>
    <w:rsid w:val="00E1133B"/>
    <w:rsid w:val="00E11C0E"/>
    <w:rsid w:val="00E12394"/>
    <w:rsid w:val="00E12CED"/>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478AE"/>
    <w:rsid w:val="00E503D8"/>
    <w:rsid w:val="00E520D3"/>
    <w:rsid w:val="00E525CF"/>
    <w:rsid w:val="00E5478E"/>
    <w:rsid w:val="00E552B0"/>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AB9"/>
    <w:rsid w:val="00E828ED"/>
    <w:rsid w:val="00E82ACA"/>
    <w:rsid w:val="00E82B5F"/>
    <w:rsid w:val="00E8321E"/>
    <w:rsid w:val="00E8376E"/>
    <w:rsid w:val="00E86928"/>
    <w:rsid w:val="00E86AE0"/>
    <w:rsid w:val="00E875A7"/>
    <w:rsid w:val="00E87F7C"/>
    <w:rsid w:val="00E90D97"/>
    <w:rsid w:val="00E90F82"/>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9C"/>
    <w:rsid w:val="00F534B8"/>
    <w:rsid w:val="00F56E27"/>
    <w:rsid w:val="00F5706A"/>
    <w:rsid w:val="00F573AA"/>
    <w:rsid w:val="00F57D67"/>
    <w:rsid w:val="00F6084F"/>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401"/>
    <w:rsid w:val="00FB1925"/>
    <w:rsid w:val="00FB32CA"/>
    <w:rsid w:val="00FB613B"/>
    <w:rsid w:val="00FB6CFF"/>
    <w:rsid w:val="00FB7594"/>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A0E"/>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CD7DD64E-15E3-41CC-8EAE-CC25F5D4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2.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4.xml><?xml version="1.0" encoding="utf-8"?>
<ds:datastoreItem xmlns:ds="http://schemas.openxmlformats.org/officeDocument/2006/customXml" ds:itemID="{133312ED-1EFF-4EA8-99E1-FBB649381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5756</Characters>
  <Application>Microsoft Office Word</Application>
  <DocSecurity>0</DocSecurity>
  <Lines>123</Lines>
  <Paragraphs>52</Paragraphs>
  <ScaleCrop>false</ScaleCrop>
  <HeadingPairs>
    <vt:vector size="12" baseType="variant">
      <vt:variant>
        <vt:lpstr>Titel</vt:lpstr>
      </vt:variant>
      <vt:variant>
        <vt:i4>1</vt:i4>
      </vt:variant>
      <vt:variant>
        <vt:lpstr>タイトル</vt:lpstr>
      </vt:variant>
      <vt:variant>
        <vt:i4>1</vt:i4>
      </vt: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1804561</vt:lpstr>
      <vt:lpstr>1804561</vt:lpstr>
      <vt:lpstr>1804561</vt:lpstr>
      <vt:lpstr>1804561</vt:lpstr>
      <vt:lpstr>United Nations</vt:lpstr>
      <vt:lpstr>United Nations</vt:lpstr>
    </vt:vector>
  </TitlesOfParts>
  <Company>RDW Voertuiginformatie en -toelating</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ECE/TRANS/WP.29/GRPE/2024/8</dc:title>
  <dc:subject>2321010</dc:subject>
  <dc:creator>oica</dc:creator>
  <cp:keywords/>
  <dc:description/>
  <cp:lastModifiedBy>Anni Vi Tirol</cp:lastModifiedBy>
  <cp:revision>2</cp:revision>
  <cp:lastPrinted>2023-10-30T15:56:00Z</cp:lastPrinted>
  <dcterms:created xsi:type="dcterms:W3CDTF">2023-10-30T16:21:00Z</dcterms:created>
  <dcterms:modified xsi:type="dcterms:W3CDTF">2023-10-30T16:21:00Z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