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39C0E1A9" w:rsidR="00D527CB" w:rsidRPr="00A868B6" w:rsidRDefault="00D527CB" w:rsidP="00D527CB">
            <w:pPr>
              <w:jc w:val="right"/>
              <w:rPr>
                <w:color w:val="000000" w:themeColor="text1"/>
                <w:lang w:eastAsia="ja-JP"/>
              </w:rPr>
            </w:pPr>
            <w:bookmarkStart w:id="0" w:name="_Hlk149053612"/>
            <w:r w:rsidRPr="00A868B6">
              <w:rPr>
                <w:color w:val="000000" w:themeColor="text1"/>
                <w:sz w:val="40"/>
              </w:rPr>
              <w:t>ECE</w:t>
            </w:r>
            <w:r w:rsidRPr="00A868B6">
              <w:rPr>
                <w:color w:val="000000" w:themeColor="text1"/>
              </w:rPr>
              <w:t>/TRANS/</w:t>
            </w:r>
            <w:r w:rsidR="001B6D85">
              <w:rPr>
                <w:color w:val="000000" w:themeColor="text1"/>
              </w:rPr>
              <w:t>WP.29/</w:t>
            </w:r>
            <w:r w:rsidRPr="00A868B6">
              <w:rPr>
                <w:color w:val="000000" w:themeColor="text1"/>
              </w:rPr>
              <w:t>GRPE/</w:t>
            </w:r>
            <w:r w:rsidR="00433852">
              <w:rPr>
                <w:color w:val="000000" w:themeColor="text1"/>
                <w:lang w:eastAsia="ja-JP"/>
              </w:rPr>
              <w:t>2024</w:t>
            </w:r>
            <w:r w:rsidRPr="00A868B6">
              <w:rPr>
                <w:color w:val="000000" w:themeColor="text1"/>
              </w:rPr>
              <w:t>/</w:t>
            </w:r>
            <w:r w:rsidR="00C11E26">
              <w:rPr>
                <w:color w:val="000000" w:themeColor="text1"/>
              </w:rPr>
              <w:t>7</w:t>
            </w:r>
            <w:bookmarkEnd w:id="0"/>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7E3302BD" w:rsidR="00D527CB" w:rsidRPr="00A868B6" w:rsidRDefault="005E277F" w:rsidP="00D527CB">
            <w:pPr>
              <w:spacing w:line="240" w:lineRule="exact"/>
              <w:rPr>
                <w:color w:val="000000" w:themeColor="text1"/>
                <w:lang w:eastAsia="ja-JP"/>
              </w:rPr>
            </w:pPr>
            <w:r>
              <w:rPr>
                <w:color w:val="000000" w:themeColor="text1"/>
                <w:lang w:eastAsia="ja-JP"/>
              </w:rPr>
              <w:t>31</w:t>
            </w:r>
            <w:r w:rsidR="00D527CB" w:rsidRPr="00A868B6">
              <w:rPr>
                <w:color w:val="000000" w:themeColor="text1"/>
                <w:lang w:eastAsia="ja-JP"/>
              </w:rPr>
              <w:t xml:space="preserve"> </w:t>
            </w:r>
            <w:r w:rsidR="00433852">
              <w:rPr>
                <w:color w:val="000000" w:themeColor="text1"/>
                <w:lang w:eastAsia="ja-JP"/>
              </w:rPr>
              <w:t>October</w:t>
            </w:r>
            <w:r w:rsidR="00D527CB" w:rsidRPr="00A868B6">
              <w:rPr>
                <w:color w:val="000000" w:themeColor="text1"/>
              </w:rPr>
              <w:t xml:space="preserve"> 202</w:t>
            </w:r>
            <w:r w:rsidR="000861A5">
              <w:rPr>
                <w:color w:val="000000" w:themeColor="text1"/>
                <w:lang w:eastAsia="ja-JP"/>
              </w:rPr>
              <w:t>3</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59484978"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inetieth</w:t>
      </w:r>
      <w:r w:rsidR="00D527CB" w:rsidRPr="00A868B6">
        <w:rPr>
          <w:b/>
          <w:color w:val="000000" w:themeColor="text1"/>
        </w:rPr>
        <w:t xml:space="preserve"> session</w:t>
      </w:r>
    </w:p>
    <w:p w14:paraId="6A6B7AE7" w14:textId="4EF877EA" w:rsidR="00D527CB" w:rsidRPr="00A868B6" w:rsidRDefault="00D527CB" w:rsidP="00D527CB">
      <w:pPr>
        <w:rPr>
          <w:color w:val="000000" w:themeColor="text1"/>
          <w:lang w:eastAsia="ja-JP"/>
        </w:rPr>
      </w:pPr>
      <w:r w:rsidRPr="00A868B6">
        <w:rPr>
          <w:color w:val="000000" w:themeColor="text1"/>
        </w:rPr>
        <w:t>Geneva</w:t>
      </w:r>
      <w:r w:rsidRPr="00A868B6">
        <w:rPr>
          <w:bCs/>
          <w:color w:val="000000" w:themeColor="text1"/>
        </w:rPr>
        <w:t xml:space="preserve">, </w:t>
      </w:r>
      <w:r w:rsidR="000E7A7D" w:rsidRPr="00885CEC">
        <w:rPr>
          <w:bCs/>
        </w:rPr>
        <w:t>9–12 January 2024</w:t>
      </w:r>
    </w:p>
    <w:p w14:paraId="3603379D" w14:textId="7E88F142" w:rsidR="00890FD2" w:rsidRPr="00094785" w:rsidRDefault="00890FD2" w:rsidP="00890FD2">
      <w:r w:rsidRPr="00DE6870">
        <w:t xml:space="preserve">Item </w:t>
      </w:r>
      <w:r>
        <w:t>3</w:t>
      </w:r>
      <w:r w:rsidR="000E7A7D">
        <w:t xml:space="preserve"> </w:t>
      </w:r>
      <w:r>
        <w:t>(a)</w:t>
      </w:r>
      <w:r w:rsidRPr="00DE6870">
        <w:rPr>
          <w:bCs/>
        </w:rPr>
        <w:t xml:space="preserve"> </w:t>
      </w:r>
      <w:r w:rsidRPr="00094785">
        <w:t>of the provisional agenda</w:t>
      </w:r>
    </w:p>
    <w:p w14:paraId="34794B51" w14:textId="77777777" w:rsidR="00890FD2" w:rsidRPr="00487B3D" w:rsidRDefault="00890FD2" w:rsidP="00890FD2">
      <w:pPr>
        <w:rPr>
          <w:b/>
          <w:bCs/>
        </w:rPr>
      </w:pPr>
      <w:r w:rsidRPr="00487B3D">
        <w:rPr>
          <w:b/>
          <w:bCs/>
        </w:rPr>
        <w:t>Light vehicles</w:t>
      </w:r>
      <w:r>
        <w:rPr>
          <w:b/>
          <w:bCs/>
        </w:rPr>
        <w:t>:</w:t>
      </w:r>
      <w:r w:rsidRPr="00487B3D">
        <w:rPr>
          <w:b/>
          <w:bCs/>
        </w:rPr>
        <w:br/>
        <w:t>UN Regulations Nos. 68 (Measurement of the maximum speed,</w:t>
      </w:r>
      <w:r w:rsidRPr="00487B3D">
        <w:rPr>
          <w:b/>
          <w:bCs/>
        </w:rPr>
        <w:br/>
        <w:t>including electric vehicles), 83 (Emissions of M</w:t>
      </w:r>
      <w:r w:rsidRPr="00487B3D">
        <w:rPr>
          <w:b/>
          <w:bCs/>
          <w:vertAlign w:val="subscript"/>
        </w:rPr>
        <w:t>1</w:t>
      </w:r>
      <w:r w:rsidRPr="00487B3D">
        <w:rPr>
          <w:b/>
          <w:bCs/>
        </w:rPr>
        <w:t xml:space="preserve"> and N</w:t>
      </w:r>
      <w:r w:rsidRPr="00487B3D">
        <w:rPr>
          <w:b/>
          <w:bCs/>
          <w:vertAlign w:val="subscript"/>
        </w:rPr>
        <w:t>1</w:t>
      </w:r>
      <w:r w:rsidRPr="00487B3D">
        <w:rPr>
          <w:b/>
          <w:bCs/>
        </w:rPr>
        <w:t xml:space="preserve"> vehicles),</w:t>
      </w:r>
      <w:r w:rsidRPr="00487B3D">
        <w:rPr>
          <w:b/>
          <w:bCs/>
        </w:rPr>
        <w:br/>
        <w:t>101 (CO</w:t>
      </w:r>
      <w:r w:rsidRPr="00487B3D">
        <w:rPr>
          <w:b/>
          <w:bCs/>
          <w:vertAlign w:val="subscript"/>
        </w:rPr>
        <w:t>2</w:t>
      </w:r>
      <w:r w:rsidRPr="00487B3D">
        <w:rPr>
          <w:b/>
          <w:bCs/>
        </w:rPr>
        <w:t xml:space="preserve"> emissions/fuel consumption), </w:t>
      </w:r>
      <w:r w:rsidRPr="00487B3D">
        <w:rPr>
          <w:b/>
          <w:bCs/>
        </w:rPr>
        <w:br/>
        <w:t xml:space="preserve">103 (Replacement pollution control devices) and </w:t>
      </w:r>
      <w:r w:rsidRPr="00487B3D">
        <w:rPr>
          <w:b/>
          <w:bCs/>
        </w:rPr>
        <w:br/>
        <w:t>154 (Worldwide harmonized Light vehicles Test Procedures (WLTP))</w:t>
      </w:r>
    </w:p>
    <w:p w14:paraId="2C4B2EA1" w14:textId="07E43FEC" w:rsidR="00890FD2" w:rsidRPr="005F1FB8" w:rsidRDefault="00890FD2" w:rsidP="00890FD2">
      <w:pPr>
        <w:pStyle w:val="HChG"/>
        <w:tabs>
          <w:tab w:val="clear" w:pos="851"/>
        </w:tabs>
        <w:ind w:firstLine="0"/>
        <w:rPr>
          <w:lang w:val="en-US"/>
        </w:rPr>
      </w:pPr>
      <w:r w:rsidRPr="00FD4196">
        <w:tab/>
      </w:r>
      <w:r w:rsidRPr="00B6567D">
        <w:rPr>
          <w:lang w:val="en-US"/>
        </w:rPr>
        <w:t>Proposal for</w:t>
      </w:r>
      <w:r>
        <w:rPr>
          <w:lang w:val="en-US"/>
        </w:rPr>
        <w:t xml:space="preserve"> a</w:t>
      </w:r>
      <w:r w:rsidRPr="00B6567D">
        <w:rPr>
          <w:lang w:val="en-US"/>
        </w:rPr>
        <w:t xml:space="preserve"> </w:t>
      </w:r>
      <w:r>
        <w:rPr>
          <w:lang w:val="en-US"/>
        </w:rPr>
        <w:t xml:space="preserve">new </w:t>
      </w:r>
      <w:r w:rsidRPr="00890FD2">
        <w:rPr>
          <w:lang w:val="en-US"/>
        </w:rPr>
        <w:t xml:space="preserve">Supplement to 05 series of amendments to UN Regulation No. 83 </w:t>
      </w:r>
      <w:r w:rsidRPr="005F1FB8">
        <w:rPr>
          <w:lang w:val="en-US"/>
        </w:rPr>
        <w:t>(Emissions of M</w:t>
      </w:r>
      <w:r w:rsidRPr="00B67A34">
        <w:rPr>
          <w:vertAlign w:val="subscript"/>
          <w:lang w:val="en-US"/>
        </w:rPr>
        <w:t>1</w:t>
      </w:r>
      <w:r w:rsidRPr="005F1FB8">
        <w:rPr>
          <w:lang w:val="en-US"/>
        </w:rPr>
        <w:t xml:space="preserve"> and N</w:t>
      </w:r>
      <w:r w:rsidRPr="00B67A34">
        <w:rPr>
          <w:vertAlign w:val="subscript"/>
          <w:lang w:val="en-US"/>
        </w:rPr>
        <w:t>1</w:t>
      </w:r>
      <w:r w:rsidRPr="005F1FB8">
        <w:rPr>
          <w:lang w:val="en-US"/>
        </w:rPr>
        <w:t xml:space="preserve"> vehicles)</w:t>
      </w:r>
    </w:p>
    <w:p w14:paraId="7709D5C9" w14:textId="7FD3DC3E"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Pr="00A868B6">
        <w:rPr>
          <w:rFonts w:hint="eastAsia"/>
          <w:color w:val="000000" w:themeColor="text1"/>
          <w:lang w:val="en-GB" w:eastAsia="ja-JP"/>
        </w:rPr>
        <w:t>from</w:t>
      </w:r>
      <w:r w:rsidRPr="00A868B6">
        <w:rPr>
          <w:color w:val="000000" w:themeColor="text1"/>
          <w:lang w:val="en-GB"/>
        </w:rPr>
        <w:t xml:space="preserve"> the International Organization of Motor Vehicle Manufacturers</w:t>
      </w:r>
      <w:r w:rsidR="00483DEC" w:rsidRPr="008A32EB">
        <w:rPr>
          <w:bCs/>
          <w:szCs w:val="24"/>
        </w:rPr>
        <w:footnoteReference w:customMarkFollows="1" w:id="2"/>
        <w:t>*</w:t>
      </w:r>
    </w:p>
    <w:p w14:paraId="4F5B7714" w14:textId="71452D4D" w:rsidR="00D527CB" w:rsidRPr="00A868B6" w:rsidRDefault="00890FD2" w:rsidP="00D527CB">
      <w:pPr>
        <w:pStyle w:val="SingleTxtG"/>
        <w:rPr>
          <w:color w:val="000000" w:themeColor="text1"/>
        </w:rPr>
      </w:pPr>
      <w:r w:rsidRPr="00BA0E1E">
        <w:t>This document proposes to extend the option from the 06 and 07 to the 05 series of amendments allowing the calculation of road load values from those determined according to UN GTR No.15 (WLTP).</w:t>
      </w:r>
      <w:r>
        <w:rPr>
          <w:szCs w:val="23"/>
        </w:rPr>
        <w:t xml:space="preserve"> </w:t>
      </w:r>
      <w:r w:rsidRPr="00442B13">
        <w:t>The modifications to the current text of the Regulation are marked in bold for new or strikethrough for deleted characters</w:t>
      </w:r>
      <w:r w:rsidR="00D527CB" w:rsidRPr="00A868B6">
        <w:rPr>
          <w:color w:val="000000" w:themeColor="text1"/>
        </w:rPr>
        <w:t>.</w:t>
      </w:r>
      <w:r w:rsidR="00D527CB" w:rsidRPr="00A868B6">
        <w:rPr>
          <w:b/>
          <w:color w:val="000000" w:themeColor="text1"/>
        </w:rPr>
        <w:t xml:space="preserve"> </w:t>
      </w:r>
    </w:p>
    <w:p w14:paraId="02F42C3C" w14:textId="77777777"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r w:rsidRPr="00A868B6">
        <w:rPr>
          <w:b/>
          <w:bCs/>
          <w:color w:val="000000" w:themeColor="text1"/>
          <w:sz w:val="28"/>
          <w:szCs w:val="28"/>
        </w:rPr>
        <w:br w:type="page"/>
      </w:r>
    </w:p>
    <w:p w14:paraId="270D1759" w14:textId="00B6975D" w:rsidR="00890FD2" w:rsidRPr="00387F0F" w:rsidRDefault="0061737C" w:rsidP="00C869D3">
      <w:pPr>
        <w:pStyle w:val="HChG"/>
        <w:tabs>
          <w:tab w:val="clear" w:pos="851"/>
        </w:tabs>
        <w:spacing w:before="320" w:after="200" w:line="240" w:lineRule="atLeast"/>
        <w:ind w:left="567" w:right="-40" w:firstLine="567"/>
      </w:pPr>
      <w:r>
        <w:lastRenderedPageBreak/>
        <w:br/>
      </w:r>
      <w:r w:rsidR="00C869D3">
        <w:t>I.</w:t>
      </w:r>
      <w:r w:rsidR="00C869D3">
        <w:tab/>
      </w:r>
      <w:r w:rsidR="00890FD2">
        <w:t>Proposal</w:t>
      </w:r>
    </w:p>
    <w:p w14:paraId="3C45840E" w14:textId="77777777" w:rsidR="00890FD2" w:rsidRDefault="00890FD2" w:rsidP="00890FD2">
      <w:pPr>
        <w:autoSpaceDE w:val="0"/>
        <w:autoSpaceDN w:val="0"/>
        <w:adjustRightInd w:val="0"/>
        <w:spacing w:after="120"/>
        <w:ind w:leftChars="567" w:left="1134" w:right="1134"/>
        <w:jc w:val="both"/>
      </w:pPr>
      <w:r w:rsidRPr="00DA4FB4">
        <w:rPr>
          <w:i/>
        </w:rPr>
        <w:t xml:space="preserve">Annex </w:t>
      </w:r>
      <w:r w:rsidRPr="00DA4FB4">
        <w:rPr>
          <w:rFonts w:hint="eastAsia"/>
          <w:i/>
        </w:rPr>
        <w:t>4</w:t>
      </w:r>
      <w:r>
        <w:rPr>
          <w:i/>
        </w:rPr>
        <w:t>, paragraph 4.1.5.2.</w:t>
      </w:r>
      <w:r w:rsidRPr="00DA4FB4">
        <w:rPr>
          <w:i/>
        </w:rPr>
        <w:t xml:space="preserve">, </w:t>
      </w:r>
      <w:r w:rsidRPr="00E52478">
        <w:rPr>
          <w:iCs/>
        </w:rPr>
        <w:t>amend to read</w:t>
      </w:r>
      <w:r>
        <w:rPr>
          <w:iCs/>
        </w:rPr>
        <w:t>:</w:t>
      </w:r>
    </w:p>
    <w:p w14:paraId="51E7D4F1" w14:textId="77777777" w:rsidR="00890FD2" w:rsidRDefault="00890FD2" w:rsidP="00890FD2">
      <w:pPr>
        <w:autoSpaceDE w:val="0"/>
        <w:autoSpaceDN w:val="0"/>
        <w:adjustRightInd w:val="0"/>
        <w:spacing w:after="120"/>
        <w:ind w:leftChars="567" w:left="2268" w:right="1134" w:hangingChars="567" w:hanging="1134"/>
        <w:jc w:val="both"/>
        <w:rPr>
          <w:lang w:val="en-US"/>
        </w:rPr>
      </w:pPr>
      <w:r w:rsidRPr="0052554C">
        <w:t>"</w:t>
      </w:r>
      <w:r>
        <w:t>4.1.5.2.</w:t>
      </w:r>
      <w:r>
        <w:tab/>
      </w:r>
      <w:r w:rsidRPr="0007614B">
        <w:rPr>
          <w:lang w:val="en-US"/>
        </w:rPr>
        <w:t>Dynamometer with adjustable load curve: the load simulator shall be adjusted in order</w:t>
      </w:r>
      <w:r>
        <w:rPr>
          <w:rFonts w:hint="eastAsia"/>
          <w:lang w:val="en-US" w:eastAsia="ja-JP"/>
        </w:rPr>
        <w:t xml:space="preserve"> </w:t>
      </w:r>
      <w:r w:rsidRPr="0007614B">
        <w:rPr>
          <w:lang w:val="en-US"/>
        </w:rPr>
        <w:t>to absorb the power exerted on the driving wheels at steady speeds of 120, 100, 80, 60</w:t>
      </w:r>
      <w:r>
        <w:rPr>
          <w:rFonts w:hint="eastAsia"/>
          <w:lang w:val="en-US" w:eastAsia="ja-JP"/>
        </w:rPr>
        <w:t xml:space="preserve"> </w:t>
      </w:r>
      <w:r w:rsidRPr="0007614B">
        <w:rPr>
          <w:lang w:val="en-US"/>
        </w:rPr>
        <w:t>and 40 and 20 km/h. The means by which these loads are determined and set are</w:t>
      </w:r>
      <w:r>
        <w:rPr>
          <w:rFonts w:hint="eastAsia"/>
          <w:lang w:val="en-US" w:eastAsia="ja-JP"/>
        </w:rPr>
        <w:t xml:space="preserve"> </w:t>
      </w:r>
      <w:r w:rsidRPr="0007614B">
        <w:rPr>
          <w:lang w:val="en-US"/>
        </w:rPr>
        <w:t>described in Appendix 3</w:t>
      </w:r>
      <w:r>
        <w:rPr>
          <w:b/>
          <w:bCs/>
          <w:lang w:val="en-US"/>
        </w:rPr>
        <w:t>a</w:t>
      </w:r>
      <w:r w:rsidRPr="0007614B">
        <w:rPr>
          <w:lang w:val="en-US"/>
        </w:rPr>
        <w:t xml:space="preserve"> to this annex.</w:t>
      </w:r>
      <w:r>
        <w:rPr>
          <w:lang w:val="en-US"/>
        </w:rPr>
        <w:br/>
      </w:r>
      <w:r w:rsidRPr="00BF3D4C">
        <w:rPr>
          <w:b/>
          <w:bCs/>
        </w:rPr>
        <w:t xml:space="preserve">In the case where the vehicle road load has already been determined according to WLTP procedures as defined in </w:t>
      </w:r>
      <w:r w:rsidRPr="00CA58E6">
        <w:rPr>
          <w:b/>
          <w:szCs w:val="18"/>
        </w:rPr>
        <w:t>UN GTR No. 15</w:t>
      </w:r>
      <w:r w:rsidRPr="00BF3D4C">
        <w:rPr>
          <w:b/>
          <w:bCs/>
        </w:rPr>
        <w:t xml:space="preserve">, the methodology, described in Appendix </w:t>
      </w:r>
      <w:r>
        <w:rPr>
          <w:b/>
          <w:bCs/>
        </w:rPr>
        <w:t>3</w:t>
      </w:r>
      <w:r w:rsidRPr="00BF3D4C">
        <w:rPr>
          <w:b/>
          <w:bCs/>
        </w:rPr>
        <w:t>b may alternatively be used.</w:t>
      </w:r>
      <w:r w:rsidRPr="0052554C">
        <w:t>"</w:t>
      </w:r>
    </w:p>
    <w:p w14:paraId="64359032" w14:textId="77777777" w:rsidR="00890FD2" w:rsidRDefault="00890FD2" w:rsidP="00890FD2">
      <w:pPr>
        <w:spacing w:after="120"/>
        <w:ind w:left="294" w:firstLine="840"/>
        <w:jc w:val="both"/>
        <w:rPr>
          <w:i/>
        </w:rPr>
      </w:pPr>
      <w:r w:rsidRPr="00643BDA">
        <w:rPr>
          <w:i/>
        </w:rPr>
        <w:t xml:space="preserve">Annex 4, </w:t>
      </w:r>
      <w:r w:rsidRPr="00E52478">
        <w:rPr>
          <w:iCs/>
        </w:rPr>
        <w:t xml:space="preserve">rename Appendix </w:t>
      </w:r>
      <w:r>
        <w:rPr>
          <w:iCs/>
        </w:rPr>
        <w:t>3</w:t>
      </w:r>
      <w:r w:rsidRPr="00E52478">
        <w:rPr>
          <w:iCs/>
        </w:rPr>
        <w:t xml:space="preserve"> to Appendix </w:t>
      </w:r>
      <w:r>
        <w:rPr>
          <w:iCs/>
        </w:rPr>
        <w:t>3</w:t>
      </w:r>
      <w:r w:rsidRPr="00E52478">
        <w:rPr>
          <w:iCs/>
        </w:rPr>
        <w:t>a.</w:t>
      </w:r>
    </w:p>
    <w:p w14:paraId="75E9B590" w14:textId="77777777" w:rsidR="00890FD2" w:rsidRPr="00342702" w:rsidRDefault="00890FD2" w:rsidP="00890FD2">
      <w:pPr>
        <w:spacing w:after="120"/>
        <w:ind w:left="1134" w:right="1134"/>
        <w:jc w:val="both"/>
        <w:rPr>
          <w:i/>
        </w:rPr>
      </w:pPr>
      <w:r w:rsidRPr="00B475C4">
        <w:rPr>
          <w:i/>
        </w:rPr>
        <w:t xml:space="preserve">Annex </w:t>
      </w:r>
      <w:r>
        <w:rPr>
          <w:i/>
        </w:rPr>
        <w:t>4</w:t>
      </w:r>
      <w:r w:rsidRPr="00B475C4">
        <w:rPr>
          <w:i/>
        </w:rPr>
        <w:t xml:space="preserve">, </w:t>
      </w:r>
      <w:r w:rsidRPr="00037850">
        <w:rPr>
          <w:i/>
        </w:rPr>
        <w:t>insert a new Appendix 3b</w:t>
      </w:r>
      <w:r>
        <w:rPr>
          <w:iCs/>
        </w:rPr>
        <w:t>, to read</w:t>
      </w:r>
      <w:r w:rsidRPr="00E52478">
        <w:rPr>
          <w:iCs/>
        </w:rPr>
        <w:t>:</w:t>
      </w:r>
    </w:p>
    <w:p w14:paraId="21E748A1" w14:textId="77777777" w:rsidR="00890FD2" w:rsidRPr="00CA58E6" w:rsidRDefault="00890FD2" w:rsidP="00890FD2">
      <w:pPr>
        <w:keepNext/>
        <w:keepLines/>
        <w:spacing w:before="360" w:after="240" w:line="300" w:lineRule="exact"/>
        <w:ind w:left="1134" w:right="1134" w:hanging="1134"/>
        <w:jc w:val="both"/>
        <w:rPr>
          <w:b/>
          <w:sz w:val="28"/>
          <w:szCs w:val="28"/>
        </w:rPr>
      </w:pPr>
      <w:r w:rsidRPr="00342702">
        <w:rPr>
          <w:b/>
        </w:rPr>
        <w:tab/>
      </w:r>
      <w:r w:rsidRPr="007111E7">
        <w:rPr>
          <w:b/>
          <w:sz w:val="28"/>
          <w:szCs w:val="28"/>
        </w:rPr>
        <w:t>"</w:t>
      </w:r>
      <w:r w:rsidRPr="00CA58E6">
        <w:rPr>
          <w:b/>
          <w:sz w:val="28"/>
          <w:szCs w:val="28"/>
        </w:rPr>
        <w:t xml:space="preserve">Annex </w:t>
      </w:r>
      <w:r>
        <w:rPr>
          <w:b/>
          <w:sz w:val="28"/>
          <w:szCs w:val="28"/>
        </w:rPr>
        <w:t>4</w:t>
      </w:r>
      <w:r w:rsidRPr="00CA58E6">
        <w:rPr>
          <w:b/>
          <w:sz w:val="28"/>
          <w:szCs w:val="28"/>
        </w:rPr>
        <w:t xml:space="preserve"> - Appendix </w:t>
      </w:r>
      <w:r>
        <w:rPr>
          <w:b/>
          <w:sz w:val="28"/>
          <w:szCs w:val="28"/>
        </w:rPr>
        <w:t>3b</w:t>
      </w:r>
    </w:p>
    <w:p w14:paraId="40DA10F2" w14:textId="77777777" w:rsidR="00890FD2" w:rsidRPr="00CA58E6" w:rsidRDefault="00890FD2" w:rsidP="00890FD2">
      <w:pPr>
        <w:spacing w:after="120"/>
        <w:ind w:left="1134" w:right="1133" w:hanging="708"/>
        <w:jc w:val="both"/>
        <w:rPr>
          <w:b/>
          <w:sz w:val="28"/>
          <w:szCs w:val="28"/>
        </w:rPr>
      </w:pPr>
      <w:r w:rsidRPr="00CA58E6">
        <w:rPr>
          <w:b/>
          <w:sz w:val="28"/>
          <w:szCs w:val="28"/>
        </w:rPr>
        <w:tab/>
        <w:t>Alternative procedure for determination of the total road load power of a vehicle</w:t>
      </w:r>
    </w:p>
    <w:p w14:paraId="08C8E032" w14:textId="77777777" w:rsidR="00890FD2" w:rsidRPr="00CA58E6" w:rsidRDefault="00890FD2" w:rsidP="00890FD2">
      <w:pPr>
        <w:numPr>
          <w:ilvl w:val="0"/>
          <w:numId w:val="34"/>
        </w:numPr>
        <w:spacing w:after="120" w:line="240" w:lineRule="auto"/>
        <w:ind w:left="2268" w:right="1134" w:hanging="1134"/>
        <w:jc w:val="both"/>
        <w:rPr>
          <w:b/>
          <w:szCs w:val="18"/>
        </w:rPr>
      </w:pPr>
      <w:r w:rsidRPr="00CA58E6">
        <w:rPr>
          <w:b/>
          <w:szCs w:val="18"/>
        </w:rPr>
        <w:t xml:space="preserve">Introduction </w:t>
      </w:r>
    </w:p>
    <w:p w14:paraId="1D4D8E32" w14:textId="77777777" w:rsidR="00890FD2" w:rsidRPr="00CA58E6" w:rsidRDefault="00890FD2" w:rsidP="00890FD2">
      <w:pPr>
        <w:tabs>
          <w:tab w:val="left" w:pos="8504"/>
        </w:tabs>
        <w:spacing w:after="120" w:line="240" w:lineRule="auto"/>
        <w:ind w:left="2268" w:right="1133"/>
        <w:jc w:val="both"/>
        <w:rPr>
          <w:b/>
          <w:szCs w:val="18"/>
        </w:rPr>
      </w:pPr>
      <w:r w:rsidRPr="00CA58E6">
        <w:rPr>
          <w:b/>
          <w:szCs w:val="18"/>
        </w:rPr>
        <w:t xml:space="preserve">The purpose of this appendix is to provide the road load power calculation method that may be used, at the choice of manufacturer, when the vehicle road load has been determined according to WLTP procedures as defined in UN GTR No. 15. </w:t>
      </w:r>
    </w:p>
    <w:p w14:paraId="4354D833" w14:textId="77777777" w:rsidR="00890FD2" w:rsidRPr="00CA58E6" w:rsidRDefault="00890FD2" w:rsidP="00890FD2">
      <w:pPr>
        <w:numPr>
          <w:ilvl w:val="0"/>
          <w:numId w:val="34"/>
        </w:numPr>
        <w:spacing w:after="120" w:line="240" w:lineRule="auto"/>
        <w:ind w:left="2268" w:right="1134" w:hanging="1134"/>
        <w:jc w:val="both"/>
        <w:rPr>
          <w:b/>
        </w:rPr>
      </w:pPr>
      <w:r w:rsidRPr="00CA58E6">
        <w:rPr>
          <w:b/>
        </w:rPr>
        <w:t>Method</w:t>
      </w:r>
    </w:p>
    <w:p w14:paraId="28F6F3AC" w14:textId="77777777" w:rsidR="00890FD2" w:rsidRPr="00FC07AA" w:rsidRDefault="00890FD2" w:rsidP="00890FD2">
      <w:pPr>
        <w:spacing w:after="120" w:line="240" w:lineRule="auto"/>
        <w:ind w:left="2268" w:right="1134" w:hanging="1134"/>
        <w:jc w:val="both"/>
        <w:rPr>
          <w:b/>
        </w:rPr>
      </w:pPr>
      <w:r w:rsidRPr="00FC07AA">
        <w:rPr>
          <w:b/>
        </w:rPr>
        <w:t>2.1.</w:t>
      </w:r>
      <w:r w:rsidRPr="00FC07AA">
        <w:rPr>
          <w:b/>
        </w:rPr>
        <w:tab/>
        <w:t>WLTP Road Load calculation of the vehicle</w:t>
      </w:r>
    </w:p>
    <w:p w14:paraId="24EECA7A" w14:textId="77777777" w:rsidR="00890FD2" w:rsidRPr="00CA58E6" w:rsidRDefault="00890FD2" w:rsidP="00890FD2">
      <w:pPr>
        <w:spacing w:after="120" w:line="240" w:lineRule="auto"/>
        <w:ind w:left="2268" w:right="1134"/>
        <w:jc w:val="both"/>
        <w:rPr>
          <w:b/>
        </w:rPr>
      </w:pPr>
      <w:r w:rsidRPr="00CA58E6">
        <w:rPr>
          <w:b/>
        </w:rPr>
        <w:t xml:space="preserve">The WLTP Road Load of the vehicle shall be determined according to UN </w:t>
      </w:r>
      <w:r w:rsidRPr="00CA58E6">
        <w:rPr>
          <w:b/>
          <w:szCs w:val="18"/>
        </w:rPr>
        <w:t>GTR No. 15</w:t>
      </w:r>
      <w:r w:rsidRPr="00CA58E6">
        <w:rPr>
          <w:b/>
        </w:rPr>
        <w:t xml:space="preserve"> Annex 4 or in case the vehicle is part of an interpolation family, according to Annex 7 point 3.2.3.2.2. “Road Load calculation for an individual vehicle” considering as input parameters of the individual vehicle: </w:t>
      </w:r>
    </w:p>
    <w:p w14:paraId="77DA7E9D" w14:textId="77777777" w:rsidR="00890FD2" w:rsidRPr="00CA58E6" w:rsidRDefault="00890FD2" w:rsidP="00890FD2">
      <w:pPr>
        <w:spacing w:after="120" w:line="240" w:lineRule="auto"/>
        <w:ind w:left="1701" w:right="1134" w:firstLine="567"/>
        <w:jc w:val="both"/>
        <w:rPr>
          <w:b/>
        </w:rPr>
      </w:pPr>
      <w:r w:rsidRPr="00CA58E6">
        <w:rPr>
          <w:b/>
        </w:rPr>
        <w:t>(a)</w:t>
      </w:r>
      <w:r w:rsidRPr="00CA58E6">
        <w:rPr>
          <w:b/>
        </w:rPr>
        <w:tab/>
        <w:t>The Test Mass of the vehicle</w:t>
      </w:r>
      <w:r>
        <w:rPr>
          <w:rFonts w:ascii="ZWAdobeF" w:hAnsi="ZWAdobeF" w:cs="ZWAdobeF"/>
          <w:sz w:val="2"/>
          <w:szCs w:val="2"/>
        </w:rPr>
        <w:t>0F</w:t>
      </w:r>
      <w:r w:rsidRPr="00CA58E6">
        <w:rPr>
          <w:rStyle w:val="FootnoteReference"/>
          <w:b/>
        </w:rPr>
        <w:footnoteReference w:id="3"/>
      </w:r>
      <w:r w:rsidRPr="00CA58E6">
        <w:rPr>
          <w:b/>
        </w:rPr>
        <w:t>, fitted with its standard equipment</w:t>
      </w:r>
      <w:r w:rsidRPr="00CA58E6">
        <w:rPr>
          <w:rStyle w:val="FootnoteReference"/>
          <w:b/>
        </w:rPr>
        <w:footnoteRef/>
      </w:r>
      <w:r w:rsidRPr="00CA58E6">
        <w:rPr>
          <w:b/>
        </w:rPr>
        <w:t>;</w:t>
      </w:r>
      <w:r w:rsidRPr="00CA58E6">
        <w:rPr>
          <w:b/>
          <w:sz w:val="12"/>
          <w:szCs w:val="12"/>
        </w:rPr>
        <w:t xml:space="preserve"> </w:t>
      </w:r>
    </w:p>
    <w:p w14:paraId="14383424" w14:textId="77777777" w:rsidR="00890FD2" w:rsidRPr="00CA58E6" w:rsidRDefault="00890FD2" w:rsidP="00890FD2">
      <w:pPr>
        <w:pStyle w:val="Default"/>
        <w:spacing w:after="120"/>
        <w:ind w:left="2835" w:right="1134" w:hanging="567"/>
        <w:jc w:val="both"/>
        <w:rPr>
          <w:b/>
          <w:sz w:val="20"/>
          <w:szCs w:val="20"/>
        </w:rPr>
      </w:pPr>
      <w:r w:rsidRPr="00CA58E6">
        <w:rPr>
          <w:b/>
          <w:sz w:val="20"/>
          <w:szCs w:val="20"/>
        </w:rPr>
        <w:t>(b)</w:t>
      </w:r>
      <w:r w:rsidRPr="00CA58E6">
        <w:rPr>
          <w:b/>
          <w:sz w:val="20"/>
          <w:szCs w:val="20"/>
        </w:rPr>
        <w:tab/>
      </w:r>
      <w:r w:rsidRPr="00CA58E6">
        <w:rPr>
          <w:b/>
          <w:sz w:val="20"/>
          <w:szCs w:val="20"/>
        </w:rPr>
        <w:tab/>
        <w:t xml:space="preserve">The RRC value of the applicable </w:t>
      </w:r>
      <w:proofErr w:type="spellStart"/>
      <w:r w:rsidRPr="00CA58E6">
        <w:rPr>
          <w:b/>
          <w:sz w:val="20"/>
          <w:szCs w:val="20"/>
        </w:rPr>
        <w:t>tyre</w:t>
      </w:r>
      <w:proofErr w:type="spellEnd"/>
      <w:r w:rsidRPr="00CA58E6">
        <w:rPr>
          <w:b/>
          <w:sz w:val="20"/>
          <w:szCs w:val="20"/>
        </w:rPr>
        <w:t xml:space="preserve"> energy class according to Table A4/2 of UN GTR No. 15 Annex 4 or, if the </w:t>
      </w:r>
      <w:proofErr w:type="spellStart"/>
      <w:r w:rsidRPr="00CA58E6">
        <w:rPr>
          <w:b/>
          <w:sz w:val="20"/>
          <w:szCs w:val="20"/>
        </w:rPr>
        <w:t>tyres</w:t>
      </w:r>
      <w:proofErr w:type="spellEnd"/>
      <w:r w:rsidRPr="00CA58E6">
        <w:rPr>
          <w:b/>
          <w:sz w:val="20"/>
          <w:szCs w:val="20"/>
        </w:rPr>
        <w:t xml:space="preserve"> on the front and rear axles belong to different energy efficiency classes, the weighted mean using the equation in paragraph 3.2.3.2.2.2.3. of UN GTR No. 15 Annex 7; </w:t>
      </w:r>
    </w:p>
    <w:p w14:paraId="4B34FA28" w14:textId="77777777" w:rsidR="00890FD2" w:rsidRPr="00CA58E6" w:rsidRDefault="00890FD2" w:rsidP="00890FD2">
      <w:pPr>
        <w:spacing w:after="120" w:line="240" w:lineRule="auto"/>
        <w:ind w:left="2838" w:right="1134" w:hanging="570"/>
        <w:jc w:val="both"/>
        <w:rPr>
          <w:b/>
        </w:rPr>
      </w:pPr>
      <w:r w:rsidRPr="00CA58E6">
        <w:rPr>
          <w:b/>
        </w:rPr>
        <w:t>(c)</w:t>
      </w:r>
      <w:r w:rsidRPr="00CA58E6">
        <w:rPr>
          <w:b/>
        </w:rPr>
        <w:tab/>
        <w:t>The aerodynamic drag of the vehicle fitted with its standard equipment</w:t>
      </w:r>
      <w:r w:rsidRPr="00CA58E6">
        <w:rPr>
          <w:rStyle w:val="FootnoteReference"/>
          <w:b/>
        </w:rPr>
        <w:footnoteRef/>
      </w:r>
      <w:r w:rsidRPr="00CA58E6">
        <w:rPr>
          <w:b/>
          <w:sz w:val="12"/>
          <w:szCs w:val="12"/>
        </w:rPr>
        <w:t>.</w:t>
      </w:r>
    </w:p>
    <w:p w14:paraId="4A6DA965" w14:textId="77777777" w:rsidR="00890FD2" w:rsidRPr="00CA58E6" w:rsidRDefault="00890FD2" w:rsidP="00890FD2">
      <w:pPr>
        <w:spacing w:after="120" w:line="240" w:lineRule="auto"/>
        <w:ind w:left="2268" w:hanging="1134"/>
        <w:jc w:val="both"/>
        <w:rPr>
          <w:b/>
        </w:rPr>
      </w:pPr>
      <w:r w:rsidRPr="00CA58E6">
        <w:rPr>
          <w:b/>
        </w:rPr>
        <w:t>2.2.</w:t>
      </w:r>
      <w:r w:rsidRPr="00CA58E6">
        <w:rPr>
          <w:b/>
        </w:rPr>
        <w:tab/>
        <w:t>Calculation of the applicable (NEDC) road load of the vehicle</w:t>
      </w:r>
    </w:p>
    <w:p w14:paraId="6C0871DD" w14:textId="77777777" w:rsidR="00890FD2" w:rsidRPr="00CA58E6" w:rsidRDefault="00890FD2" w:rsidP="00890FD2">
      <w:pPr>
        <w:spacing w:after="120" w:line="240" w:lineRule="auto"/>
        <w:ind w:left="2268" w:right="1134" w:hanging="1134"/>
        <w:jc w:val="both"/>
        <w:rPr>
          <w:b/>
        </w:rPr>
      </w:pPr>
      <w:r w:rsidRPr="00CA58E6">
        <w:rPr>
          <w:b/>
        </w:rPr>
        <w:t xml:space="preserve">2.2.1. </w:t>
      </w:r>
      <w:r w:rsidRPr="00CA58E6">
        <w:rPr>
          <w:b/>
        </w:rPr>
        <w:tab/>
        <w:t>Effect of different tyre pressure prescriptions</w:t>
      </w:r>
    </w:p>
    <w:p w14:paraId="1B0513E3" w14:textId="77777777" w:rsidR="00890FD2" w:rsidRPr="00CA58E6" w:rsidRDefault="00890FD2" w:rsidP="00890FD2">
      <w:pPr>
        <w:spacing w:after="120" w:line="240" w:lineRule="auto"/>
        <w:ind w:left="2268" w:right="1134"/>
        <w:jc w:val="both"/>
        <w:rPr>
          <w:b/>
        </w:rPr>
      </w:pPr>
      <w:r w:rsidRPr="00CA58E6">
        <w:rPr>
          <w:b/>
        </w:rPr>
        <w:t>The tyre pressure to be taken into account for the purpose of calculating the NEDC road load shall be the average between the two axles of the average between the minimum and maximum tyre pressure permitted for the selected tyres on each axle for the NEDC reference mass of the vehicle. The calculation shall be carried out with the following formula:</w:t>
      </w:r>
    </w:p>
    <w:p w14:paraId="2CD8B4D2" w14:textId="77777777" w:rsidR="00890FD2" w:rsidRPr="00CA58E6" w:rsidRDefault="004409E1" w:rsidP="00890FD2">
      <w:pPr>
        <w:spacing w:after="120" w:line="240" w:lineRule="auto"/>
        <w:ind w:left="1560" w:right="1134" w:hanging="426"/>
        <w:rPr>
          <w:b/>
          <w:szCs w:val="21"/>
        </w:rPr>
      </w:pPr>
      <m:oMathPara>
        <m:oMath>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max</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num>
                <m:den>
                  <m:r>
                    <m:rPr>
                      <m:sty m:val="bi"/>
                    </m:rPr>
                    <w:rPr>
                      <w:rFonts w:ascii="Cambria Math" w:hAnsi="Cambria Math"/>
                      <w:szCs w:val="21"/>
                    </w:rPr>
                    <m:t>2</m:t>
                  </m:r>
                </m:den>
              </m:f>
            </m:e>
          </m:d>
        </m:oMath>
      </m:oMathPara>
    </w:p>
    <w:p w14:paraId="109DAF76" w14:textId="77777777" w:rsidR="00890FD2" w:rsidRPr="00CA58E6" w:rsidRDefault="00890FD2" w:rsidP="00890FD2">
      <w:pPr>
        <w:spacing w:after="120" w:line="240" w:lineRule="auto"/>
        <w:ind w:left="2268" w:right="1133"/>
        <w:rPr>
          <w:b/>
        </w:rPr>
      </w:pPr>
      <w:r w:rsidRPr="00CA58E6">
        <w:rPr>
          <w:b/>
        </w:rPr>
        <w:t>Where,</w:t>
      </w:r>
    </w:p>
    <w:p w14:paraId="0C610D2C" w14:textId="50EC7046" w:rsidR="00890FD2" w:rsidRPr="00CA58E6" w:rsidRDefault="00890FD2" w:rsidP="00890FD2">
      <w:pPr>
        <w:spacing w:after="120"/>
        <w:ind w:left="2268" w:right="1133"/>
        <w:jc w:val="both"/>
        <w:rPr>
          <w:b/>
        </w:rPr>
      </w:pPr>
      <w:r w:rsidRPr="00CA58E6">
        <w:rPr>
          <w:b/>
        </w:rPr>
        <w:lastRenderedPageBreak/>
        <w:t>P</w:t>
      </w:r>
      <w:r w:rsidRPr="00CA58E6">
        <w:rPr>
          <w:b/>
          <w:vertAlign w:val="subscript"/>
        </w:rPr>
        <w:t>max</w:t>
      </w:r>
      <w:r w:rsidRPr="00CA58E6">
        <w:rPr>
          <w:b/>
        </w:rPr>
        <w:t>, is the average of the maximum tyre pressures of the selected tyres for the two axles;</w:t>
      </w:r>
    </w:p>
    <w:p w14:paraId="02431985" w14:textId="77777777" w:rsidR="00890FD2" w:rsidRPr="00CA58E6" w:rsidRDefault="00890FD2" w:rsidP="00890FD2">
      <w:pPr>
        <w:spacing w:after="120"/>
        <w:ind w:left="2268" w:right="1133"/>
        <w:jc w:val="both"/>
        <w:rPr>
          <w:b/>
        </w:rPr>
      </w:pPr>
      <w:proofErr w:type="spellStart"/>
      <w:r w:rsidRPr="00CA58E6">
        <w:rPr>
          <w:b/>
        </w:rPr>
        <w:t>P</w:t>
      </w:r>
      <w:r w:rsidRPr="00CA58E6">
        <w:rPr>
          <w:b/>
          <w:vertAlign w:val="subscript"/>
        </w:rPr>
        <w:t>min</w:t>
      </w:r>
      <w:proofErr w:type="spellEnd"/>
      <w:r w:rsidRPr="00CA58E6">
        <w:rPr>
          <w:b/>
        </w:rPr>
        <w:t>, is the average of the minimum tyre pressures of the selected tyres for the two axles.</w:t>
      </w:r>
    </w:p>
    <w:p w14:paraId="6336B032" w14:textId="77777777" w:rsidR="00890FD2" w:rsidRPr="00CA58E6" w:rsidRDefault="00890FD2" w:rsidP="00890FD2">
      <w:pPr>
        <w:spacing w:after="120"/>
        <w:ind w:left="2268" w:right="1133"/>
        <w:jc w:val="both"/>
        <w:rPr>
          <w:b/>
          <w:szCs w:val="21"/>
        </w:rPr>
      </w:pPr>
      <w:r w:rsidRPr="00CA58E6">
        <w:rPr>
          <w:b/>
        </w:rPr>
        <w:t>The corresponding effect in terms of resistance applied to the vehicle shall be calculated using the following formula:</w:t>
      </w:r>
    </w:p>
    <w:p w14:paraId="441266CD" w14:textId="77777777" w:rsidR="00890FD2" w:rsidRPr="00CA58E6" w:rsidRDefault="00890FD2" w:rsidP="00890FD2">
      <w:pPr>
        <w:spacing w:after="120"/>
        <w:ind w:left="1418" w:right="1134"/>
        <w:rPr>
          <w:b/>
          <w:szCs w:val="21"/>
        </w:rPr>
      </w:pPr>
      <m:oMathPara>
        <m:oMath>
          <m:r>
            <m:rPr>
              <m:sty m:val="bi"/>
            </m:rPr>
            <w:rPr>
              <w:rFonts w:ascii="Cambria Math" w:hAnsi="Cambria Math"/>
              <w:szCs w:val="21"/>
            </w:rPr>
            <m:t>TP=</m:t>
          </m:r>
          <m:sSup>
            <m:sSupPr>
              <m:ctrlPr>
                <w:rPr>
                  <w:rFonts w:ascii="Cambria Math" w:hAnsi="Cambria Math"/>
                  <w:b/>
                  <w:i/>
                  <w:szCs w:val="21"/>
                </w:rPr>
              </m:ctrlPr>
            </m:sSupPr>
            <m:e>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num>
                    <m:den>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den>
                  </m:f>
                </m:e>
              </m:d>
            </m:e>
            <m:sup>
              <m:r>
                <m:rPr>
                  <m:sty m:val="bi"/>
                </m:rPr>
                <w:rPr>
                  <w:rFonts w:ascii="Cambria Math" w:hAnsi="Cambria Math"/>
                  <w:szCs w:val="21"/>
                </w:rPr>
                <m:t>-0.4</m:t>
              </m:r>
            </m:sup>
          </m:sSup>
        </m:oMath>
      </m:oMathPara>
    </w:p>
    <w:p w14:paraId="10FEA1E3" w14:textId="77777777" w:rsidR="00890FD2" w:rsidRPr="00CA58E6" w:rsidRDefault="00890FD2" w:rsidP="00890FD2">
      <w:pPr>
        <w:spacing w:after="120"/>
        <w:ind w:left="2268" w:right="1134" w:hanging="1134"/>
        <w:jc w:val="both"/>
        <w:rPr>
          <w:b/>
        </w:rPr>
      </w:pPr>
      <w:r w:rsidRPr="00CA58E6">
        <w:rPr>
          <w:b/>
        </w:rPr>
        <w:t xml:space="preserve">2.2.2. </w:t>
      </w:r>
      <w:r w:rsidRPr="00CA58E6">
        <w:rPr>
          <w:b/>
        </w:rPr>
        <w:tab/>
        <w:t>Effect of tyre tread depth</w:t>
      </w:r>
    </w:p>
    <w:p w14:paraId="13954C06" w14:textId="77777777" w:rsidR="00890FD2" w:rsidRPr="00CA58E6" w:rsidRDefault="00890FD2" w:rsidP="00890FD2">
      <w:pPr>
        <w:spacing w:after="120"/>
        <w:ind w:left="2268" w:right="1134"/>
        <w:jc w:val="both"/>
        <w:rPr>
          <w:b/>
        </w:rPr>
      </w:pPr>
      <w:r w:rsidRPr="00CA58E6">
        <w:rPr>
          <w:b/>
        </w:rPr>
        <w:t>The effect in terms of the resistance applied to the vehicle shall be determined in accordance with the following formula:</w:t>
      </w:r>
    </w:p>
    <w:p w14:paraId="61922B63" w14:textId="77777777" w:rsidR="00890FD2" w:rsidRPr="00CA58E6" w:rsidRDefault="00890FD2" w:rsidP="00890FD2">
      <w:pPr>
        <w:spacing w:after="120"/>
        <w:ind w:left="3402" w:right="1134"/>
        <w:rPr>
          <w:b/>
          <w:szCs w:val="21"/>
        </w:rPr>
      </w:pPr>
      <w:r w:rsidRPr="00CA58E6">
        <w:rPr>
          <w:b/>
          <w:szCs w:val="21"/>
        </w:rPr>
        <w:tab/>
      </w:r>
      <m:oMath>
        <m:r>
          <m:rPr>
            <m:sty m:val="bi"/>
          </m:rPr>
          <w:rPr>
            <w:rFonts w:ascii="Cambria Math" w:hAnsi="Cambria Math"/>
            <w:szCs w:val="21"/>
          </w:rPr>
          <m:t>TTD=</m:t>
        </m:r>
        <m:d>
          <m:dPr>
            <m:ctrlPr>
              <w:rPr>
                <w:rFonts w:ascii="Cambria Math" w:hAnsi="Cambria Math"/>
                <w:b/>
                <w:i/>
                <w:szCs w:val="21"/>
              </w:rPr>
            </m:ctrlPr>
          </m:dPr>
          <m:e>
            <m:r>
              <m:rPr>
                <m:sty m:val="bi"/>
              </m:rPr>
              <w:rPr>
                <w:rFonts w:ascii="Cambria Math" w:hAnsi="Cambria Math"/>
                <w:szCs w:val="21"/>
              </w:rPr>
              <m:t>2∙</m:t>
            </m:r>
            <m:f>
              <m:fPr>
                <m:ctrlPr>
                  <w:rPr>
                    <w:rFonts w:ascii="Cambria Math" w:hAnsi="Cambria Math"/>
                    <w:b/>
                    <w:i/>
                    <w:szCs w:val="21"/>
                  </w:rPr>
                </m:ctrlPr>
              </m:fPr>
              <m:num>
                <m:r>
                  <m:rPr>
                    <m:sty m:val="bi"/>
                  </m:rPr>
                  <w:rPr>
                    <w:rFonts w:ascii="Cambria Math" w:hAnsi="Cambria Math"/>
                    <w:szCs w:val="21"/>
                  </w:rPr>
                  <m:t>0.1∙</m:t>
                </m:r>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r>
                  <m:rPr>
                    <m:sty m:val="bi"/>
                  </m:rPr>
                  <w:rPr>
                    <w:rFonts w:ascii="Cambria Math" w:hAnsi="Cambria Math"/>
                    <w:szCs w:val="21"/>
                  </w:rPr>
                  <m:t>∙9.81</m:t>
                </m:r>
              </m:num>
              <m:den>
                <m:r>
                  <m:rPr>
                    <m:sty m:val="bi"/>
                  </m:rPr>
                  <w:rPr>
                    <w:rFonts w:ascii="Cambria Math" w:hAnsi="Cambria Math"/>
                    <w:szCs w:val="21"/>
                  </w:rPr>
                  <m:t>1000</m:t>
                </m:r>
              </m:den>
            </m:f>
          </m:e>
        </m:d>
      </m:oMath>
    </w:p>
    <w:p w14:paraId="3F97716C" w14:textId="77777777" w:rsidR="00890FD2" w:rsidRPr="00CA58E6" w:rsidRDefault="00890FD2" w:rsidP="00890FD2">
      <w:pPr>
        <w:spacing w:after="120"/>
        <w:ind w:left="2268" w:right="1134"/>
        <w:jc w:val="both"/>
        <w:rPr>
          <w:b/>
        </w:rPr>
      </w:pPr>
      <w:r w:rsidRPr="00CA58E6">
        <w:rPr>
          <w:b/>
        </w:rPr>
        <w:t xml:space="preserve">Where, </w:t>
      </w:r>
      <w:proofErr w:type="spellStart"/>
      <w:r w:rsidRPr="00CA58E6">
        <w:rPr>
          <w:b/>
        </w:rPr>
        <w:t>RM</w:t>
      </w:r>
      <w:r w:rsidRPr="00CA58E6">
        <w:rPr>
          <w:b/>
          <w:vertAlign w:val="subscript"/>
        </w:rPr>
        <w:t>n</w:t>
      </w:r>
      <w:proofErr w:type="spellEnd"/>
      <w:r w:rsidRPr="00CA58E6">
        <w:rPr>
          <w:b/>
        </w:rPr>
        <w:t xml:space="preserve"> is the reference mass of the vehicle according to this Regulation</w:t>
      </w:r>
    </w:p>
    <w:p w14:paraId="2FE70AC3" w14:textId="77777777" w:rsidR="00890FD2" w:rsidRPr="00CA58E6" w:rsidRDefault="00890FD2" w:rsidP="00890FD2">
      <w:pPr>
        <w:spacing w:after="120"/>
        <w:ind w:left="2268" w:right="1134" w:hanging="1134"/>
        <w:jc w:val="both"/>
        <w:rPr>
          <w:b/>
        </w:rPr>
      </w:pPr>
      <w:r w:rsidRPr="00CA58E6">
        <w:rPr>
          <w:b/>
        </w:rPr>
        <w:t xml:space="preserve">2.2.3. </w:t>
      </w:r>
      <w:r w:rsidRPr="00CA58E6">
        <w:rPr>
          <w:b/>
        </w:rPr>
        <w:tab/>
        <w:t>Effect of different consideration of rotating parts</w:t>
      </w:r>
    </w:p>
    <w:p w14:paraId="4D949C1A" w14:textId="77777777" w:rsidR="00890FD2" w:rsidRPr="00CA58E6" w:rsidRDefault="00890FD2" w:rsidP="00890FD2">
      <w:pPr>
        <w:spacing w:after="120"/>
        <w:ind w:left="2268" w:right="1133"/>
        <w:jc w:val="both"/>
        <w:rPr>
          <w:b/>
        </w:rPr>
      </w:pPr>
      <w:r w:rsidRPr="00CA58E6">
        <w:rPr>
          <w:b/>
        </w:rPr>
        <w:t xml:space="preserve">During the WLTP </w:t>
      </w:r>
      <w:proofErr w:type="spellStart"/>
      <w:r w:rsidRPr="00CA58E6">
        <w:rPr>
          <w:b/>
        </w:rPr>
        <w:t>coastdown</w:t>
      </w:r>
      <w:proofErr w:type="spellEnd"/>
      <w:r w:rsidRPr="00CA58E6">
        <w:rPr>
          <w:b/>
        </w:rPr>
        <w:t xml:space="preserve"> setting, </w:t>
      </w:r>
      <w:proofErr w:type="spellStart"/>
      <w:r w:rsidRPr="00CA58E6">
        <w:rPr>
          <w:b/>
        </w:rPr>
        <w:t>coastdown</w:t>
      </w:r>
      <w:proofErr w:type="spellEnd"/>
      <w:r w:rsidRPr="00CA58E6">
        <w:rPr>
          <w:b/>
        </w:rPr>
        <w:t xml:space="preserve"> times are to be transferred to forces and vice versa by taking into account the applicable test mass plus the effect of rotational mass (3 % of the sum of the MRO and 25 kg). For the NEDC </w:t>
      </w:r>
      <w:proofErr w:type="spellStart"/>
      <w:r w:rsidRPr="00CA58E6">
        <w:rPr>
          <w:b/>
        </w:rPr>
        <w:t>coastdown</w:t>
      </w:r>
      <w:proofErr w:type="spellEnd"/>
      <w:r w:rsidRPr="00CA58E6">
        <w:rPr>
          <w:b/>
        </w:rPr>
        <w:t xml:space="preserve"> setting, </w:t>
      </w:r>
      <w:proofErr w:type="spellStart"/>
      <w:r w:rsidRPr="00CA58E6">
        <w:rPr>
          <w:b/>
        </w:rPr>
        <w:t>coastdown</w:t>
      </w:r>
      <w:proofErr w:type="spellEnd"/>
      <w:r w:rsidRPr="00CA58E6">
        <w:rPr>
          <w:b/>
        </w:rPr>
        <w:t xml:space="preserve"> times are to be transferred to forces and vice versa by neglecting the effect of rotational mass.</w:t>
      </w:r>
    </w:p>
    <w:p w14:paraId="5935734D" w14:textId="77777777" w:rsidR="00890FD2" w:rsidRPr="00CA58E6" w:rsidRDefault="00890FD2" w:rsidP="00890FD2">
      <w:pPr>
        <w:spacing w:after="120"/>
        <w:ind w:left="2268" w:right="1134" w:hanging="1134"/>
        <w:jc w:val="both"/>
        <w:rPr>
          <w:b/>
        </w:rPr>
      </w:pPr>
      <w:r w:rsidRPr="00CA58E6">
        <w:rPr>
          <w:b/>
        </w:rPr>
        <w:t xml:space="preserve">2.2.4. </w:t>
      </w:r>
      <w:r w:rsidRPr="00CA58E6">
        <w:rPr>
          <w:b/>
        </w:rPr>
        <w:tab/>
        <w:t xml:space="preserve">Determination of the NEDC road load coefficients </w:t>
      </w:r>
    </w:p>
    <w:p w14:paraId="7295335A" w14:textId="77777777" w:rsidR="00890FD2" w:rsidRPr="00CA58E6" w:rsidRDefault="00890FD2" w:rsidP="00890FD2">
      <w:pPr>
        <w:spacing w:after="120"/>
        <w:ind w:left="2835" w:right="1133" w:hanging="567"/>
        <w:jc w:val="both"/>
        <w:rPr>
          <w:b/>
        </w:rPr>
      </w:pPr>
      <w:r w:rsidRPr="00CA58E6">
        <w:rPr>
          <w:b/>
        </w:rPr>
        <w:t xml:space="preserve">(a) </w:t>
      </w:r>
      <w:r w:rsidRPr="00CA58E6">
        <w:rPr>
          <w:b/>
        </w:rPr>
        <w:tab/>
        <w:t>The road load coefficient F</w:t>
      </w:r>
      <w:r w:rsidRPr="00CA58E6">
        <w:rPr>
          <w:b/>
          <w:vertAlign w:val="subscript"/>
        </w:rPr>
        <w:t>0,n</w:t>
      </w:r>
      <w:r w:rsidRPr="00CA58E6">
        <w:rPr>
          <w:b/>
        </w:rPr>
        <w:t xml:space="preserve"> expressed in Newton (N) for vehicle shall be determined as follows:</w:t>
      </w:r>
    </w:p>
    <w:p w14:paraId="60DFF07D" w14:textId="77777777" w:rsidR="00890FD2" w:rsidRPr="00CA58E6" w:rsidRDefault="00890FD2" w:rsidP="00890FD2">
      <w:pPr>
        <w:spacing w:after="120"/>
        <w:ind w:left="2835" w:right="1134"/>
        <w:jc w:val="both"/>
        <w:rPr>
          <w:b/>
        </w:rPr>
      </w:pPr>
      <w:r w:rsidRPr="00CA58E6">
        <w:rPr>
          <w:b/>
        </w:rPr>
        <w:t>(</w:t>
      </w:r>
      <w:proofErr w:type="spellStart"/>
      <w:r w:rsidRPr="00CA58E6">
        <w:rPr>
          <w:b/>
        </w:rPr>
        <w:t>i</w:t>
      </w:r>
      <w:proofErr w:type="spellEnd"/>
      <w:r w:rsidRPr="00CA58E6">
        <w:rPr>
          <w:b/>
        </w:rPr>
        <w:t>)</w:t>
      </w:r>
      <w:r w:rsidRPr="00CA58E6">
        <w:rPr>
          <w:b/>
        </w:rPr>
        <w:tab/>
        <w:t>Effect of different inertia:</w:t>
      </w:r>
    </w:p>
    <w:bookmarkStart w:id="1" w:name="_Hlk30015935"/>
    <w:p w14:paraId="0A19E1BA" w14:textId="77777777" w:rsidR="00890FD2" w:rsidRPr="00CA58E6" w:rsidRDefault="004409E1" w:rsidP="00890FD2">
      <w:pPr>
        <w:spacing w:after="120"/>
        <w:ind w:left="1985" w:right="1134" w:hanging="284"/>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1</m:t>
              </m:r>
            </m:sup>
          </m:sSubSup>
          <w:bookmarkEnd w:id="1"/>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num>
                <m:den>
                  <m:sSub>
                    <m:sSubPr>
                      <m:ctrlPr>
                        <w:rPr>
                          <w:rFonts w:ascii="Cambria Math" w:hAnsi="Cambria Math"/>
                          <w:b/>
                          <w:i/>
                          <w:szCs w:val="21"/>
                        </w:rPr>
                      </m:ctrlPr>
                    </m:sSubPr>
                    <m:e>
                      <m:r>
                        <m:rPr>
                          <m:sty m:val="bi"/>
                        </m:rPr>
                        <w:rPr>
                          <w:rFonts w:ascii="Cambria Math" w:hAnsi="Cambria Math"/>
                          <w:szCs w:val="21"/>
                        </w:rPr>
                        <m:t>TM</m:t>
                      </m:r>
                    </m:e>
                    <m:sub>
                      <m:r>
                        <m:rPr>
                          <m:sty m:val="bi"/>
                        </m:rPr>
                        <w:rPr>
                          <w:rFonts w:ascii="Cambria Math" w:hAnsi="Cambria Math"/>
                          <w:szCs w:val="21"/>
                        </w:rPr>
                        <m:t>w</m:t>
                      </m:r>
                    </m:sub>
                  </m:sSub>
                </m:den>
              </m:f>
            </m:e>
          </m:d>
        </m:oMath>
      </m:oMathPara>
    </w:p>
    <w:p w14:paraId="1DF548C8" w14:textId="77777777" w:rsidR="00890FD2" w:rsidRPr="00CA58E6" w:rsidRDefault="00890FD2" w:rsidP="00890FD2">
      <w:pPr>
        <w:spacing w:after="120"/>
        <w:ind w:left="2268" w:right="1133"/>
        <w:jc w:val="both"/>
        <w:rPr>
          <w:b/>
        </w:rPr>
      </w:pPr>
      <w:r w:rsidRPr="00CA58E6">
        <w:rPr>
          <w:b/>
        </w:rPr>
        <w:t>Where:</w:t>
      </w:r>
    </w:p>
    <w:p w14:paraId="65F5DA93" w14:textId="77777777" w:rsidR="00890FD2" w:rsidRPr="00CA58E6" w:rsidRDefault="00890FD2" w:rsidP="00890FD2">
      <w:pPr>
        <w:spacing w:after="120"/>
        <w:ind w:left="2268" w:right="1133"/>
        <w:jc w:val="both"/>
        <w:rPr>
          <w:b/>
        </w:rPr>
      </w:pPr>
      <w:proofErr w:type="spellStart"/>
      <w:r w:rsidRPr="00CA58E6">
        <w:rPr>
          <w:b/>
        </w:rPr>
        <w:t>RM</w:t>
      </w:r>
      <w:r w:rsidRPr="00CA58E6">
        <w:rPr>
          <w:b/>
          <w:vertAlign w:val="subscript"/>
        </w:rPr>
        <w:t>n</w:t>
      </w:r>
      <w:proofErr w:type="spellEnd"/>
      <w:r w:rsidRPr="00CA58E6">
        <w:rPr>
          <w:b/>
        </w:rPr>
        <w:t xml:space="preserve"> is the Reference Mass of the vehicle according to this Regulation</w:t>
      </w:r>
    </w:p>
    <w:p w14:paraId="23CF22E7" w14:textId="77777777" w:rsidR="00890FD2" w:rsidRPr="00CA58E6" w:rsidRDefault="00890FD2" w:rsidP="00890FD2">
      <w:pPr>
        <w:spacing w:after="120"/>
        <w:ind w:left="2268" w:right="1133"/>
        <w:jc w:val="both"/>
        <w:rPr>
          <w:b/>
        </w:rPr>
      </w:pPr>
      <w:r w:rsidRPr="00CA58E6">
        <w:rPr>
          <w:b/>
          <w:i/>
          <w:iCs/>
        </w:rPr>
        <w:t>F</w:t>
      </w:r>
      <w:r w:rsidRPr="00CA58E6">
        <w:rPr>
          <w:b/>
          <w:vertAlign w:val="subscript"/>
        </w:rPr>
        <w:t>0</w:t>
      </w:r>
      <w:r w:rsidRPr="00CA58E6">
        <w:rPr>
          <w:b/>
          <w:i/>
          <w:iCs/>
          <w:vertAlign w:val="subscript"/>
        </w:rPr>
        <w:t>w</w:t>
      </w:r>
      <w:r w:rsidRPr="00CA58E6">
        <w:rPr>
          <w:b/>
          <w:i/>
          <w:iCs/>
        </w:rPr>
        <w:t xml:space="preserve"> </w:t>
      </w:r>
      <w:r w:rsidRPr="00CA58E6">
        <w:rPr>
          <w:b/>
        </w:rPr>
        <w:t>is the road load coefficient F</w:t>
      </w:r>
      <w:r w:rsidRPr="00CA58E6">
        <w:rPr>
          <w:b/>
          <w:vertAlign w:val="subscript"/>
        </w:rPr>
        <w:t>0</w:t>
      </w:r>
      <w:r w:rsidRPr="00CA58E6">
        <w:rPr>
          <w:b/>
        </w:rPr>
        <w:t xml:space="preserve"> determined for the WLTP test of the vehicle; </w:t>
      </w:r>
    </w:p>
    <w:p w14:paraId="5C7AC82A" w14:textId="77777777" w:rsidR="00890FD2" w:rsidRPr="00CA58E6" w:rsidRDefault="00890FD2" w:rsidP="00890FD2">
      <w:pPr>
        <w:spacing w:after="120"/>
        <w:ind w:left="2268" w:right="1133"/>
        <w:jc w:val="both"/>
        <w:rPr>
          <w:b/>
        </w:rPr>
      </w:pPr>
      <w:proofErr w:type="spellStart"/>
      <w:r w:rsidRPr="00CA58E6">
        <w:rPr>
          <w:b/>
        </w:rPr>
        <w:t>TM</w:t>
      </w:r>
      <w:r w:rsidRPr="00CA58E6">
        <w:rPr>
          <w:b/>
          <w:vertAlign w:val="subscript"/>
        </w:rPr>
        <w:t>w</w:t>
      </w:r>
      <w:proofErr w:type="spellEnd"/>
      <w:r w:rsidRPr="00CA58E6">
        <w:rPr>
          <w:b/>
        </w:rPr>
        <w:t xml:space="preserve"> is the WLTP test mass of the vehicle fitted with its standard equipment.</w:t>
      </w:r>
    </w:p>
    <w:p w14:paraId="6D5DE1B3" w14:textId="77777777" w:rsidR="00890FD2" w:rsidRPr="00CA58E6" w:rsidRDefault="00890FD2" w:rsidP="00890FD2">
      <w:pPr>
        <w:spacing w:after="120"/>
        <w:ind w:left="2835" w:right="1134"/>
        <w:jc w:val="both"/>
        <w:rPr>
          <w:b/>
        </w:rPr>
      </w:pPr>
      <w:r w:rsidRPr="00CA58E6">
        <w:rPr>
          <w:b/>
        </w:rPr>
        <w:t>(ii)</w:t>
      </w:r>
      <w:r w:rsidRPr="00CA58E6">
        <w:rPr>
          <w:b/>
        </w:rPr>
        <w:tab/>
        <w:t>Effect of different tyre pressure:</w:t>
      </w:r>
    </w:p>
    <w:p w14:paraId="45A88630" w14:textId="77777777" w:rsidR="00890FD2" w:rsidRPr="00CA58E6" w:rsidRDefault="004409E1" w:rsidP="00890FD2">
      <w:pPr>
        <w:spacing w:after="120"/>
        <w:ind w:left="1985" w:right="1134" w:hanging="284"/>
        <w:rPr>
          <w:b/>
        </w:rPr>
      </w:pPr>
      <m:oMathPara>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1</m:t>
              </m:r>
            </m:sup>
          </m:sSubSup>
          <m:r>
            <m:rPr>
              <m:sty m:val="bi"/>
            </m:rPr>
            <w:rPr>
              <w:rFonts w:ascii="Cambria Math" w:hAnsi="Cambria Math"/>
            </w:rPr>
            <m:t>∙TP</m:t>
          </m:r>
        </m:oMath>
      </m:oMathPara>
    </w:p>
    <w:p w14:paraId="6D30CA82" w14:textId="77777777" w:rsidR="00890FD2" w:rsidRPr="00CA58E6" w:rsidRDefault="00890FD2" w:rsidP="00890FD2">
      <w:pPr>
        <w:spacing w:after="120"/>
        <w:ind w:left="2268" w:right="1134"/>
        <w:jc w:val="both"/>
        <w:rPr>
          <w:b/>
        </w:rPr>
      </w:pPr>
      <w:r w:rsidRPr="00CA58E6">
        <w:rPr>
          <w:b/>
        </w:rPr>
        <w:t xml:space="preserve">Where the factors </w:t>
      </w:r>
      <m:oMath>
        <m:r>
          <m:rPr>
            <m:sty m:val="bi"/>
          </m:rPr>
          <w:rPr>
            <w:rFonts w:ascii="Cambria Math" w:hAnsi="Cambria Math"/>
          </w:rPr>
          <m:t>TP</m:t>
        </m:r>
      </m:oMath>
      <w:r w:rsidRPr="00CA58E6">
        <w:rPr>
          <w:b/>
        </w:rPr>
        <w:t xml:space="preserve"> in the formula are as defined in point 2.2.1.</w:t>
      </w:r>
    </w:p>
    <w:p w14:paraId="03D5CCB9" w14:textId="77777777" w:rsidR="00890FD2" w:rsidRPr="00CA58E6" w:rsidRDefault="00890FD2" w:rsidP="00890FD2">
      <w:pPr>
        <w:spacing w:after="120"/>
        <w:ind w:left="2835" w:right="1134"/>
        <w:jc w:val="both"/>
        <w:rPr>
          <w:b/>
        </w:rPr>
      </w:pPr>
      <w:r w:rsidRPr="00CA58E6">
        <w:rPr>
          <w:b/>
        </w:rPr>
        <w:t>(iii)</w:t>
      </w:r>
      <w:r w:rsidRPr="00CA58E6">
        <w:rPr>
          <w:b/>
        </w:rPr>
        <w:tab/>
        <w:t>Effect of the inertia of rotating parts:</w:t>
      </w:r>
    </w:p>
    <w:p w14:paraId="3C1B9379" w14:textId="77777777" w:rsidR="00890FD2" w:rsidRPr="00CA58E6" w:rsidRDefault="004409E1" w:rsidP="00890FD2">
      <w:pPr>
        <w:spacing w:after="120"/>
        <w:ind w:left="2268" w:right="1134" w:firstLine="567"/>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3</m:t>
              </m:r>
            </m:sup>
          </m:sSubSup>
          <m:r>
            <m:rPr>
              <m:sty m:val="bi"/>
            </m:rPr>
            <w:rPr>
              <w:rFonts w:ascii="Cambria Math" w:hAnsi="Cambria Math"/>
              <w:szCs w:val="21"/>
            </w:rPr>
            <m:t>=</m:t>
          </m:r>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2</m:t>
              </m:r>
            </m:sup>
          </m:sSubSup>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08F560A0" w14:textId="77777777" w:rsidR="00890FD2" w:rsidRPr="00CA58E6" w:rsidRDefault="00890FD2" w:rsidP="00890FD2">
      <w:pPr>
        <w:spacing w:after="120"/>
        <w:ind w:left="2835" w:right="1134"/>
        <w:rPr>
          <w:b/>
        </w:rPr>
      </w:pPr>
      <w:r w:rsidRPr="00CA58E6">
        <w:rPr>
          <w:b/>
        </w:rPr>
        <w:t>(iv)</w:t>
      </w:r>
      <w:r w:rsidRPr="00CA58E6">
        <w:rPr>
          <w:b/>
        </w:rPr>
        <w:tab/>
        <w:t>Effect of different tyre tread depth:</w:t>
      </w:r>
    </w:p>
    <w:p w14:paraId="4888A188" w14:textId="77777777" w:rsidR="00890FD2" w:rsidRPr="00CA58E6" w:rsidRDefault="004409E1" w:rsidP="00890FD2">
      <w:pPr>
        <w:spacing w:after="120"/>
        <w:ind w:left="1985" w:right="1134" w:hanging="284"/>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3</m:t>
              </m:r>
            </m:sup>
          </m:sSubSup>
          <m:r>
            <m:rPr>
              <m:sty m:val="bi"/>
            </m:rPr>
            <w:rPr>
              <w:rFonts w:ascii="Cambria Math" w:hAnsi="Cambria Math"/>
            </w:rPr>
            <m:t>-TTD</m:t>
          </m:r>
        </m:oMath>
      </m:oMathPara>
    </w:p>
    <w:p w14:paraId="3CA9BC38" w14:textId="77777777" w:rsidR="00890FD2" w:rsidRPr="00CA58E6" w:rsidRDefault="00890FD2" w:rsidP="00890FD2">
      <w:pPr>
        <w:spacing w:after="120"/>
        <w:ind w:left="2835" w:right="1133"/>
        <w:rPr>
          <w:b/>
        </w:rPr>
      </w:pPr>
      <w:r w:rsidRPr="00CA58E6">
        <w:rPr>
          <w:b/>
        </w:rPr>
        <w:t xml:space="preserve">Where the factors </w:t>
      </w:r>
      <m:oMath>
        <m:r>
          <m:rPr>
            <m:sty m:val="bi"/>
          </m:rPr>
          <w:rPr>
            <w:rFonts w:ascii="Cambria Math" w:hAnsi="Cambria Math"/>
          </w:rPr>
          <m:t>TTD</m:t>
        </m:r>
      </m:oMath>
      <w:r w:rsidRPr="00CA58E6">
        <w:rPr>
          <w:b/>
        </w:rPr>
        <w:t xml:space="preserve"> in the formula are as defined in point 2.2.2.</w:t>
      </w:r>
    </w:p>
    <w:p w14:paraId="5C5CA333" w14:textId="77777777" w:rsidR="00771870" w:rsidRDefault="00771870" w:rsidP="00890FD2">
      <w:pPr>
        <w:spacing w:after="120"/>
        <w:ind w:left="2835" w:right="1133" w:hanging="567"/>
        <w:rPr>
          <w:b/>
        </w:rPr>
      </w:pPr>
    </w:p>
    <w:p w14:paraId="56A673B4" w14:textId="0E220CBC" w:rsidR="00890FD2" w:rsidRPr="00CA58E6" w:rsidRDefault="00890FD2" w:rsidP="00890FD2">
      <w:pPr>
        <w:spacing w:after="120"/>
        <w:ind w:left="2835" w:right="1133" w:hanging="567"/>
        <w:rPr>
          <w:b/>
          <w:szCs w:val="21"/>
        </w:rPr>
      </w:pPr>
      <w:r w:rsidRPr="00CA58E6">
        <w:rPr>
          <w:b/>
        </w:rPr>
        <w:t xml:space="preserve">(b) </w:t>
      </w:r>
      <w:r w:rsidRPr="00CA58E6">
        <w:rPr>
          <w:b/>
        </w:rPr>
        <w:tab/>
        <w:t>The road load coefficient F</w:t>
      </w:r>
      <w:r w:rsidRPr="00CA58E6">
        <w:rPr>
          <w:b/>
          <w:vertAlign w:val="subscript"/>
        </w:rPr>
        <w:t>1n</w:t>
      </w:r>
      <w:r w:rsidRPr="00CA58E6">
        <w:rPr>
          <w:b/>
        </w:rPr>
        <w:t xml:space="preserve"> for the vehicle shall be determined as follows</w:t>
      </w:r>
      <w:r w:rsidRPr="00CA58E6">
        <w:rPr>
          <w:b/>
          <w:szCs w:val="21"/>
        </w:rPr>
        <w:t xml:space="preserve">: </w:t>
      </w:r>
    </w:p>
    <w:p w14:paraId="4AB1A58B" w14:textId="77777777" w:rsidR="00890FD2" w:rsidRPr="00CA58E6" w:rsidRDefault="004409E1" w:rsidP="00890FD2">
      <w:pPr>
        <w:spacing w:after="120"/>
        <w:ind w:left="1985" w:right="1134" w:hanging="284"/>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1C28A794" w14:textId="77777777" w:rsidR="00890FD2" w:rsidRPr="00CA58E6" w:rsidRDefault="00890FD2" w:rsidP="00890FD2">
      <w:pPr>
        <w:spacing w:after="120"/>
        <w:ind w:left="2835" w:right="1133" w:hanging="567"/>
        <w:rPr>
          <w:b/>
        </w:rPr>
      </w:pPr>
      <w:r w:rsidRPr="00CA58E6">
        <w:rPr>
          <w:b/>
        </w:rPr>
        <w:t xml:space="preserve">(c) </w:t>
      </w:r>
      <w:r w:rsidRPr="00CA58E6">
        <w:rPr>
          <w:b/>
        </w:rPr>
        <w:tab/>
        <w:t>The road load coefficient F</w:t>
      </w:r>
      <w:r w:rsidRPr="00CA58E6">
        <w:rPr>
          <w:b/>
          <w:vertAlign w:val="subscript"/>
        </w:rPr>
        <w:t>2n</w:t>
      </w:r>
      <w:r w:rsidRPr="00CA58E6">
        <w:rPr>
          <w:b/>
        </w:rPr>
        <w:t xml:space="preserve"> for the vehicle shall be determined as follows: </w:t>
      </w:r>
    </w:p>
    <w:p w14:paraId="5EB1A9B0" w14:textId="77777777" w:rsidR="00890FD2" w:rsidRPr="00CA58E6" w:rsidRDefault="004409E1" w:rsidP="00890FD2">
      <w:pPr>
        <w:spacing w:after="120"/>
        <w:ind w:left="993" w:right="-1"/>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60C7A55E" w14:textId="77777777" w:rsidR="00890FD2" w:rsidRDefault="00890FD2" w:rsidP="00890FD2">
      <w:pPr>
        <w:keepNext/>
        <w:keepLines/>
        <w:spacing w:before="360" w:after="240" w:line="300" w:lineRule="exact"/>
        <w:ind w:left="2268" w:right="1134"/>
        <w:rPr>
          <w:bCs/>
          <w:szCs w:val="21"/>
        </w:rPr>
      </w:pPr>
      <w:r w:rsidRPr="00CA58E6">
        <w:rPr>
          <w:b/>
        </w:rPr>
        <w:t xml:space="preserve">Where the factor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2</m:t>
            </m:r>
            <m:r>
              <m:rPr>
                <m:sty m:val="bi"/>
              </m:rPr>
              <w:rPr>
                <w:rFonts w:ascii="Cambria Math" w:hAnsi="Cambria Math"/>
              </w:rPr>
              <m:t>w</m:t>
            </m:r>
          </m:sub>
        </m:sSub>
      </m:oMath>
      <w:r w:rsidRPr="00CA58E6">
        <w:rPr>
          <w:b/>
        </w:rPr>
        <w:t xml:space="preserve"> is the WLTP road load coefficient F</w:t>
      </w:r>
      <w:r w:rsidRPr="00CA58E6">
        <w:rPr>
          <w:b/>
          <w:vertAlign w:val="subscript"/>
        </w:rPr>
        <w:t>2</w:t>
      </w:r>
      <w:r w:rsidRPr="00CA58E6">
        <w:rPr>
          <w:b/>
        </w:rPr>
        <w:t xml:space="preserve"> determined of the vehicle fitted with its standard equipment</w:t>
      </w:r>
      <w:r w:rsidRPr="00CA58E6">
        <w:rPr>
          <w:b/>
          <w:szCs w:val="21"/>
        </w:rPr>
        <w:t>.</w:t>
      </w:r>
      <w:r w:rsidRPr="00276618">
        <w:rPr>
          <w:bCs/>
          <w:szCs w:val="21"/>
        </w:rPr>
        <w:t>"</w:t>
      </w:r>
    </w:p>
    <w:p w14:paraId="661FFE95" w14:textId="77777777" w:rsidR="00890FD2" w:rsidRPr="00CD6986" w:rsidRDefault="00890FD2" w:rsidP="00890FD2">
      <w:pPr>
        <w:keepNext/>
        <w:keepLines/>
        <w:spacing w:before="360" w:after="240" w:line="300" w:lineRule="exact"/>
        <w:ind w:right="1134"/>
        <w:rPr>
          <w:i/>
        </w:rPr>
      </w:pPr>
      <w:r>
        <w:rPr>
          <w:b/>
        </w:rPr>
        <w:t xml:space="preserve">                       </w:t>
      </w:r>
      <w:r w:rsidRPr="00CD6986">
        <w:rPr>
          <w:i/>
        </w:rPr>
        <w:t>Delete Annex 4a</w:t>
      </w:r>
    </w:p>
    <w:p w14:paraId="7476887F" w14:textId="77777777" w:rsidR="00890FD2" w:rsidRDefault="00890FD2" w:rsidP="00890FD2">
      <w:pPr>
        <w:pStyle w:val="Default"/>
        <w:ind w:right="805"/>
        <w:rPr>
          <w:b/>
          <w:bCs/>
          <w:sz w:val="28"/>
          <w:szCs w:val="28"/>
          <w:lang w:val="en-GB"/>
        </w:rPr>
      </w:pPr>
    </w:p>
    <w:p w14:paraId="025F5F56" w14:textId="769726FD" w:rsidR="00890FD2" w:rsidRPr="00D96AA7" w:rsidRDefault="00890FD2" w:rsidP="004D731A">
      <w:pPr>
        <w:pStyle w:val="Default"/>
        <w:ind w:right="805" w:firstLine="567"/>
        <w:rPr>
          <w:b/>
          <w:bCs/>
          <w:sz w:val="28"/>
          <w:szCs w:val="28"/>
          <w:lang w:val="en-GB"/>
        </w:rPr>
      </w:pPr>
      <w:r w:rsidRPr="00D96AA7">
        <w:rPr>
          <w:b/>
          <w:bCs/>
          <w:sz w:val="28"/>
          <w:szCs w:val="28"/>
          <w:lang w:val="en-GB"/>
        </w:rPr>
        <w:t>II.</w:t>
      </w:r>
      <w:r w:rsidR="00483DEC">
        <w:rPr>
          <w:b/>
          <w:bCs/>
          <w:sz w:val="28"/>
          <w:szCs w:val="28"/>
          <w:lang w:val="en-GB"/>
        </w:rPr>
        <w:tab/>
      </w:r>
      <w:r w:rsidRPr="00D96AA7">
        <w:rPr>
          <w:b/>
          <w:bCs/>
          <w:sz w:val="28"/>
          <w:szCs w:val="28"/>
          <w:lang w:val="en-GB"/>
        </w:rPr>
        <w:t>Justification</w:t>
      </w:r>
    </w:p>
    <w:p w14:paraId="1FD908A3" w14:textId="77777777" w:rsidR="00890FD2" w:rsidRPr="00D96AA7" w:rsidRDefault="00890FD2" w:rsidP="00890FD2">
      <w:pPr>
        <w:pStyle w:val="Default"/>
        <w:ind w:left="1134" w:right="1110"/>
        <w:rPr>
          <w:sz w:val="28"/>
          <w:szCs w:val="28"/>
          <w:lang w:val="en-GB"/>
        </w:rPr>
      </w:pPr>
    </w:p>
    <w:p w14:paraId="642D1701" w14:textId="77777777" w:rsidR="00890FD2" w:rsidRPr="00037850" w:rsidRDefault="00890FD2" w:rsidP="00890FD2">
      <w:pPr>
        <w:pStyle w:val="ListParagraph"/>
        <w:numPr>
          <w:ilvl w:val="0"/>
          <w:numId w:val="35"/>
        </w:numPr>
        <w:spacing w:after="120"/>
        <w:ind w:left="1134" w:right="1134" w:firstLine="0"/>
        <w:rPr>
          <w:sz w:val="20"/>
          <w:szCs w:val="20"/>
        </w:rPr>
      </w:pPr>
      <w:r w:rsidRPr="00037850">
        <w:rPr>
          <w:sz w:val="20"/>
          <w:szCs w:val="20"/>
        </w:rPr>
        <w:t>UN GTR No. 15 (WLTP) has introduced changes to some of the parameters in the process of road load determination.</w:t>
      </w:r>
    </w:p>
    <w:p w14:paraId="30D85E47" w14:textId="77777777" w:rsidR="00890FD2" w:rsidRPr="00037850" w:rsidRDefault="00890FD2" w:rsidP="00890FD2">
      <w:pPr>
        <w:spacing w:after="120"/>
        <w:ind w:left="1134" w:right="1134"/>
        <w:jc w:val="both"/>
      </w:pPr>
      <w:r w:rsidRPr="00037850">
        <w:rPr>
          <w:rFonts w:hint="eastAsia"/>
        </w:rPr>
        <w:t>2</w:t>
      </w:r>
      <w:r w:rsidRPr="00037850">
        <w:t xml:space="preserve">. </w:t>
      </w:r>
      <w:r w:rsidRPr="00037850">
        <w:tab/>
        <w:t>EU have defined in its correlation Regulation, the methodology to derive an NEDC Road Load from a WLTP Road Load.</w:t>
      </w:r>
    </w:p>
    <w:p w14:paraId="77A58642" w14:textId="77777777" w:rsidR="00890FD2" w:rsidRPr="00037850" w:rsidRDefault="00890FD2" w:rsidP="00890FD2">
      <w:pPr>
        <w:spacing w:after="120"/>
        <w:ind w:left="1134" w:right="1134"/>
        <w:jc w:val="both"/>
        <w:rPr>
          <w:u w:val="single"/>
        </w:rPr>
      </w:pPr>
      <w:r w:rsidRPr="00037850">
        <w:rPr>
          <w:rFonts w:hint="eastAsia"/>
        </w:rPr>
        <w:t>3</w:t>
      </w:r>
      <w:r w:rsidRPr="00037850">
        <w:t xml:space="preserve">. </w:t>
      </w:r>
      <w:r w:rsidRPr="00037850">
        <w:tab/>
        <w:t>This amendment avoids the burden of a new road load determination when a WLTP road load has been performed.</w:t>
      </w:r>
    </w:p>
    <w:p w14:paraId="241C8239" w14:textId="45A45B36" w:rsidR="00890FD2" w:rsidRPr="00037850" w:rsidRDefault="00890FD2" w:rsidP="00890FD2">
      <w:pPr>
        <w:pStyle w:val="SingleTxtG"/>
        <w:rPr>
          <w:lang w:val="en-US"/>
        </w:rPr>
      </w:pPr>
      <w:r w:rsidRPr="00037850">
        <w:rPr>
          <w:rFonts w:cs="Courier New"/>
          <w:noProof/>
          <w:lang w:eastAsia="zh-CN"/>
        </w:rPr>
        <w:t xml:space="preserve">4. </w:t>
      </w:r>
      <w:r w:rsidRPr="00037850">
        <w:rPr>
          <w:rFonts w:cs="Courier New"/>
          <w:noProof/>
          <w:lang w:eastAsia="zh-CN"/>
        </w:rPr>
        <w:tab/>
        <w:t xml:space="preserve">This concept has been adopted in the 06 and 07 series of amendments </w:t>
      </w:r>
      <w:r w:rsidRPr="00037850">
        <w:rPr>
          <w:rFonts w:cs="Courier New" w:hint="eastAsia"/>
          <w:noProof/>
        </w:rPr>
        <w:t>a</w:t>
      </w:r>
      <w:r w:rsidRPr="00037850">
        <w:rPr>
          <w:rFonts w:cs="Courier New"/>
          <w:noProof/>
        </w:rPr>
        <w:t>t 82</w:t>
      </w:r>
      <w:r w:rsidRPr="00771870">
        <w:rPr>
          <w:rFonts w:cs="Courier New"/>
          <w:noProof/>
        </w:rPr>
        <w:t xml:space="preserve">nd </w:t>
      </w:r>
      <w:r w:rsidRPr="00037850">
        <w:rPr>
          <w:rFonts w:cs="Courier New"/>
          <w:noProof/>
        </w:rPr>
        <w:t xml:space="preserve">GRPE </w:t>
      </w:r>
      <w:r w:rsidRPr="00037850">
        <w:rPr>
          <w:rFonts w:cs="Courier New"/>
          <w:noProof/>
          <w:lang w:eastAsia="zh-CN"/>
        </w:rPr>
        <w:t>and it is proposed to also include it in the 05 series which is also commonly used in some world markets</w:t>
      </w:r>
      <w:r w:rsidRPr="00037850">
        <w:t>.</w:t>
      </w:r>
    </w:p>
    <w:p w14:paraId="74BC7C13" w14:textId="77777777" w:rsidR="00890FD2" w:rsidRDefault="00890FD2" w:rsidP="00890FD2">
      <w:pPr>
        <w:tabs>
          <w:tab w:val="left" w:pos="1959"/>
        </w:tabs>
        <w:spacing w:line="259" w:lineRule="auto"/>
        <w:ind w:left="1985" w:right="805" w:hanging="851"/>
        <w:jc w:val="center"/>
        <w:rPr>
          <w:sz w:val="28"/>
        </w:rPr>
      </w:pPr>
      <w:r>
        <w:rPr>
          <w:u w:val="single"/>
        </w:rPr>
        <w:tab/>
      </w:r>
      <w:r>
        <w:rPr>
          <w:u w:val="single"/>
        </w:rPr>
        <w:tab/>
      </w:r>
      <w:r>
        <w:rPr>
          <w:u w:val="single"/>
        </w:rPr>
        <w:tab/>
      </w:r>
      <w:r>
        <w:rPr>
          <w:u w:val="single"/>
        </w:rPr>
        <w:tab/>
      </w:r>
    </w:p>
    <w:p w14:paraId="7DF0EE05" w14:textId="77777777" w:rsidR="00890FD2" w:rsidRPr="0065242B" w:rsidRDefault="00890FD2" w:rsidP="00890FD2">
      <w:pPr>
        <w:tabs>
          <w:tab w:val="left" w:pos="8505"/>
        </w:tabs>
        <w:suppressAutoHyphens w:val="0"/>
        <w:spacing w:after="120"/>
        <w:ind w:left="1689" w:right="1134" w:hanging="555"/>
        <w:jc w:val="both"/>
        <w:rPr>
          <w:i/>
        </w:rPr>
      </w:pPr>
    </w:p>
    <w:p w14:paraId="10E34CE8" w14:textId="053B29AD" w:rsidR="00172D72" w:rsidRPr="0065242B" w:rsidRDefault="00172D72" w:rsidP="00890FD2">
      <w:pPr>
        <w:pStyle w:val="HChG"/>
        <w:tabs>
          <w:tab w:val="left" w:pos="8505"/>
        </w:tabs>
        <w:spacing w:before="320" w:after="200" w:line="240" w:lineRule="atLeast"/>
        <w:ind w:right="-40" w:hanging="294"/>
        <w:rPr>
          <w:i/>
        </w:rPr>
      </w:pPr>
    </w:p>
    <w:sectPr w:rsidR="00172D72" w:rsidRPr="0065242B" w:rsidSect="00975085">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E1B1" w14:textId="77777777" w:rsidR="00BF76F1" w:rsidRDefault="00BF76F1"/>
  </w:endnote>
  <w:endnote w:type="continuationSeparator" w:id="0">
    <w:p w14:paraId="436AAD04" w14:textId="77777777" w:rsidR="00BF76F1" w:rsidRDefault="00BF76F1"/>
  </w:endnote>
  <w:endnote w:type="continuationNotice" w:id="1">
    <w:p w14:paraId="3298BEA2" w14:textId="77777777" w:rsidR="00BF76F1" w:rsidRDefault="00BF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C8B1" w14:textId="4E94FC8B" w:rsidR="004409E1" w:rsidRDefault="004409E1" w:rsidP="004409E1">
    <w:pPr>
      <w:pStyle w:val="Footer"/>
    </w:pPr>
    <w:bookmarkStart w:id="2" w:name="_GoBack"/>
    <w:bookmarkEnd w:id="2"/>
    <w:r>
      <w:rPr>
        <w:noProof/>
        <w:lang w:val="en-US" w:eastAsia="zh-CN"/>
      </w:rPr>
      <w:drawing>
        <wp:anchor distT="0" distB="0" distL="114300" distR="114300" simplePos="0" relativeHeight="251659264" behindDoc="1" locked="1" layoutInCell="1" allowOverlap="1" wp14:anchorId="51198CB1" wp14:editId="5C373FBC">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4A933E4" w14:textId="7742DC62" w:rsidR="004409E1" w:rsidRPr="004409E1" w:rsidRDefault="004409E1" w:rsidP="004409E1">
    <w:pPr>
      <w:pStyle w:val="Footer"/>
      <w:ind w:right="1134"/>
      <w:rPr>
        <w:sz w:val="20"/>
      </w:rPr>
    </w:pPr>
    <w:r>
      <w:rPr>
        <w:sz w:val="20"/>
      </w:rPr>
      <w:t>GE.23-21008(E)</w:t>
    </w:r>
    <w:r>
      <w:rPr>
        <w:noProof/>
        <w:sz w:val="20"/>
      </w:rPr>
      <w:drawing>
        <wp:anchor distT="0" distB="0" distL="114300" distR="114300" simplePos="0" relativeHeight="251660288" behindDoc="0" locked="0" layoutInCell="1" allowOverlap="1" wp14:anchorId="5D750D5C" wp14:editId="616565EC">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008C" w14:textId="77777777" w:rsidR="00BF76F1" w:rsidRPr="000B175B" w:rsidRDefault="00BF76F1" w:rsidP="000B175B">
      <w:pPr>
        <w:tabs>
          <w:tab w:val="right" w:pos="2155"/>
        </w:tabs>
        <w:spacing w:after="80"/>
        <w:ind w:left="680"/>
        <w:rPr>
          <w:u w:val="single"/>
        </w:rPr>
      </w:pPr>
      <w:r>
        <w:rPr>
          <w:u w:val="single"/>
        </w:rPr>
        <w:tab/>
      </w:r>
    </w:p>
  </w:footnote>
  <w:footnote w:type="continuationSeparator" w:id="0">
    <w:p w14:paraId="59BB4526" w14:textId="77777777" w:rsidR="00BF76F1" w:rsidRPr="00FC68B7" w:rsidRDefault="00BF76F1" w:rsidP="00FC68B7">
      <w:pPr>
        <w:tabs>
          <w:tab w:val="left" w:pos="2155"/>
        </w:tabs>
        <w:spacing w:after="80"/>
        <w:ind w:left="680"/>
        <w:rPr>
          <w:u w:val="single"/>
        </w:rPr>
      </w:pPr>
      <w:r>
        <w:rPr>
          <w:u w:val="single"/>
        </w:rPr>
        <w:tab/>
      </w:r>
    </w:p>
  </w:footnote>
  <w:footnote w:type="continuationNotice" w:id="1">
    <w:p w14:paraId="66104E7C" w14:textId="77777777" w:rsidR="00BF76F1" w:rsidRDefault="00BF76F1"/>
  </w:footnote>
  <w:footnote w:id="2">
    <w:p w14:paraId="7DB53406" w14:textId="77777777" w:rsidR="00483DEC" w:rsidRDefault="00483DEC" w:rsidP="00483DEC">
      <w:pPr>
        <w:pStyle w:val="FootnoteText"/>
      </w:pPr>
      <w:r>
        <w:tab/>
      </w:r>
      <w:r>
        <w:rPr>
          <w:rStyle w:val="FootnoteReference"/>
          <w:sz w:val="20"/>
          <w:lang w:val="en-US"/>
        </w:rPr>
        <w:t>*</w:t>
      </w:r>
      <w:r>
        <w:rPr>
          <w:sz w:val="20"/>
          <w:lang w:val="en-US"/>
        </w:rPr>
        <w:tab/>
      </w:r>
      <w:r>
        <w:rPr>
          <w:szCs w:val="18"/>
          <w:lang w:val="en-US"/>
        </w:rPr>
        <w:t>In accordance with the programme of work of the Inland Transport Committee for 2023 as outlined in proposed programme budget for 2024 (</w:t>
      </w:r>
      <w:r>
        <w:rPr>
          <w:lang w:val="en-US"/>
        </w:rPr>
        <w:t>A/78/6 (Sect. 20), table 20.5</w:t>
      </w:r>
      <w:r>
        <w:rPr>
          <w:szCs w:val="18"/>
          <w:lang w:val="en-US"/>
        </w:rPr>
        <w:t xml:space="preserve">), </w:t>
      </w:r>
      <w:r w:rsidRPr="009B60D7">
        <w:rPr>
          <w:lang w:val="en-US"/>
        </w:rPr>
        <w:t>the World Forum will develop, harmonize and update UN Regulations in order to enhance the performance of vehicles. The present document is submitted in conformity with that mandate.</w:t>
      </w:r>
    </w:p>
  </w:footnote>
  <w:footnote w:id="3">
    <w:p w14:paraId="1EE81F3E" w14:textId="77777777" w:rsidR="00890FD2" w:rsidRPr="00BD0866" w:rsidRDefault="00890FD2" w:rsidP="00890FD2">
      <w:pPr>
        <w:pStyle w:val="FootnoteText"/>
        <w:ind w:hanging="567"/>
        <w:rPr>
          <w:b/>
          <w:bCs/>
        </w:rPr>
      </w:pPr>
      <w:r>
        <w:rPr>
          <w:b/>
          <w:bCs/>
        </w:rPr>
        <w:tab/>
      </w:r>
      <w:r w:rsidRPr="00BD0866">
        <w:rPr>
          <w:rStyle w:val="FootnoteReference"/>
          <w:b/>
          <w:bCs/>
        </w:rPr>
        <w:footnoteRef/>
      </w:r>
      <w:r>
        <w:rPr>
          <w:b/>
          <w:bCs/>
        </w:rPr>
        <w:tab/>
      </w:r>
      <w:r w:rsidRPr="00BD0866">
        <w:rPr>
          <w:b/>
          <w:bCs/>
        </w:rPr>
        <w:t>As defined in UN GTR No.15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04616B05" w:rsidR="00D527CB" w:rsidRPr="001A3844" w:rsidRDefault="001B6D85" w:rsidP="00DE1EBA">
    <w:pPr>
      <w:pStyle w:val="Header"/>
      <w:rPr>
        <w:lang w:eastAsia="ja-JP"/>
      </w:rPr>
    </w:pPr>
    <w:r w:rsidRPr="001B6D85">
      <w:rPr>
        <w:bCs/>
      </w:rPr>
      <w:t>ECE/TRANS/WP.29/GRPE/2024/7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00C15F7" w:rsidR="00D527CB" w:rsidRPr="00890FD2" w:rsidRDefault="001B6D85" w:rsidP="00890FD2">
    <w:pPr>
      <w:pStyle w:val="Header"/>
      <w:jc w:val="right"/>
      <w:rPr>
        <w:lang w:eastAsia="ja-JP"/>
      </w:rPr>
    </w:pPr>
    <w:r w:rsidRPr="001B6D85">
      <w:rPr>
        <w:bCs/>
      </w:rPr>
      <w:t>ECE/TRANS/WP.29/GRPE/2024/7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48EC5019"/>
    <w:multiLevelType w:val="hybridMultilevel"/>
    <w:tmpl w:val="6452051C"/>
    <w:lvl w:ilvl="0" w:tplc="EEFE32DA">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7"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29"/>
  </w:num>
  <w:num w:numId="12" w16cid:durableId="176582846">
    <w:abstractNumId w:val="14"/>
  </w:num>
  <w:num w:numId="13" w16cid:durableId="602149942">
    <w:abstractNumId w:val="11"/>
  </w:num>
  <w:num w:numId="14" w16cid:durableId="813762467">
    <w:abstractNumId w:val="31"/>
  </w:num>
  <w:num w:numId="15" w16cid:durableId="879050117">
    <w:abstractNumId w:val="35"/>
  </w:num>
  <w:num w:numId="16" w16cid:durableId="1624726811">
    <w:abstractNumId w:val="15"/>
  </w:num>
  <w:num w:numId="17" w16cid:durableId="330528489">
    <w:abstractNumId w:val="18"/>
  </w:num>
  <w:num w:numId="18" w16cid:durableId="1246720288">
    <w:abstractNumId w:val="19"/>
  </w:num>
  <w:num w:numId="19" w16cid:durableId="188838923">
    <w:abstractNumId w:val="27"/>
  </w:num>
  <w:num w:numId="20" w16cid:durableId="1590389280">
    <w:abstractNumId w:val="30"/>
  </w:num>
  <w:num w:numId="21" w16cid:durableId="1982734557">
    <w:abstractNumId w:val="22"/>
  </w:num>
  <w:num w:numId="22" w16cid:durableId="1127430680">
    <w:abstractNumId w:val="13"/>
  </w:num>
  <w:num w:numId="23" w16cid:durableId="1123964598">
    <w:abstractNumId w:val="32"/>
  </w:num>
  <w:num w:numId="24" w16cid:durableId="371804476">
    <w:abstractNumId w:val="34"/>
  </w:num>
  <w:num w:numId="25" w16cid:durableId="218638309">
    <w:abstractNumId w:val="10"/>
  </w:num>
  <w:num w:numId="26" w16cid:durableId="1255020390">
    <w:abstractNumId w:val="33"/>
  </w:num>
  <w:num w:numId="27" w16cid:durableId="2056730346">
    <w:abstractNumId w:val="24"/>
  </w:num>
  <w:num w:numId="28" w16cid:durableId="633143589">
    <w:abstractNumId w:val="17"/>
  </w:num>
  <w:num w:numId="29" w16cid:durableId="2010794502">
    <w:abstractNumId w:val="25"/>
  </w:num>
  <w:num w:numId="30" w16cid:durableId="1617130653">
    <w:abstractNumId w:val="16"/>
  </w:num>
  <w:num w:numId="31" w16cid:durableId="1129933350">
    <w:abstractNumId w:val="26"/>
  </w:num>
  <w:num w:numId="32" w16cid:durableId="518356815">
    <w:abstractNumId w:val="21"/>
  </w:num>
  <w:num w:numId="33" w16cid:durableId="580942481">
    <w:abstractNumId w:val="28"/>
  </w:num>
  <w:num w:numId="34" w16cid:durableId="1578784317">
    <w:abstractNumId w:val="20"/>
  </w:num>
  <w:num w:numId="35" w16cid:durableId="2059544445">
    <w:abstractNumId w:val="12"/>
  </w:num>
  <w:num w:numId="36" w16cid:durableId="114635948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1A5"/>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A7D"/>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09E1"/>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CC7"/>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77F"/>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37C"/>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0E1E"/>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870"/>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0FD2"/>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5085"/>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C4A"/>
    <w:rsid w:val="00C0628C"/>
    <w:rsid w:val="00C0670B"/>
    <w:rsid w:val="00C06D0E"/>
    <w:rsid w:val="00C11A03"/>
    <w:rsid w:val="00C11C9F"/>
    <w:rsid w:val="00C11E26"/>
    <w:rsid w:val="00C1318B"/>
    <w:rsid w:val="00C13698"/>
    <w:rsid w:val="00C1420F"/>
    <w:rsid w:val="00C1470C"/>
    <w:rsid w:val="00C14999"/>
    <w:rsid w:val="00C14AA6"/>
    <w:rsid w:val="00C159B4"/>
    <w:rsid w:val="00C165E7"/>
    <w:rsid w:val="00C16C6B"/>
    <w:rsid w:val="00C16CAA"/>
    <w:rsid w:val="00C17010"/>
    <w:rsid w:val="00C17352"/>
    <w:rsid w:val="00C1786F"/>
    <w:rsid w:val="00C17F69"/>
    <w:rsid w:val="00C206FA"/>
    <w:rsid w:val="00C20E0F"/>
    <w:rsid w:val="00C2127B"/>
    <w:rsid w:val="00C228FE"/>
    <w:rsid w:val="00C22C0C"/>
    <w:rsid w:val="00C23EEF"/>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869D3"/>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9C5"/>
    <w:rsid w:val="00E81AB9"/>
    <w:rsid w:val="00E828ED"/>
    <w:rsid w:val="00E82ACA"/>
    <w:rsid w:val="00E82B5F"/>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13E4"/>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2.xml><?xml version="1.0" encoding="utf-8"?>
<ds:datastoreItem xmlns:ds="http://schemas.openxmlformats.org/officeDocument/2006/customXml" ds:itemID="{639DC07B-FE02-41BE-9094-30954C51E9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http://schemas.openxmlformats.org/package/2006/metadata/core-properties"/>
    <ds:schemaRef ds:uri="http://purl.org/dc/term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4.xml><?xml version="1.0" encoding="utf-8"?>
<ds:datastoreItem xmlns:ds="http://schemas.openxmlformats.org/officeDocument/2006/customXml" ds:itemID="{093F39F0-0951-4C08-870D-64C540AC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5072</Characters>
  <Application>Microsoft Office Word</Application>
  <DocSecurity>0</DocSecurity>
  <Lines>140</Lines>
  <Paragraphs>74</Paragraphs>
  <ScaleCrop>false</ScaleCrop>
  <HeadingPairs>
    <vt:vector size="12" baseType="variant">
      <vt:variant>
        <vt:lpstr>Titre</vt:lpstr>
      </vt:variant>
      <vt:variant>
        <vt:i4>1</vt:i4>
      </vt:variant>
      <vt:variant>
        <vt:lpstr>タイトル</vt:lpstr>
      </vt:variant>
      <vt:variant>
        <vt:i4>1</vt:i4>
      </vt:variant>
      <vt:variant>
        <vt:lpstr>Titel</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ECE/TRANS/WP.29/GRPE/2024/7</dc:title>
  <dc:subject>2321008</dc:subject>
  <dc:creator>oica</dc:creator>
  <cp:keywords/>
  <dc:description/>
  <cp:lastModifiedBy>Anni Vi Tirol</cp:lastModifiedBy>
  <cp:revision>2</cp:revision>
  <cp:lastPrinted>2023-10-30T15:44:00Z</cp:lastPrinted>
  <dcterms:created xsi:type="dcterms:W3CDTF">2023-10-30T16:17:00Z</dcterms:created>
  <dcterms:modified xsi:type="dcterms:W3CDTF">2023-10-30T16:17:00Z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