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8955F5" w:rsidRPr="008955F5" w14:paraId="4AC2ACCE" w14:textId="77777777" w:rsidTr="002E5E7A">
        <w:trPr>
          <w:cantSplit/>
          <w:trHeight w:val="567"/>
        </w:trPr>
        <w:tc>
          <w:tcPr>
            <w:tcW w:w="1276" w:type="dxa"/>
            <w:tcBorders>
              <w:bottom w:val="single" w:sz="4" w:space="0" w:color="auto"/>
            </w:tcBorders>
            <w:shd w:val="clear" w:color="auto" w:fill="auto"/>
            <w:vAlign w:val="bottom"/>
          </w:tcPr>
          <w:p w14:paraId="7329ECD0" w14:textId="77777777" w:rsidR="00E03A64" w:rsidRPr="008955F5" w:rsidRDefault="00E03A64" w:rsidP="0041175A">
            <w:pPr>
              <w:spacing w:after="80"/>
              <w:rPr>
                <w:lang w:val="en-GB"/>
              </w:rPr>
            </w:pPr>
            <w:bookmarkStart w:id="0" w:name="_Hlk117261970"/>
            <w:bookmarkEnd w:id="0"/>
          </w:p>
        </w:tc>
        <w:tc>
          <w:tcPr>
            <w:tcW w:w="2268" w:type="dxa"/>
            <w:tcBorders>
              <w:bottom w:val="single" w:sz="4" w:space="0" w:color="auto"/>
            </w:tcBorders>
            <w:shd w:val="clear" w:color="auto" w:fill="auto"/>
            <w:vAlign w:val="bottom"/>
          </w:tcPr>
          <w:p w14:paraId="2A6EEF56" w14:textId="77777777" w:rsidR="00E03A64" w:rsidRPr="008955F5" w:rsidRDefault="00E03A64" w:rsidP="0041175A">
            <w:pPr>
              <w:spacing w:after="80" w:line="300" w:lineRule="exact"/>
              <w:rPr>
                <w:b/>
                <w:sz w:val="24"/>
                <w:szCs w:val="24"/>
                <w:lang w:val="en-GB"/>
              </w:rPr>
            </w:pPr>
            <w:r w:rsidRPr="008955F5">
              <w:rPr>
                <w:sz w:val="28"/>
                <w:szCs w:val="28"/>
                <w:lang w:val="en-GB"/>
              </w:rPr>
              <w:t>United Nations</w:t>
            </w:r>
          </w:p>
        </w:tc>
        <w:tc>
          <w:tcPr>
            <w:tcW w:w="6095" w:type="dxa"/>
            <w:gridSpan w:val="2"/>
            <w:tcBorders>
              <w:bottom w:val="single" w:sz="4" w:space="0" w:color="auto"/>
            </w:tcBorders>
            <w:shd w:val="clear" w:color="auto" w:fill="auto"/>
            <w:vAlign w:val="bottom"/>
          </w:tcPr>
          <w:p w14:paraId="7CE07A59" w14:textId="77291E0B" w:rsidR="00E03A64" w:rsidRPr="008955F5" w:rsidRDefault="00E03A64" w:rsidP="00AE16CE">
            <w:pPr>
              <w:jc w:val="right"/>
              <w:rPr>
                <w:lang w:val="en-GB"/>
              </w:rPr>
            </w:pPr>
            <w:r w:rsidRPr="008955F5">
              <w:rPr>
                <w:sz w:val="40"/>
                <w:lang w:val="en-GB"/>
              </w:rPr>
              <w:t>ECE</w:t>
            </w:r>
            <w:r w:rsidRPr="008955F5">
              <w:rPr>
                <w:lang w:val="en-GB"/>
              </w:rPr>
              <w:t>/TRANS/</w:t>
            </w:r>
            <w:r w:rsidR="00E13A6A" w:rsidRPr="008955F5">
              <w:rPr>
                <w:lang w:val="en-GB"/>
              </w:rPr>
              <w:t>WP.29/</w:t>
            </w:r>
            <w:r w:rsidRPr="008955F5">
              <w:rPr>
                <w:lang w:val="en-GB"/>
              </w:rPr>
              <w:t>GR</w:t>
            </w:r>
            <w:r w:rsidR="00BB1F39" w:rsidRPr="008955F5">
              <w:rPr>
                <w:lang w:val="en-GB"/>
              </w:rPr>
              <w:t>BP</w:t>
            </w:r>
            <w:r w:rsidRPr="008955F5">
              <w:rPr>
                <w:lang w:val="en-GB"/>
              </w:rPr>
              <w:t>/</w:t>
            </w:r>
            <w:r w:rsidR="00BB1F39" w:rsidRPr="008955F5">
              <w:rPr>
                <w:lang w:val="en-GB"/>
              </w:rPr>
              <w:t>202</w:t>
            </w:r>
            <w:r w:rsidR="00B06876" w:rsidRPr="008955F5">
              <w:rPr>
                <w:lang w:val="en-GB"/>
              </w:rPr>
              <w:t>4</w:t>
            </w:r>
            <w:r w:rsidRPr="008955F5">
              <w:rPr>
                <w:lang w:val="en-GB"/>
              </w:rPr>
              <w:t>/</w:t>
            </w:r>
            <w:r w:rsidR="00AF51D3">
              <w:rPr>
                <w:lang w:val="en-GB"/>
              </w:rPr>
              <w:t>5</w:t>
            </w:r>
          </w:p>
        </w:tc>
      </w:tr>
      <w:tr w:rsidR="008955F5" w:rsidRPr="00491F21" w14:paraId="79E7C868" w14:textId="77777777" w:rsidTr="0041175A">
        <w:trPr>
          <w:cantSplit/>
          <w:trHeight w:hRule="exact" w:val="2835"/>
        </w:trPr>
        <w:tc>
          <w:tcPr>
            <w:tcW w:w="1276" w:type="dxa"/>
            <w:tcBorders>
              <w:top w:val="single" w:sz="4" w:space="0" w:color="auto"/>
              <w:bottom w:val="single" w:sz="12" w:space="0" w:color="auto"/>
            </w:tcBorders>
            <w:shd w:val="clear" w:color="auto" w:fill="auto"/>
          </w:tcPr>
          <w:p w14:paraId="296C3A12" w14:textId="77777777" w:rsidR="00E03A64" w:rsidRPr="008955F5" w:rsidRDefault="00D17D4E" w:rsidP="0041175A">
            <w:pPr>
              <w:spacing w:before="120"/>
              <w:rPr>
                <w:lang w:val="en-GB"/>
              </w:rPr>
            </w:pPr>
            <w:r w:rsidRPr="008955F5">
              <w:rPr>
                <w:noProof/>
                <w:lang w:val="en-GB"/>
              </w:rPr>
              <w:drawing>
                <wp:inline distT="0" distB="0" distL="0" distR="0" wp14:anchorId="6713F84C" wp14:editId="04295D2C">
                  <wp:extent cx="711200" cy="58928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37FC9935" w14:textId="77777777" w:rsidR="00E03A64" w:rsidRPr="008955F5" w:rsidRDefault="00E03A64" w:rsidP="0041175A">
            <w:pPr>
              <w:spacing w:before="120" w:line="420" w:lineRule="exact"/>
              <w:rPr>
                <w:sz w:val="40"/>
                <w:szCs w:val="40"/>
                <w:lang w:val="en-GB"/>
              </w:rPr>
            </w:pPr>
            <w:r w:rsidRPr="008955F5">
              <w:rPr>
                <w:b/>
                <w:sz w:val="40"/>
                <w:szCs w:val="40"/>
                <w:lang w:val="en-GB"/>
              </w:rPr>
              <w:t>Economic and Social Council</w:t>
            </w:r>
          </w:p>
        </w:tc>
        <w:tc>
          <w:tcPr>
            <w:tcW w:w="2835" w:type="dxa"/>
            <w:tcBorders>
              <w:top w:val="single" w:sz="4" w:space="0" w:color="auto"/>
              <w:bottom w:val="single" w:sz="12" w:space="0" w:color="auto"/>
            </w:tcBorders>
            <w:shd w:val="clear" w:color="auto" w:fill="auto"/>
          </w:tcPr>
          <w:p w14:paraId="708E69D5" w14:textId="77777777" w:rsidR="00E03A64" w:rsidRPr="008955F5" w:rsidRDefault="00E03A64" w:rsidP="0041175A">
            <w:pPr>
              <w:tabs>
                <w:tab w:val="right" w:pos="2835"/>
              </w:tabs>
              <w:spacing w:before="240" w:line="240" w:lineRule="exact"/>
              <w:rPr>
                <w:lang w:val="en-GB"/>
              </w:rPr>
            </w:pPr>
            <w:r w:rsidRPr="008955F5">
              <w:rPr>
                <w:lang w:val="en-GB"/>
              </w:rPr>
              <w:t>Distr.: General</w:t>
            </w:r>
          </w:p>
          <w:p w14:paraId="227EF995" w14:textId="05BF7CB3" w:rsidR="00E03A64" w:rsidRPr="008955F5" w:rsidRDefault="00AF51D3" w:rsidP="0041175A">
            <w:pPr>
              <w:spacing w:line="240" w:lineRule="exact"/>
              <w:rPr>
                <w:lang w:val="en-GB"/>
              </w:rPr>
            </w:pPr>
            <w:r>
              <w:rPr>
                <w:lang w:val="en-GB"/>
              </w:rPr>
              <w:t xml:space="preserve">20 </w:t>
            </w:r>
            <w:r w:rsidR="00F72980" w:rsidRPr="008955F5">
              <w:rPr>
                <w:lang w:val="en-GB"/>
              </w:rPr>
              <w:t xml:space="preserve">November </w:t>
            </w:r>
            <w:r w:rsidR="006A187B" w:rsidRPr="008955F5">
              <w:rPr>
                <w:lang w:val="en-GB"/>
              </w:rPr>
              <w:t>202</w:t>
            </w:r>
            <w:r w:rsidR="008769D0" w:rsidRPr="008955F5">
              <w:rPr>
                <w:lang w:val="en-GB"/>
              </w:rPr>
              <w:t>3</w:t>
            </w:r>
          </w:p>
          <w:p w14:paraId="7C397D80" w14:textId="77777777" w:rsidR="00E03A64" w:rsidRPr="008955F5" w:rsidRDefault="00E03A64" w:rsidP="0041175A">
            <w:pPr>
              <w:spacing w:line="240" w:lineRule="exact"/>
              <w:rPr>
                <w:lang w:val="en-GB"/>
              </w:rPr>
            </w:pPr>
          </w:p>
          <w:p w14:paraId="4490966E" w14:textId="77777777" w:rsidR="00E03A64" w:rsidRPr="008955F5" w:rsidRDefault="00E03A64" w:rsidP="0041175A">
            <w:pPr>
              <w:spacing w:line="240" w:lineRule="exact"/>
              <w:rPr>
                <w:lang w:val="en-GB"/>
              </w:rPr>
            </w:pPr>
            <w:r w:rsidRPr="008955F5">
              <w:rPr>
                <w:lang w:val="en-GB"/>
              </w:rPr>
              <w:t>Original: English</w:t>
            </w:r>
          </w:p>
        </w:tc>
      </w:tr>
    </w:tbl>
    <w:p w14:paraId="4C0044CD" w14:textId="77777777" w:rsidR="00BB1F39" w:rsidRPr="008955F5" w:rsidRDefault="00E03A64" w:rsidP="00E03A64">
      <w:pPr>
        <w:spacing w:before="120"/>
        <w:rPr>
          <w:b/>
          <w:bCs/>
          <w:sz w:val="28"/>
          <w:szCs w:val="28"/>
          <w:lang w:val="en-GB"/>
        </w:rPr>
      </w:pPr>
      <w:r w:rsidRPr="008955F5">
        <w:rPr>
          <w:b/>
          <w:sz w:val="28"/>
          <w:szCs w:val="28"/>
          <w:lang w:val="en-GB"/>
        </w:rPr>
        <w:t>Economic</w:t>
      </w:r>
      <w:r w:rsidRPr="008955F5">
        <w:rPr>
          <w:b/>
          <w:bCs/>
          <w:sz w:val="28"/>
          <w:szCs w:val="28"/>
          <w:lang w:val="en-GB"/>
        </w:rPr>
        <w:t xml:space="preserve"> Commission for Europe </w:t>
      </w:r>
    </w:p>
    <w:p w14:paraId="415C529A" w14:textId="77777777" w:rsidR="00BB1F39" w:rsidRPr="008955F5" w:rsidRDefault="00E03A64" w:rsidP="00E03A64">
      <w:pPr>
        <w:spacing w:before="120"/>
        <w:rPr>
          <w:sz w:val="28"/>
          <w:szCs w:val="28"/>
          <w:lang w:val="en-GB"/>
        </w:rPr>
      </w:pPr>
      <w:r w:rsidRPr="008955F5">
        <w:rPr>
          <w:sz w:val="28"/>
          <w:szCs w:val="28"/>
          <w:lang w:val="en-GB"/>
        </w:rPr>
        <w:t xml:space="preserve">Inland Transport Committee </w:t>
      </w:r>
    </w:p>
    <w:p w14:paraId="0DD9A787" w14:textId="77777777" w:rsidR="00E03A64" w:rsidRPr="008955F5" w:rsidRDefault="00E03A64" w:rsidP="00E03A64">
      <w:pPr>
        <w:spacing w:before="120"/>
        <w:rPr>
          <w:sz w:val="22"/>
          <w:szCs w:val="22"/>
          <w:lang w:val="en-GB"/>
        </w:rPr>
      </w:pPr>
      <w:r w:rsidRPr="008955F5">
        <w:rPr>
          <w:b/>
          <w:bCs/>
          <w:sz w:val="24"/>
          <w:szCs w:val="24"/>
          <w:lang w:val="en-GB"/>
        </w:rPr>
        <w:t xml:space="preserve">World Forum for Harmonization of Vehicle Regulations </w:t>
      </w:r>
    </w:p>
    <w:p w14:paraId="71FCA7C1" w14:textId="77777777" w:rsidR="00E03A64" w:rsidRPr="008955F5" w:rsidRDefault="00E03A64" w:rsidP="00E03A64">
      <w:pPr>
        <w:spacing w:before="120" w:after="120"/>
        <w:rPr>
          <w:b/>
          <w:bCs/>
          <w:lang w:val="en-GB"/>
        </w:rPr>
      </w:pPr>
      <w:r w:rsidRPr="008955F5">
        <w:rPr>
          <w:b/>
          <w:bCs/>
          <w:lang w:val="en-GB"/>
        </w:rPr>
        <w:t xml:space="preserve">Working Party on </w:t>
      </w:r>
      <w:r w:rsidR="00BB1F39" w:rsidRPr="008955F5">
        <w:rPr>
          <w:b/>
          <w:bCs/>
          <w:lang w:val="en-GB"/>
        </w:rPr>
        <w:t>Noise and Tyres</w:t>
      </w:r>
    </w:p>
    <w:p w14:paraId="16AB86CA" w14:textId="5863D7A1" w:rsidR="008769D0" w:rsidRPr="008955F5" w:rsidRDefault="008769D0" w:rsidP="008769D0">
      <w:pPr>
        <w:rPr>
          <w:b/>
          <w:lang w:val="en-GB"/>
        </w:rPr>
      </w:pPr>
      <w:r w:rsidRPr="008955F5">
        <w:rPr>
          <w:b/>
          <w:lang w:val="en-GB"/>
        </w:rPr>
        <w:t>Seventy-</w:t>
      </w:r>
      <w:r w:rsidR="00B06876" w:rsidRPr="008955F5">
        <w:rPr>
          <w:b/>
          <w:lang w:val="en-GB"/>
        </w:rPr>
        <w:t>ninth</w:t>
      </w:r>
      <w:r w:rsidRPr="008955F5">
        <w:rPr>
          <w:b/>
          <w:lang w:val="en-GB"/>
        </w:rPr>
        <w:t xml:space="preserve"> session </w:t>
      </w:r>
    </w:p>
    <w:p w14:paraId="4D5EA582" w14:textId="25C4CF59" w:rsidR="008769D0" w:rsidRPr="008955F5" w:rsidRDefault="008769D0" w:rsidP="008769D0">
      <w:pPr>
        <w:rPr>
          <w:bCs/>
          <w:lang w:val="en-GB"/>
        </w:rPr>
      </w:pPr>
      <w:r w:rsidRPr="008955F5">
        <w:rPr>
          <w:lang w:val="en-GB"/>
        </w:rPr>
        <w:t>Geneva</w:t>
      </w:r>
      <w:r w:rsidRPr="008955F5">
        <w:rPr>
          <w:bCs/>
          <w:lang w:val="en-GB"/>
        </w:rPr>
        <w:t xml:space="preserve">, </w:t>
      </w:r>
      <w:r w:rsidR="00B06876" w:rsidRPr="008955F5">
        <w:rPr>
          <w:bCs/>
          <w:lang w:val="en-GB"/>
        </w:rPr>
        <w:t>6</w:t>
      </w:r>
      <w:r w:rsidR="00795197">
        <w:rPr>
          <w:bCs/>
          <w:lang w:val="en-GB"/>
        </w:rPr>
        <w:t>–</w:t>
      </w:r>
      <w:r w:rsidR="00B06876" w:rsidRPr="008955F5">
        <w:rPr>
          <w:bCs/>
          <w:lang w:val="en-GB"/>
        </w:rPr>
        <w:t>9</w:t>
      </w:r>
      <w:r w:rsidR="00795197">
        <w:rPr>
          <w:bCs/>
          <w:lang w:val="en-GB"/>
        </w:rPr>
        <w:t xml:space="preserve"> </w:t>
      </w:r>
      <w:r w:rsidRPr="008955F5">
        <w:rPr>
          <w:bCs/>
          <w:lang w:val="en-GB"/>
        </w:rPr>
        <w:t>February 202</w:t>
      </w:r>
      <w:r w:rsidR="00B06876" w:rsidRPr="008955F5">
        <w:rPr>
          <w:bCs/>
          <w:lang w:val="en-GB"/>
        </w:rPr>
        <w:t>4</w:t>
      </w:r>
    </w:p>
    <w:p w14:paraId="430059EC" w14:textId="55AB493E" w:rsidR="008769D0" w:rsidRPr="008955F5" w:rsidRDefault="008769D0" w:rsidP="008769D0">
      <w:pPr>
        <w:rPr>
          <w:bCs/>
          <w:lang w:val="en-GB"/>
        </w:rPr>
      </w:pPr>
      <w:r w:rsidRPr="008955F5">
        <w:rPr>
          <w:bCs/>
          <w:lang w:val="en-GB"/>
        </w:rPr>
        <w:t>Item</w:t>
      </w:r>
      <w:r w:rsidR="00F72980" w:rsidRPr="008955F5">
        <w:rPr>
          <w:bCs/>
          <w:lang w:val="en-GB"/>
        </w:rPr>
        <w:t xml:space="preserve"> </w:t>
      </w:r>
      <w:r w:rsidR="00C34441">
        <w:rPr>
          <w:bCs/>
          <w:lang w:val="en-GB"/>
        </w:rPr>
        <w:t>7 (d)</w:t>
      </w:r>
      <w:r w:rsidR="00F72980" w:rsidRPr="008955F5">
        <w:rPr>
          <w:bCs/>
          <w:lang w:val="en-GB"/>
        </w:rPr>
        <w:t xml:space="preserve"> </w:t>
      </w:r>
      <w:r w:rsidRPr="008955F5">
        <w:rPr>
          <w:bCs/>
          <w:lang w:val="en-GB"/>
        </w:rPr>
        <w:t>of the provisional agenda</w:t>
      </w:r>
    </w:p>
    <w:p w14:paraId="34CF11C5" w14:textId="1B372691" w:rsidR="00716F84" w:rsidRPr="008955F5" w:rsidRDefault="00716F84" w:rsidP="00716F84">
      <w:pPr>
        <w:rPr>
          <w:b/>
          <w:bCs/>
          <w:lang w:val="en-GB"/>
        </w:rPr>
      </w:pPr>
      <w:r w:rsidRPr="008955F5">
        <w:rPr>
          <w:b/>
          <w:bCs/>
          <w:lang w:val="en-GB"/>
        </w:rPr>
        <w:t xml:space="preserve">Tyres: </w:t>
      </w:r>
      <w:r w:rsidR="005E67C5" w:rsidRPr="008955F5">
        <w:rPr>
          <w:b/>
          <w:bCs/>
          <w:lang w:val="en-GB"/>
        </w:rPr>
        <w:t xml:space="preserve">UN Regulation No. </w:t>
      </w:r>
      <w:r w:rsidR="0045262A" w:rsidRPr="008955F5">
        <w:rPr>
          <w:b/>
          <w:bCs/>
          <w:lang w:val="en-GB"/>
        </w:rPr>
        <w:t>117 (Tyre rolling resistance, rolling noise and wet grip)</w:t>
      </w:r>
    </w:p>
    <w:p w14:paraId="3E3F695C" w14:textId="5C795E0F" w:rsidR="00E03A64" w:rsidRPr="008955F5" w:rsidRDefault="00E03A64" w:rsidP="00E03A64">
      <w:pPr>
        <w:keepNext/>
        <w:keepLines/>
        <w:tabs>
          <w:tab w:val="right" w:pos="851"/>
        </w:tabs>
        <w:spacing w:before="360" w:after="240" w:line="300" w:lineRule="exact"/>
        <w:ind w:left="1134" w:right="1134" w:hanging="1134"/>
        <w:rPr>
          <w:b/>
          <w:sz w:val="24"/>
          <w:szCs w:val="24"/>
          <w:lang w:val="en-GB"/>
        </w:rPr>
      </w:pPr>
      <w:r w:rsidRPr="008955F5">
        <w:rPr>
          <w:b/>
          <w:sz w:val="28"/>
          <w:lang w:val="en-GB"/>
        </w:rPr>
        <w:tab/>
      </w:r>
      <w:r w:rsidRPr="008955F5">
        <w:rPr>
          <w:b/>
          <w:sz w:val="28"/>
          <w:lang w:val="en-GB"/>
        </w:rPr>
        <w:tab/>
      </w:r>
      <w:r w:rsidR="007C7E0C" w:rsidRPr="008955F5">
        <w:rPr>
          <w:b/>
          <w:sz w:val="28"/>
          <w:lang w:val="en-GB"/>
        </w:rPr>
        <w:tab/>
        <w:t xml:space="preserve">Proposal for Supplement 16 to </w:t>
      </w:r>
      <w:r w:rsidR="00AF51D3">
        <w:rPr>
          <w:b/>
          <w:sz w:val="28"/>
          <w:lang w:val="en-GB"/>
        </w:rPr>
        <w:t xml:space="preserve">the </w:t>
      </w:r>
      <w:r w:rsidR="008579E0" w:rsidRPr="008955F5">
        <w:rPr>
          <w:b/>
          <w:sz w:val="28"/>
          <w:lang w:val="en-GB"/>
        </w:rPr>
        <w:t>02</w:t>
      </w:r>
      <w:r w:rsidR="007C7E0C" w:rsidRPr="008955F5">
        <w:rPr>
          <w:b/>
          <w:sz w:val="28"/>
          <w:lang w:val="en-GB"/>
        </w:rPr>
        <w:t xml:space="preserve"> </w:t>
      </w:r>
      <w:r w:rsidR="00AF51D3">
        <w:rPr>
          <w:b/>
          <w:sz w:val="28"/>
          <w:lang w:val="en-GB"/>
        </w:rPr>
        <w:t>s</w:t>
      </w:r>
      <w:r w:rsidR="007C7E0C" w:rsidRPr="008955F5">
        <w:rPr>
          <w:b/>
          <w:sz w:val="28"/>
          <w:lang w:val="en-GB"/>
        </w:rPr>
        <w:t xml:space="preserve">eries of </w:t>
      </w:r>
      <w:r w:rsidR="00D4469F">
        <w:rPr>
          <w:b/>
          <w:sz w:val="28"/>
          <w:lang w:val="en-GB"/>
        </w:rPr>
        <w:t>a</w:t>
      </w:r>
      <w:r w:rsidR="007C7E0C" w:rsidRPr="008955F5">
        <w:rPr>
          <w:b/>
          <w:sz w:val="28"/>
          <w:lang w:val="en-GB"/>
        </w:rPr>
        <w:t>mendments to UN Regulation No. 117</w:t>
      </w:r>
    </w:p>
    <w:p w14:paraId="21B9B395" w14:textId="2360CE81" w:rsidR="00E03A64" w:rsidRPr="008955F5" w:rsidRDefault="00E03A64" w:rsidP="00E03A64">
      <w:pPr>
        <w:keepNext/>
        <w:keepLines/>
        <w:tabs>
          <w:tab w:val="right" w:pos="851"/>
        </w:tabs>
        <w:spacing w:before="360" w:after="240" w:line="270" w:lineRule="exact"/>
        <w:ind w:left="1134" w:right="1134" w:hanging="1134"/>
        <w:rPr>
          <w:b/>
          <w:sz w:val="24"/>
          <w:lang w:val="en-GB"/>
        </w:rPr>
      </w:pPr>
      <w:r w:rsidRPr="008955F5">
        <w:rPr>
          <w:b/>
          <w:sz w:val="24"/>
          <w:lang w:val="en-GB"/>
        </w:rPr>
        <w:tab/>
      </w:r>
      <w:r w:rsidRPr="008955F5">
        <w:rPr>
          <w:b/>
          <w:sz w:val="24"/>
          <w:lang w:val="en-GB"/>
        </w:rPr>
        <w:tab/>
      </w:r>
      <w:r w:rsidR="00716F84" w:rsidRPr="008955F5">
        <w:rPr>
          <w:b/>
          <w:sz w:val="24"/>
          <w:lang w:val="en-GB"/>
        </w:rPr>
        <w:t>Submitted by the experts from the European Tyre and Rim Technical Organization</w:t>
      </w:r>
      <w:r w:rsidR="00E01A8C" w:rsidRPr="008955F5">
        <w:rPr>
          <w:b/>
          <w:lang w:val="en-GB"/>
        </w:rPr>
        <w:footnoteReference w:customMarkFollows="1" w:id="2"/>
        <w:t>*</w:t>
      </w:r>
      <w:r w:rsidR="00E01A8C" w:rsidRPr="008955F5">
        <w:rPr>
          <w:b/>
          <w:sz w:val="24"/>
          <w:lang w:val="en-GB"/>
        </w:rPr>
        <w:t xml:space="preserve">  </w:t>
      </w:r>
    </w:p>
    <w:p w14:paraId="6C2B27B4" w14:textId="11280868" w:rsidR="00FE243B" w:rsidRPr="008955F5" w:rsidRDefault="00716F84" w:rsidP="006A187B">
      <w:pPr>
        <w:pStyle w:val="SingleTxtG"/>
        <w:tabs>
          <w:tab w:val="left" w:pos="8505"/>
        </w:tabs>
        <w:spacing w:before="240" w:after="0"/>
        <w:ind w:firstLine="567"/>
        <w:rPr>
          <w:lang w:val="en-GB"/>
        </w:rPr>
      </w:pPr>
      <w:r w:rsidRPr="008955F5">
        <w:rPr>
          <w:lang w:val="en-GB"/>
        </w:rPr>
        <w:t xml:space="preserve">The text reproduced below was prepared by the experts from the European Tyre and Rim Technical Organization (ETRTO). The modifications to the existing text of the UN Regulation are marked in bold for new or strikethrough for deleted characters. </w:t>
      </w:r>
    </w:p>
    <w:p w14:paraId="4E9F16A8" w14:textId="77777777" w:rsidR="00BE15E7" w:rsidRPr="008955F5" w:rsidRDefault="00FE243B" w:rsidP="00CC1634">
      <w:pPr>
        <w:pStyle w:val="SingleTxtG"/>
        <w:tabs>
          <w:tab w:val="left" w:pos="8505"/>
        </w:tabs>
        <w:spacing w:before="240" w:after="0"/>
        <w:ind w:firstLine="567"/>
        <w:rPr>
          <w:lang w:val="en-GB"/>
        </w:rPr>
      </w:pPr>
      <w:r w:rsidRPr="008955F5">
        <w:rPr>
          <w:lang w:val="en-GB"/>
        </w:rPr>
        <w:t xml:space="preserve"> </w:t>
      </w:r>
    </w:p>
    <w:p w14:paraId="48350505" w14:textId="77777777" w:rsidR="00240D36" w:rsidRPr="008955F5" w:rsidRDefault="00240D36" w:rsidP="006A187B">
      <w:pPr>
        <w:keepNext/>
        <w:keepLines/>
        <w:tabs>
          <w:tab w:val="right" w:pos="851"/>
          <w:tab w:val="left" w:pos="8505"/>
        </w:tabs>
        <w:spacing w:before="360" w:after="240" w:line="300" w:lineRule="exact"/>
        <w:ind w:left="1134" w:right="1134" w:firstLine="567"/>
        <w:rPr>
          <w:lang w:val="en-GB"/>
        </w:rPr>
        <w:sectPr w:rsidR="00240D36" w:rsidRPr="008955F5" w:rsidSect="008F65CA">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pPr>
    </w:p>
    <w:p w14:paraId="44E97E88" w14:textId="77777777" w:rsidR="000412E9" w:rsidRPr="008955F5" w:rsidRDefault="00E5260A" w:rsidP="000412E9">
      <w:pPr>
        <w:keepNext/>
        <w:keepLines/>
        <w:tabs>
          <w:tab w:val="right" w:pos="851"/>
        </w:tabs>
        <w:spacing w:before="360" w:after="240" w:line="300" w:lineRule="exact"/>
        <w:ind w:left="357" w:right="1134"/>
        <w:rPr>
          <w:b/>
          <w:bCs/>
          <w:sz w:val="40"/>
          <w:szCs w:val="28"/>
          <w:lang w:val="en-GB"/>
        </w:rPr>
      </w:pPr>
      <w:r w:rsidRPr="008955F5">
        <w:rPr>
          <w:b/>
          <w:bCs/>
          <w:sz w:val="28"/>
          <w:szCs w:val="28"/>
          <w:lang w:val="en-GB"/>
        </w:rPr>
        <w:lastRenderedPageBreak/>
        <w:tab/>
        <w:t>I.</w:t>
      </w:r>
      <w:r w:rsidRPr="008955F5">
        <w:rPr>
          <w:b/>
          <w:bCs/>
          <w:sz w:val="28"/>
          <w:szCs w:val="28"/>
          <w:lang w:val="en-GB"/>
        </w:rPr>
        <w:tab/>
      </w:r>
      <w:r w:rsidR="00AD4644" w:rsidRPr="008955F5">
        <w:rPr>
          <w:b/>
          <w:bCs/>
          <w:sz w:val="28"/>
          <w:szCs w:val="28"/>
          <w:lang w:val="en-GB"/>
        </w:rPr>
        <w:t>Proposal</w:t>
      </w:r>
    </w:p>
    <w:p w14:paraId="4CA7F448" w14:textId="4029E848" w:rsidR="000412E9" w:rsidRPr="008955F5" w:rsidRDefault="000412E9" w:rsidP="000412E9">
      <w:pPr>
        <w:spacing w:after="120"/>
        <w:ind w:left="1134" w:right="1134"/>
        <w:jc w:val="both"/>
        <w:rPr>
          <w:iCs/>
          <w:lang w:val="en-GB"/>
        </w:rPr>
      </w:pPr>
      <w:bookmarkStart w:id="1" w:name="_Hlk116996355"/>
      <w:r w:rsidRPr="00C34441">
        <w:rPr>
          <w:i/>
          <w:iCs/>
          <w:noProof/>
          <w:webHidden/>
          <w:lang w:val="en-GB"/>
        </w:rPr>
        <w:tab/>
      </w:r>
      <w:r w:rsidR="00C34441" w:rsidRPr="00C34441">
        <w:rPr>
          <w:i/>
          <w:iCs/>
          <w:noProof/>
          <w:webHidden/>
          <w:lang w:val="en-GB"/>
        </w:rPr>
        <w:t xml:space="preserve">Table of </w:t>
      </w:r>
      <w:r w:rsidRPr="008955F5">
        <w:rPr>
          <w:i/>
          <w:iCs/>
          <w:noProof/>
          <w:webHidden/>
          <w:lang w:val="en-GB"/>
        </w:rPr>
        <w:t>Contents</w:t>
      </w:r>
      <w:r w:rsidRPr="008955F5">
        <w:rPr>
          <w:i/>
          <w:lang w:val="en-GB"/>
        </w:rPr>
        <w:t xml:space="preserve">, </w:t>
      </w:r>
      <w:r w:rsidRPr="008955F5">
        <w:rPr>
          <w:iCs/>
          <w:lang w:val="en-GB"/>
        </w:rPr>
        <w:t xml:space="preserve">amend to read: </w:t>
      </w:r>
    </w:p>
    <w:p w14:paraId="625355EE" w14:textId="1A53C00F" w:rsidR="000412E9" w:rsidRPr="008955F5" w:rsidRDefault="000412E9" w:rsidP="000412E9">
      <w:pPr>
        <w:spacing w:after="120"/>
        <w:ind w:left="1134" w:right="1134"/>
        <w:jc w:val="both"/>
        <w:rPr>
          <w:iCs/>
          <w:lang w:val="en-GB"/>
        </w:rPr>
      </w:pPr>
      <w:r w:rsidRPr="008955F5">
        <w:rPr>
          <w:iCs/>
          <w:lang w:val="en-GB"/>
        </w:rPr>
        <w:t>"…</w:t>
      </w:r>
    </w:p>
    <w:p w14:paraId="32147B41" w14:textId="466A3356" w:rsidR="000412E9" w:rsidRPr="008955F5" w:rsidRDefault="000412E9" w:rsidP="000261C2">
      <w:pPr>
        <w:pStyle w:val="TOC1"/>
        <w:tabs>
          <w:tab w:val="clear" w:pos="9071"/>
          <w:tab w:val="right" w:leader="dot" w:pos="8789"/>
          <w:tab w:val="right" w:pos="9498"/>
        </w:tabs>
        <w:ind w:left="1701" w:hanging="566"/>
        <w:rPr>
          <w:rFonts w:ascii="Calibri" w:hAnsi="Calibri"/>
          <w:noProof/>
          <w:sz w:val="20"/>
          <w:szCs w:val="20"/>
          <w:lang w:eastAsia="en-GB"/>
        </w:rPr>
      </w:pPr>
      <w:r w:rsidRPr="008955F5">
        <w:rPr>
          <w:noProof/>
          <w:sz w:val="20"/>
          <w:szCs w:val="20"/>
        </w:rPr>
        <w:t>6.</w:t>
      </w:r>
      <w:r w:rsidRPr="008955F5">
        <w:rPr>
          <w:rFonts w:ascii="Calibri" w:hAnsi="Calibri"/>
          <w:noProof/>
          <w:sz w:val="20"/>
          <w:szCs w:val="20"/>
          <w:lang w:eastAsia="en-GB"/>
        </w:rPr>
        <w:tab/>
      </w:r>
      <w:r w:rsidRPr="008955F5">
        <w:rPr>
          <w:strike/>
          <w:noProof/>
          <w:sz w:val="20"/>
          <w:szCs w:val="20"/>
        </w:rPr>
        <w:t>Specifications</w:t>
      </w:r>
      <w:r w:rsidRPr="008955F5">
        <w:rPr>
          <w:b/>
          <w:bCs/>
          <w:noProof/>
          <w:sz w:val="20"/>
          <w:szCs w:val="20"/>
        </w:rPr>
        <w:t>Requirements</w:t>
      </w:r>
      <w:r w:rsidRPr="008955F5">
        <w:rPr>
          <w:noProof/>
          <w:webHidden/>
          <w:sz w:val="20"/>
          <w:szCs w:val="20"/>
        </w:rPr>
        <w:tab/>
      </w:r>
      <w:r w:rsidRPr="008955F5">
        <w:rPr>
          <w:noProof/>
          <w:webHidden/>
          <w:sz w:val="20"/>
          <w:szCs w:val="20"/>
        </w:rPr>
        <w:tab/>
      </w:r>
    </w:p>
    <w:p w14:paraId="56C946C0" w14:textId="0352AD60" w:rsidR="000412E9" w:rsidRPr="008955F5" w:rsidRDefault="000412E9" w:rsidP="000261C2">
      <w:pPr>
        <w:pStyle w:val="TOC1"/>
        <w:tabs>
          <w:tab w:val="clear" w:pos="9071"/>
          <w:tab w:val="right" w:leader="dot" w:pos="8789"/>
          <w:tab w:val="right" w:pos="9498"/>
        </w:tabs>
        <w:ind w:left="1701" w:hanging="566"/>
        <w:rPr>
          <w:rFonts w:ascii="Calibri" w:hAnsi="Calibri"/>
          <w:noProof/>
          <w:sz w:val="20"/>
          <w:szCs w:val="20"/>
          <w:lang w:eastAsia="en-GB"/>
        </w:rPr>
      </w:pPr>
      <w:r w:rsidRPr="008955F5">
        <w:rPr>
          <w:noProof/>
          <w:sz w:val="20"/>
          <w:szCs w:val="20"/>
        </w:rPr>
        <w:t>7.</w:t>
      </w:r>
      <w:r w:rsidRPr="008955F5">
        <w:rPr>
          <w:rFonts w:ascii="Calibri" w:hAnsi="Calibri"/>
          <w:noProof/>
          <w:sz w:val="20"/>
          <w:szCs w:val="20"/>
          <w:lang w:eastAsia="en-GB"/>
        </w:rPr>
        <w:tab/>
      </w:r>
      <w:r w:rsidRPr="008955F5">
        <w:rPr>
          <w:noProof/>
          <w:sz w:val="20"/>
          <w:szCs w:val="20"/>
        </w:rPr>
        <w:t xml:space="preserve">Modifications of the type of </w:t>
      </w:r>
      <w:r w:rsidRPr="008955F5">
        <w:rPr>
          <w:strike/>
          <w:noProof/>
          <w:sz w:val="20"/>
          <w:szCs w:val="20"/>
        </w:rPr>
        <w:t xml:space="preserve">pneumatic </w:t>
      </w:r>
      <w:r w:rsidRPr="008955F5">
        <w:rPr>
          <w:noProof/>
          <w:sz w:val="20"/>
          <w:szCs w:val="20"/>
        </w:rPr>
        <w:t>tyre and extension of approval</w:t>
      </w:r>
      <w:r w:rsidRPr="008955F5">
        <w:rPr>
          <w:noProof/>
          <w:webHidden/>
          <w:sz w:val="20"/>
          <w:szCs w:val="20"/>
        </w:rPr>
        <w:tab/>
      </w:r>
      <w:r w:rsidRPr="008955F5">
        <w:rPr>
          <w:noProof/>
          <w:webHidden/>
          <w:sz w:val="20"/>
          <w:szCs w:val="20"/>
        </w:rPr>
        <w:tab/>
      </w:r>
    </w:p>
    <w:p w14:paraId="02AC214D" w14:textId="4857D100" w:rsidR="000412E9" w:rsidRPr="008955F5" w:rsidRDefault="000412E9" w:rsidP="000412E9">
      <w:pPr>
        <w:spacing w:after="120"/>
        <w:ind w:left="1134" w:right="1134"/>
        <w:jc w:val="both"/>
        <w:rPr>
          <w:iCs/>
          <w:lang w:val="en-GB"/>
        </w:rPr>
      </w:pPr>
      <w:r w:rsidRPr="008955F5">
        <w:rPr>
          <w:iCs/>
          <w:lang w:val="en-GB"/>
        </w:rPr>
        <w:t>…</w:t>
      </w:r>
      <w:bookmarkStart w:id="2" w:name="_Hlk116986355"/>
      <w:bookmarkEnd w:id="1"/>
      <w:r w:rsidRPr="008955F5">
        <w:rPr>
          <w:iCs/>
          <w:lang w:val="en-GB"/>
        </w:rPr>
        <w:t>"</w:t>
      </w:r>
      <w:bookmarkEnd w:id="2"/>
    </w:p>
    <w:p w14:paraId="55C4003C" w14:textId="4387AB65" w:rsidR="000412E9" w:rsidRPr="008955F5" w:rsidRDefault="000412E9" w:rsidP="000412E9">
      <w:pPr>
        <w:spacing w:after="120"/>
        <w:ind w:left="1134" w:right="1134"/>
        <w:jc w:val="both"/>
        <w:rPr>
          <w:iCs/>
          <w:lang w:val="en-GB"/>
        </w:rPr>
      </w:pPr>
      <w:r w:rsidRPr="008955F5">
        <w:rPr>
          <w:noProof/>
          <w:webHidden/>
          <w:lang w:val="en-GB"/>
        </w:rPr>
        <w:tab/>
      </w:r>
      <w:r w:rsidRPr="008955F5">
        <w:rPr>
          <w:i/>
          <w:iCs/>
          <w:noProof/>
          <w:webHidden/>
          <w:lang w:val="en-GB"/>
        </w:rPr>
        <w:t>Annexes</w:t>
      </w:r>
      <w:r w:rsidRPr="008955F5">
        <w:rPr>
          <w:i/>
          <w:lang w:val="en-GB"/>
        </w:rPr>
        <w:t xml:space="preserve">, </w:t>
      </w:r>
      <w:r w:rsidRPr="008955F5">
        <w:rPr>
          <w:iCs/>
          <w:lang w:val="en-GB"/>
        </w:rPr>
        <w:t xml:space="preserve">amend to read: </w:t>
      </w:r>
    </w:p>
    <w:p w14:paraId="18642AA0" w14:textId="0CA0D58B" w:rsidR="000412E9" w:rsidRPr="00E8060B" w:rsidRDefault="000412E9" w:rsidP="000412E9">
      <w:pPr>
        <w:spacing w:after="120"/>
        <w:ind w:left="1134" w:right="1134"/>
        <w:jc w:val="both"/>
        <w:rPr>
          <w:iCs/>
          <w:lang w:val="en-GB"/>
        </w:rPr>
      </w:pPr>
      <w:r w:rsidRPr="00E8060B">
        <w:rPr>
          <w:iCs/>
          <w:lang w:val="en-GB"/>
        </w:rPr>
        <w:t>"…</w:t>
      </w:r>
    </w:p>
    <w:p w14:paraId="0125120C" w14:textId="0C3A44FA" w:rsidR="00B6080F" w:rsidRPr="00E8060B" w:rsidRDefault="000412E9" w:rsidP="00B6080F">
      <w:pPr>
        <w:pStyle w:val="TOC1"/>
        <w:tabs>
          <w:tab w:val="clear" w:pos="9071"/>
          <w:tab w:val="right" w:leader="dot" w:pos="8789"/>
          <w:tab w:val="right" w:pos="9498"/>
        </w:tabs>
        <w:ind w:left="1701" w:hanging="566"/>
        <w:rPr>
          <w:rFonts w:ascii="Calibri" w:hAnsi="Calibri"/>
          <w:noProof/>
          <w:sz w:val="20"/>
          <w:szCs w:val="20"/>
          <w:lang w:eastAsia="en-GB"/>
        </w:rPr>
      </w:pPr>
      <w:r w:rsidRPr="00E8060B">
        <w:rPr>
          <w:noProof/>
          <w:sz w:val="20"/>
          <w:szCs w:val="20"/>
        </w:rPr>
        <w:t>4</w:t>
      </w:r>
      <w:r w:rsidRPr="00E8060B">
        <w:rPr>
          <w:noProof/>
          <w:webHidden/>
          <w:sz w:val="20"/>
          <w:szCs w:val="20"/>
        </w:rPr>
        <w:tab/>
      </w:r>
      <w:r w:rsidRPr="00E8060B">
        <w:rPr>
          <w:b/>
          <w:bCs/>
          <w:noProof/>
          <w:webHidden/>
          <w:sz w:val="20"/>
          <w:szCs w:val="20"/>
        </w:rPr>
        <w:t>Reserved</w:t>
      </w:r>
      <w:r w:rsidRPr="00E8060B">
        <w:rPr>
          <w:strike/>
          <w:noProof/>
          <w:sz w:val="20"/>
          <w:szCs w:val="20"/>
        </w:rPr>
        <w:t>Specifications for the test site</w:t>
      </w:r>
      <w:r w:rsidR="00B6080F" w:rsidRPr="00E8060B">
        <w:rPr>
          <w:noProof/>
          <w:webHidden/>
          <w:sz w:val="20"/>
          <w:szCs w:val="20"/>
        </w:rPr>
        <w:tab/>
      </w:r>
      <w:r w:rsidR="00B6080F" w:rsidRPr="00E8060B">
        <w:rPr>
          <w:noProof/>
          <w:webHidden/>
          <w:sz w:val="20"/>
          <w:szCs w:val="20"/>
        </w:rPr>
        <w:tab/>
      </w:r>
    </w:p>
    <w:p w14:paraId="3841D15A" w14:textId="1DC68176" w:rsidR="000412E9" w:rsidRPr="00E8060B" w:rsidRDefault="000412E9" w:rsidP="00E8060B">
      <w:pPr>
        <w:spacing w:after="120"/>
        <w:ind w:left="1134" w:right="1134"/>
        <w:jc w:val="both"/>
        <w:rPr>
          <w:noProof/>
          <w:lang w:val="en-GB"/>
        </w:rPr>
      </w:pPr>
      <w:r w:rsidRPr="00E8060B">
        <w:rPr>
          <w:noProof/>
          <w:webHidden/>
          <w:lang w:val="en-GB"/>
        </w:rPr>
        <w:tab/>
      </w:r>
      <w:r w:rsidRPr="00E8060B">
        <w:rPr>
          <w:noProof/>
          <w:lang w:val="en-GB"/>
        </w:rPr>
        <w:t>…"</w:t>
      </w:r>
    </w:p>
    <w:p w14:paraId="45B5652B" w14:textId="049E232D" w:rsidR="000412E9" w:rsidRPr="008955F5" w:rsidRDefault="000412E9" w:rsidP="000412E9">
      <w:pPr>
        <w:spacing w:after="120"/>
        <w:ind w:left="1134" w:right="1134"/>
        <w:jc w:val="both"/>
        <w:rPr>
          <w:i/>
          <w:lang w:val="en-GB"/>
        </w:rPr>
      </w:pPr>
      <w:r w:rsidRPr="008955F5">
        <w:rPr>
          <w:i/>
          <w:lang w:val="en-GB"/>
        </w:rPr>
        <w:t>Paragraph 1</w:t>
      </w:r>
      <w:r w:rsidRPr="00BD028B">
        <w:rPr>
          <w:i/>
          <w:lang w:val="en-GB"/>
        </w:rPr>
        <w:t>.,</w:t>
      </w:r>
      <w:r w:rsidR="00BD028B" w:rsidRPr="00BD028B">
        <w:rPr>
          <w:i/>
          <w:lang w:val="en-GB"/>
        </w:rPr>
        <w:t xml:space="preserve"> footnote 1</w:t>
      </w:r>
      <w:r w:rsidR="00BD028B">
        <w:rPr>
          <w:iCs/>
          <w:lang w:val="en-GB"/>
        </w:rPr>
        <w:t xml:space="preserve">, </w:t>
      </w:r>
      <w:r w:rsidRPr="008955F5">
        <w:rPr>
          <w:iCs/>
          <w:lang w:val="en-GB"/>
        </w:rPr>
        <w:t>amend to read:</w:t>
      </w:r>
    </w:p>
    <w:p w14:paraId="5AF7091F" w14:textId="0C18C6CE" w:rsidR="000412E9" w:rsidRPr="008955F5" w:rsidRDefault="000412E9" w:rsidP="00C62D4B">
      <w:pPr>
        <w:pStyle w:val="SingleTxtG"/>
        <w:ind w:left="1418" w:hanging="284"/>
        <w:jc w:val="left"/>
        <w:rPr>
          <w:bCs/>
          <w:sz w:val="18"/>
          <w:szCs w:val="18"/>
          <w:lang w:val="en-GB"/>
        </w:rPr>
      </w:pPr>
      <w:r w:rsidRPr="008955F5">
        <w:rPr>
          <w:iCs/>
          <w:lang w:val="en-GB"/>
        </w:rPr>
        <w:t>"</w:t>
      </w:r>
      <w:r w:rsidRPr="008955F5">
        <w:rPr>
          <w:bCs/>
          <w:sz w:val="18"/>
          <w:szCs w:val="18"/>
          <w:vertAlign w:val="superscript"/>
          <w:lang w:val="en-GB"/>
        </w:rPr>
        <w:t xml:space="preserve">1 </w:t>
      </w:r>
      <w:r w:rsidR="00BD028B">
        <w:rPr>
          <w:bCs/>
          <w:sz w:val="18"/>
          <w:szCs w:val="18"/>
          <w:vertAlign w:val="superscript"/>
          <w:lang w:val="en-GB"/>
        </w:rPr>
        <w:tab/>
      </w:r>
      <w:r w:rsidRPr="008955F5">
        <w:rPr>
          <w:sz w:val="18"/>
          <w:szCs w:val="18"/>
          <w:lang w:val="en-GB"/>
        </w:rPr>
        <w:t>As defined in the Consolidated Resolution on the Construction of Vehicles (R.E.3)</w:t>
      </w:r>
      <w:r w:rsidRPr="008955F5">
        <w:rPr>
          <w:strike/>
          <w:sz w:val="18"/>
          <w:szCs w:val="18"/>
          <w:lang w:val="en-GB"/>
        </w:rPr>
        <w:t xml:space="preserve">, document ECE/TRANS/WP.29/78/Rev.4, para. 2. </w:t>
      </w:r>
      <w:r w:rsidRPr="008955F5">
        <w:rPr>
          <w:strike/>
          <w:sz w:val="18"/>
          <w:szCs w:val="16"/>
          <w:lang w:val="en-GB" w:eastAsia="en-GB"/>
        </w:rPr>
        <w:t xml:space="preserve">- </w:t>
      </w:r>
      <w:hyperlink r:id="rId18" w:history="1">
        <w:r w:rsidRPr="008955F5">
          <w:rPr>
            <w:strike/>
            <w:sz w:val="18"/>
            <w:szCs w:val="16"/>
            <w:lang w:val="en-GB" w:eastAsia="en-GB"/>
          </w:rPr>
          <w:t>www.unece.org/trans/main/wp29/wp29wgs/wp29gen/wp29resolutions.html</w:t>
        </w:r>
      </w:hyperlink>
      <w:r w:rsidRPr="008955F5">
        <w:rPr>
          <w:strike/>
          <w:sz w:val="18"/>
          <w:szCs w:val="16"/>
          <w:lang w:val="en-GB" w:eastAsia="en-GB"/>
        </w:rPr>
        <w:t>"</w:t>
      </w:r>
    </w:p>
    <w:p w14:paraId="10A9CB0C" w14:textId="379DC382" w:rsidR="000412E9" w:rsidRPr="008955F5" w:rsidRDefault="000412E9" w:rsidP="000412E9">
      <w:pPr>
        <w:spacing w:after="120"/>
        <w:ind w:left="1134" w:right="1134"/>
        <w:jc w:val="both"/>
        <w:rPr>
          <w:i/>
          <w:lang w:val="en-GB"/>
        </w:rPr>
      </w:pPr>
      <w:r w:rsidRPr="008955F5">
        <w:rPr>
          <w:i/>
          <w:lang w:val="en-GB"/>
        </w:rPr>
        <w:t>Paragraph 2.</w:t>
      </w:r>
      <w:r w:rsidRPr="008955F5">
        <w:rPr>
          <w:iCs/>
          <w:lang w:val="en-GB"/>
        </w:rPr>
        <w:t xml:space="preserve">, </w:t>
      </w:r>
      <w:r w:rsidR="00BF188D" w:rsidRPr="004F4989">
        <w:rPr>
          <w:i/>
          <w:lang w:val="en-GB"/>
        </w:rPr>
        <w:t xml:space="preserve">footnotes </w:t>
      </w:r>
      <w:r w:rsidRPr="004F4989">
        <w:rPr>
          <w:i/>
          <w:lang w:val="en-GB"/>
        </w:rPr>
        <w:t>2 to 4</w:t>
      </w:r>
      <w:r w:rsidR="004F4989" w:rsidRPr="004F4989">
        <w:rPr>
          <w:i/>
          <w:lang w:val="en-GB"/>
        </w:rPr>
        <w:t>,</w:t>
      </w:r>
      <w:r w:rsidR="004F4989">
        <w:rPr>
          <w:iCs/>
          <w:lang w:val="en-GB"/>
        </w:rPr>
        <w:t xml:space="preserve"> amend </w:t>
      </w:r>
      <w:r w:rsidRPr="008955F5">
        <w:rPr>
          <w:iCs/>
          <w:lang w:val="en-GB"/>
        </w:rPr>
        <w:t>to read:</w:t>
      </w:r>
    </w:p>
    <w:p w14:paraId="5CDF4C2C" w14:textId="77777777" w:rsidR="000412E9" w:rsidRPr="004F4989" w:rsidRDefault="000412E9" w:rsidP="00C62D4B">
      <w:pPr>
        <w:pStyle w:val="SingleTxtG"/>
        <w:spacing w:after="60"/>
        <w:ind w:left="1418" w:hanging="284"/>
        <w:jc w:val="left"/>
        <w:rPr>
          <w:iCs/>
          <w:sz w:val="18"/>
          <w:szCs w:val="18"/>
          <w:lang w:val="en-GB"/>
        </w:rPr>
      </w:pPr>
      <w:r w:rsidRPr="004F4989">
        <w:rPr>
          <w:iCs/>
          <w:sz w:val="18"/>
          <w:szCs w:val="18"/>
          <w:lang w:val="en-GB"/>
        </w:rPr>
        <w:t>"</w:t>
      </w:r>
      <w:r w:rsidRPr="00F8436A">
        <w:rPr>
          <w:iCs/>
          <w:sz w:val="18"/>
          <w:szCs w:val="18"/>
          <w:vertAlign w:val="superscript"/>
          <w:lang w:val="en-GB"/>
        </w:rPr>
        <w:t>2</w:t>
      </w:r>
      <w:r w:rsidRPr="004F4989">
        <w:rPr>
          <w:iCs/>
          <w:sz w:val="18"/>
          <w:szCs w:val="18"/>
          <w:lang w:val="en-GB"/>
        </w:rPr>
        <w:tab/>
        <w:t>Class C1 tyres correspond to "passenger car tyres" in ISO 4000-1:20102021.</w:t>
      </w:r>
    </w:p>
    <w:p w14:paraId="7D7A1264" w14:textId="77777777" w:rsidR="000412E9" w:rsidRPr="004F4989" w:rsidRDefault="000412E9" w:rsidP="00C62D4B">
      <w:pPr>
        <w:pStyle w:val="SingleTxtG"/>
        <w:spacing w:after="60"/>
        <w:ind w:left="1418" w:hanging="284"/>
        <w:jc w:val="left"/>
        <w:rPr>
          <w:iCs/>
          <w:sz w:val="18"/>
          <w:szCs w:val="18"/>
          <w:lang w:val="en-GB"/>
        </w:rPr>
      </w:pPr>
      <w:r w:rsidRPr="00F8436A">
        <w:rPr>
          <w:iCs/>
          <w:sz w:val="18"/>
          <w:szCs w:val="18"/>
          <w:vertAlign w:val="superscript"/>
          <w:lang w:val="en-GB"/>
        </w:rPr>
        <w:t>3</w:t>
      </w:r>
      <w:r w:rsidRPr="004F4989">
        <w:rPr>
          <w:iCs/>
          <w:sz w:val="18"/>
          <w:szCs w:val="18"/>
          <w:lang w:val="en-GB"/>
        </w:rPr>
        <w:tab/>
        <w:t xml:space="preserve">The International System of Units (SI) unit conventionally used for the rolling resistance is the newton-metre per metre, which is equivalent to a drag force in </w:t>
      </w:r>
      <w:proofErr w:type="spellStart"/>
      <w:r w:rsidRPr="004F4989">
        <w:rPr>
          <w:iCs/>
          <w:sz w:val="18"/>
          <w:szCs w:val="18"/>
          <w:lang w:val="en-GB"/>
        </w:rPr>
        <w:t>newtonnewtons</w:t>
      </w:r>
      <w:proofErr w:type="spellEnd"/>
      <w:r w:rsidRPr="004F4989">
        <w:rPr>
          <w:iCs/>
          <w:sz w:val="18"/>
          <w:szCs w:val="18"/>
          <w:lang w:val="en-GB"/>
        </w:rPr>
        <w:t>.</w:t>
      </w:r>
    </w:p>
    <w:p w14:paraId="4F20816F" w14:textId="77777777" w:rsidR="000412E9" w:rsidRPr="004F4989" w:rsidRDefault="000412E9" w:rsidP="00C62D4B">
      <w:pPr>
        <w:pStyle w:val="SingleTxtG"/>
        <w:ind w:left="1418" w:hanging="284"/>
        <w:jc w:val="left"/>
        <w:rPr>
          <w:iCs/>
          <w:sz w:val="18"/>
          <w:szCs w:val="18"/>
          <w:lang w:val="en-GB"/>
        </w:rPr>
      </w:pPr>
      <w:r w:rsidRPr="00F8436A">
        <w:rPr>
          <w:iCs/>
          <w:sz w:val="18"/>
          <w:szCs w:val="18"/>
          <w:vertAlign w:val="superscript"/>
          <w:lang w:val="en-GB"/>
        </w:rPr>
        <w:t>4</w:t>
      </w:r>
      <w:r w:rsidRPr="004F4989">
        <w:rPr>
          <w:iCs/>
          <w:sz w:val="18"/>
          <w:szCs w:val="18"/>
          <w:lang w:val="en-GB"/>
        </w:rPr>
        <w:tab/>
        <w:t xml:space="preserve">The rolling resistance is expressed in </w:t>
      </w:r>
      <w:proofErr w:type="spellStart"/>
      <w:r w:rsidRPr="004F4989">
        <w:rPr>
          <w:iCs/>
          <w:sz w:val="18"/>
          <w:szCs w:val="18"/>
          <w:lang w:val="en-GB"/>
        </w:rPr>
        <w:t>newtonnewtons</w:t>
      </w:r>
      <w:proofErr w:type="spellEnd"/>
      <w:r w:rsidRPr="004F4989">
        <w:rPr>
          <w:iCs/>
          <w:sz w:val="18"/>
          <w:szCs w:val="18"/>
          <w:lang w:val="en-GB"/>
        </w:rPr>
        <w:t xml:space="preserve"> and the load is expressed in kilo-newton. The rolling resistance coefficient is dimensionless."</w:t>
      </w:r>
    </w:p>
    <w:p w14:paraId="0B631888" w14:textId="77777777" w:rsidR="000412E9" w:rsidRPr="008955F5" w:rsidRDefault="000412E9" w:rsidP="000412E9">
      <w:pPr>
        <w:spacing w:after="120"/>
        <w:ind w:left="1134" w:right="1134"/>
        <w:jc w:val="both"/>
        <w:rPr>
          <w:iCs/>
          <w:lang w:val="en-GB"/>
        </w:rPr>
      </w:pPr>
      <w:r w:rsidRPr="008955F5">
        <w:rPr>
          <w:i/>
          <w:lang w:val="en-GB"/>
        </w:rPr>
        <w:t>Paragraph 2.11.</w:t>
      </w:r>
      <w:r w:rsidRPr="008955F5">
        <w:rPr>
          <w:iCs/>
          <w:lang w:val="en-GB"/>
        </w:rPr>
        <w:t>, amend to read:</w:t>
      </w:r>
    </w:p>
    <w:p w14:paraId="73B0E1DC" w14:textId="77777777" w:rsidR="000412E9" w:rsidRPr="008955F5" w:rsidRDefault="000412E9" w:rsidP="000412E9">
      <w:pPr>
        <w:pStyle w:val="SingleTxtG"/>
        <w:ind w:left="2268" w:hanging="1134"/>
        <w:rPr>
          <w:iCs/>
          <w:lang w:val="en-GB"/>
        </w:rPr>
      </w:pPr>
      <w:r w:rsidRPr="008955F5">
        <w:rPr>
          <w:iCs/>
          <w:lang w:val="en-GB"/>
        </w:rPr>
        <w:t>"</w:t>
      </w:r>
      <w:r w:rsidRPr="008955F5">
        <w:rPr>
          <w:bCs/>
          <w:lang w:val="en-GB"/>
        </w:rPr>
        <w:t>2.11.</w:t>
      </w:r>
      <w:r w:rsidRPr="008955F5">
        <w:rPr>
          <w:bCs/>
          <w:lang w:val="en-GB"/>
        </w:rPr>
        <w:tab/>
        <w:t>"</w:t>
      </w:r>
      <w:r w:rsidRPr="008955F5">
        <w:rPr>
          <w:bCs/>
          <w:i/>
          <w:lang w:val="en-GB"/>
        </w:rPr>
        <w:t>Reinforced tyre</w:t>
      </w:r>
      <w:r w:rsidRPr="008955F5">
        <w:rPr>
          <w:bCs/>
          <w:lang w:val="en-GB"/>
        </w:rPr>
        <w:t>" or "</w:t>
      </w:r>
      <w:r w:rsidRPr="008955F5">
        <w:rPr>
          <w:bCs/>
          <w:i/>
          <w:lang w:val="en-GB"/>
        </w:rPr>
        <w:t>extra load tyre</w:t>
      </w:r>
      <w:r w:rsidRPr="008955F5">
        <w:rPr>
          <w:bCs/>
          <w:lang w:val="en-GB"/>
        </w:rPr>
        <w:t xml:space="preserve">" of class C1 means a tyre structure designed to carry more load at a higher inflation pressure than the load carried by the corresponding standard version tyre at the standard inflation pressure as specified in </w:t>
      </w:r>
      <w:bookmarkStart w:id="3" w:name="_Hlk148357946"/>
      <w:r w:rsidRPr="008955F5">
        <w:rPr>
          <w:bCs/>
          <w:lang w:val="en-GB"/>
        </w:rPr>
        <w:t>ISO 4000-1:</w:t>
      </w:r>
      <w:proofErr w:type="gramStart"/>
      <w:r w:rsidRPr="008955F5">
        <w:rPr>
          <w:bCs/>
          <w:strike/>
          <w:lang w:val="en-GB"/>
        </w:rPr>
        <w:t>2010</w:t>
      </w:r>
      <w:r w:rsidRPr="008955F5">
        <w:rPr>
          <w:b/>
          <w:lang w:val="en-GB"/>
        </w:rPr>
        <w:t>2021</w:t>
      </w:r>
      <w:r w:rsidRPr="008955F5">
        <w:rPr>
          <w:bCs/>
          <w:lang w:val="en-GB"/>
        </w:rPr>
        <w:t>.</w:t>
      </w:r>
      <w:r w:rsidRPr="008955F5">
        <w:rPr>
          <w:bCs/>
          <w:vertAlign w:val="superscript"/>
          <w:lang w:val="en-GB"/>
        </w:rPr>
        <w:t>2</w:t>
      </w:r>
      <w:bookmarkEnd w:id="3"/>
      <w:r w:rsidRPr="008955F5">
        <w:rPr>
          <w:iCs/>
          <w:lang w:val="en-GB"/>
        </w:rPr>
        <w:t>"</w:t>
      </w:r>
      <w:proofErr w:type="gramEnd"/>
    </w:p>
    <w:p w14:paraId="168A15DC" w14:textId="77777777" w:rsidR="000412E9" w:rsidRPr="008955F5" w:rsidRDefault="000412E9" w:rsidP="000412E9">
      <w:pPr>
        <w:spacing w:after="120"/>
        <w:ind w:left="1134" w:right="1134"/>
        <w:jc w:val="both"/>
        <w:rPr>
          <w:iCs/>
          <w:lang w:val="en-GB"/>
        </w:rPr>
      </w:pPr>
      <w:r w:rsidRPr="008955F5">
        <w:rPr>
          <w:i/>
          <w:lang w:val="en-GB"/>
        </w:rPr>
        <w:t>Paragraph 2.13.</w:t>
      </w:r>
      <w:r w:rsidRPr="008955F5">
        <w:rPr>
          <w:iCs/>
          <w:lang w:val="en-GB"/>
        </w:rPr>
        <w:t>, amend to read:</w:t>
      </w:r>
    </w:p>
    <w:p w14:paraId="4A754488" w14:textId="77777777" w:rsidR="000412E9" w:rsidRPr="008955F5" w:rsidRDefault="000412E9" w:rsidP="000412E9">
      <w:pPr>
        <w:pStyle w:val="SingleTxtG"/>
        <w:ind w:left="2268" w:hanging="1134"/>
        <w:rPr>
          <w:bCs/>
          <w:lang w:val="en-GB"/>
        </w:rPr>
      </w:pPr>
      <w:r w:rsidRPr="008955F5">
        <w:rPr>
          <w:bCs/>
          <w:lang w:val="en-GB"/>
        </w:rPr>
        <w:t>"2.13.</w:t>
      </w:r>
      <w:r w:rsidRPr="008955F5">
        <w:rPr>
          <w:bCs/>
          <w:lang w:val="en-GB"/>
        </w:rPr>
        <w:tab/>
        <w:t>"</w:t>
      </w:r>
      <w:r w:rsidRPr="008955F5">
        <w:rPr>
          <w:bCs/>
          <w:i/>
          <w:lang w:val="en-GB"/>
        </w:rPr>
        <w:t>Snow tyre</w:t>
      </w:r>
      <w:r w:rsidRPr="008955F5">
        <w:rPr>
          <w:bCs/>
          <w:lang w:val="en-GB"/>
        </w:rPr>
        <w:t xml:space="preserve">" means a tyre whose tread pattern, tread compound or </w:t>
      </w:r>
      <w:r w:rsidRPr="008955F5">
        <w:rPr>
          <w:bCs/>
          <w:strike/>
          <w:lang w:val="en-GB"/>
        </w:rPr>
        <w:t>structure</w:t>
      </w:r>
      <w:r w:rsidRPr="008955F5">
        <w:rPr>
          <w:bCs/>
          <w:lang w:val="en-GB"/>
        </w:rPr>
        <w:t xml:space="preserve"> </w:t>
      </w:r>
      <w:r w:rsidRPr="008955F5">
        <w:rPr>
          <w:b/>
          <w:lang w:val="en-GB"/>
        </w:rPr>
        <w:t xml:space="preserve">construction </w:t>
      </w:r>
      <w:r w:rsidRPr="008955F5">
        <w:rPr>
          <w:bCs/>
          <w:lang w:val="en-GB"/>
        </w:rPr>
        <w:t xml:space="preserve">is primarily designed to achieve in </w:t>
      </w:r>
      <w:r w:rsidRPr="008955F5">
        <w:rPr>
          <w:b/>
          <w:lang w:val="en-GB"/>
        </w:rPr>
        <w:t xml:space="preserve">mud and/or </w:t>
      </w:r>
      <w:r w:rsidRPr="008955F5">
        <w:rPr>
          <w:bCs/>
          <w:lang w:val="en-GB"/>
        </w:rPr>
        <w:t xml:space="preserve">snow conditions a performance better than that of a normal tyre with regard to its ability to initiate </w:t>
      </w:r>
      <w:r w:rsidRPr="008955F5">
        <w:rPr>
          <w:bCs/>
          <w:strike/>
          <w:lang w:val="en-GB"/>
        </w:rPr>
        <w:t>or maintain</w:t>
      </w:r>
      <w:r w:rsidRPr="008955F5">
        <w:rPr>
          <w:bCs/>
          <w:lang w:val="en-GB"/>
        </w:rPr>
        <w:t xml:space="preserve"> </w:t>
      </w:r>
      <w:r w:rsidRPr="008955F5">
        <w:rPr>
          <w:b/>
          <w:lang w:val="en-GB"/>
        </w:rPr>
        <w:t xml:space="preserve">and control </w:t>
      </w:r>
      <w:r w:rsidRPr="008955F5">
        <w:rPr>
          <w:bCs/>
          <w:lang w:val="en-GB"/>
        </w:rPr>
        <w:t>vehicle motion."</w:t>
      </w:r>
    </w:p>
    <w:p w14:paraId="54FE899E" w14:textId="77777777" w:rsidR="000412E9" w:rsidRPr="008955F5" w:rsidRDefault="000412E9" w:rsidP="000412E9">
      <w:pPr>
        <w:spacing w:after="120"/>
        <w:ind w:left="1134" w:right="1134"/>
        <w:jc w:val="both"/>
        <w:rPr>
          <w:iCs/>
          <w:lang w:val="en-GB"/>
        </w:rPr>
      </w:pPr>
      <w:r w:rsidRPr="008955F5">
        <w:rPr>
          <w:i/>
          <w:lang w:val="en-GB"/>
        </w:rPr>
        <w:t>Paragraph 2.18.</w:t>
      </w:r>
      <w:r w:rsidRPr="008955F5">
        <w:rPr>
          <w:iCs/>
          <w:lang w:val="en-GB"/>
        </w:rPr>
        <w:t>, amend to read:</w:t>
      </w:r>
    </w:p>
    <w:p w14:paraId="7C5CA623" w14:textId="77777777" w:rsidR="00D60841" w:rsidRPr="00780258" w:rsidRDefault="000412E9" w:rsidP="00D60841">
      <w:pPr>
        <w:spacing w:after="120"/>
        <w:ind w:left="2268" w:right="1134" w:hanging="1134"/>
        <w:jc w:val="both"/>
        <w:rPr>
          <w:lang w:val="en-US"/>
        </w:rPr>
      </w:pPr>
      <w:r w:rsidRPr="008955F5">
        <w:rPr>
          <w:bCs/>
          <w:lang w:val="en-GB"/>
        </w:rPr>
        <w:t>"</w:t>
      </w:r>
      <w:r w:rsidRPr="008955F5">
        <w:rPr>
          <w:lang w:val="en-GB"/>
        </w:rPr>
        <w:t>2.18.</w:t>
      </w:r>
      <w:r w:rsidRPr="008955F5">
        <w:rPr>
          <w:lang w:val="en-GB"/>
        </w:rPr>
        <w:tab/>
      </w:r>
      <w:bookmarkStart w:id="4" w:name="_Hlk148358654"/>
      <w:r w:rsidR="00D60841" w:rsidRPr="00780258">
        <w:rPr>
          <w:lang w:val="en-US"/>
        </w:rPr>
        <w:t>"</w:t>
      </w:r>
      <w:r w:rsidR="00D60841" w:rsidRPr="00780258">
        <w:rPr>
          <w:i/>
          <w:lang w:val="en-US"/>
        </w:rPr>
        <w:t xml:space="preserve">Standard Reference Test </w:t>
      </w:r>
      <w:proofErr w:type="spellStart"/>
      <w:r w:rsidR="00D60841" w:rsidRPr="00780258">
        <w:rPr>
          <w:i/>
          <w:lang w:val="en-US"/>
        </w:rPr>
        <w:t>Tyre</w:t>
      </w:r>
      <w:proofErr w:type="spellEnd"/>
      <w:r w:rsidR="00D60841" w:rsidRPr="00780258">
        <w:rPr>
          <w:lang w:val="en-US"/>
        </w:rPr>
        <w:t xml:space="preserve">" or </w:t>
      </w:r>
      <w:r w:rsidR="00D60841" w:rsidRPr="00780258">
        <w:rPr>
          <w:bCs/>
          <w:lang w:val="en-US"/>
        </w:rPr>
        <w:t>"</w:t>
      </w:r>
      <w:r w:rsidR="00D60841" w:rsidRPr="00780258">
        <w:rPr>
          <w:bCs/>
          <w:i/>
          <w:iCs/>
          <w:lang w:val="en-US"/>
        </w:rPr>
        <w:t>SRTT</w:t>
      </w:r>
      <w:r w:rsidR="00D60841" w:rsidRPr="00780258">
        <w:rPr>
          <w:bCs/>
          <w:lang w:val="en-US"/>
        </w:rPr>
        <w:t xml:space="preserve">" </w:t>
      </w:r>
      <w:r w:rsidR="00D60841" w:rsidRPr="00780258">
        <w:rPr>
          <w:lang w:val="en-US"/>
        </w:rPr>
        <w:t xml:space="preserve">means a </w:t>
      </w:r>
      <w:proofErr w:type="spellStart"/>
      <w:r w:rsidR="00D60841" w:rsidRPr="00780258">
        <w:rPr>
          <w:lang w:val="en-US"/>
        </w:rPr>
        <w:t>tyre</w:t>
      </w:r>
      <w:proofErr w:type="spellEnd"/>
      <w:r w:rsidR="00D60841" w:rsidRPr="00780258">
        <w:rPr>
          <w:lang w:val="en-US"/>
        </w:rPr>
        <w:t xml:space="preserve"> that is produced, </w:t>
      </w:r>
      <w:proofErr w:type="gramStart"/>
      <w:r w:rsidR="00D60841" w:rsidRPr="00780258">
        <w:rPr>
          <w:lang w:val="en-US"/>
        </w:rPr>
        <w:t>controlled</w:t>
      </w:r>
      <w:proofErr w:type="gramEnd"/>
      <w:r w:rsidR="00D60841" w:rsidRPr="00780258">
        <w:rPr>
          <w:lang w:val="en-US"/>
        </w:rPr>
        <w:t xml:space="preserve"> and stored in accordance with the standards of ASTM International:</w:t>
      </w:r>
    </w:p>
    <w:p w14:paraId="095E946A" w14:textId="77777777" w:rsidR="00D60841" w:rsidRPr="00780258" w:rsidRDefault="00D60841" w:rsidP="00D60841">
      <w:pPr>
        <w:spacing w:after="120"/>
        <w:ind w:left="2268" w:right="1134" w:hanging="1134"/>
        <w:jc w:val="both"/>
        <w:rPr>
          <w:lang w:val="en-US"/>
        </w:rPr>
      </w:pPr>
      <w:r w:rsidRPr="00780258">
        <w:rPr>
          <w:lang w:val="en-US"/>
        </w:rPr>
        <w:tab/>
      </w:r>
      <w:r w:rsidRPr="00780258">
        <w:rPr>
          <w:bCs/>
          <w:lang w:val="en-US"/>
        </w:rPr>
        <w:t>(a)</w:t>
      </w:r>
      <w:r w:rsidRPr="00780258">
        <w:rPr>
          <w:lang w:val="en-US"/>
        </w:rPr>
        <w:tab/>
        <w:t xml:space="preserve">E1136 – </w:t>
      </w:r>
      <w:r w:rsidRPr="00780258">
        <w:rPr>
          <w:strike/>
          <w:lang w:val="en-US"/>
        </w:rPr>
        <w:t>17</w:t>
      </w:r>
      <w:r w:rsidRPr="00780258">
        <w:rPr>
          <w:b/>
          <w:bCs/>
          <w:lang w:val="en-US"/>
        </w:rPr>
        <w:t>19</w:t>
      </w:r>
      <w:r w:rsidRPr="00780258">
        <w:rPr>
          <w:lang w:val="en-US"/>
        </w:rPr>
        <w:t>for the size P195/75R14 and referred to as "SRTT14",</w:t>
      </w:r>
    </w:p>
    <w:p w14:paraId="0C705830" w14:textId="77777777" w:rsidR="00D60841" w:rsidRPr="00AF51D3" w:rsidRDefault="00D60841" w:rsidP="00D60841">
      <w:pPr>
        <w:pStyle w:val="SingleTxtG"/>
        <w:ind w:left="2835" w:hanging="567"/>
        <w:rPr>
          <w:lang w:val="en-US"/>
        </w:rPr>
      </w:pPr>
      <w:r w:rsidRPr="00AF51D3">
        <w:rPr>
          <w:lang w:val="en-US"/>
        </w:rPr>
        <w:t>(b)</w:t>
      </w:r>
      <w:r w:rsidRPr="00AF51D3">
        <w:rPr>
          <w:lang w:val="en-US"/>
        </w:rPr>
        <w:tab/>
        <w:t xml:space="preserve">F2493 – </w:t>
      </w:r>
      <w:bookmarkStart w:id="5" w:name="_Hlk147405774"/>
      <w:r w:rsidRPr="00AF51D3">
        <w:rPr>
          <w:strike/>
          <w:lang w:val="en-US"/>
        </w:rPr>
        <w:t>20</w:t>
      </w:r>
      <w:r w:rsidRPr="00AF51D3">
        <w:rPr>
          <w:b/>
          <w:bCs/>
          <w:lang w:val="en-US"/>
        </w:rPr>
        <w:t>23</w:t>
      </w:r>
      <w:bookmarkEnd w:id="5"/>
      <w:r w:rsidRPr="00AF51D3">
        <w:rPr>
          <w:lang w:val="en-US"/>
        </w:rPr>
        <w:t xml:space="preserve"> for the size P225/60R16 and referred to as "SRTT16",</w:t>
      </w:r>
    </w:p>
    <w:p w14:paraId="4CF3ED52" w14:textId="77777777" w:rsidR="00D60841" w:rsidRPr="00AF51D3" w:rsidRDefault="00D60841" w:rsidP="00D60841">
      <w:pPr>
        <w:spacing w:after="120"/>
        <w:ind w:left="2268" w:right="1134"/>
        <w:jc w:val="both"/>
        <w:rPr>
          <w:lang w:val="en-US"/>
        </w:rPr>
      </w:pPr>
      <w:r w:rsidRPr="00AF51D3">
        <w:rPr>
          <w:bCs/>
          <w:lang w:val="en-US"/>
        </w:rPr>
        <w:t>(c)</w:t>
      </w:r>
      <w:r w:rsidRPr="00AF51D3">
        <w:rPr>
          <w:bCs/>
          <w:lang w:val="en-US"/>
        </w:rPr>
        <w:tab/>
        <w:t xml:space="preserve">F2872 – </w:t>
      </w:r>
      <w:r w:rsidRPr="00AF51D3">
        <w:rPr>
          <w:strike/>
          <w:lang w:val="en-US"/>
        </w:rPr>
        <w:t>16</w:t>
      </w:r>
      <w:r w:rsidRPr="00AF51D3">
        <w:rPr>
          <w:b/>
          <w:bCs/>
          <w:lang w:val="en-US"/>
        </w:rPr>
        <w:t>19</w:t>
      </w:r>
      <w:r w:rsidRPr="00AF51D3">
        <w:rPr>
          <w:bCs/>
          <w:lang w:val="en-US"/>
        </w:rPr>
        <w:t xml:space="preserve"> for the size 225/75R16C and referred to as </w:t>
      </w:r>
      <w:r w:rsidRPr="00AF51D3">
        <w:rPr>
          <w:lang w:val="en-US"/>
        </w:rPr>
        <w:t>"</w:t>
      </w:r>
      <w:r w:rsidRPr="00AF51D3">
        <w:rPr>
          <w:bCs/>
          <w:lang w:val="en-US"/>
        </w:rPr>
        <w:t>SRTT16C</w:t>
      </w:r>
      <w:r w:rsidRPr="00AF51D3">
        <w:rPr>
          <w:lang w:val="en-US"/>
        </w:rPr>
        <w:t>"</w:t>
      </w:r>
      <w:r w:rsidRPr="00AF51D3">
        <w:rPr>
          <w:bCs/>
          <w:lang w:val="en-US"/>
        </w:rPr>
        <w:t>,</w:t>
      </w:r>
    </w:p>
    <w:p w14:paraId="44E4525B" w14:textId="77777777" w:rsidR="00D60841" w:rsidRPr="00AF51D3" w:rsidRDefault="00D60841" w:rsidP="00D60841">
      <w:pPr>
        <w:spacing w:after="120"/>
        <w:ind w:left="2268" w:right="1134"/>
        <w:jc w:val="both"/>
        <w:rPr>
          <w:lang w:val="en-US"/>
        </w:rPr>
      </w:pPr>
      <w:r w:rsidRPr="00AF51D3">
        <w:rPr>
          <w:bCs/>
          <w:lang w:val="en-US"/>
        </w:rPr>
        <w:t>(d)</w:t>
      </w:r>
      <w:r w:rsidRPr="00AF51D3">
        <w:rPr>
          <w:bCs/>
          <w:lang w:val="en-US"/>
        </w:rPr>
        <w:tab/>
      </w:r>
      <w:r w:rsidRPr="00AF51D3">
        <w:rPr>
          <w:lang w:val="en-US"/>
        </w:rPr>
        <w:t xml:space="preserve">F2871 – </w:t>
      </w:r>
      <w:r w:rsidRPr="00AF51D3">
        <w:rPr>
          <w:strike/>
          <w:lang w:val="en-US"/>
        </w:rPr>
        <w:t>16</w:t>
      </w:r>
      <w:r w:rsidRPr="00AF51D3">
        <w:rPr>
          <w:b/>
          <w:bCs/>
          <w:lang w:val="en-US"/>
        </w:rPr>
        <w:t>23</w:t>
      </w:r>
      <w:r w:rsidRPr="00AF51D3">
        <w:rPr>
          <w:lang w:val="en-US"/>
        </w:rPr>
        <w:t xml:space="preserve"> for the size 245/70R19.5 and referred to as "SRTT19.5",</w:t>
      </w:r>
    </w:p>
    <w:p w14:paraId="29180C0F" w14:textId="063858A9" w:rsidR="000412E9" w:rsidRPr="008955F5" w:rsidRDefault="00D60841" w:rsidP="00D60841">
      <w:pPr>
        <w:spacing w:after="120"/>
        <w:ind w:left="2268" w:right="1134" w:hanging="1134"/>
        <w:jc w:val="both"/>
        <w:rPr>
          <w:lang w:val="en-GB"/>
        </w:rPr>
      </w:pPr>
      <w:r w:rsidRPr="00AF51D3">
        <w:rPr>
          <w:lang w:val="en-US"/>
        </w:rPr>
        <w:tab/>
        <w:t>(e)</w:t>
      </w:r>
      <w:r w:rsidRPr="00AF51D3">
        <w:rPr>
          <w:lang w:val="en-US"/>
        </w:rPr>
        <w:tab/>
        <w:t xml:space="preserve">F2870 – </w:t>
      </w:r>
      <w:r w:rsidRPr="00AF51D3">
        <w:rPr>
          <w:strike/>
          <w:lang w:val="en-US"/>
        </w:rPr>
        <w:t>16</w:t>
      </w:r>
      <w:r w:rsidRPr="00AF51D3">
        <w:rPr>
          <w:b/>
          <w:bCs/>
          <w:lang w:val="en-US"/>
        </w:rPr>
        <w:t>23</w:t>
      </w:r>
      <w:r w:rsidRPr="00AF51D3">
        <w:rPr>
          <w:lang w:val="en-US"/>
        </w:rPr>
        <w:t xml:space="preserve"> for the size 315/70R22.5 and referred to as "SRTT22.5".</w:t>
      </w:r>
      <w:r w:rsidR="000412E9" w:rsidRPr="008955F5">
        <w:rPr>
          <w:lang w:val="en-GB"/>
        </w:rPr>
        <w:t>"</w:t>
      </w:r>
    </w:p>
    <w:bookmarkEnd w:id="4"/>
    <w:p w14:paraId="16DE4AA2" w14:textId="77777777" w:rsidR="000412E9" w:rsidRPr="008955F5" w:rsidRDefault="000412E9" w:rsidP="000412E9">
      <w:pPr>
        <w:spacing w:after="120"/>
        <w:ind w:left="1134" w:right="1134"/>
        <w:jc w:val="both"/>
        <w:rPr>
          <w:iCs/>
          <w:lang w:val="en-GB"/>
        </w:rPr>
      </w:pPr>
      <w:r w:rsidRPr="008955F5">
        <w:rPr>
          <w:i/>
          <w:lang w:val="en-GB"/>
        </w:rPr>
        <w:t>Paragraph 5.2.2.</w:t>
      </w:r>
      <w:r w:rsidRPr="008955F5">
        <w:rPr>
          <w:iCs/>
          <w:lang w:val="en-GB"/>
        </w:rPr>
        <w:t>, amend to read:</w:t>
      </w:r>
    </w:p>
    <w:p w14:paraId="68E1D5F5" w14:textId="77777777" w:rsidR="000412E9" w:rsidRPr="008955F5" w:rsidRDefault="000412E9" w:rsidP="000412E9">
      <w:pPr>
        <w:pStyle w:val="SingleTxtG"/>
        <w:ind w:left="2268" w:hanging="1134"/>
        <w:rPr>
          <w:bCs/>
          <w:lang w:val="en-GB"/>
        </w:rPr>
      </w:pPr>
      <w:r w:rsidRPr="008955F5">
        <w:rPr>
          <w:bCs/>
          <w:lang w:val="en-GB"/>
        </w:rPr>
        <w:t>"5.2.2.</w:t>
      </w:r>
      <w:r w:rsidRPr="008955F5">
        <w:rPr>
          <w:bCs/>
          <w:lang w:val="en-GB"/>
        </w:rPr>
        <w:tab/>
        <w:t>The communication form mentioned in paragraph 5.3. below shall identify specific performance parameters of Regulation No. 117 by the following suffixes:</w:t>
      </w:r>
    </w:p>
    <w:p w14:paraId="3AD9FF2E" w14:textId="77777777" w:rsidR="000412E9" w:rsidRPr="008955F5" w:rsidRDefault="000412E9" w:rsidP="000412E9">
      <w:pPr>
        <w:pStyle w:val="SingleTxtG"/>
        <w:ind w:left="2835" w:hanging="576"/>
        <w:rPr>
          <w:bCs/>
          <w:lang w:val="en-GB"/>
        </w:rPr>
      </w:pPr>
      <w:r w:rsidRPr="008955F5">
        <w:rPr>
          <w:bCs/>
          <w:lang w:val="en-GB"/>
        </w:rPr>
        <w:t>S</w:t>
      </w:r>
      <w:r w:rsidRPr="008955F5">
        <w:rPr>
          <w:bCs/>
          <w:lang w:val="en-GB"/>
        </w:rPr>
        <w:tab/>
        <w:t>To identify additional conformity to the requirements on tyre rolling sound emissions;</w:t>
      </w:r>
    </w:p>
    <w:p w14:paraId="581F661F" w14:textId="77777777" w:rsidR="000412E9" w:rsidRPr="008955F5" w:rsidRDefault="000412E9" w:rsidP="000412E9">
      <w:pPr>
        <w:pStyle w:val="SingleTxtG"/>
        <w:ind w:left="2835" w:hanging="576"/>
        <w:rPr>
          <w:bCs/>
          <w:lang w:val="en-GB"/>
        </w:rPr>
      </w:pPr>
      <w:r w:rsidRPr="008955F5">
        <w:rPr>
          <w:bCs/>
          <w:lang w:val="en-GB"/>
        </w:rPr>
        <w:lastRenderedPageBreak/>
        <w:t>W</w:t>
      </w:r>
      <w:r w:rsidRPr="008955F5">
        <w:rPr>
          <w:bCs/>
          <w:lang w:val="en-GB"/>
        </w:rPr>
        <w:tab/>
        <w:t>To identify additional conformity to the requirements on adhesion on wet surfaces of tyres in new state;</w:t>
      </w:r>
    </w:p>
    <w:p w14:paraId="479D8801" w14:textId="77777777" w:rsidR="000412E9" w:rsidRPr="008955F5" w:rsidRDefault="000412E9" w:rsidP="000412E9">
      <w:pPr>
        <w:pStyle w:val="SingleTxtG"/>
        <w:ind w:left="2835" w:hanging="576"/>
        <w:rPr>
          <w:bCs/>
          <w:lang w:val="en-GB"/>
        </w:rPr>
      </w:pPr>
      <w:r w:rsidRPr="008955F5">
        <w:rPr>
          <w:bCs/>
          <w:lang w:val="en-GB"/>
        </w:rPr>
        <w:t>R</w:t>
      </w:r>
      <w:r w:rsidRPr="008955F5">
        <w:rPr>
          <w:bCs/>
          <w:lang w:val="en-GB"/>
        </w:rPr>
        <w:tab/>
        <w:t>To identify additional conformity to the requirements on tyre rolling resistance;</w:t>
      </w:r>
    </w:p>
    <w:p w14:paraId="017778EA" w14:textId="77777777" w:rsidR="000412E9" w:rsidRPr="008955F5" w:rsidRDefault="000412E9" w:rsidP="000412E9">
      <w:pPr>
        <w:pStyle w:val="SingleTxtG"/>
        <w:ind w:left="2835" w:hanging="576"/>
        <w:rPr>
          <w:bCs/>
          <w:lang w:val="en-GB"/>
        </w:rPr>
      </w:pPr>
      <w:r w:rsidRPr="008955F5">
        <w:rPr>
          <w:bCs/>
          <w:lang w:val="en-GB"/>
        </w:rPr>
        <w:t xml:space="preserve">B </w:t>
      </w:r>
      <w:r w:rsidRPr="008955F5">
        <w:rPr>
          <w:bCs/>
          <w:lang w:val="en-GB"/>
        </w:rPr>
        <w:tab/>
        <w:t>To identify additional conformity to the requirements on adhesion on wet surfaces of tyres in worn state.</w:t>
      </w:r>
    </w:p>
    <w:p w14:paraId="3E76CD54" w14:textId="0CF33FB0" w:rsidR="000412E9" w:rsidRPr="008955F5" w:rsidRDefault="000412E9" w:rsidP="00C62D4B">
      <w:pPr>
        <w:pStyle w:val="SingleTxtG"/>
        <w:ind w:left="2268" w:hanging="1134"/>
        <w:rPr>
          <w:iCs/>
          <w:lang w:val="en-GB"/>
        </w:rPr>
      </w:pPr>
      <w:r w:rsidRPr="008955F5">
        <w:rPr>
          <w:bCs/>
          <w:lang w:val="en-GB"/>
        </w:rPr>
        <w:tab/>
        <w:t xml:space="preserve">S will be followed by the suffix "2" for compliance to stage 2 while, taking into account that two stages are defined for adhesion on wet surfaces of tyres in new state and rolling resistance </w:t>
      </w:r>
      <w:proofErr w:type="spellStart"/>
      <w:r w:rsidRPr="008955F5">
        <w:rPr>
          <w:bCs/>
          <w:strike/>
          <w:lang w:val="en-GB"/>
        </w:rPr>
        <w:t>specifications</w:t>
      </w:r>
      <w:r w:rsidRPr="008955F5">
        <w:rPr>
          <w:b/>
          <w:lang w:val="en-GB"/>
        </w:rPr>
        <w:t>requirements</w:t>
      </w:r>
      <w:proofErr w:type="spellEnd"/>
      <w:r w:rsidRPr="008955F5">
        <w:rPr>
          <w:bCs/>
          <w:lang w:val="en-GB"/>
        </w:rPr>
        <w:t xml:space="preserve"> in paragraphs 6.2. and 6.3. below, W will be followed either by the suffix "1" for compliance to stage 1 or by the suffix "2" for compliance to stage 2 and R will be followed either by the suffix "2" for compliance to stage 2 or by the suffix "3" for compliance to stage 3."</w:t>
      </w:r>
    </w:p>
    <w:p w14:paraId="4D8FC54E" w14:textId="77777777" w:rsidR="000412E9" w:rsidRPr="008955F5" w:rsidRDefault="000412E9" w:rsidP="000412E9">
      <w:pPr>
        <w:pStyle w:val="SingleTxtG"/>
        <w:ind w:left="2268" w:hanging="1134"/>
        <w:rPr>
          <w:bCs/>
          <w:lang w:val="en-GB"/>
        </w:rPr>
      </w:pPr>
      <w:r w:rsidRPr="008955F5">
        <w:rPr>
          <w:bCs/>
          <w:i/>
          <w:iCs/>
          <w:lang w:val="en-GB"/>
        </w:rPr>
        <w:t>Paragraph 6, title,</w:t>
      </w:r>
      <w:r w:rsidRPr="008955F5">
        <w:rPr>
          <w:bCs/>
          <w:lang w:val="en-GB"/>
        </w:rPr>
        <w:t xml:space="preserve"> amend to read: </w:t>
      </w:r>
    </w:p>
    <w:p w14:paraId="1F912D16" w14:textId="62490A5F" w:rsidR="000412E9" w:rsidRPr="00C62D4B" w:rsidRDefault="000412E9" w:rsidP="000412E9">
      <w:pPr>
        <w:pStyle w:val="SingleTxtG"/>
        <w:ind w:left="2268" w:hanging="1134"/>
        <w:rPr>
          <w:shd w:val="clear" w:color="auto" w:fill="F7CAAC" w:themeFill="accent2" w:themeFillTint="66"/>
          <w:lang w:val="en-GB"/>
        </w:rPr>
      </w:pPr>
      <w:r w:rsidRPr="00C62D4B">
        <w:rPr>
          <w:bCs/>
          <w:lang w:val="en-GB"/>
        </w:rPr>
        <w:t>"</w:t>
      </w:r>
      <w:r w:rsidRPr="00C62D4B">
        <w:rPr>
          <w:lang w:val="en-GB"/>
        </w:rPr>
        <w:t>6.</w:t>
      </w:r>
      <w:r w:rsidRPr="00C62D4B">
        <w:rPr>
          <w:lang w:val="en-GB"/>
        </w:rPr>
        <w:tab/>
      </w:r>
      <w:r w:rsidRPr="00C62D4B">
        <w:rPr>
          <w:lang w:val="en-GB"/>
        </w:rPr>
        <w:tab/>
      </w:r>
      <w:proofErr w:type="spellStart"/>
      <w:r w:rsidRPr="00C62D4B">
        <w:rPr>
          <w:strike/>
          <w:lang w:val="en-GB"/>
        </w:rPr>
        <w:t>Specifications</w:t>
      </w:r>
      <w:r w:rsidRPr="00C62D4B">
        <w:rPr>
          <w:b/>
          <w:bCs/>
          <w:lang w:val="en-GB"/>
        </w:rPr>
        <w:t>Requirements</w:t>
      </w:r>
      <w:proofErr w:type="spellEnd"/>
      <w:r w:rsidRPr="00C62D4B">
        <w:rPr>
          <w:lang w:val="en-GB"/>
        </w:rPr>
        <w:t>"</w:t>
      </w:r>
    </w:p>
    <w:p w14:paraId="6957407F" w14:textId="76F51B0B" w:rsidR="000412E9" w:rsidRPr="008955F5" w:rsidRDefault="000412E9" w:rsidP="000412E9">
      <w:pPr>
        <w:spacing w:after="120"/>
        <w:ind w:left="1134" w:right="1134"/>
        <w:jc w:val="both"/>
        <w:rPr>
          <w:iCs/>
          <w:lang w:val="en-GB"/>
        </w:rPr>
      </w:pPr>
      <w:r w:rsidRPr="008955F5">
        <w:rPr>
          <w:i/>
          <w:lang w:val="en-GB"/>
        </w:rPr>
        <w:t xml:space="preserve">Add </w:t>
      </w:r>
      <w:r w:rsidR="00C62D4B">
        <w:rPr>
          <w:i/>
          <w:lang w:val="en-GB"/>
        </w:rPr>
        <w:t xml:space="preserve">a </w:t>
      </w:r>
      <w:r w:rsidRPr="008955F5">
        <w:rPr>
          <w:i/>
          <w:lang w:val="en-GB"/>
        </w:rPr>
        <w:t xml:space="preserve">new </w:t>
      </w:r>
      <w:r w:rsidR="00E21653">
        <w:rPr>
          <w:i/>
          <w:lang w:val="en-GB"/>
        </w:rPr>
        <w:t>p</w:t>
      </w:r>
      <w:r w:rsidRPr="008955F5">
        <w:rPr>
          <w:i/>
          <w:lang w:val="en-GB"/>
        </w:rPr>
        <w:t>aragraph 8.3.3.,</w:t>
      </w:r>
      <w:r w:rsidRPr="008955F5">
        <w:rPr>
          <w:iCs/>
          <w:lang w:val="en-GB"/>
        </w:rPr>
        <w:t xml:space="preserve"> to read:</w:t>
      </w:r>
    </w:p>
    <w:p w14:paraId="4B8E6383" w14:textId="27F15CB5" w:rsidR="000412E9" w:rsidRPr="008955F5" w:rsidRDefault="000412E9" w:rsidP="00FE1A1B">
      <w:pPr>
        <w:pStyle w:val="ListParagraph"/>
        <w:spacing w:after="120"/>
        <w:ind w:left="2268" w:right="1134" w:hanging="1134"/>
        <w:jc w:val="both"/>
        <w:rPr>
          <w:rFonts w:asciiTheme="majorBidi" w:hAnsiTheme="majorBidi" w:cstheme="majorBidi"/>
        </w:rPr>
      </w:pPr>
      <w:r w:rsidRPr="008955F5">
        <w:rPr>
          <w:iCs/>
        </w:rPr>
        <w:t>"</w:t>
      </w:r>
      <w:r w:rsidRPr="008955F5">
        <w:rPr>
          <w:b/>
          <w:bCs/>
          <w:lang w:eastAsia="de-DE"/>
        </w:rPr>
        <w:t>8.3.3.</w:t>
      </w:r>
      <w:r w:rsidRPr="008955F5">
        <w:rPr>
          <w:b/>
          <w:bCs/>
          <w:lang w:eastAsia="de-DE"/>
        </w:rPr>
        <w:tab/>
        <w:t>In the case of verification tests with regard to approvals in accordance with paragraph 6.1. of this Regulation, these may be carried out, upon request of the tyre manufacturer, using the same temperature correction formula (see Annex 3 to this Regulation) as that adopted for the original approval.</w:t>
      </w:r>
      <w:r w:rsidRPr="008955F5">
        <w:rPr>
          <w:lang w:eastAsia="de-DE"/>
        </w:rPr>
        <w:t>"</w:t>
      </w:r>
    </w:p>
    <w:p w14:paraId="023216D9" w14:textId="4CC2FF8E" w:rsidR="000412E9" w:rsidRPr="007961B4" w:rsidRDefault="00E21653" w:rsidP="000412E9">
      <w:pPr>
        <w:spacing w:after="120"/>
        <w:ind w:left="1134" w:right="1134"/>
        <w:jc w:val="both"/>
        <w:rPr>
          <w:iCs/>
          <w:lang w:val="en-GB"/>
        </w:rPr>
      </w:pPr>
      <w:r>
        <w:rPr>
          <w:i/>
          <w:lang w:val="en-GB"/>
        </w:rPr>
        <w:t>S</w:t>
      </w:r>
      <w:r w:rsidR="00366F10" w:rsidRPr="008955F5">
        <w:rPr>
          <w:i/>
          <w:lang w:val="en-GB"/>
        </w:rPr>
        <w:t>econd occurrence of paragraph 12.13.</w:t>
      </w:r>
      <w:r w:rsidR="007961B4">
        <w:rPr>
          <w:i/>
          <w:lang w:val="en-GB"/>
        </w:rPr>
        <w:t xml:space="preserve">, </w:t>
      </w:r>
      <w:r w:rsidR="007961B4" w:rsidRPr="007961B4">
        <w:rPr>
          <w:iCs/>
          <w:lang w:val="en-GB"/>
        </w:rPr>
        <w:t xml:space="preserve">renumber </w:t>
      </w:r>
      <w:r w:rsidR="00366F10" w:rsidRPr="007961B4">
        <w:rPr>
          <w:iCs/>
          <w:lang w:val="en-GB"/>
        </w:rPr>
        <w:t>to 12.14.</w:t>
      </w:r>
    </w:p>
    <w:p w14:paraId="11A86F2F" w14:textId="018EBF51" w:rsidR="00366F10" w:rsidRPr="008955F5" w:rsidRDefault="00366F10" w:rsidP="000412E9">
      <w:pPr>
        <w:spacing w:after="120"/>
        <w:ind w:left="1134" w:right="1134"/>
        <w:jc w:val="both"/>
        <w:rPr>
          <w:iCs/>
          <w:lang w:val="en-GB"/>
        </w:rPr>
      </w:pPr>
      <w:r w:rsidRPr="008955F5">
        <w:rPr>
          <w:i/>
          <w:lang w:val="en-GB"/>
        </w:rPr>
        <w:t xml:space="preserve">Add new </w:t>
      </w:r>
      <w:r w:rsidR="007961B4">
        <w:rPr>
          <w:i/>
          <w:lang w:val="en-GB"/>
        </w:rPr>
        <w:t>p</w:t>
      </w:r>
      <w:r w:rsidRPr="008955F5">
        <w:rPr>
          <w:i/>
          <w:lang w:val="en-GB"/>
        </w:rPr>
        <w:t>aragraphs 12.</w:t>
      </w:r>
      <w:r w:rsidR="00F9327E" w:rsidRPr="008955F5">
        <w:rPr>
          <w:i/>
          <w:lang w:val="en-GB"/>
        </w:rPr>
        <w:t>1</w:t>
      </w:r>
      <w:r w:rsidRPr="008955F5">
        <w:rPr>
          <w:i/>
          <w:lang w:val="en-GB"/>
        </w:rPr>
        <w:t>5. to 12.17</w:t>
      </w:r>
      <w:r w:rsidR="0088395A">
        <w:rPr>
          <w:i/>
          <w:lang w:val="en-GB"/>
        </w:rPr>
        <w:t>.</w:t>
      </w:r>
      <w:r w:rsidRPr="008955F5">
        <w:rPr>
          <w:i/>
          <w:lang w:val="en-GB"/>
        </w:rPr>
        <w:t xml:space="preserve">, </w:t>
      </w:r>
      <w:r w:rsidRPr="008955F5">
        <w:rPr>
          <w:iCs/>
          <w:lang w:val="en-GB"/>
        </w:rPr>
        <w:t>to read:</w:t>
      </w:r>
    </w:p>
    <w:p w14:paraId="3BCFE40E" w14:textId="77777777" w:rsidR="00366F10" w:rsidRPr="008955F5" w:rsidRDefault="00366F10" w:rsidP="00FE1A1B">
      <w:pPr>
        <w:spacing w:after="120"/>
        <w:ind w:left="2268" w:right="1134" w:hanging="1134"/>
        <w:jc w:val="both"/>
        <w:rPr>
          <w:b/>
          <w:bCs/>
          <w:lang w:val="en-GB" w:eastAsia="de-DE"/>
        </w:rPr>
      </w:pPr>
      <w:r w:rsidRPr="008955F5">
        <w:rPr>
          <w:iCs/>
          <w:lang w:val="en-GB"/>
        </w:rPr>
        <w:t>"</w:t>
      </w:r>
      <w:r w:rsidRPr="008955F5">
        <w:rPr>
          <w:b/>
          <w:bCs/>
          <w:lang w:val="en-GB" w:eastAsia="de-DE"/>
        </w:rPr>
        <w:t>12.15.</w:t>
      </w:r>
      <w:r w:rsidRPr="008955F5">
        <w:rPr>
          <w:b/>
          <w:bCs/>
          <w:lang w:val="en-GB" w:eastAsia="de-DE"/>
        </w:rPr>
        <w:tab/>
        <w:t>Until 6 July 2025, Contracting Parties applying this Regulation shall continue to grant type approvals based on the tyre-rolling sound emissions using only the temperature correction formula specified in Annex 3, paragraph 4.2.1.</w:t>
      </w:r>
    </w:p>
    <w:p w14:paraId="316CB398" w14:textId="77777777" w:rsidR="00366F10" w:rsidRPr="008955F5" w:rsidRDefault="00366F10" w:rsidP="00FE1A1B">
      <w:pPr>
        <w:spacing w:after="120"/>
        <w:ind w:left="2268" w:right="1134" w:hanging="1134"/>
        <w:jc w:val="both"/>
        <w:rPr>
          <w:b/>
          <w:bCs/>
          <w:lang w:val="en-GB" w:eastAsia="de-DE"/>
        </w:rPr>
      </w:pPr>
      <w:r w:rsidRPr="008955F5">
        <w:rPr>
          <w:b/>
          <w:bCs/>
          <w:lang w:val="en-GB" w:eastAsia="de-DE"/>
        </w:rPr>
        <w:t>12.16.</w:t>
      </w:r>
      <w:r w:rsidRPr="008955F5">
        <w:rPr>
          <w:b/>
          <w:bCs/>
          <w:lang w:val="en-GB" w:eastAsia="de-DE"/>
        </w:rPr>
        <w:tab/>
        <w:t>As from 7 July 2025, Contracting Parties applying this Regulation shall grant type approvals based on the tyre-rolling sound emissions using only  the temperature correction formula specified in Annex 3, paragraph 4.2.2.</w:t>
      </w:r>
    </w:p>
    <w:p w14:paraId="42E9FCFD" w14:textId="3232A523" w:rsidR="00366F10" w:rsidRPr="008955F5" w:rsidRDefault="00366F10" w:rsidP="00FE1A1B">
      <w:pPr>
        <w:spacing w:after="120"/>
        <w:ind w:left="2268" w:right="1134" w:hanging="1134"/>
        <w:jc w:val="both"/>
        <w:rPr>
          <w:iCs/>
          <w:lang w:val="en-GB"/>
        </w:rPr>
      </w:pPr>
      <w:r w:rsidRPr="008955F5">
        <w:rPr>
          <w:b/>
          <w:bCs/>
          <w:lang w:val="en-GB" w:eastAsia="de-DE"/>
        </w:rPr>
        <w:t>12.17.</w:t>
      </w:r>
      <w:r w:rsidRPr="008955F5">
        <w:rPr>
          <w:b/>
          <w:bCs/>
          <w:lang w:val="en-GB" w:eastAsia="de-DE"/>
        </w:rPr>
        <w:tab/>
        <w:t>Contracting Parties applying this Regulation shall continue to grant extensions to existing type approvals first granted before 7 July 2025 based on the tyre-rolling sound emissions using the temperature correction formula specified in Annex 3, paragraph 4.2.1. In case a new test has to be performed on a different representative tyre size for an extension to be granted after 6 July 2025, the temperature correction formula specified in Annex 3, paragraph 4.2.2. shall be used.</w:t>
      </w:r>
      <w:r w:rsidRPr="008955F5">
        <w:rPr>
          <w:iCs/>
          <w:lang w:val="en-GB"/>
        </w:rPr>
        <w:t>"</w:t>
      </w:r>
    </w:p>
    <w:p w14:paraId="0F7AA618" w14:textId="77777777" w:rsidR="00366F10" w:rsidRPr="008955F5" w:rsidRDefault="00366F10" w:rsidP="00366F10">
      <w:pPr>
        <w:pStyle w:val="SingleTxtG"/>
        <w:ind w:left="2410" w:hanging="1276"/>
        <w:rPr>
          <w:bCs/>
          <w:lang w:val="en-GB"/>
        </w:rPr>
      </w:pPr>
      <w:r w:rsidRPr="008955F5">
        <w:rPr>
          <w:bCs/>
          <w:i/>
          <w:iCs/>
          <w:lang w:val="en-GB"/>
        </w:rPr>
        <w:t>Annex 1, item 8.1.,</w:t>
      </w:r>
      <w:r w:rsidRPr="008955F5">
        <w:rPr>
          <w:bCs/>
          <w:lang w:val="en-GB"/>
        </w:rPr>
        <w:t xml:space="preserve"> amend to read:</w:t>
      </w:r>
    </w:p>
    <w:p w14:paraId="6F42A582" w14:textId="77777777" w:rsidR="00366F10" w:rsidRPr="008955F5" w:rsidRDefault="00366F10" w:rsidP="00366F10">
      <w:pPr>
        <w:pStyle w:val="SingleTxtG"/>
        <w:tabs>
          <w:tab w:val="left" w:pos="1700"/>
        </w:tabs>
        <w:ind w:left="1700" w:hanging="566"/>
        <w:rPr>
          <w:lang w:val="en-GB"/>
        </w:rPr>
      </w:pPr>
      <w:r w:rsidRPr="008955F5">
        <w:rPr>
          <w:bCs/>
          <w:lang w:val="en-GB"/>
        </w:rPr>
        <w:t>"</w:t>
      </w:r>
      <w:r w:rsidRPr="008955F5">
        <w:rPr>
          <w:lang w:val="en-GB"/>
        </w:rPr>
        <w:t>8.1.</w:t>
      </w:r>
      <w:r w:rsidRPr="008955F5">
        <w:rPr>
          <w:lang w:val="en-GB"/>
        </w:rPr>
        <w:tab/>
        <w:t xml:space="preserve">Sound level </w:t>
      </w:r>
      <w:r w:rsidRPr="008955F5">
        <w:rPr>
          <w:bCs/>
          <w:lang w:val="en-GB"/>
        </w:rPr>
        <w:t>of</w:t>
      </w:r>
      <w:r w:rsidRPr="008955F5">
        <w:rPr>
          <w:lang w:val="en-GB"/>
        </w:rPr>
        <w:t xml:space="preserve"> the representative tyre size, see paragraph 2.7. of this Regulation, as per item 7. of the test report in Appendix 1 to Annex 3: ................ dB(A) at reference speed of </w:t>
      </w:r>
      <w:r w:rsidRPr="008955F5">
        <w:rPr>
          <w:strike/>
          <w:lang w:val="en-GB"/>
        </w:rPr>
        <w:t>70/80</w:t>
      </w:r>
      <w:r w:rsidRPr="008955F5">
        <w:rPr>
          <w:b/>
          <w:bCs/>
          <w:lang w:val="en-GB"/>
        </w:rPr>
        <w:t>70 km/h or 80</w:t>
      </w:r>
      <w:r w:rsidRPr="008955F5">
        <w:rPr>
          <w:lang w:val="en-GB"/>
        </w:rPr>
        <w:t xml:space="preserve"> km/h </w:t>
      </w:r>
      <w:r w:rsidRPr="008955F5">
        <w:rPr>
          <w:iCs/>
          <w:vertAlign w:val="superscript"/>
          <w:lang w:val="en-GB"/>
        </w:rPr>
        <w:t>2</w:t>
      </w:r>
      <w:r w:rsidRPr="008955F5">
        <w:rPr>
          <w:iCs/>
          <w:lang w:val="en-GB"/>
        </w:rPr>
        <w:t>"</w:t>
      </w:r>
    </w:p>
    <w:p w14:paraId="31406BF7" w14:textId="55EAD01F" w:rsidR="00366F10" w:rsidRPr="008955F5" w:rsidRDefault="004606B9" w:rsidP="000412E9">
      <w:pPr>
        <w:spacing w:after="120"/>
        <w:ind w:left="1134" w:right="1134"/>
        <w:jc w:val="both"/>
        <w:rPr>
          <w:iCs/>
          <w:lang w:val="en-GB"/>
        </w:rPr>
      </w:pPr>
      <w:r w:rsidRPr="008955F5">
        <w:rPr>
          <w:i/>
          <w:lang w:val="en-GB"/>
        </w:rPr>
        <w:t xml:space="preserve">Annex 3, </w:t>
      </w:r>
      <w:r w:rsidR="0001397C">
        <w:rPr>
          <w:i/>
          <w:lang w:val="en-GB"/>
        </w:rPr>
        <w:t>p</w:t>
      </w:r>
      <w:r w:rsidRPr="008955F5">
        <w:rPr>
          <w:i/>
          <w:lang w:val="en-GB"/>
        </w:rPr>
        <w:t xml:space="preserve">aragraph 2.1., </w:t>
      </w:r>
      <w:r w:rsidRPr="008955F5">
        <w:rPr>
          <w:iCs/>
          <w:lang w:val="en-GB"/>
        </w:rPr>
        <w:t xml:space="preserve"> amend to read:</w:t>
      </w:r>
    </w:p>
    <w:p w14:paraId="07E5251A" w14:textId="77777777" w:rsidR="004606B9" w:rsidRPr="008955F5" w:rsidRDefault="004606B9" w:rsidP="004606B9">
      <w:pPr>
        <w:pStyle w:val="SingleTxtG"/>
        <w:ind w:left="2268" w:hanging="1134"/>
        <w:rPr>
          <w:bCs/>
          <w:lang w:val="en-GB"/>
        </w:rPr>
      </w:pPr>
      <w:r w:rsidRPr="008955F5">
        <w:rPr>
          <w:iCs/>
          <w:lang w:val="en-GB"/>
        </w:rPr>
        <w:t>"</w:t>
      </w:r>
      <w:r w:rsidRPr="008955F5">
        <w:rPr>
          <w:bCs/>
          <w:lang w:val="en-GB"/>
        </w:rPr>
        <w:t>2.1.</w:t>
      </w:r>
      <w:r w:rsidRPr="008955F5">
        <w:rPr>
          <w:bCs/>
          <w:lang w:val="en-GB"/>
        </w:rPr>
        <w:tab/>
        <w:t>Test site</w:t>
      </w:r>
    </w:p>
    <w:p w14:paraId="7CCD08CB" w14:textId="77777777" w:rsidR="004606B9" w:rsidRPr="008955F5" w:rsidRDefault="004606B9" w:rsidP="004606B9">
      <w:pPr>
        <w:pStyle w:val="SingleTxtG"/>
        <w:ind w:left="2268" w:hanging="1134"/>
        <w:rPr>
          <w:bCs/>
          <w:lang w:val="en-GB"/>
        </w:rPr>
      </w:pPr>
      <w:r w:rsidRPr="008955F5">
        <w:rPr>
          <w:bCs/>
          <w:lang w:val="en-GB"/>
        </w:rPr>
        <w:tab/>
        <w:t>The test site shall consist of a central section surrounded by a substantially flat test area. The measuring section shall be level; the test surface shall be dry and clean for all measurements. The test surface shall not be artificially cooled during or prior the testing.</w:t>
      </w:r>
    </w:p>
    <w:p w14:paraId="60D75658" w14:textId="77777777" w:rsidR="004606B9" w:rsidRPr="008955F5" w:rsidRDefault="004606B9" w:rsidP="004606B9">
      <w:pPr>
        <w:spacing w:after="120"/>
        <w:ind w:left="2268" w:right="1134"/>
        <w:jc w:val="both"/>
        <w:rPr>
          <w:bCs/>
          <w:lang w:val="en-GB"/>
        </w:rPr>
      </w:pPr>
      <w:r w:rsidRPr="008955F5">
        <w:rPr>
          <w:bCs/>
          <w:lang w:val="en-GB"/>
        </w:rPr>
        <w:tab/>
        <w:t xml:space="preserve">The test track shall be such that the conditions of a free sound field between the sound source and the microphone are attained to within 1 dB(A). These conditions shall be deemed to be met if there is no large sound reflecting </w:t>
      </w:r>
      <w:r w:rsidRPr="008955F5">
        <w:rPr>
          <w:bCs/>
          <w:lang w:val="en-GB"/>
        </w:rPr>
        <w:lastRenderedPageBreak/>
        <w:t>objects, such as fences, rocks, bridges or building within 50 m of the centre of the measuring section. The surface of the test track and the dimensions of the test site shall be in accordance with ISO 10844:2021.</w:t>
      </w:r>
      <w:r w:rsidRPr="008955F5">
        <w:rPr>
          <w:bCs/>
          <w:strike/>
          <w:lang w:val="en-GB"/>
        </w:rPr>
        <w:t xml:space="preserve"> Until the </w:t>
      </w:r>
      <w:r w:rsidRPr="008955F5">
        <w:rPr>
          <w:strike/>
          <w:lang w:val="en-GB"/>
        </w:rPr>
        <w:t>end of the period indicated in paragraph 12.8. of this Regulation the specifications for the test site may be in accordance with Annex 4 to this Regulation.</w:t>
      </w:r>
    </w:p>
    <w:p w14:paraId="56330C63" w14:textId="7EF48544" w:rsidR="00345E00" w:rsidRPr="008955F5" w:rsidRDefault="004606B9" w:rsidP="0001397C">
      <w:pPr>
        <w:pStyle w:val="SingleTxtG"/>
        <w:ind w:left="2268"/>
        <w:rPr>
          <w:iCs/>
          <w:lang w:val="en-GB"/>
        </w:rPr>
      </w:pPr>
      <w:r w:rsidRPr="008955F5">
        <w:rPr>
          <w:bCs/>
          <w:spacing w:val="-2"/>
          <w:lang w:val="en-GB"/>
        </w:rPr>
        <w:t>A central part of at least 10 m radius shall be free of powdery snow, tall grass, loose soil, cinders or the like. There shall be no obstacle, which could affect the sound field within the vicinity of the microphone and no persons shall stand between the microphone and the sound source. The operator carrying out the measurements and any observers attending the measurements shall position themselves so as not to affect the readings of the measuring instruments.</w:t>
      </w:r>
      <w:r w:rsidRPr="008955F5">
        <w:rPr>
          <w:iCs/>
          <w:lang w:val="en-GB"/>
        </w:rPr>
        <w:t>"</w:t>
      </w:r>
    </w:p>
    <w:p w14:paraId="62780BC1" w14:textId="16DFB8D3" w:rsidR="00345E00" w:rsidRPr="008955F5" w:rsidRDefault="00345E00" w:rsidP="00345E00">
      <w:pPr>
        <w:pStyle w:val="SingleTxtG"/>
        <w:rPr>
          <w:iCs/>
          <w:lang w:val="en-GB"/>
        </w:rPr>
      </w:pPr>
      <w:r w:rsidRPr="008955F5">
        <w:rPr>
          <w:i/>
          <w:lang w:val="en-GB"/>
        </w:rPr>
        <w:t xml:space="preserve">Annex 3, </w:t>
      </w:r>
      <w:r w:rsidR="002E1088">
        <w:rPr>
          <w:i/>
          <w:lang w:val="en-GB"/>
        </w:rPr>
        <w:t>p</w:t>
      </w:r>
      <w:r w:rsidRPr="008955F5">
        <w:rPr>
          <w:i/>
          <w:lang w:val="en-GB"/>
        </w:rPr>
        <w:t xml:space="preserve">aragraph 4.2., </w:t>
      </w:r>
      <w:r w:rsidRPr="008955F5">
        <w:rPr>
          <w:iCs/>
          <w:lang w:val="en-GB"/>
        </w:rPr>
        <w:t>amend to read:</w:t>
      </w:r>
    </w:p>
    <w:p w14:paraId="729AE445" w14:textId="77777777" w:rsidR="00345E00" w:rsidRPr="008955F5" w:rsidRDefault="00345E00" w:rsidP="00345E00">
      <w:pPr>
        <w:pStyle w:val="SingleTxtG"/>
        <w:ind w:left="2268" w:hanging="1134"/>
        <w:rPr>
          <w:bCs/>
          <w:lang w:val="en-GB"/>
        </w:rPr>
      </w:pPr>
      <w:r w:rsidRPr="008955F5">
        <w:rPr>
          <w:iCs/>
          <w:lang w:val="en-GB"/>
        </w:rPr>
        <w:t>"</w:t>
      </w:r>
      <w:r w:rsidRPr="008955F5">
        <w:rPr>
          <w:bCs/>
          <w:lang w:val="en-GB"/>
        </w:rPr>
        <w:t>4.2.</w:t>
      </w:r>
      <w:r w:rsidRPr="008955F5">
        <w:rPr>
          <w:bCs/>
          <w:lang w:val="en-GB"/>
        </w:rPr>
        <w:tab/>
        <w:t>Temperature correction</w:t>
      </w:r>
    </w:p>
    <w:p w14:paraId="3B342B0B" w14:textId="77777777" w:rsidR="00345E00" w:rsidRPr="008955F5" w:rsidRDefault="00345E00" w:rsidP="00345E00">
      <w:pPr>
        <w:pStyle w:val="SingleTxtG"/>
        <w:ind w:left="2268" w:hanging="1134"/>
        <w:rPr>
          <w:bCs/>
          <w:lang w:val="en-GB"/>
        </w:rPr>
      </w:pPr>
      <w:r w:rsidRPr="008955F5">
        <w:rPr>
          <w:b/>
          <w:lang w:val="en-GB"/>
        </w:rPr>
        <w:t>4.2.1.</w:t>
      </w:r>
      <w:r w:rsidRPr="008955F5">
        <w:rPr>
          <w:b/>
          <w:lang w:val="en-GB"/>
        </w:rPr>
        <w:tab/>
        <w:t>Until the date indicated in paragraph 12.15. of this Regulation, for</w:t>
      </w:r>
      <w:r w:rsidRPr="008955F5">
        <w:rPr>
          <w:bCs/>
          <w:strike/>
          <w:lang w:val="en-GB"/>
        </w:rPr>
        <w:t xml:space="preserve"> </w:t>
      </w:r>
      <w:proofErr w:type="spellStart"/>
      <w:r w:rsidRPr="008955F5">
        <w:rPr>
          <w:bCs/>
          <w:strike/>
          <w:lang w:val="en-GB"/>
        </w:rPr>
        <w:t>For</w:t>
      </w:r>
      <w:proofErr w:type="spellEnd"/>
      <w:r w:rsidRPr="008955F5">
        <w:rPr>
          <w:bCs/>
          <w:strike/>
          <w:lang w:val="en-GB"/>
        </w:rPr>
        <w:t xml:space="preserve"> </w:t>
      </w:r>
      <w:r w:rsidRPr="008955F5">
        <w:rPr>
          <w:bCs/>
          <w:lang w:val="en-GB"/>
        </w:rPr>
        <w:t xml:space="preserve">class C1 and class C2 tyres, the </w:t>
      </w:r>
      <w:r w:rsidRPr="008955F5">
        <w:rPr>
          <w:rFonts w:eastAsia="Calibri" w:cs="Arial"/>
          <w:bCs/>
          <w:lang w:val="en-GB"/>
        </w:rPr>
        <w:t xml:space="preserve">rolling sound levels </w:t>
      </w:r>
      <w:r w:rsidRPr="008955F5">
        <w:rPr>
          <w:rFonts w:eastAsia="Calibri" w:cs="Arial"/>
          <w:bCs/>
          <w:i/>
          <w:lang w:val="en-GB"/>
        </w:rPr>
        <w:t>L</w:t>
      </w:r>
      <w:r w:rsidRPr="008955F5">
        <w:rPr>
          <w:rFonts w:eastAsia="Calibri" w:cs="Arial"/>
          <w:bCs/>
          <w:i/>
          <w:vertAlign w:val="subscript"/>
          <w:lang w:val="en-GB"/>
        </w:rPr>
        <w:t>i</w:t>
      </w:r>
      <w:r w:rsidRPr="008955F5">
        <w:rPr>
          <w:rFonts w:eastAsia="Calibri" w:cs="Arial"/>
          <w:bCs/>
          <w:i/>
          <w:lang w:val="en-GB"/>
        </w:rPr>
        <w:t>(</w:t>
      </w:r>
      <w:proofErr w:type="spellStart"/>
      <w:r w:rsidRPr="008955F5">
        <w:rPr>
          <w:rFonts w:eastAsia="Calibri"/>
          <w:bCs/>
          <w:i/>
          <w:iCs/>
          <w:lang w:val="en-GB"/>
        </w:rPr>
        <w:t>ϑ</w:t>
      </w:r>
      <w:r w:rsidRPr="008955F5">
        <w:rPr>
          <w:rFonts w:eastAsia="Calibri" w:cs="Arial"/>
          <w:bCs/>
          <w:i/>
          <w:vertAlign w:val="subscript"/>
          <w:lang w:val="en-GB"/>
        </w:rPr>
        <w:t>i</w:t>
      </w:r>
      <w:proofErr w:type="spellEnd"/>
      <w:r w:rsidRPr="008955F5">
        <w:rPr>
          <w:rFonts w:eastAsia="Calibri" w:cs="Arial"/>
          <w:bCs/>
          <w:i/>
          <w:lang w:val="en-GB"/>
        </w:rPr>
        <w:t>)</w:t>
      </w:r>
      <w:r w:rsidRPr="008955F5">
        <w:rPr>
          <w:rFonts w:eastAsia="Calibri" w:cs="Arial"/>
          <w:bCs/>
          <w:lang w:val="en-GB"/>
        </w:rPr>
        <w:t xml:space="preserve"> obtained at the test surface temperature </w:t>
      </w:r>
      <w:proofErr w:type="spellStart"/>
      <w:r w:rsidRPr="008955F5">
        <w:rPr>
          <w:rFonts w:eastAsia="Calibri"/>
          <w:bCs/>
          <w:i/>
          <w:iCs/>
          <w:lang w:val="en-GB"/>
        </w:rPr>
        <w:t>ϑ</w:t>
      </w:r>
      <w:r w:rsidRPr="008955F5">
        <w:rPr>
          <w:rFonts w:eastAsia="Calibri" w:cs="Arial"/>
          <w:bCs/>
          <w:i/>
          <w:vertAlign w:val="subscript"/>
          <w:lang w:val="en-GB"/>
        </w:rPr>
        <w:t>i</w:t>
      </w:r>
      <w:proofErr w:type="spellEnd"/>
      <w:r w:rsidRPr="008955F5">
        <w:rPr>
          <w:rFonts w:eastAsia="Calibri" w:cs="Arial"/>
          <w:bCs/>
          <w:lang w:val="en-GB"/>
        </w:rPr>
        <w:t xml:space="preserve"> (where </w:t>
      </w:r>
      <w:proofErr w:type="spellStart"/>
      <w:r w:rsidRPr="008955F5">
        <w:rPr>
          <w:rFonts w:eastAsia="Calibri" w:cs="Arial"/>
          <w:bCs/>
          <w:i/>
          <w:lang w:val="en-GB"/>
        </w:rPr>
        <w:t>i</w:t>
      </w:r>
      <w:proofErr w:type="spellEnd"/>
      <w:r w:rsidRPr="008955F5">
        <w:rPr>
          <w:rFonts w:eastAsia="Calibri" w:cs="Arial"/>
          <w:bCs/>
          <w:lang w:val="en-GB"/>
        </w:rPr>
        <w:t xml:space="preserve"> denotes the number of the single measurement) </w:t>
      </w:r>
      <w:r w:rsidRPr="008955F5">
        <w:rPr>
          <w:bCs/>
          <w:lang w:val="en-GB"/>
        </w:rPr>
        <w:t xml:space="preserve">shall be normalized to a test surface reference temperature </w:t>
      </w:r>
      <w:proofErr w:type="spellStart"/>
      <w:r w:rsidRPr="008955F5">
        <w:rPr>
          <w:rFonts w:eastAsia="Calibri"/>
          <w:bCs/>
          <w:i/>
          <w:iCs/>
          <w:lang w:val="en-GB"/>
        </w:rPr>
        <w:t>ϑ</w:t>
      </w:r>
      <w:r w:rsidRPr="008955F5">
        <w:rPr>
          <w:bCs/>
          <w:vertAlign w:val="subscript"/>
          <w:lang w:val="en-GB"/>
        </w:rPr>
        <w:t>ref</w:t>
      </w:r>
      <w:proofErr w:type="spellEnd"/>
      <w:r w:rsidRPr="008955F5">
        <w:rPr>
          <w:bCs/>
          <w:lang w:val="en-GB"/>
        </w:rPr>
        <w:t xml:space="preserve"> by applying a temperature correction, according to the following formula:</w:t>
      </w:r>
    </w:p>
    <w:p w14:paraId="5B642820" w14:textId="77777777" w:rsidR="00345E00" w:rsidRPr="008955F5" w:rsidRDefault="000875CB" w:rsidP="00345E00">
      <w:pPr>
        <w:pStyle w:val="SingleTxtG"/>
        <w:ind w:left="2268"/>
        <w:jc w:val="center"/>
        <w:rPr>
          <w:bCs/>
          <w:lang w:val="en-GB"/>
        </w:rPr>
      </w:pPr>
      <m:oMathPara>
        <m:oMath>
          <m:sSub>
            <m:sSubPr>
              <m:ctrlPr>
                <w:rPr>
                  <w:rFonts w:ascii="Cambria Math" w:eastAsia="Calibri" w:hAnsi="Cambria Math" w:cs="Arial"/>
                  <w:bCs/>
                  <w:i/>
                  <w:lang w:val="en-GB"/>
                </w:rPr>
              </m:ctrlPr>
            </m:sSubPr>
            <m:e>
              <m:r>
                <w:rPr>
                  <w:rFonts w:ascii="Cambria Math" w:eastAsia="Calibri" w:hAnsi="Cambria Math" w:cs="Arial"/>
                  <w:lang w:val="en-GB"/>
                </w:rPr>
                <m:t>L</m:t>
              </m:r>
            </m:e>
            <m:sub>
              <m:r>
                <w:rPr>
                  <w:rFonts w:ascii="Cambria Math" w:eastAsia="Calibri" w:hAnsi="Cambria Math" w:cs="Arial"/>
                  <w:lang w:val="en-GB"/>
                </w:rPr>
                <m:t>i</m:t>
              </m:r>
            </m:sub>
          </m:sSub>
          <m:d>
            <m:dPr>
              <m:ctrlPr>
                <w:rPr>
                  <w:rFonts w:ascii="Cambria Math" w:eastAsia="Calibri" w:hAnsi="Cambria Math" w:cs="Arial"/>
                  <w:bCs/>
                  <w:i/>
                  <w:lang w:val="en-GB"/>
                </w:rPr>
              </m:ctrlPr>
            </m:dPr>
            <m:e>
              <m:sSub>
                <m:sSubPr>
                  <m:ctrlPr>
                    <w:rPr>
                      <w:rFonts w:ascii="Cambria Math" w:eastAsia="Calibri" w:hAnsi="Cambria Math" w:cs="Arial"/>
                      <w:bCs/>
                      <w:i/>
                      <w:lang w:val="en-GB"/>
                    </w:rPr>
                  </m:ctrlPr>
                </m:sSubPr>
                <m:e>
                  <m:r>
                    <w:rPr>
                      <w:rFonts w:ascii="Cambria Math" w:eastAsia="Calibri" w:hAnsi="Cambria Math" w:cs="Arial"/>
                      <w:lang w:val="en-GB"/>
                    </w:rPr>
                    <m:t>ϑ</m:t>
                  </m:r>
                </m:e>
                <m:sub>
                  <m:r>
                    <m:rPr>
                      <m:nor/>
                    </m:rPr>
                    <w:rPr>
                      <w:rFonts w:ascii="Cambria Math" w:eastAsia="Calibri" w:hAnsi="Cambria Math" w:cs="Arial"/>
                      <w:bCs/>
                      <w:lang w:val="en-GB"/>
                    </w:rPr>
                    <m:t>ref</m:t>
                  </m:r>
                </m:sub>
              </m:sSub>
            </m:e>
          </m:d>
          <m:r>
            <w:rPr>
              <w:rFonts w:ascii="Cambria Math" w:eastAsia="Calibri" w:hAnsi="Cambria Math" w:cs="Arial"/>
              <w:lang w:val="en-GB"/>
            </w:rPr>
            <m:t>=</m:t>
          </m:r>
          <m:sSub>
            <m:sSubPr>
              <m:ctrlPr>
                <w:rPr>
                  <w:rFonts w:ascii="Cambria Math" w:eastAsia="Calibri" w:hAnsi="Cambria Math" w:cs="Arial"/>
                  <w:bCs/>
                  <w:i/>
                  <w:lang w:val="en-GB"/>
                </w:rPr>
              </m:ctrlPr>
            </m:sSubPr>
            <m:e>
              <m:r>
                <w:rPr>
                  <w:rFonts w:ascii="Cambria Math" w:eastAsia="Calibri" w:hAnsi="Cambria Math" w:cs="Arial"/>
                  <w:lang w:val="en-GB"/>
                </w:rPr>
                <m:t>L</m:t>
              </m:r>
            </m:e>
            <m:sub>
              <m:r>
                <w:rPr>
                  <w:rFonts w:ascii="Cambria Math" w:eastAsia="Calibri" w:hAnsi="Cambria Math" w:cs="Arial"/>
                  <w:lang w:val="en-GB"/>
                </w:rPr>
                <m:t>i</m:t>
              </m:r>
            </m:sub>
          </m:sSub>
          <m:d>
            <m:dPr>
              <m:ctrlPr>
                <w:rPr>
                  <w:rFonts w:ascii="Cambria Math" w:eastAsia="Calibri" w:hAnsi="Cambria Math" w:cs="Arial"/>
                  <w:bCs/>
                  <w:i/>
                  <w:lang w:val="en-GB"/>
                </w:rPr>
              </m:ctrlPr>
            </m:dPr>
            <m:e>
              <m:sSub>
                <m:sSubPr>
                  <m:ctrlPr>
                    <w:rPr>
                      <w:rFonts w:ascii="Cambria Math" w:eastAsia="Calibri" w:hAnsi="Cambria Math" w:cs="Arial"/>
                      <w:bCs/>
                      <w:i/>
                      <w:lang w:val="en-GB"/>
                    </w:rPr>
                  </m:ctrlPr>
                </m:sSubPr>
                <m:e>
                  <m:r>
                    <w:rPr>
                      <w:rFonts w:ascii="Cambria Math" w:eastAsia="Calibri" w:hAnsi="Cambria Math" w:cs="Arial"/>
                      <w:lang w:val="en-GB"/>
                    </w:rPr>
                    <m:t>ϑ</m:t>
                  </m:r>
                </m:e>
                <m:sub>
                  <m:r>
                    <w:rPr>
                      <w:rFonts w:ascii="Cambria Math" w:eastAsia="Calibri" w:hAnsi="Cambria Math" w:cs="Arial"/>
                      <w:lang w:val="en-GB"/>
                    </w:rPr>
                    <m:t>i</m:t>
                  </m:r>
                </m:sub>
              </m:sSub>
            </m:e>
          </m:d>
          <m:r>
            <w:rPr>
              <w:rFonts w:ascii="Cambria Math" w:eastAsia="Calibri" w:hAnsi="Cambria Math" w:cs="Arial"/>
              <w:lang w:val="en-GB"/>
            </w:rPr>
            <m:t>+</m:t>
          </m:r>
          <m:r>
            <w:rPr>
              <w:rFonts w:ascii="Cambria Math" w:eastAsia="Calibri" w:hAnsi="Cambria Math" w:cs="Arial"/>
              <w:lang w:val="en-GB"/>
            </w:rPr>
            <m:t>K</m:t>
          </m:r>
          <m:d>
            <m:dPr>
              <m:ctrlPr>
                <w:rPr>
                  <w:rFonts w:ascii="Cambria Math" w:eastAsia="Calibri" w:hAnsi="Cambria Math" w:cs="Arial"/>
                  <w:bCs/>
                  <w:i/>
                  <w:lang w:val="en-GB"/>
                </w:rPr>
              </m:ctrlPr>
            </m:dPr>
            <m:e>
              <m:sSub>
                <m:sSubPr>
                  <m:ctrlPr>
                    <w:rPr>
                      <w:rFonts w:ascii="Cambria Math" w:eastAsia="Calibri" w:hAnsi="Cambria Math" w:cs="Arial"/>
                      <w:bCs/>
                      <w:i/>
                      <w:lang w:val="en-GB"/>
                    </w:rPr>
                  </m:ctrlPr>
                </m:sSubPr>
                <m:e>
                  <m:r>
                    <w:rPr>
                      <w:rFonts w:ascii="Cambria Math" w:eastAsia="Calibri" w:hAnsi="Cambria Math" w:cs="Arial"/>
                      <w:lang w:val="en-GB"/>
                    </w:rPr>
                    <m:t>ϑ</m:t>
                  </m:r>
                </m:e>
                <m:sub>
                  <m:r>
                    <m:rPr>
                      <m:nor/>
                    </m:rPr>
                    <w:rPr>
                      <w:rFonts w:ascii="Cambria Math" w:eastAsia="Calibri" w:hAnsi="Cambria Math" w:cs="Arial"/>
                      <w:bCs/>
                      <w:lang w:val="en-GB"/>
                    </w:rPr>
                    <m:t>ref</m:t>
                  </m:r>
                </m:sub>
              </m:sSub>
              <m:r>
                <w:rPr>
                  <w:rFonts w:ascii="Cambria Math" w:eastAsia="Calibri" w:hAnsi="Cambria Math" w:cs="Arial"/>
                  <w:lang w:val="en-GB"/>
                </w:rPr>
                <m:t>-</m:t>
              </m:r>
              <m:sSub>
                <m:sSubPr>
                  <m:ctrlPr>
                    <w:rPr>
                      <w:rFonts w:ascii="Cambria Math" w:eastAsia="Calibri" w:hAnsi="Cambria Math" w:cs="Arial"/>
                      <w:bCs/>
                      <w:i/>
                      <w:lang w:val="en-GB"/>
                    </w:rPr>
                  </m:ctrlPr>
                </m:sSubPr>
                <m:e>
                  <m:r>
                    <w:rPr>
                      <w:rFonts w:ascii="Cambria Math" w:eastAsia="Calibri" w:hAnsi="Cambria Math" w:cs="Arial"/>
                      <w:lang w:val="en-GB"/>
                    </w:rPr>
                    <m:t>ϑ</m:t>
                  </m:r>
                </m:e>
                <m:sub>
                  <m:r>
                    <w:rPr>
                      <w:rFonts w:ascii="Cambria Math" w:eastAsia="Calibri" w:hAnsi="Cambria Math" w:cs="Arial"/>
                      <w:lang w:val="en-GB"/>
                    </w:rPr>
                    <m:t>i</m:t>
                  </m:r>
                </m:sub>
              </m:sSub>
            </m:e>
          </m:d>
        </m:oMath>
      </m:oMathPara>
    </w:p>
    <w:p w14:paraId="2C643961" w14:textId="77777777" w:rsidR="00345E00" w:rsidRPr="008955F5" w:rsidRDefault="00345E00" w:rsidP="00345E00">
      <w:pPr>
        <w:spacing w:after="120"/>
        <w:ind w:left="2268" w:right="1134"/>
        <w:rPr>
          <w:rFonts w:eastAsia="Calibri" w:cs="Arial"/>
          <w:lang w:val="en-GB"/>
        </w:rPr>
      </w:pPr>
      <w:r w:rsidRPr="008955F5">
        <w:rPr>
          <w:rFonts w:eastAsia="Calibri" w:cs="Arial"/>
          <w:bCs/>
          <w:lang w:val="en-GB"/>
        </w:rPr>
        <w:t>where:</w:t>
      </w:r>
    </w:p>
    <w:p w14:paraId="1BFA0B58" w14:textId="77777777" w:rsidR="00345E00" w:rsidRPr="008955F5" w:rsidRDefault="00345E00" w:rsidP="00345E00">
      <w:pPr>
        <w:tabs>
          <w:tab w:val="left" w:pos="2977"/>
          <w:tab w:val="left" w:pos="3261"/>
        </w:tabs>
        <w:spacing w:after="120"/>
        <w:ind w:left="2552"/>
        <w:rPr>
          <w:bCs/>
          <w:lang w:val="en-GB"/>
        </w:rPr>
      </w:pPr>
      <w:r w:rsidRPr="008955F5">
        <w:rPr>
          <w:bCs/>
          <w:lang w:val="en-GB"/>
        </w:rPr>
        <w:tab/>
      </w:r>
      <w:proofErr w:type="spellStart"/>
      <w:r w:rsidRPr="008955F5">
        <w:rPr>
          <w:rFonts w:eastAsia="Calibri"/>
          <w:bCs/>
          <w:i/>
          <w:iCs/>
          <w:lang w:val="en-GB"/>
        </w:rPr>
        <w:t>ϑ</w:t>
      </w:r>
      <w:r w:rsidRPr="008955F5">
        <w:rPr>
          <w:rFonts w:eastAsia="Calibri" w:cs="Arial"/>
          <w:bCs/>
          <w:vertAlign w:val="subscript"/>
          <w:lang w:val="en-GB"/>
        </w:rPr>
        <w:t>ref</w:t>
      </w:r>
      <w:proofErr w:type="spellEnd"/>
      <w:r w:rsidRPr="008955F5">
        <w:rPr>
          <w:rFonts w:eastAsia="Calibri" w:cs="Arial"/>
          <w:lang w:val="en-GB"/>
        </w:rPr>
        <w:tab/>
        <w:t>=</w:t>
      </w:r>
      <w:r w:rsidRPr="008955F5">
        <w:rPr>
          <w:rFonts w:eastAsia="Calibri" w:cs="Arial"/>
          <w:lang w:val="en-GB"/>
        </w:rPr>
        <w:tab/>
      </w:r>
      <w:r w:rsidRPr="008955F5">
        <w:rPr>
          <w:rFonts w:eastAsia="Calibri" w:cs="Arial"/>
          <w:bCs/>
          <w:lang w:val="en-GB"/>
        </w:rPr>
        <w:t>20 °C,</w:t>
      </w:r>
    </w:p>
    <w:p w14:paraId="6291DEEC" w14:textId="77777777" w:rsidR="00345E00" w:rsidRPr="008955F5" w:rsidRDefault="00345E00" w:rsidP="00345E00">
      <w:pPr>
        <w:spacing w:before="120" w:after="120"/>
        <w:ind w:left="2268" w:right="1134" w:hanging="1134"/>
        <w:rPr>
          <w:rFonts w:eastAsia="Calibri" w:cs="Arial"/>
          <w:bCs/>
          <w:lang w:val="en-GB"/>
        </w:rPr>
      </w:pPr>
      <w:r w:rsidRPr="008955F5">
        <w:rPr>
          <w:bCs/>
          <w:lang w:val="en-GB"/>
        </w:rPr>
        <w:tab/>
      </w:r>
      <w:r w:rsidRPr="008955F5">
        <w:rPr>
          <w:rFonts w:eastAsia="Calibri" w:cs="Arial"/>
          <w:bCs/>
          <w:lang w:val="en-GB"/>
        </w:rPr>
        <w:t xml:space="preserve">For class C1 tyres, the coefficient </w:t>
      </w:r>
      <w:r w:rsidRPr="008955F5">
        <w:rPr>
          <w:rFonts w:eastAsia="Calibri" w:cs="Arial"/>
          <w:bCs/>
          <w:i/>
          <w:lang w:val="en-GB"/>
        </w:rPr>
        <w:t>K</w:t>
      </w:r>
      <w:r w:rsidRPr="008955F5">
        <w:rPr>
          <w:rFonts w:eastAsia="Calibri" w:cs="Arial"/>
          <w:bCs/>
          <w:lang w:val="en-GB"/>
        </w:rPr>
        <w:t xml:space="preserve"> is:</w:t>
      </w:r>
      <w:r w:rsidRPr="008955F5">
        <w:rPr>
          <w:rFonts w:eastAsia="Calibri" w:cs="Arial"/>
          <w:b/>
          <w:bCs/>
          <w:lang w:val="en-GB"/>
        </w:rPr>
        <w:br/>
      </w:r>
      <w:r w:rsidRPr="008955F5">
        <w:rPr>
          <w:rFonts w:eastAsia="Calibri" w:cs="Arial"/>
          <w:b/>
          <w:bCs/>
          <w:lang w:val="en-GB"/>
        </w:rPr>
        <w:tab/>
      </w:r>
      <w:r w:rsidRPr="008955F5">
        <w:rPr>
          <w:rFonts w:eastAsia="Calibri" w:cs="Arial"/>
          <w:b/>
          <w:bCs/>
          <w:lang w:val="en-GB"/>
        </w:rPr>
        <w:tab/>
      </w:r>
      <w:r w:rsidRPr="008955F5">
        <w:rPr>
          <w:rFonts w:eastAsia="Calibri" w:cs="Arial"/>
          <w:bCs/>
          <w:lang w:val="en-GB"/>
        </w:rPr>
        <w:t xml:space="preserve">− 0.03 dB(A)/°C  when </w:t>
      </w:r>
      <w:proofErr w:type="spellStart"/>
      <w:r w:rsidRPr="008955F5">
        <w:rPr>
          <w:rFonts w:eastAsia="Calibri"/>
          <w:bCs/>
          <w:i/>
          <w:iCs/>
          <w:lang w:val="en-GB"/>
        </w:rPr>
        <w:t>ϑ</w:t>
      </w:r>
      <w:r w:rsidRPr="008955F5">
        <w:rPr>
          <w:rFonts w:eastAsia="Calibri" w:cs="Arial"/>
          <w:bCs/>
          <w:i/>
          <w:vertAlign w:val="subscript"/>
          <w:lang w:val="en-GB"/>
        </w:rPr>
        <w:t>i</w:t>
      </w:r>
      <w:proofErr w:type="spellEnd"/>
      <w:r w:rsidRPr="008955F5">
        <w:rPr>
          <w:rFonts w:eastAsia="Calibri" w:cs="Arial"/>
          <w:bCs/>
          <w:lang w:val="en-GB"/>
        </w:rPr>
        <w:t xml:space="preserve"> &gt; </w:t>
      </w:r>
      <w:proofErr w:type="spellStart"/>
      <w:r w:rsidRPr="008955F5">
        <w:rPr>
          <w:rFonts w:eastAsia="Calibri"/>
          <w:bCs/>
          <w:i/>
          <w:iCs/>
          <w:lang w:val="en-GB"/>
        </w:rPr>
        <w:t>ϑ</w:t>
      </w:r>
      <w:r w:rsidRPr="008955F5">
        <w:rPr>
          <w:rFonts w:eastAsia="Calibri" w:cs="Arial"/>
          <w:bCs/>
          <w:vertAlign w:val="subscript"/>
          <w:lang w:val="en-GB"/>
        </w:rPr>
        <w:t>ref</w:t>
      </w:r>
      <w:proofErr w:type="spellEnd"/>
      <w:r w:rsidRPr="008955F5">
        <w:rPr>
          <w:rFonts w:eastAsia="Calibri" w:cs="Arial"/>
          <w:bCs/>
          <w:lang w:val="en-GB"/>
        </w:rPr>
        <w:t xml:space="preserve"> and</w:t>
      </w:r>
      <w:r w:rsidRPr="008955F5">
        <w:rPr>
          <w:rFonts w:eastAsia="Calibri" w:cs="Arial"/>
          <w:bCs/>
          <w:lang w:val="en-GB"/>
        </w:rPr>
        <w:br/>
      </w:r>
      <w:r w:rsidRPr="008955F5">
        <w:rPr>
          <w:rFonts w:eastAsia="Calibri" w:cs="Arial"/>
          <w:bCs/>
          <w:lang w:val="en-GB"/>
        </w:rPr>
        <w:tab/>
      </w:r>
      <w:r w:rsidRPr="008955F5">
        <w:rPr>
          <w:rFonts w:eastAsia="Calibri" w:cs="Arial"/>
          <w:bCs/>
          <w:lang w:val="en-GB"/>
        </w:rPr>
        <w:tab/>
        <w:t xml:space="preserve">− 0.06 dB(A)/°C  when </w:t>
      </w:r>
      <w:proofErr w:type="spellStart"/>
      <w:r w:rsidRPr="008955F5">
        <w:rPr>
          <w:rFonts w:eastAsia="Calibri"/>
          <w:bCs/>
          <w:i/>
          <w:iCs/>
          <w:lang w:val="en-GB"/>
        </w:rPr>
        <w:t>ϑ</w:t>
      </w:r>
      <w:r w:rsidRPr="008955F5">
        <w:rPr>
          <w:rFonts w:eastAsia="Calibri" w:cs="Arial"/>
          <w:bCs/>
          <w:i/>
          <w:vertAlign w:val="subscript"/>
          <w:lang w:val="en-GB"/>
        </w:rPr>
        <w:t>i</w:t>
      </w:r>
      <w:proofErr w:type="spellEnd"/>
      <w:r w:rsidRPr="008955F5">
        <w:rPr>
          <w:rFonts w:eastAsia="Calibri" w:cs="Arial"/>
          <w:bCs/>
          <w:lang w:val="en-GB"/>
        </w:rPr>
        <w:t xml:space="preserve"> &lt; </w:t>
      </w:r>
      <w:proofErr w:type="spellStart"/>
      <w:r w:rsidRPr="008955F5">
        <w:rPr>
          <w:rFonts w:eastAsia="Calibri"/>
          <w:bCs/>
          <w:i/>
          <w:iCs/>
          <w:lang w:val="en-GB"/>
        </w:rPr>
        <w:t>ϑ</w:t>
      </w:r>
      <w:r w:rsidRPr="008955F5">
        <w:rPr>
          <w:rFonts w:eastAsia="Calibri" w:cs="Arial"/>
          <w:bCs/>
          <w:vertAlign w:val="subscript"/>
          <w:lang w:val="en-GB"/>
        </w:rPr>
        <w:t>ref</w:t>
      </w:r>
      <w:proofErr w:type="spellEnd"/>
      <w:r w:rsidRPr="008955F5">
        <w:rPr>
          <w:rFonts w:eastAsia="Calibri" w:cs="Arial"/>
          <w:bCs/>
          <w:lang w:val="en-GB"/>
        </w:rPr>
        <w:t>.</w:t>
      </w:r>
    </w:p>
    <w:p w14:paraId="1121E72B" w14:textId="77777777" w:rsidR="00345E00" w:rsidRPr="008955F5" w:rsidRDefault="00345E00" w:rsidP="00345E00">
      <w:pPr>
        <w:pStyle w:val="SingleTxtG"/>
        <w:ind w:left="2268" w:hanging="1134"/>
        <w:rPr>
          <w:bCs/>
          <w:lang w:val="en-GB"/>
        </w:rPr>
      </w:pPr>
      <w:r w:rsidRPr="008955F5">
        <w:rPr>
          <w:bCs/>
          <w:lang w:val="en-GB"/>
        </w:rPr>
        <w:tab/>
        <w:t>For class C2 tyres, the coefficient K is −0.02 dB(A)/°C.</w:t>
      </w:r>
    </w:p>
    <w:p w14:paraId="5CAE1185" w14:textId="77777777" w:rsidR="00345E00" w:rsidRPr="008955F5" w:rsidRDefault="00345E00" w:rsidP="00FE1A1B">
      <w:pPr>
        <w:spacing w:before="120" w:after="120"/>
        <w:ind w:left="2268" w:right="1134" w:hanging="1134"/>
        <w:jc w:val="both"/>
        <w:rPr>
          <w:bCs/>
          <w:lang w:val="en-GB"/>
        </w:rPr>
      </w:pPr>
      <w:r w:rsidRPr="008955F5">
        <w:rPr>
          <w:b/>
          <w:lang w:val="en-GB"/>
        </w:rPr>
        <w:t>4.2.2.</w:t>
      </w:r>
      <w:r w:rsidRPr="008955F5">
        <w:rPr>
          <w:b/>
          <w:lang w:val="en-GB"/>
        </w:rPr>
        <w:tab/>
      </w:r>
      <w:r w:rsidRPr="008955F5">
        <w:rPr>
          <w:bCs/>
          <w:lang w:val="en-GB"/>
        </w:rPr>
        <w:tab/>
      </w:r>
      <w:r w:rsidRPr="008955F5">
        <w:rPr>
          <w:b/>
          <w:lang w:val="en-GB"/>
        </w:rPr>
        <w:t xml:space="preserve">From the date indicated in paragraph 12.16., for class C1 and class C2 tyres, the </w:t>
      </w:r>
      <w:r w:rsidRPr="008955F5">
        <w:rPr>
          <w:rFonts w:eastAsia="Calibri" w:cs="Arial"/>
          <w:b/>
          <w:lang w:val="en-GB"/>
        </w:rPr>
        <w:t xml:space="preserve">rolling sound levels </w:t>
      </w:r>
      <w:r w:rsidRPr="008955F5">
        <w:rPr>
          <w:rFonts w:eastAsia="Calibri" w:cs="Arial"/>
          <w:b/>
          <w:i/>
          <w:lang w:val="en-GB"/>
        </w:rPr>
        <w:t>L</w:t>
      </w:r>
      <w:r w:rsidRPr="008955F5">
        <w:rPr>
          <w:rFonts w:eastAsia="Calibri" w:cs="Arial"/>
          <w:b/>
          <w:i/>
          <w:vertAlign w:val="subscript"/>
          <w:lang w:val="en-GB"/>
        </w:rPr>
        <w:t>i</w:t>
      </w:r>
      <w:r w:rsidRPr="008955F5">
        <w:rPr>
          <w:rFonts w:eastAsia="Calibri" w:cs="Arial"/>
          <w:b/>
          <w:i/>
          <w:lang w:val="en-GB"/>
        </w:rPr>
        <w:t>(</w:t>
      </w:r>
      <w:proofErr w:type="spellStart"/>
      <w:r w:rsidRPr="008955F5">
        <w:rPr>
          <w:rFonts w:eastAsia="Yu Gothic"/>
          <w:b/>
          <w:i/>
          <w:iCs/>
          <w:lang w:val="en-GB"/>
        </w:rPr>
        <w:t>ϑ</w:t>
      </w:r>
      <w:r w:rsidRPr="008955F5">
        <w:rPr>
          <w:rFonts w:eastAsia="Calibri" w:cs="Arial"/>
          <w:b/>
          <w:i/>
          <w:vertAlign w:val="subscript"/>
          <w:lang w:val="en-GB"/>
        </w:rPr>
        <w:t>i</w:t>
      </w:r>
      <w:proofErr w:type="spellEnd"/>
      <w:r w:rsidRPr="008955F5">
        <w:rPr>
          <w:rFonts w:eastAsia="Calibri" w:cs="Arial"/>
          <w:b/>
          <w:i/>
          <w:lang w:val="en-GB"/>
        </w:rPr>
        <w:t>)</w:t>
      </w:r>
      <w:r w:rsidRPr="008955F5">
        <w:rPr>
          <w:rFonts w:eastAsia="Calibri" w:cs="Arial"/>
          <w:b/>
          <w:lang w:val="en-GB"/>
        </w:rPr>
        <w:t xml:space="preserve"> obtained at the test surface temperature </w:t>
      </w:r>
      <m:oMath>
        <m:r>
          <m:rPr>
            <m:sty m:val="bi"/>
          </m:rPr>
          <w:rPr>
            <w:rFonts w:ascii="Cambria Math" w:eastAsia="Calibri" w:hAnsi="Cambria Math" w:cs="Arial"/>
            <w:lang w:val="en-GB"/>
          </w:rPr>
          <m:t>ϑ</m:t>
        </m:r>
      </m:oMath>
      <w:r w:rsidRPr="008955F5">
        <w:rPr>
          <w:rFonts w:eastAsia="Calibri" w:cs="Arial"/>
          <w:b/>
          <w:i/>
          <w:vertAlign w:val="subscript"/>
          <w:lang w:val="en-GB"/>
        </w:rPr>
        <w:t>i</w:t>
      </w:r>
      <w:r w:rsidRPr="008955F5">
        <w:rPr>
          <w:rFonts w:eastAsia="Calibri" w:cs="Arial"/>
          <w:b/>
          <w:lang w:val="en-GB"/>
        </w:rPr>
        <w:t xml:space="preserve"> (where </w:t>
      </w:r>
      <w:proofErr w:type="spellStart"/>
      <w:r w:rsidRPr="008955F5">
        <w:rPr>
          <w:rFonts w:eastAsia="Calibri" w:cs="Arial"/>
          <w:b/>
          <w:i/>
          <w:lang w:val="en-GB"/>
        </w:rPr>
        <w:t>i</w:t>
      </w:r>
      <w:proofErr w:type="spellEnd"/>
      <w:r w:rsidRPr="008955F5">
        <w:rPr>
          <w:rFonts w:eastAsia="Calibri" w:cs="Arial"/>
          <w:b/>
          <w:lang w:val="en-GB"/>
        </w:rPr>
        <w:t xml:space="preserve"> denotes the number of the single measurement) </w:t>
      </w:r>
      <w:r w:rsidRPr="008955F5">
        <w:rPr>
          <w:b/>
          <w:lang w:val="en-GB"/>
        </w:rPr>
        <w:t xml:space="preserve">shall be normalized to a test surface reference temperature </w:t>
      </w:r>
      <m:oMath>
        <m:r>
          <m:rPr>
            <m:sty m:val="bi"/>
          </m:rPr>
          <w:rPr>
            <w:rFonts w:ascii="Cambria Math" w:eastAsia="Calibri" w:hAnsi="Cambria Math" w:cs="Arial"/>
            <w:lang w:val="en-GB"/>
          </w:rPr>
          <m:t>ϑ</m:t>
        </m:r>
      </m:oMath>
      <w:r w:rsidRPr="008955F5">
        <w:rPr>
          <w:b/>
          <w:vertAlign w:val="subscript"/>
          <w:lang w:val="en-GB"/>
        </w:rPr>
        <w:t>ref</w:t>
      </w:r>
      <w:r w:rsidRPr="008955F5">
        <w:rPr>
          <w:b/>
          <w:lang w:val="en-GB"/>
        </w:rPr>
        <w:t xml:space="preserve"> by applying a temperature correction, according to the following formula</w:t>
      </w:r>
      <w:r w:rsidRPr="008955F5">
        <w:rPr>
          <w:bCs/>
          <w:lang w:val="en-GB"/>
        </w:rPr>
        <w:t>:</w:t>
      </w:r>
    </w:p>
    <w:bookmarkStart w:id="6" w:name="_Hlk124170188"/>
    <w:p w14:paraId="1CE2FE4D" w14:textId="77777777" w:rsidR="00345E00" w:rsidRPr="008955F5" w:rsidRDefault="000875CB" w:rsidP="00FE1A1B">
      <w:pPr>
        <w:pStyle w:val="SingleTxtG"/>
        <w:ind w:left="2268"/>
        <w:jc w:val="center"/>
        <w:rPr>
          <w:b/>
          <w:lang w:val="en-GB"/>
        </w:rPr>
      </w:pPr>
      <m:oMathPara>
        <m:oMath>
          <m:sSub>
            <m:sSubPr>
              <m:ctrlPr>
                <w:rPr>
                  <w:rFonts w:ascii="Cambria Math" w:eastAsia="Calibri" w:hAnsi="Cambria Math" w:cs="Arial"/>
                  <w:b/>
                  <w:i/>
                  <w:lang w:val="en-GB"/>
                </w:rPr>
              </m:ctrlPr>
            </m:sSubPr>
            <m:e>
              <m:r>
                <m:rPr>
                  <m:sty m:val="bi"/>
                </m:rPr>
                <w:rPr>
                  <w:rFonts w:ascii="Cambria Math" w:eastAsia="Calibri" w:hAnsi="Cambria Math" w:cs="Arial"/>
                  <w:lang w:val="en-GB"/>
                </w:rPr>
                <m:t>L</m:t>
              </m:r>
            </m:e>
            <m:sub>
              <m:r>
                <m:rPr>
                  <m:sty m:val="bi"/>
                </m:rPr>
                <w:rPr>
                  <w:rFonts w:ascii="Cambria Math" w:eastAsia="Calibri" w:hAnsi="Cambria Math" w:cs="Arial"/>
                  <w:lang w:val="en-GB"/>
                </w:rPr>
                <m:t>i</m:t>
              </m:r>
            </m:sub>
          </m:sSub>
          <m:d>
            <m:dPr>
              <m:ctrlPr>
                <w:rPr>
                  <w:rFonts w:ascii="Cambria Math" w:eastAsia="Calibri" w:hAnsi="Cambria Math" w:cs="Arial"/>
                  <w:b/>
                  <w:i/>
                  <w:lang w:val="en-GB"/>
                </w:rPr>
              </m:ctrlPr>
            </m:dPr>
            <m:e>
              <m:sSub>
                <m:sSubPr>
                  <m:ctrlPr>
                    <w:rPr>
                      <w:rFonts w:ascii="Cambria Math" w:eastAsia="Calibri" w:hAnsi="Cambria Math" w:cs="Arial"/>
                      <w:b/>
                      <w:i/>
                      <w:lang w:val="en-GB"/>
                    </w:rPr>
                  </m:ctrlPr>
                </m:sSubPr>
                <m:e>
                  <m:r>
                    <m:rPr>
                      <m:sty m:val="bi"/>
                    </m:rPr>
                    <w:rPr>
                      <w:rFonts w:ascii="Cambria Math" w:eastAsia="Calibri" w:hAnsi="Cambria Math" w:cs="Arial"/>
                      <w:lang w:val="en-GB"/>
                    </w:rPr>
                    <m:t>ϑ</m:t>
                  </m:r>
                </m:e>
                <m:sub>
                  <m:r>
                    <m:rPr>
                      <m:nor/>
                    </m:rPr>
                    <w:rPr>
                      <w:rFonts w:ascii="Cambria Math" w:eastAsia="Calibri" w:hAnsi="Cambria Math" w:cs="Arial"/>
                      <w:b/>
                      <w:lang w:val="en-GB"/>
                    </w:rPr>
                    <m:t>ref</m:t>
                  </m:r>
                </m:sub>
              </m:sSub>
            </m:e>
          </m:d>
          <m:r>
            <m:rPr>
              <m:sty m:val="bi"/>
            </m:rPr>
            <w:rPr>
              <w:rFonts w:ascii="Cambria Math" w:eastAsia="Calibri" w:hAnsi="Cambria Math" w:cs="Arial"/>
              <w:lang w:val="en-GB"/>
            </w:rPr>
            <m:t>=</m:t>
          </m:r>
          <m:sSub>
            <m:sSubPr>
              <m:ctrlPr>
                <w:rPr>
                  <w:rFonts w:ascii="Cambria Math" w:eastAsia="Calibri" w:hAnsi="Cambria Math" w:cs="Arial"/>
                  <w:b/>
                  <w:i/>
                  <w:lang w:val="en-GB"/>
                </w:rPr>
              </m:ctrlPr>
            </m:sSubPr>
            <m:e>
              <m:r>
                <m:rPr>
                  <m:sty m:val="bi"/>
                </m:rPr>
                <w:rPr>
                  <w:rFonts w:ascii="Cambria Math" w:eastAsia="Calibri" w:hAnsi="Cambria Math" w:cs="Arial"/>
                  <w:lang w:val="en-GB"/>
                </w:rPr>
                <m:t>L</m:t>
              </m:r>
            </m:e>
            <m:sub>
              <m:r>
                <m:rPr>
                  <m:sty m:val="bi"/>
                </m:rPr>
                <w:rPr>
                  <w:rFonts w:ascii="Cambria Math" w:eastAsia="Calibri" w:hAnsi="Cambria Math" w:cs="Arial"/>
                  <w:lang w:val="en-GB"/>
                </w:rPr>
                <m:t>i</m:t>
              </m:r>
            </m:sub>
          </m:sSub>
          <m:d>
            <m:dPr>
              <m:ctrlPr>
                <w:rPr>
                  <w:rFonts w:ascii="Cambria Math" w:eastAsia="Calibri" w:hAnsi="Cambria Math" w:cs="Arial"/>
                  <w:b/>
                  <w:i/>
                  <w:lang w:val="en-GB"/>
                </w:rPr>
              </m:ctrlPr>
            </m:dPr>
            <m:e>
              <m:sSub>
                <m:sSubPr>
                  <m:ctrlPr>
                    <w:rPr>
                      <w:rFonts w:ascii="Cambria Math" w:eastAsia="Calibri" w:hAnsi="Cambria Math" w:cs="Arial"/>
                      <w:b/>
                      <w:i/>
                      <w:lang w:val="en-GB"/>
                    </w:rPr>
                  </m:ctrlPr>
                </m:sSubPr>
                <m:e>
                  <m:r>
                    <m:rPr>
                      <m:sty m:val="bi"/>
                    </m:rPr>
                    <w:rPr>
                      <w:rFonts w:ascii="Cambria Math" w:eastAsia="Calibri" w:hAnsi="Cambria Math" w:cs="Arial"/>
                      <w:lang w:val="en-GB"/>
                    </w:rPr>
                    <m:t>ϑ</m:t>
                  </m:r>
                </m:e>
                <m:sub>
                  <m:r>
                    <m:rPr>
                      <m:sty m:val="bi"/>
                    </m:rPr>
                    <w:rPr>
                      <w:rFonts w:ascii="Cambria Math" w:eastAsia="Calibri" w:hAnsi="Cambria Math" w:cs="Arial"/>
                      <w:lang w:val="en-GB"/>
                    </w:rPr>
                    <m:t>i</m:t>
                  </m:r>
                </m:sub>
              </m:sSub>
            </m:e>
          </m:d>
          <m:r>
            <m:rPr>
              <m:sty m:val="bi"/>
            </m:rPr>
            <w:rPr>
              <w:rFonts w:ascii="Cambria Math" w:eastAsia="Calibri" w:hAnsi="Cambria Math" w:cs="Arial"/>
              <w:lang w:val="en-GB"/>
            </w:rPr>
            <m:t>-</m:t>
          </m:r>
          <m:sSub>
            <m:sSubPr>
              <m:ctrlPr>
                <w:rPr>
                  <w:rFonts w:ascii="Cambria Math" w:eastAsia="Calibri" w:hAnsi="Cambria Math" w:cs="Arial"/>
                  <w:b/>
                  <w:i/>
                  <w:lang w:val="en-GB"/>
                </w:rPr>
              </m:ctrlPr>
            </m:sSubPr>
            <m:e>
              <m:r>
                <m:rPr>
                  <m:sty m:val="bi"/>
                </m:rPr>
                <w:rPr>
                  <w:rFonts w:ascii="Cambria Math" w:eastAsia="Calibri" w:hAnsi="Cambria Math" w:cs="Arial"/>
                  <w:lang w:val="en-GB"/>
                </w:rPr>
                <m:t>K</m:t>
              </m:r>
            </m:e>
            <m:sub>
              <m:r>
                <m:rPr>
                  <m:sty m:val="bi"/>
                </m:rPr>
                <w:rPr>
                  <w:rFonts w:ascii="Cambria Math" w:eastAsia="Calibri" w:hAnsi="Cambria Math" w:cs="Arial"/>
                  <w:lang w:val="en-GB"/>
                </w:rPr>
                <m:t>1</m:t>
              </m:r>
            </m:sub>
          </m:sSub>
          <m:r>
            <m:rPr>
              <m:sty m:val="bi"/>
            </m:rPr>
            <w:rPr>
              <w:rFonts w:ascii="Cambria Math" w:eastAsia="Calibri" w:hAnsi="Cambria Math" w:cs="Arial"/>
              <w:lang w:val="en-GB"/>
            </w:rPr>
            <m:t>∙</m:t>
          </m:r>
          <m:func>
            <m:funcPr>
              <m:ctrlPr>
                <w:rPr>
                  <w:rFonts w:ascii="Cambria Math" w:eastAsia="Calibri" w:hAnsi="Cambria Math" w:cs="Arial"/>
                  <w:b/>
                  <w:i/>
                  <w:lang w:val="en-GB"/>
                </w:rPr>
              </m:ctrlPr>
            </m:funcPr>
            <m:fName>
              <m:r>
                <m:rPr>
                  <m:sty m:val="b"/>
                </m:rPr>
                <w:rPr>
                  <w:rFonts w:ascii="Cambria Math" w:eastAsia="Calibri" w:hAnsi="Cambria Math" w:cs="Arial"/>
                  <w:lang w:val="en-GB"/>
                </w:rPr>
                <m:t>lg</m:t>
              </m:r>
            </m:fName>
            <m:e>
              <m:d>
                <m:dPr>
                  <m:ctrlPr>
                    <w:rPr>
                      <w:rFonts w:ascii="Cambria Math" w:eastAsia="Calibri" w:hAnsi="Cambria Math" w:cs="Arial"/>
                      <w:b/>
                      <w:i/>
                      <w:lang w:val="en-GB"/>
                    </w:rPr>
                  </m:ctrlPr>
                </m:dPr>
                <m:e>
                  <m:f>
                    <m:fPr>
                      <m:ctrlPr>
                        <w:rPr>
                          <w:rFonts w:ascii="Cambria Math" w:eastAsia="Calibri" w:hAnsi="Cambria Math" w:cs="Arial"/>
                          <w:b/>
                          <w:i/>
                          <w:lang w:val="en-GB"/>
                        </w:rPr>
                      </m:ctrlPr>
                    </m:fPr>
                    <m:num>
                      <m:sSub>
                        <m:sSubPr>
                          <m:ctrlPr>
                            <w:rPr>
                              <w:rFonts w:ascii="Cambria Math" w:eastAsia="Calibri" w:hAnsi="Cambria Math" w:cs="Arial"/>
                              <w:b/>
                              <w:i/>
                              <w:lang w:val="en-GB"/>
                            </w:rPr>
                          </m:ctrlPr>
                        </m:sSubPr>
                        <m:e>
                          <m:r>
                            <m:rPr>
                              <m:sty m:val="bi"/>
                            </m:rPr>
                            <w:rPr>
                              <w:rFonts w:ascii="Cambria Math" w:eastAsia="Calibri" w:hAnsi="Cambria Math" w:cs="Arial"/>
                              <w:lang w:val="en-GB"/>
                            </w:rPr>
                            <m:t>ϑ</m:t>
                          </m:r>
                        </m:e>
                        <m:sub>
                          <m:r>
                            <m:rPr>
                              <m:nor/>
                            </m:rPr>
                            <w:rPr>
                              <w:rFonts w:ascii="Cambria Math" w:eastAsia="Calibri" w:hAnsi="Cambria Math" w:cs="Arial"/>
                              <w:b/>
                              <w:lang w:val="en-GB"/>
                            </w:rPr>
                            <m:t>ref</m:t>
                          </m:r>
                        </m:sub>
                      </m:sSub>
                      <m:r>
                        <m:rPr>
                          <m:sty m:val="bi"/>
                        </m:rPr>
                        <w:rPr>
                          <w:rFonts w:ascii="Cambria Math" w:eastAsia="Calibri" w:hAnsi="Cambria Math" w:cs="Arial"/>
                          <w:lang w:val="en-GB"/>
                        </w:rPr>
                        <m:t>+</m:t>
                      </m:r>
                      <m:sSub>
                        <m:sSubPr>
                          <m:ctrlPr>
                            <w:rPr>
                              <w:rFonts w:ascii="Cambria Math" w:eastAsia="Calibri" w:hAnsi="Cambria Math" w:cs="Arial"/>
                              <w:b/>
                              <w:i/>
                              <w:lang w:val="en-GB"/>
                            </w:rPr>
                          </m:ctrlPr>
                        </m:sSubPr>
                        <m:e>
                          <m:r>
                            <m:rPr>
                              <m:sty m:val="bi"/>
                            </m:rPr>
                            <w:rPr>
                              <w:rFonts w:ascii="Cambria Math" w:eastAsia="Calibri" w:hAnsi="Cambria Math" w:cs="Arial"/>
                              <w:lang w:val="en-GB"/>
                            </w:rPr>
                            <m:t>K</m:t>
                          </m:r>
                        </m:e>
                        <m:sub>
                          <m:r>
                            <m:rPr>
                              <m:sty m:val="bi"/>
                            </m:rPr>
                            <w:rPr>
                              <w:rFonts w:ascii="Cambria Math" w:eastAsia="Calibri" w:hAnsi="Cambria Math" w:cs="Arial"/>
                              <w:lang w:val="en-GB"/>
                            </w:rPr>
                            <m:t>2</m:t>
                          </m:r>
                        </m:sub>
                      </m:sSub>
                    </m:num>
                    <m:den>
                      <m:sSub>
                        <m:sSubPr>
                          <m:ctrlPr>
                            <w:rPr>
                              <w:rFonts w:ascii="Cambria Math" w:eastAsia="Calibri" w:hAnsi="Cambria Math" w:cs="Arial"/>
                              <w:b/>
                              <w:i/>
                              <w:lang w:val="en-GB"/>
                            </w:rPr>
                          </m:ctrlPr>
                        </m:sSubPr>
                        <m:e>
                          <m:r>
                            <m:rPr>
                              <m:sty m:val="bi"/>
                            </m:rPr>
                            <w:rPr>
                              <w:rFonts w:ascii="Cambria Math" w:eastAsia="Calibri" w:hAnsi="Cambria Math" w:cs="Arial"/>
                              <w:lang w:val="en-GB"/>
                            </w:rPr>
                            <m:t>ϑ</m:t>
                          </m:r>
                        </m:e>
                        <m:sub>
                          <m:r>
                            <m:rPr>
                              <m:sty m:val="bi"/>
                            </m:rPr>
                            <w:rPr>
                              <w:rFonts w:ascii="Cambria Math" w:eastAsia="Calibri" w:hAnsi="Cambria Math" w:cs="Arial"/>
                              <w:lang w:val="en-GB"/>
                            </w:rPr>
                            <m:t>i</m:t>
                          </m:r>
                        </m:sub>
                      </m:sSub>
                      <m:r>
                        <m:rPr>
                          <m:sty m:val="bi"/>
                        </m:rPr>
                        <w:rPr>
                          <w:rFonts w:ascii="Cambria Math" w:eastAsia="Calibri" w:hAnsi="Cambria Math" w:cs="Arial"/>
                          <w:lang w:val="en-GB"/>
                        </w:rPr>
                        <m:t>+</m:t>
                      </m:r>
                      <m:sSub>
                        <m:sSubPr>
                          <m:ctrlPr>
                            <w:rPr>
                              <w:rFonts w:ascii="Cambria Math" w:eastAsia="Calibri" w:hAnsi="Cambria Math" w:cs="Arial"/>
                              <w:b/>
                              <w:i/>
                              <w:lang w:val="en-GB"/>
                            </w:rPr>
                          </m:ctrlPr>
                        </m:sSubPr>
                        <m:e>
                          <m:r>
                            <m:rPr>
                              <m:sty m:val="bi"/>
                            </m:rPr>
                            <w:rPr>
                              <w:rFonts w:ascii="Cambria Math" w:eastAsia="Calibri" w:hAnsi="Cambria Math" w:cs="Arial"/>
                              <w:lang w:val="en-GB"/>
                            </w:rPr>
                            <m:t>K</m:t>
                          </m:r>
                        </m:e>
                        <m:sub>
                          <m:r>
                            <m:rPr>
                              <m:sty m:val="bi"/>
                            </m:rPr>
                            <w:rPr>
                              <w:rFonts w:ascii="Cambria Math" w:eastAsia="Calibri" w:hAnsi="Cambria Math" w:cs="Arial"/>
                              <w:lang w:val="en-GB"/>
                            </w:rPr>
                            <m:t>2</m:t>
                          </m:r>
                        </m:sub>
                      </m:sSub>
                    </m:den>
                  </m:f>
                </m:e>
              </m:d>
            </m:e>
          </m:func>
        </m:oMath>
      </m:oMathPara>
      <w:bookmarkEnd w:id="6"/>
    </w:p>
    <w:p w14:paraId="4B42816D" w14:textId="77777777" w:rsidR="00345E00" w:rsidRPr="008955F5" w:rsidRDefault="00345E00" w:rsidP="00FE1A1B">
      <w:pPr>
        <w:spacing w:after="120"/>
        <w:ind w:left="2268" w:right="1134"/>
        <w:rPr>
          <w:rFonts w:eastAsia="Calibri" w:cs="Arial"/>
          <w:b/>
          <w:lang w:val="en-GB"/>
        </w:rPr>
      </w:pPr>
      <w:r w:rsidRPr="008955F5">
        <w:rPr>
          <w:rFonts w:eastAsia="Calibri" w:cs="Arial"/>
          <w:b/>
          <w:lang w:val="en-GB"/>
        </w:rPr>
        <w:t>where:</w:t>
      </w:r>
    </w:p>
    <w:p w14:paraId="516C07F1" w14:textId="77777777" w:rsidR="00345E00" w:rsidRPr="008955F5" w:rsidRDefault="00345E00" w:rsidP="00FE1A1B">
      <w:pPr>
        <w:tabs>
          <w:tab w:val="left" w:pos="2977"/>
          <w:tab w:val="left" w:pos="3261"/>
        </w:tabs>
        <w:spacing w:after="120"/>
        <w:ind w:left="2552"/>
        <w:rPr>
          <w:rFonts w:eastAsia="Calibri" w:cs="Arial"/>
          <w:b/>
          <w:strike/>
          <w:lang w:val="en-GB"/>
        </w:rPr>
      </w:pPr>
      <w:r w:rsidRPr="008955F5">
        <w:rPr>
          <w:b/>
          <w:lang w:val="en-GB"/>
        </w:rPr>
        <w:tab/>
      </w:r>
      <m:oMath>
        <m:r>
          <m:rPr>
            <m:sty m:val="bi"/>
          </m:rPr>
          <w:rPr>
            <w:rFonts w:ascii="Cambria Math" w:eastAsia="Calibri" w:hAnsi="Cambria Math" w:cs="Arial"/>
            <w:lang w:val="en-GB"/>
          </w:rPr>
          <m:t>ϑ</m:t>
        </m:r>
      </m:oMath>
      <w:r w:rsidRPr="008955F5">
        <w:rPr>
          <w:rFonts w:eastAsia="Calibri" w:cs="Arial"/>
          <w:b/>
          <w:vertAlign w:val="subscript"/>
          <w:lang w:val="en-GB"/>
        </w:rPr>
        <w:t>ref</w:t>
      </w:r>
      <w:r w:rsidRPr="008955F5">
        <w:rPr>
          <w:rFonts w:eastAsia="Calibri" w:cs="Arial"/>
          <w:b/>
          <w:lang w:val="en-GB"/>
        </w:rPr>
        <w:tab/>
        <w:t>=</w:t>
      </w:r>
      <w:r w:rsidRPr="008955F5">
        <w:rPr>
          <w:rFonts w:eastAsia="Calibri" w:cs="Arial"/>
          <w:b/>
          <w:lang w:val="en-GB"/>
        </w:rPr>
        <w:tab/>
        <w:t>20 °C,</w:t>
      </w:r>
    </w:p>
    <w:p w14:paraId="27E82F60" w14:textId="4F04CF2B" w:rsidR="00345E00" w:rsidRPr="008955F5" w:rsidRDefault="00345E00" w:rsidP="002E1088">
      <w:pPr>
        <w:spacing w:before="120" w:after="120"/>
        <w:ind w:left="2268" w:right="1134"/>
        <w:rPr>
          <w:rFonts w:eastAsia="Calibri" w:cs="Arial"/>
          <w:b/>
          <w:lang w:val="en-GB"/>
        </w:rPr>
      </w:pPr>
      <w:r w:rsidRPr="008955F5">
        <w:rPr>
          <w:rFonts w:eastAsia="Calibri" w:cs="Arial"/>
          <w:b/>
          <w:lang w:val="en-GB"/>
        </w:rPr>
        <w:t xml:space="preserve">and the coefficients </w:t>
      </w:r>
      <w:r w:rsidRPr="008955F5">
        <w:rPr>
          <w:rFonts w:eastAsia="Calibri" w:cs="Arial"/>
          <w:b/>
          <w:i/>
          <w:iCs/>
          <w:lang w:val="en-GB"/>
        </w:rPr>
        <w:t>K</w:t>
      </w:r>
      <w:r w:rsidRPr="008955F5">
        <w:rPr>
          <w:rFonts w:eastAsia="Calibri" w:cs="Arial"/>
          <w:b/>
          <w:i/>
          <w:iCs/>
          <w:vertAlign w:val="subscript"/>
          <w:lang w:val="en-GB"/>
        </w:rPr>
        <w:t>1</w:t>
      </w:r>
      <w:r w:rsidRPr="008955F5">
        <w:rPr>
          <w:rFonts w:eastAsia="Calibri" w:cs="Arial"/>
          <w:b/>
          <w:lang w:val="en-GB"/>
        </w:rPr>
        <w:t xml:space="preserve"> and </w:t>
      </w:r>
      <w:r w:rsidRPr="008955F5">
        <w:rPr>
          <w:rFonts w:eastAsia="Calibri" w:cs="Arial"/>
          <w:b/>
          <w:i/>
          <w:iCs/>
          <w:lang w:val="en-GB"/>
        </w:rPr>
        <w:t>K</w:t>
      </w:r>
      <w:r w:rsidRPr="008955F5">
        <w:rPr>
          <w:rFonts w:eastAsia="Calibri" w:cs="Arial"/>
          <w:b/>
          <w:i/>
          <w:iCs/>
          <w:vertAlign w:val="subscript"/>
          <w:lang w:val="en-GB"/>
        </w:rPr>
        <w:t>2</w:t>
      </w:r>
      <w:r w:rsidRPr="008955F5">
        <w:rPr>
          <w:rFonts w:eastAsia="Calibri" w:cs="Arial"/>
          <w:b/>
          <w:lang w:val="en-GB"/>
        </w:rPr>
        <w:t xml:space="preserve"> are given in the tables below.</w:t>
      </w:r>
    </w:p>
    <w:tbl>
      <w:tblPr>
        <w:tblStyle w:val="TableGrid"/>
        <w:tblW w:w="0" w:type="auto"/>
        <w:tblInd w:w="2268" w:type="dxa"/>
        <w:tblLayout w:type="fixed"/>
        <w:tblLook w:val="04A0" w:firstRow="1" w:lastRow="0" w:firstColumn="1" w:lastColumn="0" w:noHBand="0" w:noVBand="1"/>
      </w:tblPr>
      <w:tblGrid>
        <w:gridCol w:w="3114"/>
        <w:gridCol w:w="992"/>
        <w:gridCol w:w="992"/>
      </w:tblGrid>
      <w:tr w:rsidR="008955F5" w:rsidRPr="002E1088" w14:paraId="7AA73AFD" w14:textId="77777777" w:rsidTr="00EA58B1">
        <w:tc>
          <w:tcPr>
            <w:tcW w:w="3114" w:type="dxa"/>
            <w:tcBorders>
              <w:bottom w:val="single" w:sz="12" w:space="0" w:color="auto"/>
            </w:tcBorders>
          </w:tcPr>
          <w:p w14:paraId="116E2DA0" w14:textId="77777777" w:rsidR="00345E00" w:rsidRPr="002E1088" w:rsidRDefault="00345E00" w:rsidP="00FE1A1B">
            <w:pPr>
              <w:pStyle w:val="SingleTxtG"/>
              <w:ind w:left="0" w:right="140"/>
              <w:jc w:val="center"/>
              <w:rPr>
                <w:rFonts w:eastAsia="Calibri" w:cs="Arial"/>
                <w:b/>
                <w:i/>
                <w:iCs/>
                <w:sz w:val="16"/>
                <w:szCs w:val="16"/>
                <w:lang w:val="en-GB"/>
              </w:rPr>
            </w:pPr>
            <w:bookmarkStart w:id="7" w:name="_Hlk134804333"/>
            <w:r w:rsidRPr="002E1088">
              <w:rPr>
                <w:rFonts w:eastAsia="Calibri" w:cs="Arial"/>
                <w:b/>
                <w:i/>
                <w:iCs/>
                <w:sz w:val="16"/>
                <w:szCs w:val="16"/>
                <w:lang w:val="en-GB"/>
              </w:rPr>
              <w:t>Class C1 tyres</w:t>
            </w:r>
          </w:p>
        </w:tc>
        <w:tc>
          <w:tcPr>
            <w:tcW w:w="992" w:type="dxa"/>
            <w:tcBorders>
              <w:bottom w:val="single" w:sz="12" w:space="0" w:color="auto"/>
            </w:tcBorders>
            <w:vAlign w:val="center"/>
          </w:tcPr>
          <w:p w14:paraId="03AE0A4F" w14:textId="4A13ADB0" w:rsidR="00345E00" w:rsidRPr="002E1088" w:rsidRDefault="00345E00" w:rsidP="00F0499F">
            <w:pPr>
              <w:pStyle w:val="Tableheader"/>
              <w:autoSpaceDE w:val="0"/>
              <w:autoSpaceDN w:val="0"/>
              <w:adjustRightInd w:val="0"/>
              <w:spacing w:before="0" w:after="120" w:line="240" w:lineRule="atLeast"/>
              <w:jc w:val="center"/>
              <w:rPr>
                <w:rFonts w:cs="Arial"/>
                <w:b/>
                <w:sz w:val="16"/>
                <w:szCs w:val="16"/>
              </w:rPr>
            </w:pPr>
            <w:r w:rsidRPr="002E1088">
              <w:rPr>
                <w:rFonts w:ascii="Times New Roman" w:hAnsi="Times New Roman"/>
                <w:b/>
                <w:i/>
                <w:iCs/>
                <w:sz w:val="16"/>
                <w:szCs w:val="16"/>
              </w:rPr>
              <w:t>K</w:t>
            </w:r>
            <w:r w:rsidRPr="002E1088">
              <w:rPr>
                <w:rFonts w:ascii="Times New Roman" w:hAnsi="Times New Roman"/>
                <w:b/>
                <w:i/>
                <w:iCs/>
                <w:sz w:val="16"/>
                <w:szCs w:val="16"/>
                <w:vertAlign w:val="subscript"/>
              </w:rPr>
              <w:t>1</w:t>
            </w:r>
            <w:r w:rsidR="00F0499F">
              <w:rPr>
                <w:rFonts w:ascii="Times New Roman" w:hAnsi="Times New Roman"/>
                <w:b/>
                <w:i/>
                <w:iCs/>
                <w:sz w:val="16"/>
                <w:szCs w:val="16"/>
                <w:vertAlign w:val="subscript"/>
              </w:rPr>
              <w:t xml:space="preserve"> </w:t>
            </w:r>
            <w:r w:rsidRPr="002E1088">
              <w:rPr>
                <w:b/>
                <w:i/>
                <w:iCs/>
                <w:sz w:val="16"/>
                <w:szCs w:val="16"/>
              </w:rPr>
              <w:t>(°C)</w:t>
            </w:r>
          </w:p>
        </w:tc>
        <w:tc>
          <w:tcPr>
            <w:tcW w:w="992" w:type="dxa"/>
            <w:tcBorders>
              <w:bottom w:val="single" w:sz="12" w:space="0" w:color="auto"/>
            </w:tcBorders>
            <w:vAlign w:val="center"/>
          </w:tcPr>
          <w:p w14:paraId="6FF73B34" w14:textId="337C5C96" w:rsidR="00345E00" w:rsidRPr="002E1088" w:rsidRDefault="00345E00" w:rsidP="00F0499F">
            <w:pPr>
              <w:pStyle w:val="Tableheader"/>
              <w:autoSpaceDE w:val="0"/>
              <w:autoSpaceDN w:val="0"/>
              <w:adjustRightInd w:val="0"/>
              <w:spacing w:before="0" w:after="120" w:line="240" w:lineRule="atLeast"/>
              <w:jc w:val="center"/>
              <w:rPr>
                <w:rFonts w:cs="Arial"/>
                <w:b/>
                <w:sz w:val="16"/>
                <w:szCs w:val="16"/>
              </w:rPr>
            </w:pPr>
            <w:r w:rsidRPr="002E1088">
              <w:rPr>
                <w:rFonts w:ascii="Times New Roman" w:hAnsi="Times New Roman"/>
                <w:b/>
                <w:i/>
                <w:iCs/>
                <w:sz w:val="16"/>
                <w:szCs w:val="16"/>
              </w:rPr>
              <w:t>K</w:t>
            </w:r>
            <w:r w:rsidRPr="002E1088">
              <w:rPr>
                <w:rFonts w:ascii="Times New Roman" w:hAnsi="Times New Roman"/>
                <w:b/>
                <w:i/>
                <w:iCs/>
                <w:sz w:val="16"/>
                <w:szCs w:val="16"/>
                <w:vertAlign w:val="subscript"/>
              </w:rPr>
              <w:t>2</w:t>
            </w:r>
            <w:r w:rsidR="00F0499F">
              <w:rPr>
                <w:rFonts w:ascii="Times New Roman" w:hAnsi="Times New Roman"/>
                <w:b/>
                <w:i/>
                <w:iCs/>
                <w:sz w:val="16"/>
                <w:szCs w:val="16"/>
                <w:vertAlign w:val="subscript"/>
              </w:rPr>
              <w:t xml:space="preserve"> </w:t>
            </w:r>
            <w:r w:rsidRPr="002E1088">
              <w:rPr>
                <w:b/>
                <w:i/>
                <w:iCs/>
                <w:sz w:val="16"/>
                <w:szCs w:val="16"/>
              </w:rPr>
              <w:t>(°C)</w:t>
            </w:r>
          </w:p>
        </w:tc>
      </w:tr>
      <w:tr w:rsidR="008955F5" w:rsidRPr="002E1088" w14:paraId="5B5A16AF" w14:textId="77777777" w:rsidTr="00EA58B1">
        <w:tc>
          <w:tcPr>
            <w:tcW w:w="3114" w:type="dxa"/>
            <w:tcBorders>
              <w:top w:val="single" w:sz="12" w:space="0" w:color="auto"/>
              <w:bottom w:val="single" w:sz="4" w:space="0" w:color="auto"/>
            </w:tcBorders>
          </w:tcPr>
          <w:p w14:paraId="7C8EFAE9" w14:textId="77777777" w:rsidR="00345E00" w:rsidRPr="002E1088" w:rsidRDefault="00345E00" w:rsidP="00FE1A1B">
            <w:pPr>
              <w:pStyle w:val="SingleTxtG"/>
              <w:ind w:left="137" w:right="140"/>
              <w:jc w:val="center"/>
              <w:rPr>
                <w:rFonts w:eastAsia="Calibri" w:cs="Arial"/>
                <w:b/>
                <w:sz w:val="18"/>
                <w:szCs w:val="18"/>
                <w:lang w:val="en-GB"/>
              </w:rPr>
            </w:pPr>
            <w:r w:rsidRPr="002E1088">
              <w:rPr>
                <w:rFonts w:eastAsia="Calibri" w:cs="Arial"/>
                <w:b/>
                <w:sz w:val="18"/>
                <w:szCs w:val="18"/>
                <w:lang w:val="en-GB"/>
              </w:rPr>
              <w:t>Tyres that are classified as tyre for use in severe snow conditions</w:t>
            </w:r>
          </w:p>
        </w:tc>
        <w:tc>
          <w:tcPr>
            <w:tcW w:w="992" w:type="dxa"/>
            <w:tcBorders>
              <w:top w:val="single" w:sz="12" w:space="0" w:color="auto"/>
              <w:bottom w:val="single" w:sz="4" w:space="0" w:color="auto"/>
            </w:tcBorders>
            <w:vAlign w:val="center"/>
          </w:tcPr>
          <w:p w14:paraId="143CB85B" w14:textId="77777777" w:rsidR="00345E00" w:rsidRPr="002E1088" w:rsidRDefault="00345E00" w:rsidP="00FE1A1B">
            <w:pPr>
              <w:pStyle w:val="Tableheader"/>
              <w:autoSpaceDE w:val="0"/>
              <w:autoSpaceDN w:val="0"/>
              <w:adjustRightInd w:val="0"/>
              <w:spacing w:before="0" w:after="120" w:line="240" w:lineRule="atLeast"/>
              <w:jc w:val="center"/>
              <w:rPr>
                <w:rFonts w:ascii="Times New Roman" w:hAnsi="Times New Roman"/>
                <w:b/>
                <w:sz w:val="18"/>
                <w:szCs w:val="18"/>
              </w:rPr>
            </w:pPr>
            <w:r w:rsidRPr="002E1088">
              <w:rPr>
                <w:rFonts w:ascii="Times New Roman" w:hAnsi="Times New Roman"/>
                <w:b/>
                <w:sz w:val="18"/>
                <w:szCs w:val="18"/>
              </w:rPr>
              <w:t>1.35</w:t>
            </w:r>
          </w:p>
        </w:tc>
        <w:tc>
          <w:tcPr>
            <w:tcW w:w="992" w:type="dxa"/>
            <w:tcBorders>
              <w:top w:val="single" w:sz="12" w:space="0" w:color="auto"/>
              <w:bottom w:val="single" w:sz="4" w:space="0" w:color="auto"/>
            </w:tcBorders>
            <w:vAlign w:val="center"/>
          </w:tcPr>
          <w:p w14:paraId="78792A56" w14:textId="77777777" w:rsidR="00345E00" w:rsidRPr="002E1088" w:rsidRDefault="00345E00" w:rsidP="00FE1A1B">
            <w:pPr>
              <w:pStyle w:val="Tableheader"/>
              <w:autoSpaceDE w:val="0"/>
              <w:autoSpaceDN w:val="0"/>
              <w:adjustRightInd w:val="0"/>
              <w:spacing w:before="0" w:after="120" w:line="240" w:lineRule="atLeast"/>
              <w:jc w:val="center"/>
              <w:rPr>
                <w:rFonts w:ascii="Times New Roman" w:hAnsi="Times New Roman"/>
                <w:b/>
                <w:sz w:val="18"/>
                <w:szCs w:val="18"/>
              </w:rPr>
            </w:pPr>
            <w:r w:rsidRPr="002E1088">
              <w:rPr>
                <w:rFonts w:ascii="Times New Roman" w:hAnsi="Times New Roman"/>
                <w:b/>
                <w:sz w:val="18"/>
                <w:szCs w:val="18"/>
              </w:rPr>
              <w:t>2.29</w:t>
            </w:r>
          </w:p>
        </w:tc>
      </w:tr>
      <w:tr w:rsidR="00345E00" w:rsidRPr="002E1088" w14:paraId="7E10A38E" w14:textId="77777777" w:rsidTr="00EA58B1">
        <w:tc>
          <w:tcPr>
            <w:tcW w:w="3114" w:type="dxa"/>
            <w:tcBorders>
              <w:bottom w:val="single" w:sz="12" w:space="0" w:color="auto"/>
            </w:tcBorders>
          </w:tcPr>
          <w:p w14:paraId="2A2511B7" w14:textId="77777777" w:rsidR="00345E00" w:rsidRPr="002E1088" w:rsidRDefault="00345E00" w:rsidP="00FE1A1B">
            <w:pPr>
              <w:pStyle w:val="SingleTxtG"/>
              <w:ind w:left="137" w:right="134"/>
              <w:jc w:val="center"/>
              <w:rPr>
                <w:rFonts w:eastAsia="Calibri" w:cs="Arial"/>
                <w:b/>
                <w:sz w:val="18"/>
                <w:szCs w:val="18"/>
                <w:lang w:val="en-GB"/>
              </w:rPr>
            </w:pPr>
            <w:r w:rsidRPr="002E1088">
              <w:rPr>
                <w:rFonts w:eastAsia="Calibri" w:cs="Arial"/>
                <w:b/>
                <w:sz w:val="18"/>
                <w:szCs w:val="18"/>
                <w:lang w:val="en-GB"/>
              </w:rPr>
              <w:t>Other tyres</w:t>
            </w:r>
          </w:p>
        </w:tc>
        <w:tc>
          <w:tcPr>
            <w:tcW w:w="992" w:type="dxa"/>
            <w:tcBorders>
              <w:bottom w:val="single" w:sz="12" w:space="0" w:color="auto"/>
            </w:tcBorders>
            <w:vAlign w:val="center"/>
          </w:tcPr>
          <w:p w14:paraId="6B2560A9" w14:textId="77777777" w:rsidR="00345E00" w:rsidRPr="002E1088" w:rsidRDefault="00345E00" w:rsidP="00FE1A1B">
            <w:pPr>
              <w:pStyle w:val="Tableheader"/>
              <w:autoSpaceDE w:val="0"/>
              <w:autoSpaceDN w:val="0"/>
              <w:adjustRightInd w:val="0"/>
              <w:spacing w:before="0" w:after="120" w:line="240" w:lineRule="atLeast"/>
              <w:jc w:val="center"/>
              <w:rPr>
                <w:rFonts w:ascii="Times New Roman" w:hAnsi="Times New Roman"/>
                <w:b/>
                <w:sz w:val="18"/>
                <w:szCs w:val="18"/>
              </w:rPr>
            </w:pPr>
            <w:r w:rsidRPr="002E1088">
              <w:rPr>
                <w:rFonts w:ascii="Times New Roman" w:hAnsi="Times New Roman"/>
                <w:b/>
                <w:sz w:val="18"/>
                <w:szCs w:val="18"/>
              </w:rPr>
              <w:t>2.25</w:t>
            </w:r>
          </w:p>
        </w:tc>
        <w:tc>
          <w:tcPr>
            <w:tcW w:w="992" w:type="dxa"/>
            <w:tcBorders>
              <w:bottom w:val="single" w:sz="12" w:space="0" w:color="auto"/>
            </w:tcBorders>
            <w:vAlign w:val="center"/>
          </w:tcPr>
          <w:p w14:paraId="13FA22AB" w14:textId="77777777" w:rsidR="00345E00" w:rsidRPr="002E1088" w:rsidRDefault="00345E00" w:rsidP="00FE1A1B">
            <w:pPr>
              <w:pStyle w:val="Tableheader"/>
              <w:autoSpaceDE w:val="0"/>
              <w:autoSpaceDN w:val="0"/>
              <w:adjustRightInd w:val="0"/>
              <w:spacing w:before="0" w:after="120" w:line="240" w:lineRule="atLeast"/>
              <w:jc w:val="center"/>
              <w:rPr>
                <w:rFonts w:ascii="Times New Roman" w:hAnsi="Times New Roman"/>
                <w:b/>
                <w:sz w:val="18"/>
                <w:szCs w:val="18"/>
              </w:rPr>
            </w:pPr>
            <w:r w:rsidRPr="002E1088">
              <w:rPr>
                <w:rFonts w:ascii="Times New Roman" w:hAnsi="Times New Roman"/>
                <w:b/>
                <w:sz w:val="18"/>
                <w:szCs w:val="18"/>
              </w:rPr>
              <w:t>0</w:t>
            </w:r>
          </w:p>
        </w:tc>
      </w:tr>
      <w:bookmarkEnd w:id="7"/>
    </w:tbl>
    <w:p w14:paraId="5F5F6995" w14:textId="77777777" w:rsidR="00345E00" w:rsidRPr="008955F5" w:rsidRDefault="00345E00" w:rsidP="00FE1A1B">
      <w:pPr>
        <w:pStyle w:val="SingleTxtG"/>
        <w:ind w:left="2268"/>
        <w:rPr>
          <w:rFonts w:eastAsia="Calibri" w:cs="Arial"/>
          <w:b/>
          <w:lang w:val="en-GB"/>
        </w:rPr>
      </w:pPr>
    </w:p>
    <w:tbl>
      <w:tblPr>
        <w:tblStyle w:val="TableGrid"/>
        <w:tblW w:w="0" w:type="auto"/>
        <w:tblInd w:w="2268" w:type="dxa"/>
        <w:tblLayout w:type="fixed"/>
        <w:tblLook w:val="04A0" w:firstRow="1" w:lastRow="0" w:firstColumn="1" w:lastColumn="0" w:noHBand="0" w:noVBand="1"/>
      </w:tblPr>
      <w:tblGrid>
        <w:gridCol w:w="3114"/>
        <w:gridCol w:w="992"/>
        <w:gridCol w:w="992"/>
      </w:tblGrid>
      <w:tr w:rsidR="008955F5" w:rsidRPr="008955F5" w14:paraId="5A2C1E42" w14:textId="77777777" w:rsidTr="00EA58B1">
        <w:tc>
          <w:tcPr>
            <w:tcW w:w="3114" w:type="dxa"/>
            <w:tcBorders>
              <w:bottom w:val="single" w:sz="12" w:space="0" w:color="auto"/>
            </w:tcBorders>
          </w:tcPr>
          <w:p w14:paraId="6A6261A7" w14:textId="77777777" w:rsidR="00345E00" w:rsidRPr="008955F5" w:rsidRDefault="00345E00" w:rsidP="00FE1A1B">
            <w:pPr>
              <w:pStyle w:val="SingleTxtG"/>
              <w:ind w:left="0" w:right="140"/>
              <w:jc w:val="center"/>
              <w:rPr>
                <w:rFonts w:eastAsia="Calibri" w:cs="Arial"/>
                <w:b/>
                <w:i/>
                <w:iCs/>
                <w:sz w:val="18"/>
                <w:szCs w:val="18"/>
                <w:lang w:val="en-GB"/>
              </w:rPr>
            </w:pPr>
            <w:r w:rsidRPr="008955F5">
              <w:rPr>
                <w:rFonts w:eastAsia="Calibri" w:cs="Arial"/>
                <w:b/>
                <w:i/>
                <w:iCs/>
                <w:sz w:val="18"/>
                <w:szCs w:val="18"/>
                <w:lang w:val="en-GB"/>
              </w:rPr>
              <w:t>Class C2 tyres</w:t>
            </w:r>
          </w:p>
        </w:tc>
        <w:tc>
          <w:tcPr>
            <w:tcW w:w="992" w:type="dxa"/>
            <w:tcBorders>
              <w:bottom w:val="single" w:sz="12" w:space="0" w:color="auto"/>
            </w:tcBorders>
            <w:vAlign w:val="center"/>
          </w:tcPr>
          <w:p w14:paraId="2139DC2A" w14:textId="430E7A3D" w:rsidR="00345E00" w:rsidRPr="008955F5" w:rsidRDefault="00345E00" w:rsidP="00F0499F">
            <w:pPr>
              <w:pStyle w:val="Tableheader"/>
              <w:autoSpaceDE w:val="0"/>
              <w:autoSpaceDN w:val="0"/>
              <w:adjustRightInd w:val="0"/>
              <w:spacing w:before="0" w:after="120" w:line="240" w:lineRule="atLeast"/>
              <w:jc w:val="center"/>
              <w:rPr>
                <w:rFonts w:cs="Arial"/>
                <w:b/>
              </w:rPr>
            </w:pPr>
            <w:r w:rsidRPr="008955F5">
              <w:rPr>
                <w:rFonts w:ascii="Times New Roman" w:hAnsi="Times New Roman"/>
                <w:b/>
                <w:i/>
                <w:iCs/>
                <w:sz w:val="16"/>
                <w:szCs w:val="16"/>
              </w:rPr>
              <w:t>K</w:t>
            </w:r>
            <w:r w:rsidRPr="008955F5">
              <w:rPr>
                <w:rFonts w:ascii="Times New Roman" w:hAnsi="Times New Roman"/>
                <w:b/>
                <w:i/>
                <w:iCs/>
                <w:sz w:val="16"/>
                <w:szCs w:val="16"/>
                <w:vertAlign w:val="subscript"/>
              </w:rPr>
              <w:t>1</w:t>
            </w:r>
            <w:r w:rsidR="00F0499F">
              <w:rPr>
                <w:rFonts w:ascii="Times New Roman" w:hAnsi="Times New Roman"/>
                <w:b/>
                <w:i/>
                <w:iCs/>
                <w:sz w:val="16"/>
                <w:szCs w:val="16"/>
                <w:vertAlign w:val="subscript"/>
              </w:rPr>
              <w:t xml:space="preserve"> </w:t>
            </w:r>
            <w:r w:rsidRPr="008955F5">
              <w:rPr>
                <w:b/>
                <w:i/>
                <w:iCs/>
                <w:sz w:val="16"/>
                <w:szCs w:val="16"/>
              </w:rPr>
              <w:t>(°C)</w:t>
            </w:r>
          </w:p>
        </w:tc>
        <w:tc>
          <w:tcPr>
            <w:tcW w:w="992" w:type="dxa"/>
            <w:tcBorders>
              <w:bottom w:val="single" w:sz="12" w:space="0" w:color="auto"/>
            </w:tcBorders>
            <w:vAlign w:val="center"/>
          </w:tcPr>
          <w:p w14:paraId="3820B77E" w14:textId="108A41D5" w:rsidR="00345E00" w:rsidRPr="008955F5" w:rsidRDefault="00345E00" w:rsidP="00F0499F">
            <w:pPr>
              <w:pStyle w:val="Tableheader"/>
              <w:autoSpaceDE w:val="0"/>
              <w:autoSpaceDN w:val="0"/>
              <w:adjustRightInd w:val="0"/>
              <w:spacing w:before="0" w:after="120" w:line="240" w:lineRule="atLeast"/>
              <w:jc w:val="center"/>
              <w:rPr>
                <w:rFonts w:cs="Arial"/>
                <w:b/>
              </w:rPr>
            </w:pPr>
            <w:r w:rsidRPr="008955F5">
              <w:rPr>
                <w:rFonts w:ascii="Times New Roman" w:hAnsi="Times New Roman"/>
                <w:b/>
                <w:i/>
                <w:iCs/>
                <w:sz w:val="16"/>
                <w:szCs w:val="16"/>
              </w:rPr>
              <w:t>K</w:t>
            </w:r>
            <w:r w:rsidRPr="008955F5">
              <w:rPr>
                <w:rFonts w:ascii="Times New Roman" w:hAnsi="Times New Roman"/>
                <w:b/>
                <w:i/>
                <w:iCs/>
                <w:sz w:val="16"/>
                <w:szCs w:val="16"/>
                <w:vertAlign w:val="subscript"/>
              </w:rPr>
              <w:t>2</w:t>
            </w:r>
            <w:r w:rsidR="00F0499F">
              <w:rPr>
                <w:rFonts w:ascii="Times New Roman" w:hAnsi="Times New Roman"/>
                <w:b/>
                <w:i/>
                <w:iCs/>
                <w:sz w:val="16"/>
                <w:szCs w:val="16"/>
                <w:vertAlign w:val="subscript"/>
              </w:rPr>
              <w:t xml:space="preserve"> </w:t>
            </w:r>
            <w:r w:rsidRPr="008955F5">
              <w:rPr>
                <w:b/>
                <w:i/>
                <w:iCs/>
                <w:sz w:val="16"/>
                <w:szCs w:val="16"/>
              </w:rPr>
              <w:t>(°C)</w:t>
            </w:r>
          </w:p>
        </w:tc>
      </w:tr>
      <w:tr w:rsidR="008955F5" w:rsidRPr="008955F5" w14:paraId="7854A4F2" w14:textId="77777777" w:rsidTr="00EA58B1">
        <w:tc>
          <w:tcPr>
            <w:tcW w:w="3114" w:type="dxa"/>
            <w:tcBorders>
              <w:top w:val="single" w:sz="12" w:space="0" w:color="auto"/>
              <w:bottom w:val="single" w:sz="4" w:space="0" w:color="auto"/>
            </w:tcBorders>
          </w:tcPr>
          <w:p w14:paraId="6991C0BC" w14:textId="77777777" w:rsidR="00345E00" w:rsidRPr="008955F5" w:rsidRDefault="00345E00" w:rsidP="00FE1A1B">
            <w:pPr>
              <w:pStyle w:val="SingleTxtG"/>
              <w:ind w:left="137" w:right="140"/>
              <w:jc w:val="center"/>
              <w:rPr>
                <w:rFonts w:eastAsia="Calibri" w:cs="Arial"/>
                <w:b/>
                <w:sz w:val="18"/>
                <w:szCs w:val="18"/>
                <w:lang w:val="en-GB"/>
              </w:rPr>
            </w:pPr>
            <w:r w:rsidRPr="008955F5">
              <w:rPr>
                <w:rFonts w:eastAsia="Calibri" w:cs="Arial"/>
                <w:b/>
                <w:sz w:val="18"/>
                <w:szCs w:val="18"/>
                <w:lang w:val="en-GB"/>
              </w:rPr>
              <w:t>Tyres that are classified as tyre for use in severe snow conditions</w:t>
            </w:r>
          </w:p>
        </w:tc>
        <w:tc>
          <w:tcPr>
            <w:tcW w:w="992" w:type="dxa"/>
            <w:tcBorders>
              <w:top w:val="single" w:sz="12" w:space="0" w:color="auto"/>
              <w:bottom w:val="single" w:sz="4" w:space="0" w:color="auto"/>
            </w:tcBorders>
            <w:vAlign w:val="center"/>
          </w:tcPr>
          <w:p w14:paraId="179BE8AE" w14:textId="77777777" w:rsidR="00345E00" w:rsidRPr="008955F5" w:rsidRDefault="00345E00" w:rsidP="00FE1A1B">
            <w:pPr>
              <w:pStyle w:val="Tableheader"/>
              <w:autoSpaceDE w:val="0"/>
              <w:autoSpaceDN w:val="0"/>
              <w:adjustRightInd w:val="0"/>
              <w:spacing w:before="0" w:after="120" w:line="240" w:lineRule="atLeast"/>
              <w:jc w:val="center"/>
              <w:rPr>
                <w:rFonts w:ascii="Times New Roman" w:hAnsi="Times New Roman"/>
                <w:b/>
                <w:sz w:val="16"/>
                <w:szCs w:val="16"/>
              </w:rPr>
            </w:pPr>
            <w:r w:rsidRPr="008955F5">
              <w:rPr>
                <w:rFonts w:ascii="Times New Roman" w:hAnsi="Times New Roman"/>
                <w:b/>
                <w:sz w:val="16"/>
                <w:szCs w:val="16"/>
              </w:rPr>
              <w:t>0</w:t>
            </w:r>
          </w:p>
        </w:tc>
        <w:tc>
          <w:tcPr>
            <w:tcW w:w="992" w:type="dxa"/>
            <w:tcBorders>
              <w:top w:val="single" w:sz="12" w:space="0" w:color="auto"/>
              <w:bottom w:val="single" w:sz="4" w:space="0" w:color="auto"/>
            </w:tcBorders>
            <w:vAlign w:val="center"/>
          </w:tcPr>
          <w:p w14:paraId="533A22C4" w14:textId="77777777" w:rsidR="00345E00" w:rsidRPr="008955F5" w:rsidRDefault="00345E00" w:rsidP="00FE1A1B">
            <w:pPr>
              <w:pStyle w:val="Tableheader"/>
              <w:autoSpaceDE w:val="0"/>
              <w:autoSpaceDN w:val="0"/>
              <w:adjustRightInd w:val="0"/>
              <w:spacing w:before="0" w:after="120" w:line="240" w:lineRule="atLeast"/>
              <w:jc w:val="center"/>
              <w:rPr>
                <w:rFonts w:ascii="Times New Roman" w:hAnsi="Times New Roman"/>
                <w:b/>
                <w:sz w:val="16"/>
                <w:szCs w:val="16"/>
              </w:rPr>
            </w:pPr>
            <w:r w:rsidRPr="008955F5">
              <w:rPr>
                <w:rFonts w:ascii="Times New Roman" w:hAnsi="Times New Roman"/>
                <w:b/>
                <w:sz w:val="16"/>
                <w:szCs w:val="16"/>
              </w:rPr>
              <w:t>0</w:t>
            </w:r>
          </w:p>
        </w:tc>
      </w:tr>
      <w:tr w:rsidR="00345E00" w:rsidRPr="008955F5" w14:paraId="71D942C2" w14:textId="77777777" w:rsidTr="00EA58B1">
        <w:tc>
          <w:tcPr>
            <w:tcW w:w="3114" w:type="dxa"/>
            <w:tcBorders>
              <w:bottom w:val="single" w:sz="12" w:space="0" w:color="auto"/>
            </w:tcBorders>
          </w:tcPr>
          <w:p w14:paraId="6248DFC2" w14:textId="77777777" w:rsidR="00345E00" w:rsidRPr="008955F5" w:rsidRDefault="00345E00" w:rsidP="00FE1A1B">
            <w:pPr>
              <w:pStyle w:val="SingleTxtG"/>
              <w:ind w:left="137" w:right="134"/>
              <w:jc w:val="center"/>
              <w:rPr>
                <w:rFonts w:eastAsia="Calibri" w:cs="Arial"/>
                <w:b/>
                <w:sz w:val="18"/>
                <w:szCs w:val="18"/>
                <w:lang w:val="en-GB"/>
              </w:rPr>
            </w:pPr>
            <w:r w:rsidRPr="008955F5">
              <w:rPr>
                <w:rFonts w:eastAsia="Calibri" w:cs="Arial"/>
                <w:b/>
                <w:sz w:val="18"/>
                <w:szCs w:val="18"/>
                <w:lang w:val="en-GB"/>
              </w:rPr>
              <w:t>Other tyres</w:t>
            </w:r>
          </w:p>
        </w:tc>
        <w:tc>
          <w:tcPr>
            <w:tcW w:w="992" w:type="dxa"/>
            <w:tcBorders>
              <w:bottom w:val="single" w:sz="12" w:space="0" w:color="auto"/>
            </w:tcBorders>
            <w:vAlign w:val="center"/>
          </w:tcPr>
          <w:p w14:paraId="20BCFB75" w14:textId="77777777" w:rsidR="00345E00" w:rsidRPr="008955F5" w:rsidRDefault="00345E00" w:rsidP="00FE1A1B">
            <w:pPr>
              <w:pStyle w:val="Tableheader"/>
              <w:autoSpaceDE w:val="0"/>
              <w:autoSpaceDN w:val="0"/>
              <w:adjustRightInd w:val="0"/>
              <w:spacing w:before="0" w:after="120" w:line="240" w:lineRule="atLeast"/>
              <w:jc w:val="center"/>
              <w:rPr>
                <w:rFonts w:ascii="Times New Roman" w:hAnsi="Times New Roman"/>
                <w:b/>
                <w:sz w:val="16"/>
                <w:szCs w:val="16"/>
              </w:rPr>
            </w:pPr>
            <w:r w:rsidRPr="008955F5">
              <w:rPr>
                <w:rFonts w:ascii="Times New Roman" w:hAnsi="Times New Roman"/>
                <w:b/>
                <w:sz w:val="16"/>
                <w:szCs w:val="16"/>
              </w:rPr>
              <w:t>1.22</w:t>
            </w:r>
          </w:p>
        </w:tc>
        <w:tc>
          <w:tcPr>
            <w:tcW w:w="992" w:type="dxa"/>
            <w:tcBorders>
              <w:bottom w:val="single" w:sz="12" w:space="0" w:color="auto"/>
            </w:tcBorders>
            <w:vAlign w:val="center"/>
          </w:tcPr>
          <w:p w14:paraId="0D077326" w14:textId="77777777" w:rsidR="00345E00" w:rsidRPr="008955F5" w:rsidRDefault="00345E00" w:rsidP="00FE1A1B">
            <w:pPr>
              <w:pStyle w:val="Tableheader"/>
              <w:autoSpaceDE w:val="0"/>
              <w:autoSpaceDN w:val="0"/>
              <w:adjustRightInd w:val="0"/>
              <w:spacing w:before="0" w:after="120" w:line="240" w:lineRule="atLeast"/>
              <w:jc w:val="center"/>
              <w:rPr>
                <w:rFonts w:ascii="Times New Roman" w:hAnsi="Times New Roman"/>
                <w:b/>
                <w:sz w:val="16"/>
                <w:szCs w:val="16"/>
              </w:rPr>
            </w:pPr>
            <w:r w:rsidRPr="008955F5">
              <w:rPr>
                <w:rFonts w:ascii="Times New Roman" w:hAnsi="Times New Roman"/>
                <w:b/>
                <w:sz w:val="16"/>
                <w:szCs w:val="16"/>
              </w:rPr>
              <w:t>0</w:t>
            </w:r>
          </w:p>
        </w:tc>
      </w:tr>
    </w:tbl>
    <w:p w14:paraId="36E2F108" w14:textId="77777777" w:rsidR="00345E00" w:rsidRPr="008955F5" w:rsidRDefault="00345E00" w:rsidP="00345E00">
      <w:pPr>
        <w:pStyle w:val="SingleTxtG"/>
        <w:ind w:left="2268"/>
        <w:rPr>
          <w:bCs/>
          <w:lang w:val="en-GB"/>
        </w:rPr>
      </w:pPr>
    </w:p>
    <w:p w14:paraId="3B4590C1" w14:textId="77777777" w:rsidR="00345E00" w:rsidRPr="008955F5" w:rsidRDefault="00345E00" w:rsidP="00345E00">
      <w:pPr>
        <w:keepNext/>
        <w:keepLines/>
        <w:spacing w:after="120"/>
        <w:ind w:left="2268" w:right="1134" w:hanging="1134"/>
        <w:jc w:val="both"/>
        <w:rPr>
          <w:rFonts w:eastAsia="Calibri" w:cs="Arial"/>
          <w:b/>
          <w:bCs/>
          <w:lang w:val="en-GB"/>
        </w:rPr>
      </w:pPr>
      <w:r w:rsidRPr="008955F5">
        <w:rPr>
          <w:b/>
          <w:lang w:val="en-GB"/>
        </w:rPr>
        <w:lastRenderedPageBreak/>
        <w:t>4.2.3.</w:t>
      </w:r>
      <w:r w:rsidRPr="008955F5">
        <w:rPr>
          <w:bCs/>
          <w:lang w:val="en-GB"/>
        </w:rPr>
        <w:tab/>
        <w:t xml:space="preserve">Notwithstanding the above procedure, the temperature correction may be made only on the final reported tyre rolling sound level </w:t>
      </w:r>
      <w:r w:rsidRPr="008955F5">
        <w:rPr>
          <w:bCs/>
          <w:i/>
          <w:lang w:val="en-GB"/>
        </w:rPr>
        <w:t>L</w:t>
      </w:r>
      <w:r w:rsidRPr="008955F5">
        <w:rPr>
          <w:bCs/>
          <w:i/>
          <w:vertAlign w:val="subscript"/>
          <w:lang w:val="en-GB"/>
        </w:rPr>
        <w:t>R</w:t>
      </w:r>
      <w:r w:rsidRPr="008955F5">
        <w:rPr>
          <w:bCs/>
          <w:lang w:val="en-GB"/>
        </w:rPr>
        <w:t xml:space="preserve">, utilizing the arithmetic mean value of the measured temperatures, if the measured test surface temperature does not change more than 5 °C within all measurements necessary for the determination of the sound level of one set of tyres. </w:t>
      </w:r>
      <w:r w:rsidRPr="008955F5">
        <w:rPr>
          <w:rFonts w:eastAsia="Calibri" w:cs="Arial"/>
          <w:bCs/>
          <w:lang w:val="en-GB"/>
        </w:rPr>
        <w:t xml:space="preserve">In this case the regression analysis below shall be based on the uncorrected rolling sound levels </w:t>
      </w:r>
      <w:r w:rsidRPr="008955F5">
        <w:rPr>
          <w:rFonts w:eastAsia="Calibri" w:cs="Arial"/>
          <w:bCs/>
          <w:i/>
          <w:lang w:val="en-GB"/>
        </w:rPr>
        <w:t>L</w:t>
      </w:r>
      <w:r w:rsidRPr="008955F5">
        <w:rPr>
          <w:rFonts w:eastAsia="Calibri" w:cs="Arial"/>
          <w:bCs/>
          <w:i/>
          <w:vertAlign w:val="subscript"/>
          <w:lang w:val="en-GB"/>
        </w:rPr>
        <w:t>i</w:t>
      </w:r>
      <w:r w:rsidRPr="008955F5">
        <w:rPr>
          <w:rFonts w:eastAsia="Calibri" w:cs="Arial"/>
          <w:bCs/>
          <w:lang w:val="en-GB"/>
        </w:rPr>
        <w:t>(</w:t>
      </w:r>
      <w:proofErr w:type="spellStart"/>
      <w:r w:rsidRPr="008955F5">
        <w:rPr>
          <w:rFonts w:eastAsia="Calibri"/>
          <w:bCs/>
          <w:i/>
          <w:iCs/>
          <w:lang w:val="en-GB"/>
        </w:rPr>
        <w:t>ϑ</w:t>
      </w:r>
      <w:r w:rsidRPr="008955F5">
        <w:rPr>
          <w:rFonts w:eastAsia="Calibri" w:cs="Arial"/>
          <w:bCs/>
          <w:i/>
          <w:vertAlign w:val="subscript"/>
          <w:lang w:val="en-GB"/>
        </w:rPr>
        <w:t>i</w:t>
      </w:r>
      <w:proofErr w:type="spellEnd"/>
      <w:r w:rsidRPr="008955F5">
        <w:rPr>
          <w:rFonts w:eastAsia="Calibri" w:cs="Arial"/>
          <w:bCs/>
          <w:lang w:val="en-GB"/>
        </w:rPr>
        <w:t>).</w:t>
      </w:r>
    </w:p>
    <w:p w14:paraId="57035C60" w14:textId="3617CD6B" w:rsidR="00345E00" w:rsidRPr="008955F5" w:rsidRDefault="00345E00" w:rsidP="00C11B9A">
      <w:pPr>
        <w:pStyle w:val="SingleTxtG"/>
        <w:ind w:left="2268" w:hanging="1134"/>
        <w:rPr>
          <w:iCs/>
          <w:lang w:val="en-GB"/>
        </w:rPr>
      </w:pPr>
      <w:r w:rsidRPr="008955F5">
        <w:rPr>
          <w:bCs/>
          <w:lang w:val="en-GB"/>
        </w:rPr>
        <w:tab/>
        <w:t>There will be no temperature correction for class C3 tyres.</w:t>
      </w:r>
      <w:r w:rsidRPr="008955F5">
        <w:rPr>
          <w:iCs/>
          <w:lang w:val="en-GB"/>
        </w:rPr>
        <w:t>"</w:t>
      </w:r>
    </w:p>
    <w:p w14:paraId="5BE87CD6" w14:textId="77777777" w:rsidR="00DF4B70" w:rsidRPr="008955F5" w:rsidRDefault="00DF4B70" w:rsidP="00DF4B70">
      <w:pPr>
        <w:pStyle w:val="HChG"/>
        <w:spacing w:before="0" w:after="120" w:line="240" w:lineRule="exact"/>
        <w:ind w:left="2268" w:right="521"/>
        <w:rPr>
          <w:b w:val="0"/>
          <w:bCs/>
          <w:sz w:val="20"/>
          <w:lang w:val="en-GB"/>
        </w:rPr>
      </w:pPr>
      <w:r w:rsidRPr="008955F5">
        <w:rPr>
          <w:b w:val="0"/>
          <w:bCs/>
          <w:i/>
          <w:iCs/>
          <w:sz w:val="20"/>
          <w:lang w:val="en-GB"/>
        </w:rPr>
        <w:t xml:space="preserve">Annex 4, </w:t>
      </w:r>
      <w:r w:rsidRPr="008955F5">
        <w:rPr>
          <w:b w:val="0"/>
          <w:bCs/>
          <w:sz w:val="20"/>
          <w:lang w:val="en-GB"/>
        </w:rPr>
        <w:t>amend to read:</w:t>
      </w:r>
    </w:p>
    <w:p w14:paraId="3ACEBED0" w14:textId="58F0B211" w:rsidR="00DF4B70" w:rsidRPr="008955F5" w:rsidRDefault="00DF4B70" w:rsidP="00DF4B70">
      <w:pPr>
        <w:pStyle w:val="HChG"/>
        <w:rPr>
          <w:lang w:val="en-GB"/>
        </w:rPr>
      </w:pPr>
      <w:r w:rsidRPr="008955F5">
        <w:rPr>
          <w:b w:val="0"/>
          <w:bCs/>
          <w:sz w:val="20"/>
          <w:lang w:val="en-GB"/>
        </w:rPr>
        <w:t>"</w:t>
      </w:r>
      <w:r w:rsidRPr="008955F5">
        <w:rPr>
          <w:lang w:val="en-GB"/>
        </w:rPr>
        <w:t>Annex 4</w:t>
      </w:r>
    </w:p>
    <w:p w14:paraId="287AF2AD" w14:textId="77777777" w:rsidR="00DF4B70" w:rsidRPr="008955F5" w:rsidRDefault="00DF4B70" w:rsidP="00FE1A1B">
      <w:pPr>
        <w:pStyle w:val="HChG"/>
        <w:rPr>
          <w:strike/>
          <w:lang w:val="en-GB"/>
        </w:rPr>
      </w:pPr>
      <w:r w:rsidRPr="008955F5">
        <w:rPr>
          <w:lang w:val="en-GB"/>
        </w:rPr>
        <w:tab/>
      </w:r>
      <w:r w:rsidRPr="008955F5">
        <w:rPr>
          <w:lang w:val="en-GB"/>
        </w:rPr>
        <w:tab/>
        <w:t xml:space="preserve">Reserved </w:t>
      </w:r>
      <w:r w:rsidRPr="008955F5">
        <w:rPr>
          <w:strike/>
          <w:lang w:val="en-GB"/>
        </w:rPr>
        <w:t>Specifications for the test site</w:t>
      </w:r>
      <w:r w:rsidRPr="008955F5">
        <w:rPr>
          <w:rStyle w:val="FootnoteReference"/>
          <w:strike/>
          <w:sz w:val="24"/>
          <w:szCs w:val="24"/>
          <w:lang w:val="en-GB"/>
        </w:rPr>
        <w:footnoteReference w:id="3"/>
      </w:r>
    </w:p>
    <w:p w14:paraId="0FBCAAC5" w14:textId="77777777" w:rsidR="00DF4B70" w:rsidRPr="008955F5" w:rsidRDefault="00DF4B70" w:rsidP="00FE1A1B">
      <w:pPr>
        <w:pStyle w:val="SingleTxtG"/>
        <w:ind w:left="2268" w:hanging="1134"/>
        <w:rPr>
          <w:bCs/>
          <w:strike/>
          <w:lang w:val="en-GB"/>
        </w:rPr>
      </w:pPr>
      <w:r w:rsidRPr="008955F5">
        <w:rPr>
          <w:bCs/>
          <w:strike/>
          <w:lang w:val="en-GB"/>
        </w:rPr>
        <w:t>1.</w:t>
      </w:r>
      <w:r w:rsidRPr="00AE7CB3">
        <w:rPr>
          <w:bCs/>
          <w:lang w:val="en-GB"/>
        </w:rPr>
        <w:tab/>
      </w:r>
      <w:r w:rsidRPr="008955F5">
        <w:rPr>
          <w:bCs/>
          <w:strike/>
          <w:lang w:val="en-GB"/>
        </w:rPr>
        <w:t>Introduction</w:t>
      </w:r>
    </w:p>
    <w:p w14:paraId="53F00BD3" w14:textId="77777777" w:rsidR="00DF4B70" w:rsidRPr="008955F5" w:rsidRDefault="00DF4B70" w:rsidP="00FE1A1B">
      <w:pPr>
        <w:pStyle w:val="SingleTxtG"/>
        <w:ind w:left="2268" w:hanging="1134"/>
        <w:rPr>
          <w:bCs/>
          <w:strike/>
          <w:lang w:val="en-GB"/>
        </w:rPr>
      </w:pPr>
      <w:r w:rsidRPr="00AE7CB3">
        <w:rPr>
          <w:bCs/>
          <w:lang w:val="en-GB"/>
        </w:rPr>
        <w:tab/>
      </w:r>
      <w:r w:rsidRPr="008955F5">
        <w:rPr>
          <w:bCs/>
          <w:strike/>
          <w:lang w:val="en-GB"/>
        </w:rPr>
        <w:t>This annex describes the specifications relating to the physical characteristics and the laying of the test track. These specifications based on a special standard</w:t>
      </w:r>
      <w:r w:rsidRPr="008955F5">
        <w:rPr>
          <w:rStyle w:val="FootnoteReference"/>
          <w:bCs/>
          <w:strike/>
          <w:lang w:val="en-GB"/>
        </w:rPr>
        <w:footnoteReference w:id="4"/>
      </w:r>
      <w:r w:rsidRPr="008955F5">
        <w:rPr>
          <w:bCs/>
          <w:strike/>
          <w:lang w:val="en-GB"/>
        </w:rPr>
        <w:t xml:space="preserve"> describe the required physical characteristics as well as the test methods for these characteristics.</w:t>
      </w:r>
    </w:p>
    <w:p w14:paraId="3B0289B3" w14:textId="77777777" w:rsidR="00DF4B70" w:rsidRPr="008955F5" w:rsidRDefault="00DF4B70" w:rsidP="00FE1A1B">
      <w:pPr>
        <w:pStyle w:val="SingleTxtG"/>
        <w:ind w:left="2268" w:hanging="1134"/>
        <w:rPr>
          <w:bCs/>
          <w:strike/>
          <w:lang w:val="en-GB"/>
        </w:rPr>
      </w:pPr>
      <w:r w:rsidRPr="008955F5">
        <w:rPr>
          <w:bCs/>
          <w:strike/>
          <w:lang w:val="en-GB"/>
        </w:rPr>
        <w:t>2.</w:t>
      </w:r>
      <w:r w:rsidRPr="00AE7CB3">
        <w:rPr>
          <w:bCs/>
          <w:lang w:val="en-GB"/>
        </w:rPr>
        <w:tab/>
      </w:r>
      <w:r w:rsidRPr="008955F5">
        <w:rPr>
          <w:bCs/>
          <w:strike/>
          <w:lang w:val="en-GB"/>
        </w:rPr>
        <w:t>Required characteristics of the surface</w:t>
      </w:r>
    </w:p>
    <w:p w14:paraId="6B696F04" w14:textId="77777777" w:rsidR="00DF4B70" w:rsidRPr="008955F5" w:rsidRDefault="00DF4B70" w:rsidP="00FE1A1B">
      <w:pPr>
        <w:pStyle w:val="SingleTxtG"/>
        <w:ind w:left="2268" w:hanging="1134"/>
        <w:rPr>
          <w:bCs/>
          <w:strike/>
          <w:lang w:val="en-GB"/>
        </w:rPr>
      </w:pPr>
      <w:r w:rsidRPr="00AE7CB3">
        <w:rPr>
          <w:bCs/>
          <w:lang w:val="en-GB"/>
        </w:rPr>
        <w:tab/>
      </w:r>
      <w:r w:rsidRPr="008955F5">
        <w:rPr>
          <w:bCs/>
          <w:strike/>
          <w:lang w:val="en-GB"/>
        </w:rPr>
        <w:t>A surface is considered to conform to this standard provided that the texture and voids content or sound absorption coefficient have been measured and found to fulfil all the requirements of paragraphs 2.1. to 2.4. below and provided that the design requirements (paragraph 3.2. below) have been met.</w:t>
      </w:r>
    </w:p>
    <w:p w14:paraId="46D4E83C" w14:textId="77777777" w:rsidR="00DF4B70" w:rsidRPr="008955F5" w:rsidRDefault="00DF4B70" w:rsidP="00FE1A1B">
      <w:pPr>
        <w:pStyle w:val="SingleTxtG"/>
        <w:ind w:left="2268" w:hanging="1134"/>
        <w:rPr>
          <w:bCs/>
          <w:strike/>
          <w:lang w:val="en-GB"/>
        </w:rPr>
      </w:pPr>
      <w:r w:rsidRPr="008955F5">
        <w:rPr>
          <w:bCs/>
          <w:strike/>
          <w:lang w:val="en-GB"/>
        </w:rPr>
        <w:t>2.1.</w:t>
      </w:r>
      <w:r w:rsidRPr="00AE7CB3">
        <w:rPr>
          <w:bCs/>
          <w:lang w:val="en-GB"/>
        </w:rPr>
        <w:tab/>
      </w:r>
      <w:r w:rsidRPr="008955F5">
        <w:rPr>
          <w:bCs/>
          <w:strike/>
          <w:lang w:val="en-GB"/>
        </w:rPr>
        <w:t>Residual voids content</w:t>
      </w:r>
    </w:p>
    <w:p w14:paraId="70DE2255" w14:textId="77777777" w:rsidR="00DF4B70" w:rsidRPr="008955F5" w:rsidRDefault="00DF4B70" w:rsidP="00FE1A1B">
      <w:pPr>
        <w:pStyle w:val="SingleTxtG"/>
        <w:ind w:left="2268" w:hanging="1134"/>
        <w:rPr>
          <w:bCs/>
          <w:strike/>
          <w:lang w:val="en-GB"/>
        </w:rPr>
      </w:pPr>
      <w:r w:rsidRPr="00AE7CB3">
        <w:rPr>
          <w:bCs/>
          <w:lang w:val="en-GB"/>
        </w:rPr>
        <w:tab/>
      </w:r>
      <w:r w:rsidRPr="008955F5">
        <w:rPr>
          <w:bCs/>
          <w:strike/>
          <w:lang w:val="en-GB"/>
        </w:rPr>
        <w:t>The residual Voids Content (VC) of the test track paving mixture shall not exceed 8 per cent. For the measurement procedure, see paragraph 4.1. of this Annex.</w:t>
      </w:r>
    </w:p>
    <w:p w14:paraId="14D7FD3C" w14:textId="77777777" w:rsidR="00DF4B70" w:rsidRPr="008955F5" w:rsidRDefault="00DF4B70" w:rsidP="00FE1A1B">
      <w:pPr>
        <w:pStyle w:val="SingleTxtG"/>
        <w:ind w:left="2268" w:hanging="1134"/>
        <w:rPr>
          <w:bCs/>
          <w:strike/>
          <w:lang w:val="en-GB"/>
        </w:rPr>
      </w:pPr>
      <w:r w:rsidRPr="008955F5">
        <w:rPr>
          <w:bCs/>
          <w:strike/>
          <w:lang w:val="en-GB"/>
        </w:rPr>
        <w:t>2.2.</w:t>
      </w:r>
      <w:r w:rsidRPr="00AE7CB3">
        <w:rPr>
          <w:bCs/>
          <w:lang w:val="en-GB"/>
        </w:rPr>
        <w:tab/>
      </w:r>
      <w:r w:rsidRPr="008955F5">
        <w:rPr>
          <w:bCs/>
          <w:strike/>
          <w:lang w:val="en-GB"/>
        </w:rPr>
        <w:t>Sound absorption coefficient</w:t>
      </w:r>
    </w:p>
    <w:p w14:paraId="3D1A9F12" w14:textId="77777777" w:rsidR="00DF4B70" w:rsidRPr="008955F5" w:rsidRDefault="00DF4B70" w:rsidP="00FE1A1B">
      <w:pPr>
        <w:pStyle w:val="SingleTxtG"/>
        <w:ind w:left="2268" w:hanging="1134"/>
        <w:rPr>
          <w:bCs/>
          <w:strike/>
          <w:lang w:val="en-GB"/>
        </w:rPr>
      </w:pPr>
      <w:r w:rsidRPr="00AE7CB3">
        <w:rPr>
          <w:bCs/>
          <w:lang w:val="en-GB"/>
        </w:rPr>
        <w:tab/>
      </w:r>
      <w:r w:rsidRPr="008955F5">
        <w:rPr>
          <w:bCs/>
          <w:strike/>
          <w:lang w:val="en-GB"/>
        </w:rPr>
        <w:t>If the surface fails to comply with the residual voids content requirement, the surface is acceptable only if its sound absorption coefficient is α ≤ 0.10. For the measurement procedure, see paragraph 4.2. below. The requirements of this paragraph 2.1. above are met also if only sound absorption has been measured and found to be α ≤ 0.10.</w:t>
      </w:r>
    </w:p>
    <w:p w14:paraId="415538D3" w14:textId="77777777" w:rsidR="00DF4B70" w:rsidRPr="008955F5" w:rsidRDefault="00DF4B70" w:rsidP="00FE1A1B">
      <w:pPr>
        <w:pStyle w:val="SingleTxtG"/>
        <w:tabs>
          <w:tab w:val="left" w:pos="2900"/>
        </w:tabs>
        <w:ind w:left="2268" w:hanging="1134"/>
        <w:rPr>
          <w:bCs/>
          <w:strike/>
          <w:lang w:val="en-GB"/>
        </w:rPr>
      </w:pPr>
      <w:r w:rsidRPr="00AE7CB3">
        <w:rPr>
          <w:bCs/>
          <w:i/>
          <w:lang w:val="en-GB"/>
        </w:rPr>
        <w:tab/>
      </w:r>
      <w:r w:rsidRPr="008955F5">
        <w:rPr>
          <w:bCs/>
          <w:i/>
          <w:strike/>
          <w:lang w:val="en-GB"/>
        </w:rPr>
        <w:t>Note</w:t>
      </w:r>
      <w:r w:rsidRPr="008955F5">
        <w:rPr>
          <w:bCs/>
          <w:strike/>
          <w:lang w:val="en-GB"/>
        </w:rPr>
        <w:t>:</w:t>
      </w:r>
      <w:r w:rsidRPr="008955F5">
        <w:rPr>
          <w:bCs/>
          <w:strike/>
          <w:lang w:val="en-GB"/>
        </w:rPr>
        <w:tab/>
        <w:t>The most relevant characteristic is the sound absorption, although the residual voids content is more familiar among road constructors. However, sound absorption needs to be measured only if the surface fails to comply with the voids requirement. This is motivated because the latter is connected with relatively large uncertainties in terms of both measurements and relevance and some surfaces therefore erroneously may be rejected when based only on the voids measurement.</w:t>
      </w:r>
    </w:p>
    <w:p w14:paraId="7D71D4D5" w14:textId="77777777" w:rsidR="00DF4B70" w:rsidRPr="008955F5" w:rsidRDefault="00DF4B70" w:rsidP="00FE1A1B">
      <w:pPr>
        <w:pStyle w:val="SingleTxtG"/>
        <w:ind w:left="2268" w:hanging="1134"/>
        <w:rPr>
          <w:bCs/>
          <w:strike/>
          <w:lang w:val="en-GB"/>
        </w:rPr>
      </w:pPr>
      <w:r w:rsidRPr="008955F5">
        <w:rPr>
          <w:bCs/>
          <w:strike/>
          <w:lang w:val="en-GB"/>
        </w:rPr>
        <w:t>2.3.</w:t>
      </w:r>
      <w:r w:rsidRPr="00AE7CB3">
        <w:rPr>
          <w:bCs/>
          <w:lang w:val="en-GB"/>
        </w:rPr>
        <w:tab/>
      </w:r>
      <w:r w:rsidRPr="008955F5">
        <w:rPr>
          <w:bCs/>
          <w:strike/>
          <w:lang w:val="en-GB"/>
        </w:rPr>
        <w:t>Texture depth</w:t>
      </w:r>
    </w:p>
    <w:p w14:paraId="12FEFBF3" w14:textId="77777777" w:rsidR="00DF4B70" w:rsidRPr="008955F5" w:rsidRDefault="00DF4B70" w:rsidP="00FE1A1B">
      <w:pPr>
        <w:pStyle w:val="SingleTxtG"/>
        <w:ind w:left="2268" w:hanging="1134"/>
        <w:rPr>
          <w:bCs/>
          <w:strike/>
          <w:lang w:val="en-GB"/>
        </w:rPr>
      </w:pPr>
      <w:r w:rsidRPr="00AE7CB3">
        <w:rPr>
          <w:bCs/>
          <w:lang w:val="en-GB"/>
        </w:rPr>
        <w:tab/>
      </w:r>
      <w:r w:rsidRPr="008955F5">
        <w:rPr>
          <w:bCs/>
          <w:strike/>
          <w:lang w:val="en-GB"/>
        </w:rPr>
        <w:t>The Texture Depth (TD) measured according to the volumetric method (see paragraph 4.3. below) shall be:</w:t>
      </w:r>
    </w:p>
    <w:p w14:paraId="5B144376" w14:textId="77777777" w:rsidR="00DF4B70" w:rsidRPr="008955F5" w:rsidRDefault="00DF4B70" w:rsidP="00FE1A1B">
      <w:pPr>
        <w:pStyle w:val="SingleTxtG"/>
        <w:ind w:left="2268"/>
        <w:jc w:val="left"/>
        <w:rPr>
          <w:bCs/>
          <w:strike/>
          <w:lang w:val="en-GB"/>
        </w:rPr>
      </w:pPr>
      <w:r w:rsidRPr="008955F5">
        <w:rPr>
          <w:bCs/>
          <w:strike/>
          <w:lang w:val="en-GB"/>
        </w:rPr>
        <w:t>TD ≥ 0.4 mm</w:t>
      </w:r>
    </w:p>
    <w:p w14:paraId="336CE9D3" w14:textId="77777777" w:rsidR="00DF4B70" w:rsidRPr="008955F5" w:rsidRDefault="00DF4B70" w:rsidP="00FE1A1B">
      <w:pPr>
        <w:pStyle w:val="SingleTxtG"/>
        <w:keepNext/>
        <w:keepLines/>
        <w:ind w:left="2268" w:hanging="1134"/>
        <w:rPr>
          <w:bCs/>
          <w:strike/>
          <w:lang w:val="en-GB"/>
        </w:rPr>
      </w:pPr>
      <w:r w:rsidRPr="008955F5">
        <w:rPr>
          <w:bCs/>
          <w:strike/>
          <w:lang w:val="en-GB"/>
        </w:rPr>
        <w:lastRenderedPageBreak/>
        <w:t>2.4.</w:t>
      </w:r>
      <w:r w:rsidRPr="00AE7CB3">
        <w:rPr>
          <w:bCs/>
          <w:lang w:val="en-GB"/>
        </w:rPr>
        <w:tab/>
      </w:r>
      <w:r w:rsidRPr="008955F5">
        <w:rPr>
          <w:bCs/>
          <w:strike/>
          <w:lang w:val="en-GB"/>
        </w:rPr>
        <w:t>Homogeneity of the surface</w:t>
      </w:r>
    </w:p>
    <w:p w14:paraId="745302F7" w14:textId="77777777" w:rsidR="00DF4B70" w:rsidRPr="008955F5" w:rsidRDefault="00DF4B70" w:rsidP="00FE1A1B">
      <w:pPr>
        <w:pStyle w:val="SingleTxtG"/>
        <w:keepNext/>
        <w:keepLines/>
        <w:ind w:left="2268" w:hanging="1134"/>
        <w:rPr>
          <w:bCs/>
          <w:strike/>
          <w:lang w:val="en-GB"/>
        </w:rPr>
      </w:pPr>
      <w:r w:rsidRPr="00AE7CB3">
        <w:rPr>
          <w:bCs/>
          <w:lang w:val="en-GB"/>
        </w:rPr>
        <w:tab/>
      </w:r>
      <w:r w:rsidRPr="008955F5">
        <w:rPr>
          <w:bCs/>
          <w:strike/>
          <w:lang w:val="en-GB"/>
        </w:rPr>
        <w:t>Every practical effort shall be taken to ensure that the surface is made to be as homogeneous as possible within the test area. This includes the texture and voids content, but it should also be observed that if the rolling process results in more effective rolling at some places than others, the texture may be different and unevenness causing bumps may also occur.</w:t>
      </w:r>
    </w:p>
    <w:p w14:paraId="2FA5AA3A" w14:textId="77777777" w:rsidR="00DF4B70" w:rsidRPr="008955F5" w:rsidRDefault="00DF4B70" w:rsidP="00FE1A1B">
      <w:pPr>
        <w:pStyle w:val="SingleTxtG"/>
        <w:keepNext/>
        <w:keepLines/>
        <w:ind w:left="2268" w:hanging="1134"/>
        <w:rPr>
          <w:bCs/>
          <w:strike/>
          <w:lang w:val="en-GB"/>
        </w:rPr>
      </w:pPr>
      <w:r w:rsidRPr="008955F5">
        <w:rPr>
          <w:bCs/>
          <w:strike/>
          <w:lang w:val="en-GB"/>
        </w:rPr>
        <w:t>2.5.</w:t>
      </w:r>
      <w:r w:rsidRPr="00AE7CB3">
        <w:rPr>
          <w:bCs/>
          <w:lang w:val="en-GB"/>
        </w:rPr>
        <w:tab/>
      </w:r>
      <w:r w:rsidRPr="008955F5">
        <w:rPr>
          <w:bCs/>
          <w:strike/>
          <w:lang w:val="en-GB"/>
        </w:rPr>
        <w:t>Period of testing</w:t>
      </w:r>
    </w:p>
    <w:p w14:paraId="01804D83" w14:textId="77777777" w:rsidR="00DF4B70" w:rsidRPr="008955F5" w:rsidRDefault="00DF4B70" w:rsidP="00FE1A1B">
      <w:pPr>
        <w:pStyle w:val="SingleTxtG"/>
        <w:keepNext/>
        <w:keepLines/>
        <w:ind w:left="2268" w:hanging="1134"/>
        <w:rPr>
          <w:bCs/>
          <w:strike/>
          <w:lang w:val="en-GB"/>
        </w:rPr>
      </w:pPr>
      <w:r w:rsidRPr="00AE7CB3">
        <w:rPr>
          <w:bCs/>
          <w:lang w:val="en-GB"/>
        </w:rPr>
        <w:tab/>
      </w:r>
      <w:r w:rsidRPr="008955F5">
        <w:rPr>
          <w:bCs/>
          <w:strike/>
          <w:lang w:val="en-GB"/>
        </w:rPr>
        <w:t>In order to check whether the surface continues to conform to the texture and voids content or sound absorption requirements stipulated in this standard, periodic testing of the surface shall be done at the following intervals:</w:t>
      </w:r>
    </w:p>
    <w:p w14:paraId="322A5748" w14:textId="77777777" w:rsidR="00DF4B70" w:rsidRPr="008955F5" w:rsidRDefault="00DF4B70" w:rsidP="00FE1A1B">
      <w:pPr>
        <w:pStyle w:val="SingleTxtG"/>
        <w:ind w:left="2268" w:hanging="1134"/>
        <w:rPr>
          <w:bCs/>
          <w:strike/>
          <w:lang w:val="en-GB"/>
        </w:rPr>
      </w:pPr>
      <w:r w:rsidRPr="00AE7CB3">
        <w:rPr>
          <w:bCs/>
          <w:lang w:val="en-GB"/>
        </w:rPr>
        <w:tab/>
      </w:r>
      <w:r w:rsidRPr="008955F5">
        <w:rPr>
          <w:bCs/>
          <w:strike/>
          <w:lang w:val="en-GB"/>
        </w:rPr>
        <w:t>(a)</w:t>
      </w:r>
      <w:r w:rsidRPr="008955F5">
        <w:rPr>
          <w:bCs/>
          <w:strike/>
          <w:lang w:val="en-GB"/>
        </w:rPr>
        <w:tab/>
        <w:t>For residual VC or sound absorption (α):</w:t>
      </w:r>
    </w:p>
    <w:p w14:paraId="1D6343F2" w14:textId="77777777" w:rsidR="00DF4B70" w:rsidRPr="008955F5" w:rsidRDefault="00DF4B70" w:rsidP="00FE1A1B">
      <w:pPr>
        <w:pStyle w:val="SingleTxtG"/>
        <w:ind w:left="2268" w:hanging="1134"/>
        <w:rPr>
          <w:bCs/>
          <w:strike/>
          <w:lang w:val="en-GB"/>
        </w:rPr>
      </w:pPr>
      <w:r w:rsidRPr="00AE7CB3">
        <w:rPr>
          <w:bCs/>
          <w:lang w:val="en-GB"/>
        </w:rPr>
        <w:tab/>
      </w:r>
      <w:r w:rsidRPr="00AE7CB3">
        <w:rPr>
          <w:bCs/>
          <w:lang w:val="en-GB"/>
        </w:rPr>
        <w:tab/>
      </w:r>
      <w:r w:rsidRPr="00AE7CB3">
        <w:rPr>
          <w:bCs/>
          <w:lang w:val="en-GB"/>
        </w:rPr>
        <w:tab/>
      </w:r>
      <w:r w:rsidRPr="008955F5">
        <w:rPr>
          <w:bCs/>
          <w:strike/>
          <w:lang w:val="en-GB"/>
        </w:rPr>
        <w:t>When the surface is new:</w:t>
      </w:r>
    </w:p>
    <w:p w14:paraId="04325147" w14:textId="77777777" w:rsidR="00DF4B70" w:rsidRPr="008955F5" w:rsidRDefault="00DF4B70" w:rsidP="00FE1A1B">
      <w:pPr>
        <w:pStyle w:val="SingleTxtG"/>
        <w:ind w:left="2835" w:hanging="1134"/>
        <w:rPr>
          <w:bCs/>
          <w:strike/>
          <w:lang w:val="en-GB"/>
        </w:rPr>
      </w:pPr>
      <w:r w:rsidRPr="00AE7CB3">
        <w:rPr>
          <w:bCs/>
          <w:lang w:val="en-GB"/>
        </w:rPr>
        <w:tab/>
      </w:r>
      <w:r w:rsidRPr="008955F5">
        <w:rPr>
          <w:bCs/>
          <w:strike/>
          <w:lang w:val="en-GB"/>
        </w:rPr>
        <w:t>If the surface meets the requirements when new, no further periodical testing is required. If it does not meet the requirement when it is new, it may do so later because surfaces tend to become clogged and compacted with time;</w:t>
      </w:r>
    </w:p>
    <w:p w14:paraId="1964CF06" w14:textId="77777777" w:rsidR="00DF4B70" w:rsidRPr="008955F5" w:rsidRDefault="00DF4B70" w:rsidP="00FE1A1B">
      <w:pPr>
        <w:pStyle w:val="SingleTxtG"/>
        <w:ind w:left="2268" w:hanging="1134"/>
        <w:rPr>
          <w:bCs/>
          <w:strike/>
          <w:lang w:val="en-GB"/>
        </w:rPr>
      </w:pPr>
      <w:r w:rsidRPr="00AE7CB3">
        <w:rPr>
          <w:bCs/>
          <w:lang w:val="en-GB"/>
        </w:rPr>
        <w:tab/>
      </w:r>
      <w:r w:rsidRPr="008955F5">
        <w:rPr>
          <w:bCs/>
          <w:strike/>
          <w:lang w:val="en-GB"/>
        </w:rPr>
        <w:t>(b)</w:t>
      </w:r>
      <w:r w:rsidRPr="008955F5">
        <w:rPr>
          <w:bCs/>
          <w:strike/>
          <w:lang w:val="en-GB"/>
        </w:rPr>
        <w:tab/>
        <w:t>For TD:</w:t>
      </w:r>
    </w:p>
    <w:p w14:paraId="4B66DA2E" w14:textId="77777777" w:rsidR="00DF4B70" w:rsidRPr="008955F5" w:rsidRDefault="00DF4B70" w:rsidP="00FE1A1B">
      <w:pPr>
        <w:pStyle w:val="SingleTxtG"/>
        <w:ind w:left="2835" w:hanging="1134"/>
        <w:rPr>
          <w:bCs/>
          <w:strike/>
          <w:lang w:val="en-GB"/>
        </w:rPr>
      </w:pPr>
      <w:r w:rsidRPr="00AE7CB3">
        <w:rPr>
          <w:bCs/>
          <w:lang w:val="en-GB"/>
        </w:rPr>
        <w:tab/>
      </w:r>
      <w:r w:rsidRPr="008955F5">
        <w:rPr>
          <w:bCs/>
          <w:strike/>
          <w:lang w:val="en-GB"/>
        </w:rPr>
        <w:t>When the surface is new:</w:t>
      </w:r>
    </w:p>
    <w:p w14:paraId="43CCF35C" w14:textId="77777777" w:rsidR="00DF4B70" w:rsidRPr="008955F5" w:rsidRDefault="00DF4B70" w:rsidP="00FE1A1B">
      <w:pPr>
        <w:pStyle w:val="SingleTxtG"/>
        <w:ind w:left="2835" w:hanging="1134"/>
        <w:rPr>
          <w:bCs/>
          <w:strike/>
          <w:lang w:val="en-GB"/>
        </w:rPr>
      </w:pPr>
      <w:r w:rsidRPr="00AE7CB3">
        <w:rPr>
          <w:bCs/>
          <w:lang w:val="en-GB"/>
        </w:rPr>
        <w:tab/>
      </w:r>
      <w:r w:rsidRPr="008955F5">
        <w:rPr>
          <w:bCs/>
          <w:strike/>
          <w:lang w:val="en-GB"/>
        </w:rPr>
        <w:t>When the noise testing starts (</w:t>
      </w:r>
      <w:r w:rsidRPr="008955F5">
        <w:rPr>
          <w:bCs/>
          <w:i/>
          <w:strike/>
          <w:lang w:val="en-GB"/>
        </w:rPr>
        <w:t>Note</w:t>
      </w:r>
      <w:r w:rsidRPr="008955F5">
        <w:rPr>
          <w:bCs/>
          <w:strike/>
          <w:lang w:val="en-GB"/>
        </w:rPr>
        <w:t>: Not before four weeks after laying);</w:t>
      </w:r>
    </w:p>
    <w:p w14:paraId="28A0EE16" w14:textId="77777777" w:rsidR="00DF4B70" w:rsidRPr="008955F5" w:rsidRDefault="00DF4B70" w:rsidP="00FE1A1B">
      <w:pPr>
        <w:pStyle w:val="SingleTxtG"/>
        <w:ind w:left="2835" w:hanging="1134"/>
        <w:rPr>
          <w:bCs/>
          <w:strike/>
          <w:lang w:val="en-GB"/>
        </w:rPr>
      </w:pPr>
      <w:r w:rsidRPr="00AE7CB3">
        <w:rPr>
          <w:bCs/>
          <w:lang w:val="en-GB"/>
        </w:rPr>
        <w:tab/>
      </w:r>
      <w:r w:rsidRPr="008955F5">
        <w:rPr>
          <w:bCs/>
          <w:strike/>
          <w:lang w:val="en-GB"/>
        </w:rPr>
        <w:t>Then every twelve months.</w:t>
      </w:r>
    </w:p>
    <w:p w14:paraId="40DA776B" w14:textId="77777777" w:rsidR="00DF4B70" w:rsidRPr="008955F5" w:rsidRDefault="00DF4B70" w:rsidP="00FE1A1B">
      <w:pPr>
        <w:pStyle w:val="SingleTxtG"/>
        <w:ind w:left="2268" w:hanging="1134"/>
        <w:rPr>
          <w:bCs/>
          <w:strike/>
          <w:lang w:val="en-GB"/>
        </w:rPr>
      </w:pPr>
      <w:r w:rsidRPr="008955F5">
        <w:rPr>
          <w:bCs/>
          <w:strike/>
          <w:lang w:val="en-GB"/>
        </w:rPr>
        <w:t>3.</w:t>
      </w:r>
      <w:r w:rsidRPr="00AE7CB3">
        <w:rPr>
          <w:bCs/>
          <w:lang w:val="en-GB"/>
        </w:rPr>
        <w:tab/>
      </w:r>
      <w:r w:rsidRPr="008955F5">
        <w:rPr>
          <w:bCs/>
          <w:strike/>
          <w:lang w:val="en-GB"/>
        </w:rPr>
        <w:t>Test surface design</w:t>
      </w:r>
    </w:p>
    <w:p w14:paraId="18240AE8" w14:textId="77777777" w:rsidR="00DF4B70" w:rsidRPr="008955F5" w:rsidRDefault="00DF4B70" w:rsidP="00FE1A1B">
      <w:pPr>
        <w:pStyle w:val="SingleTxtG"/>
        <w:ind w:left="2268" w:hanging="1134"/>
        <w:rPr>
          <w:bCs/>
          <w:strike/>
          <w:lang w:val="en-GB"/>
        </w:rPr>
      </w:pPr>
      <w:r w:rsidRPr="008955F5">
        <w:rPr>
          <w:bCs/>
          <w:strike/>
          <w:lang w:val="en-GB"/>
        </w:rPr>
        <w:t>3.1.</w:t>
      </w:r>
      <w:r w:rsidRPr="00AE7CB3">
        <w:rPr>
          <w:bCs/>
          <w:lang w:val="en-GB"/>
        </w:rPr>
        <w:tab/>
      </w:r>
      <w:r w:rsidRPr="008955F5">
        <w:rPr>
          <w:bCs/>
          <w:strike/>
          <w:lang w:val="en-GB"/>
        </w:rPr>
        <w:t>Area</w:t>
      </w:r>
    </w:p>
    <w:p w14:paraId="39C32140" w14:textId="77777777" w:rsidR="00DF4B70" w:rsidRPr="008955F5" w:rsidRDefault="00DF4B70" w:rsidP="00FE1A1B">
      <w:pPr>
        <w:pStyle w:val="SingleTxtG"/>
        <w:ind w:left="2268" w:hanging="1134"/>
        <w:rPr>
          <w:bCs/>
          <w:strike/>
          <w:lang w:val="en-GB"/>
        </w:rPr>
      </w:pPr>
      <w:r w:rsidRPr="00AE7CB3">
        <w:rPr>
          <w:bCs/>
          <w:lang w:val="en-GB"/>
        </w:rPr>
        <w:tab/>
      </w:r>
      <w:r w:rsidRPr="008955F5">
        <w:rPr>
          <w:bCs/>
          <w:strike/>
          <w:lang w:val="en-GB"/>
        </w:rPr>
        <w:t>When designing the test track layout it is important to ensure that, as a minimum requirement, the area traversed by the vehicles running through the test strip is covered with the specified test material with suitable margins for safe and practical driving. This will require that the width of the track is at least 3 m and the length of the track extends beyond lines AA and BB by at least 10 m at either end. Figure 1 shows a plan of a suitable test site and indicates the minimum area which shall be machine laid and machine compacted with the specified test surface material. According to Annex 3, paragraph 3.2., measurements have to be made on each side of the vehicle. This can be made either by measuring with two microphone locations (one on each side of the track) and driving in one direction, or measuring with a microphone only on one side of the track but driving the vehicle in two directions. If the latter method is used, then there are no surface requirements on that side of the track where there is no microphone.</w:t>
      </w:r>
    </w:p>
    <w:p w14:paraId="0DDF6C38" w14:textId="77777777" w:rsidR="00DF4B70" w:rsidRPr="008955F5" w:rsidRDefault="00DF4B70" w:rsidP="00AE7CB3">
      <w:pPr>
        <w:pStyle w:val="Heading1"/>
        <w:numPr>
          <w:ilvl w:val="0"/>
          <w:numId w:val="0"/>
        </w:numPr>
        <w:ind w:left="567" w:firstLine="567"/>
        <w:rPr>
          <w:strike/>
          <w:lang w:val="en-GB"/>
        </w:rPr>
      </w:pPr>
      <w:r w:rsidRPr="008955F5">
        <w:rPr>
          <w:strike/>
          <w:lang w:val="en-GB"/>
        </w:rPr>
        <w:br w:type="page"/>
      </w:r>
      <w:bookmarkStart w:id="8" w:name="_Toc367177766"/>
      <w:bookmarkStart w:id="9" w:name="_Toc432594580"/>
      <w:bookmarkStart w:id="10" w:name="_Toc440609132"/>
      <w:bookmarkStart w:id="11" w:name="_Toc61444508"/>
      <w:r w:rsidRPr="008955F5">
        <w:rPr>
          <w:strike/>
          <w:lang w:val="en-GB"/>
        </w:rPr>
        <w:lastRenderedPageBreak/>
        <w:t>Figure 1</w:t>
      </w:r>
      <w:bookmarkEnd w:id="8"/>
      <w:bookmarkEnd w:id="9"/>
      <w:bookmarkEnd w:id="10"/>
      <w:bookmarkEnd w:id="11"/>
    </w:p>
    <w:p w14:paraId="4F475D43" w14:textId="77777777" w:rsidR="00DF4B70" w:rsidRPr="008955F5" w:rsidRDefault="00DF4B70" w:rsidP="00FE1A1B">
      <w:pPr>
        <w:pStyle w:val="SingleTxtG"/>
        <w:rPr>
          <w:b/>
          <w:bCs/>
          <w:strike/>
          <w:lang w:val="en-GB"/>
        </w:rPr>
      </w:pPr>
      <w:r w:rsidRPr="008955F5">
        <w:rPr>
          <w:b/>
          <w:bCs/>
          <w:strike/>
          <w:lang w:val="en-GB"/>
        </w:rPr>
        <w:t xml:space="preserve">Minimum requirements for test surface area. The shaded part is called "Test </w:t>
      </w:r>
      <w:proofErr w:type="gramStart"/>
      <w:r w:rsidRPr="008955F5">
        <w:rPr>
          <w:b/>
          <w:bCs/>
          <w:strike/>
          <w:lang w:val="en-GB"/>
        </w:rPr>
        <w:t>area"</w:t>
      </w:r>
      <w:proofErr w:type="gramEnd"/>
    </w:p>
    <w:p w14:paraId="7FD1A0AA" w14:textId="77777777" w:rsidR="00DF4B70" w:rsidRPr="008955F5" w:rsidRDefault="00DF4B70" w:rsidP="00FE1A1B">
      <w:pPr>
        <w:pStyle w:val="SingleTxtG"/>
        <w:spacing w:after="240"/>
        <w:rPr>
          <w:b/>
          <w:bCs/>
          <w:strike/>
          <w:lang w:val="en-GB"/>
        </w:rPr>
      </w:pPr>
      <w:r w:rsidRPr="008955F5">
        <w:rPr>
          <w:b/>
          <w:bCs/>
          <w:strike/>
          <w:noProof/>
          <w:lang w:val="en-GB"/>
        </w:rPr>
        <w:drawing>
          <wp:inline distT="0" distB="0" distL="0" distR="0" wp14:anchorId="6FE68071" wp14:editId="78DA6D9A">
            <wp:extent cx="4191000" cy="3095625"/>
            <wp:effectExtent l="0" t="0" r="0" b="0"/>
            <wp:docPr id="40" name="Picture 40" descr="Reg 117 An 4 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g 117 An 4 Fig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0" cy="3095625"/>
                    </a:xfrm>
                    <a:prstGeom prst="rect">
                      <a:avLst/>
                    </a:prstGeom>
                    <a:noFill/>
                    <a:ln>
                      <a:noFill/>
                    </a:ln>
                  </pic:spPr>
                </pic:pic>
              </a:graphicData>
            </a:graphic>
          </wp:inline>
        </w:drawing>
      </w:r>
    </w:p>
    <w:p w14:paraId="280D84FB" w14:textId="77777777" w:rsidR="00DF4B70" w:rsidRPr="008955F5" w:rsidRDefault="00DF4B70" w:rsidP="00FE1A1B">
      <w:pPr>
        <w:pStyle w:val="SingleTxtG"/>
        <w:ind w:left="2268" w:hanging="1134"/>
        <w:rPr>
          <w:bCs/>
          <w:strike/>
          <w:lang w:val="en-GB"/>
        </w:rPr>
      </w:pPr>
      <w:r w:rsidRPr="008955F5">
        <w:rPr>
          <w:bCs/>
          <w:strike/>
          <w:lang w:val="en-GB"/>
        </w:rPr>
        <w:t>3.2.</w:t>
      </w:r>
      <w:r w:rsidRPr="00132429">
        <w:rPr>
          <w:bCs/>
          <w:lang w:val="en-GB"/>
        </w:rPr>
        <w:tab/>
      </w:r>
      <w:r w:rsidRPr="008955F5">
        <w:rPr>
          <w:bCs/>
          <w:strike/>
          <w:lang w:val="en-GB"/>
        </w:rPr>
        <w:t>Design and preparation of the surface</w:t>
      </w:r>
    </w:p>
    <w:p w14:paraId="29B36854" w14:textId="77777777" w:rsidR="00DF4B70" w:rsidRPr="008955F5" w:rsidRDefault="00DF4B70" w:rsidP="00FE1A1B">
      <w:pPr>
        <w:pStyle w:val="SingleTxtG"/>
        <w:ind w:left="2268" w:hanging="1134"/>
        <w:rPr>
          <w:bCs/>
          <w:strike/>
          <w:lang w:val="en-GB"/>
        </w:rPr>
      </w:pPr>
      <w:r w:rsidRPr="008955F5">
        <w:rPr>
          <w:bCs/>
          <w:strike/>
          <w:lang w:val="en-GB"/>
        </w:rPr>
        <w:t>3.2.1.</w:t>
      </w:r>
      <w:r w:rsidRPr="00132429">
        <w:rPr>
          <w:bCs/>
          <w:lang w:val="en-GB"/>
        </w:rPr>
        <w:tab/>
      </w:r>
      <w:r w:rsidRPr="008955F5">
        <w:rPr>
          <w:bCs/>
          <w:strike/>
          <w:lang w:val="en-GB"/>
        </w:rPr>
        <w:t>Basic design requirements</w:t>
      </w:r>
    </w:p>
    <w:p w14:paraId="62B61B81" w14:textId="77777777" w:rsidR="00DF4B70" w:rsidRPr="008955F5" w:rsidRDefault="00DF4B70" w:rsidP="00FE1A1B">
      <w:pPr>
        <w:pStyle w:val="SingleTxtG"/>
        <w:ind w:left="2268" w:hanging="1134"/>
        <w:rPr>
          <w:bCs/>
          <w:strike/>
          <w:lang w:val="en-GB"/>
        </w:rPr>
      </w:pPr>
      <w:r w:rsidRPr="00132429">
        <w:rPr>
          <w:bCs/>
          <w:lang w:val="en-GB"/>
        </w:rPr>
        <w:tab/>
      </w:r>
      <w:r w:rsidRPr="008955F5">
        <w:rPr>
          <w:bCs/>
          <w:strike/>
          <w:lang w:val="en-GB"/>
        </w:rPr>
        <w:t>The test surface shall meet four design requirements:</w:t>
      </w:r>
    </w:p>
    <w:p w14:paraId="7F4A1E84" w14:textId="77777777" w:rsidR="00DF4B70" w:rsidRPr="008955F5" w:rsidRDefault="00DF4B70" w:rsidP="00FE1A1B">
      <w:pPr>
        <w:pStyle w:val="SingleTxtG"/>
        <w:ind w:left="2268" w:hanging="1134"/>
        <w:rPr>
          <w:bCs/>
          <w:strike/>
          <w:lang w:val="en-GB"/>
        </w:rPr>
      </w:pPr>
      <w:r w:rsidRPr="008955F5">
        <w:rPr>
          <w:bCs/>
          <w:strike/>
          <w:lang w:val="en-GB"/>
        </w:rPr>
        <w:t>3.2.1.1.</w:t>
      </w:r>
      <w:r w:rsidRPr="00132429">
        <w:rPr>
          <w:bCs/>
          <w:lang w:val="en-GB"/>
        </w:rPr>
        <w:tab/>
      </w:r>
      <w:r w:rsidRPr="008955F5">
        <w:rPr>
          <w:bCs/>
          <w:strike/>
          <w:lang w:val="en-GB"/>
        </w:rPr>
        <w:t>It shall be a dense asphaltic concrete.</w:t>
      </w:r>
    </w:p>
    <w:p w14:paraId="5981BB6B" w14:textId="77777777" w:rsidR="00DF4B70" w:rsidRPr="008955F5" w:rsidRDefault="00DF4B70" w:rsidP="00FE1A1B">
      <w:pPr>
        <w:pStyle w:val="SingleTxtG"/>
        <w:ind w:left="2268" w:hanging="1134"/>
        <w:rPr>
          <w:bCs/>
          <w:strike/>
          <w:lang w:val="en-GB"/>
        </w:rPr>
      </w:pPr>
      <w:r w:rsidRPr="008955F5">
        <w:rPr>
          <w:bCs/>
          <w:strike/>
          <w:lang w:val="en-GB"/>
        </w:rPr>
        <w:t>3.2.1.2.</w:t>
      </w:r>
      <w:r w:rsidRPr="00132429">
        <w:rPr>
          <w:bCs/>
          <w:lang w:val="en-GB"/>
        </w:rPr>
        <w:tab/>
      </w:r>
      <w:r w:rsidRPr="008955F5">
        <w:rPr>
          <w:bCs/>
          <w:strike/>
          <w:lang w:val="en-GB"/>
        </w:rPr>
        <w:t>The maximum chipping size shall be 8 mm (tolerances allow from 6.3 mm to 10 mm).</w:t>
      </w:r>
    </w:p>
    <w:p w14:paraId="60FFCF50" w14:textId="77777777" w:rsidR="00DF4B70" w:rsidRPr="008955F5" w:rsidRDefault="00DF4B70" w:rsidP="00FE1A1B">
      <w:pPr>
        <w:pStyle w:val="SingleTxtG"/>
        <w:ind w:left="2268" w:hanging="1134"/>
        <w:rPr>
          <w:bCs/>
          <w:strike/>
          <w:lang w:val="en-GB"/>
        </w:rPr>
      </w:pPr>
      <w:r w:rsidRPr="008955F5">
        <w:rPr>
          <w:bCs/>
          <w:strike/>
          <w:lang w:val="en-GB"/>
        </w:rPr>
        <w:t>3.2.1.3.</w:t>
      </w:r>
      <w:r w:rsidRPr="00132429">
        <w:rPr>
          <w:bCs/>
          <w:lang w:val="en-GB"/>
        </w:rPr>
        <w:tab/>
      </w:r>
      <w:r w:rsidRPr="008955F5">
        <w:rPr>
          <w:bCs/>
          <w:strike/>
          <w:lang w:val="en-GB"/>
        </w:rPr>
        <w:t>The thickness of the wearing course shall be ≥ 30 mm.</w:t>
      </w:r>
    </w:p>
    <w:p w14:paraId="50C108ED" w14:textId="77777777" w:rsidR="00DF4B70" w:rsidRPr="008955F5" w:rsidRDefault="00DF4B70" w:rsidP="00FE1A1B">
      <w:pPr>
        <w:pStyle w:val="SingleTxtG"/>
        <w:ind w:left="2268" w:hanging="1134"/>
        <w:rPr>
          <w:bCs/>
          <w:strike/>
          <w:lang w:val="en-GB"/>
        </w:rPr>
      </w:pPr>
      <w:r w:rsidRPr="008955F5">
        <w:rPr>
          <w:bCs/>
          <w:strike/>
          <w:lang w:val="en-GB"/>
        </w:rPr>
        <w:t>3.2.1.4.</w:t>
      </w:r>
      <w:r w:rsidRPr="00132429">
        <w:rPr>
          <w:bCs/>
          <w:lang w:val="en-GB"/>
        </w:rPr>
        <w:tab/>
      </w:r>
      <w:r w:rsidRPr="008955F5">
        <w:rPr>
          <w:bCs/>
          <w:strike/>
          <w:lang w:val="en-GB"/>
        </w:rPr>
        <w:t>The binder shall be a straight penetration grade bitumen without modification.</w:t>
      </w:r>
    </w:p>
    <w:p w14:paraId="18805646" w14:textId="77777777" w:rsidR="00DF4B70" w:rsidRPr="008955F5" w:rsidRDefault="00DF4B70" w:rsidP="00FE1A1B">
      <w:pPr>
        <w:pStyle w:val="SingleTxtG"/>
        <w:ind w:left="2268" w:hanging="1134"/>
        <w:rPr>
          <w:bCs/>
          <w:strike/>
          <w:lang w:val="en-GB"/>
        </w:rPr>
      </w:pPr>
      <w:r w:rsidRPr="008955F5">
        <w:rPr>
          <w:bCs/>
          <w:strike/>
          <w:lang w:val="en-GB"/>
        </w:rPr>
        <w:t>3.2.2.</w:t>
      </w:r>
      <w:r w:rsidRPr="00132429">
        <w:rPr>
          <w:bCs/>
          <w:lang w:val="en-GB"/>
        </w:rPr>
        <w:tab/>
      </w:r>
      <w:r w:rsidRPr="008955F5">
        <w:rPr>
          <w:bCs/>
          <w:strike/>
          <w:lang w:val="en-GB"/>
        </w:rPr>
        <w:t>Design guidelines</w:t>
      </w:r>
    </w:p>
    <w:p w14:paraId="0E7A7DAB" w14:textId="77777777" w:rsidR="00DF4B70" w:rsidRPr="008955F5" w:rsidRDefault="00DF4B70" w:rsidP="00FE1A1B">
      <w:pPr>
        <w:pStyle w:val="SingleTxtG"/>
        <w:ind w:left="2268" w:hanging="1134"/>
        <w:rPr>
          <w:bCs/>
          <w:strike/>
          <w:lang w:val="en-GB"/>
        </w:rPr>
      </w:pPr>
      <w:r w:rsidRPr="00132429">
        <w:rPr>
          <w:bCs/>
          <w:lang w:val="en-GB"/>
        </w:rPr>
        <w:tab/>
      </w:r>
      <w:r w:rsidRPr="008955F5">
        <w:rPr>
          <w:bCs/>
          <w:strike/>
          <w:lang w:val="en-GB"/>
        </w:rPr>
        <w:t>As a guide to the surface constructor, an aggregate grading curve which will give desired characteristics is shown in Figure 2. In addition, Table 1 gives some guidelines in order to obtain the desired texture and durability. The grading curve fits the following formula:</w:t>
      </w:r>
    </w:p>
    <w:p w14:paraId="0C33D27B" w14:textId="77777777" w:rsidR="00DF4B70" w:rsidRPr="008955F5" w:rsidRDefault="00DF4B70" w:rsidP="00FE1A1B">
      <w:pPr>
        <w:pStyle w:val="SingleTxtG"/>
        <w:ind w:left="2268"/>
        <w:jc w:val="left"/>
        <w:rPr>
          <w:bCs/>
          <w:strike/>
          <w:lang w:val="en-GB"/>
        </w:rPr>
      </w:pPr>
      <w:r w:rsidRPr="008955F5">
        <w:rPr>
          <w:bCs/>
          <w:strike/>
          <w:lang w:val="en-GB"/>
        </w:rPr>
        <w:t>P (% passing) = 100 ·</w:t>
      </w:r>
      <w:r w:rsidRPr="008955F5">
        <w:rPr>
          <w:strike/>
          <w:lang w:val="en-GB"/>
        </w:rPr>
        <w:t> </w:t>
      </w:r>
      <w:r w:rsidRPr="008955F5">
        <w:rPr>
          <w:bCs/>
          <w:strike/>
          <w:lang w:val="en-GB"/>
        </w:rPr>
        <w:t>(d/</w:t>
      </w:r>
      <w:proofErr w:type="spellStart"/>
      <w:r w:rsidRPr="008955F5">
        <w:rPr>
          <w:bCs/>
          <w:strike/>
          <w:lang w:val="en-GB"/>
        </w:rPr>
        <w:t>d</w:t>
      </w:r>
      <w:r w:rsidRPr="008955F5">
        <w:rPr>
          <w:bCs/>
          <w:strike/>
          <w:vertAlign w:val="subscript"/>
          <w:lang w:val="en-GB"/>
        </w:rPr>
        <w:t>max</w:t>
      </w:r>
      <w:proofErr w:type="spellEnd"/>
      <w:r w:rsidRPr="008955F5">
        <w:rPr>
          <w:bCs/>
          <w:strike/>
          <w:lang w:val="en-GB"/>
        </w:rPr>
        <w:t>) 1/2</w:t>
      </w:r>
    </w:p>
    <w:tbl>
      <w:tblPr>
        <w:tblW w:w="6407" w:type="dxa"/>
        <w:tblInd w:w="2098" w:type="dxa"/>
        <w:tblLayout w:type="fixed"/>
        <w:tblCellMar>
          <w:left w:w="0" w:type="dxa"/>
          <w:right w:w="0" w:type="dxa"/>
        </w:tblCellMar>
        <w:tblLook w:val="01E0" w:firstRow="1" w:lastRow="1" w:firstColumn="1" w:lastColumn="1" w:noHBand="0" w:noVBand="0"/>
      </w:tblPr>
      <w:tblGrid>
        <w:gridCol w:w="951"/>
        <w:gridCol w:w="353"/>
        <w:gridCol w:w="5103"/>
      </w:tblGrid>
      <w:tr w:rsidR="008955F5" w:rsidRPr="008955F5" w14:paraId="18285E14" w14:textId="77777777" w:rsidTr="000764DE">
        <w:tc>
          <w:tcPr>
            <w:tcW w:w="6407" w:type="dxa"/>
            <w:gridSpan w:val="3"/>
            <w:shd w:val="clear" w:color="auto" w:fill="auto"/>
          </w:tcPr>
          <w:p w14:paraId="3B1E657E" w14:textId="77777777" w:rsidR="00DF4B70" w:rsidRPr="008955F5" w:rsidRDefault="00DF4B70" w:rsidP="00FE1A1B">
            <w:pPr>
              <w:pStyle w:val="SingleTxtG"/>
              <w:ind w:left="2268" w:hanging="2066"/>
              <w:rPr>
                <w:strike/>
                <w:lang w:val="en-GB"/>
              </w:rPr>
            </w:pPr>
            <w:r w:rsidRPr="008955F5">
              <w:rPr>
                <w:strike/>
                <w:lang w:val="en-GB"/>
              </w:rPr>
              <w:t>Where:</w:t>
            </w:r>
          </w:p>
        </w:tc>
      </w:tr>
      <w:tr w:rsidR="008955F5" w:rsidRPr="00491F21" w14:paraId="3144F04A" w14:textId="77777777" w:rsidTr="000764DE">
        <w:tc>
          <w:tcPr>
            <w:tcW w:w="951" w:type="dxa"/>
            <w:shd w:val="clear" w:color="auto" w:fill="auto"/>
          </w:tcPr>
          <w:p w14:paraId="5FADEDCB" w14:textId="77777777" w:rsidR="00DF4B70" w:rsidRPr="008955F5" w:rsidRDefault="00DF4B70" w:rsidP="00FE1A1B">
            <w:pPr>
              <w:pStyle w:val="SingleTxtG"/>
              <w:ind w:left="2268" w:hanging="2066"/>
              <w:rPr>
                <w:strike/>
                <w:lang w:val="en-GB"/>
              </w:rPr>
            </w:pPr>
            <w:r w:rsidRPr="008955F5">
              <w:rPr>
                <w:bCs/>
                <w:strike/>
                <w:lang w:val="en-GB"/>
              </w:rPr>
              <w:t>d</w:t>
            </w:r>
          </w:p>
        </w:tc>
        <w:tc>
          <w:tcPr>
            <w:tcW w:w="353" w:type="dxa"/>
            <w:shd w:val="clear" w:color="auto" w:fill="auto"/>
          </w:tcPr>
          <w:p w14:paraId="2E887E5B" w14:textId="77777777" w:rsidR="00DF4B70" w:rsidRPr="008955F5" w:rsidRDefault="00DF4B70" w:rsidP="00FE1A1B">
            <w:pPr>
              <w:pStyle w:val="SingleTxtG"/>
              <w:ind w:left="0"/>
              <w:jc w:val="right"/>
              <w:rPr>
                <w:strike/>
                <w:lang w:val="en-GB"/>
              </w:rPr>
            </w:pPr>
            <w:r w:rsidRPr="008955F5">
              <w:rPr>
                <w:bCs/>
                <w:strike/>
                <w:lang w:val="en-GB"/>
              </w:rPr>
              <w:t>=</w:t>
            </w:r>
          </w:p>
        </w:tc>
        <w:tc>
          <w:tcPr>
            <w:tcW w:w="5103" w:type="dxa"/>
            <w:shd w:val="clear" w:color="auto" w:fill="auto"/>
          </w:tcPr>
          <w:p w14:paraId="45643B54" w14:textId="77777777" w:rsidR="00DF4B70" w:rsidRPr="008955F5" w:rsidRDefault="00DF4B70" w:rsidP="00FE1A1B">
            <w:pPr>
              <w:pStyle w:val="SingleTxtG"/>
              <w:ind w:left="0" w:right="0"/>
              <w:rPr>
                <w:strike/>
                <w:lang w:val="en-GB"/>
              </w:rPr>
            </w:pPr>
            <w:r w:rsidRPr="008955F5">
              <w:rPr>
                <w:bCs/>
                <w:strike/>
                <w:lang w:val="en-GB"/>
              </w:rPr>
              <w:t>square mesh sieve size, in mm</w:t>
            </w:r>
          </w:p>
        </w:tc>
      </w:tr>
      <w:tr w:rsidR="008955F5" w:rsidRPr="00491F21" w14:paraId="0A4A6663" w14:textId="77777777" w:rsidTr="000764DE">
        <w:tc>
          <w:tcPr>
            <w:tcW w:w="951" w:type="dxa"/>
            <w:shd w:val="clear" w:color="auto" w:fill="auto"/>
          </w:tcPr>
          <w:p w14:paraId="3CC31A81" w14:textId="77777777" w:rsidR="00DF4B70" w:rsidRPr="008955F5" w:rsidRDefault="00DF4B70" w:rsidP="00FE1A1B">
            <w:pPr>
              <w:pStyle w:val="SingleTxtG"/>
              <w:ind w:left="204" w:right="0"/>
              <w:rPr>
                <w:strike/>
                <w:lang w:val="en-GB"/>
              </w:rPr>
            </w:pPr>
            <w:proofErr w:type="spellStart"/>
            <w:r w:rsidRPr="008955F5">
              <w:rPr>
                <w:bCs/>
                <w:strike/>
                <w:lang w:val="en-GB"/>
              </w:rPr>
              <w:t>d</w:t>
            </w:r>
            <w:r w:rsidRPr="008955F5">
              <w:rPr>
                <w:bCs/>
                <w:strike/>
                <w:vertAlign w:val="subscript"/>
                <w:lang w:val="en-GB"/>
              </w:rPr>
              <w:t>max</w:t>
            </w:r>
            <w:proofErr w:type="spellEnd"/>
          </w:p>
        </w:tc>
        <w:tc>
          <w:tcPr>
            <w:tcW w:w="353" w:type="dxa"/>
            <w:shd w:val="clear" w:color="auto" w:fill="auto"/>
          </w:tcPr>
          <w:p w14:paraId="23DC959D" w14:textId="77777777" w:rsidR="00DF4B70" w:rsidRPr="008955F5" w:rsidRDefault="00DF4B70" w:rsidP="00FE1A1B">
            <w:pPr>
              <w:pStyle w:val="SingleTxtG"/>
              <w:ind w:left="0" w:right="0"/>
              <w:jc w:val="left"/>
              <w:rPr>
                <w:strike/>
                <w:lang w:val="en-GB"/>
              </w:rPr>
            </w:pPr>
            <w:r w:rsidRPr="008955F5">
              <w:rPr>
                <w:bCs/>
                <w:strike/>
                <w:lang w:val="en-GB"/>
              </w:rPr>
              <w:t>=</w:t>
            </w:r>
          </w:p>
        </w:tc>
        <w:tc>
          <w:tcPr>
            <w:tcW w:w="5103" w:type="dxa"/>
            <w:shd w:val="clear" w:color="auto" w:fill="auto"/>
          </w:tcPr>
          <w:p w14:paraId="60647E33" w14:textId="77777777" w:rsidR="00DF4B70" w:rsidRPr="008955F5" w:rsidRDefault="00DF4B70" w:rsidP="00FE1A1B">
            <w:pPr>
              <w:pStyle w:val="SingleTxtG"/>
              <w:ind w:left="0" w:right="0"/>
              <w:rPr>
                <w:strike/>
                <w:lang w:val="en-GB"/>
              </w:rPr>
            </w:pPr>
            <w:r w:rsidRPr="008955F5">
              <w:rPr>
                <w:bCs/>
                <w:strike/>
                <w:lang w:val="en-GB"/>
              </w:rPr>
              <w:t>8 mm for the mean curve</w:t>
            </w:r>
          </w:p>
        </w:tc>
      </w:tr>
      <w:tr w:rsidR="008955F5" w:rsidRPr="00491F21" w14:paraId="3475E2F7" w14:textId="77777777" w:rsidTr="000764DE">
        <w:tc>
          <w:tcPr>
            <w:tcW w:w="951" w:type="dxa"/>
            <w:shd w:val="clear" w:color="auto" w:fill="auto"/>
          </w:tcPr>
          <w:p w14:paraId="6346A11B" w14:textId="77777777" w:rsidR="00DF4B70" w:rsidRPr="008955F5" w:rsidRDefault="00DF4B70" w:rsidP="00FE1A1B">
            <w:pPr>
              <w:pStyle w:val="SingleTxtG"/>
              <w:ind w:left="170" w:right="0"/>
              <w:rPr>
                <w:strike/>
                <w:lang w:val="en-GB"/>
              </w:rPr>
            </w:pPr>
          </w:p>
        </w:tc>
        <w:tc>
          <w:tcPr>
            <w:tcW w:w="353" w:type="dxa"/>
            <w:shd w:val="clear" w:color="auto" w:fill="auto"/>
          </w:tcPr>
          <w:p w14:paraId="279F6B0B" w14:textId="77777777" w:rsidR="00DF4B70" w:rsidRPr="008955F5" w:rsidRDefault="00DF4B70" w:rsidP="00FE1A1B">
            <w:pPr>
              <w:pStyle w:val="SingleTxtG"/>
              <w:ind w:left="0"/>
              <w:jc w:val="right"/>
              <w:rPr>
                <w:strike/>
                <w:lang w:val="en-GB"/>
              </w:rPr>
            </w:pPr>
            <w:r w:rsidRPr="008955F5">
              <w:rPr>
                <w:bCs/>
                <w:strike/>
                <w:lang w:val="en-GB"/>
              </w:rPr>
              <w:t>=</w:t>
            </w:r>
          </w:p>
        </w:tc>
        <w:tc>
          <w:tcPr>
            <w:tcW w:w="5103" w:type="dxa"/>
            <w:shd w:val="clear" w:color="auto" w:fill="auto"/>
          </w:tcPr>
          <w:p w14:paraId="29DA3D7E" w14:textId="77777777" w:rsidR="00DF4B70" w:rsidRPr="008955F5" w:rsidRDefault="00DF4B70" w:rsidP="00FE1A1B">
            <w:pPr>
              <w:pStyle w:val="SingleTxtG"/>
              <w:ind w:left="0" w:right="0"/>
              <w:rPr>
                <w:strike/>
                <w:lang w:val="en-GB"/>
              </w:rPr>
            </w:pPr>
            <w:r w:rsidRPr="008955F5">
              <w:rPr>
                <w:bCs/>
                <w:strike/>
                <w:lang w:val="en-GB"/>
              </w:rPr>
              <w:t>10 mm for the lower tolerance curve</w:t>
            </w:r>
          </w:p>
        </w:tc>
      </w:tr>
      <w:tr w:rsidR="008955F5" w:rsidRPr="00491F21" w14:paraId="6BDC9BC1" w14:textId="77777777" w:rsidTr="000764DE">
        <w:tc>
          <w:tcPr>
            <w:tcW w:w="951" w:type="dxa"/>
            <w:shd w:val="clear" w:color="auto" w:fill="auto"/>
          </w:tcPr>
          <w:p w14:paraId="2990EF8E" w14:textId="77777777" w:rsidR="00DF4B70" w:rsidRPr="008955F5" w:rsidRDefault="00DF4B70" w:rsidP="00FE1A1B">
            <w:pPr>
              <w:pStyle w:val="SingleTxtG"/>
              <w:ind w:left="170" w:right="0"/>
              <w:rPr>
                <w:strike/>
                <w:lang w:val="en-GB"/>
              </w:rPr>
            </w:pPr>
          </w:p>
        </w:tc>
        <w:tc>
          <w:tcPr>
            <w:tcW w:w="353" w:type="dxa"/>
            <w:shd w:val="clear" w:color="auto" w:fill="auto"/>
          </w:tcPr>
          <w:p w14:paraId="3842DB8D" w14:textId="77777777" w:rsidR="00DF4B70" w:rsidRPr="008955F5" w:rsidRDefault="00DF4B70" w:rsidP="00FE1A1B">
            <w:pPr>
              <w:pStyle w:val="SingleTxtG"/>
              <w:ind w:left="0"/>
              <w:jc w:val="right"/>
              <w:rPr>
                <w:strike/>
                <w:lang w:val="en-GB"/>
              </w:rPr>
            </w:pPr>
            <w:r w:rsidRPr="008955F5">
              <w:rPr>
                <w:bCs/>
                <w:strike/>
                <w:lang w:val="en-GB"/>
              </w:rPr>
              <w:t>=</w:t>
            </w:r>
          </w:p>
        </w:tc>
        <w:tc>
          <w:tcPr>
            <w:tcW w:w="5103" w:type="dxa"/>
            <w:shd w:val="clear" w:color="auto" w:fill="auto"/>
          </w:tcPr>
          <w:p w14:paraId="77ED7634" w14:textId="77777777" w:rsidR="00DF4B70" w:rsidRPr="008955F5" w:rsidRDefault="00DF4B70" w:rsidP="00FE1A1B">
            <w:pPr>
              <w:pStyle w:val="SingleTxtG"/>
              <w:ind w:left="0" w:right="0"/>
              <w:rPr>
                <w:strike/>
                <w:lang w:val="en-GB"/>
              </w:rPr>
            </w:pPr>
            <w:r w:rsidRPr="008955F5">
              <w:rPr>
                <w:bCs/>
                <w:strike/>
                <w:lang w:val="en-GB"/>
              </w:rPr>
              <w:t>6.3 mm for the upper tolerance curve</w:t>
            </w:r>
          </w:p>
        </w:tc>
      </w:tr>
    </w:tbl>
    <w:p w14:paraId="0950267D" w14:textId="77777777" w:rsidR="00DF4B70" w:rsidRPr="008955F5" w:rsidRDefault="00DF4B70" w:rsidP="00132429">
      <w:pPr>
        <w:pStyle w:val="Heading1"/>
        <w:numPr>
          <w:ilvl w:val="0"/>
          <w:numId w:val="0"/>
        </w:numPr>
        <w:ind w:left="567" w:firstLine="567"/>
        <w:rPr>
          <w:strike/>
          <w:lang w:val="en-GB"/>
        </w:rPr>
      </w:pPr>
      <w:bookmarkStart w:id="12" w:name="_Toc367177767"/>
      <w:bookmarkStart w:id="13" w:name="_Toc432594581"/>
      <w:bookmarkStart w:id="14" w:name="_Toc440609133"/>
      <w:bookmarkStart w:id="15" w:name="_Toc61444509"/>
      <w:r w:rsidRPr="008955F5">
        <w:rPr>
          <w:strike/>
          <w:lang w:val="en-GB"/>
        </w:rPr>
        <w:lastRenderedPageBreak/>
        <w:t>Figure 2</w:t>
      </w:r>
      <w:bookmarkEnd w:id="12"/>
      <w:bookmarkEnd w:id="13"/>
      <w:bookmarkEnd w:id="14"/>
      <w:bookmarkEnd w:id="15"/>
    </w:p>
    <w:p w14:paraId="62E14820" w14:textId="77777777" w:rsidR="00DF4B70" w:rsidRPr="008955F5" w:rsidRDefault="00DF4B70" w:rsidP="00FE1A1B">
      <w:pPr>
        <w:pStyle w:val="SingleTxtG"/>
        <w:keepNext/>
        <w:keepLines/>
        <w:ind w:left="2268" w:hanging="1134"/>
        <w:rPr>
          <w:b/>
          <w:bCs/>
          <w:strike/>
          <w:lang w:val="en-GB"/>
        </w:rPr>
      </w:pPr>
      <w:r w:rsidRPr="008955F5">
        <w:rPr>
          <w:b/>
          <w:bCs/>
          <w:strike/>
          <w:lang w:val="en-GB"/>
        </w:rPr>
        <w:t>Grading curve of the aggregate in the asphaltic mix with tolerances</w:t>
      </w:r>
    </w:p>
    <w:p w14:paraId="7798CEBC" w14:textId="77777777" w:rsidR="00DF4B70" w:rsidRPr="008955F5" w:rsidRDefault="00DF4B70" w:rsidP="00FE1A1B">
      <w:pPr>
        <w:pStyle w:val="SingleTxtG"/>
        <w:ind w:left="2268" w:hanging="1134"/>
        <w:rPr>
          <w:b/>
          <w:bCs/>
          <w:strike/>
          <w:lang w:val="en-GB"/>
        </w:rPr>
      </w:pPr>
      <w:r w:rsidRPr="008955F5">
        <w:rPr>
          <w:b/>
          <w:bCs/>
          <w:strike/>
          <w:noProof/>
          <w:lang w:val="en-GB"/>
        </w:rPr>
        <w:drawing>
          <wp:inline distT="0" distB="0" distL="0" distR="0" wp14:anchorId="6EABA534" wp14:editId="49EDAA42">
            <wp:extent cx="4772025" cy="5638800"/>
            <wp:effectExtent l="0" t="0" r="0" b="0"/>
            <wp:docPr id="41" name="Picture 41" descr="Reg 117 An 4 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g 117 An 4 Fig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72025" cy="5638800"/>
                    </a:xfrm>
                    <a:prstGeom prst="rect">
                      <a:avLst/>
                    </a:prstGeom>
                    <a:noFill/>
                    <a:ln>
                      <a:noFill/>
                    </a:ln>
                  </pic:spPr>
                </pic:pic>
              </a:graphicData>
            </a:graphic>
          </wp:inline>
        </w:drawing>
      </w:r>
    </w:p>
    <w:p w14:paraId="3C3FFDB4" w14:textId="77777777" w:rsidR="00DF4B70" w:rsidRPr="008955F5" w:rsidRDefault="00DF4B70" w:rsidP="00FE1A1B">
      <w:pPr>
        <w:pStyle w:val="SingleTxtG"/>
        <w:tabs>
          <w:tab w:val="left" w:pos="2254"/>
        </w:tabs>
        <w:spacing w:before="120"/>
        <w:ind w:left="2268" w:hanging="2268"/>
        <w:rPr>
          <w:bCs/>
          <w:strike/>
          <w:lang w:val="en-GB"/>
        </w:rPr>
      </w:pPr>
    </w:p>
    <w:p w14:paraId="7DF4C285" w14:textId="77777777" w:rsidR="00DF4B70" w:rsidRPr="008955F5" w:rsidRDefault="00DF4B70" w:rsidP="00FE1A1B">
      <w:pPr>
        <w:pStyle w:val="SingleTxtG"/>
        <w:tabs>
          <w:tab w:val="left" w:pos="2254"/>
        </w:tabs>
        <w:spacing w:before="120"/>
        <w:ind w:left="2268" w:hanging="2268"/>
        <w:rPr>
          <w:bCs/>
          <w:strike/>
          <w:lang w:val="en-GB"/>
        </w:rPr>
      </w:pPr>
      <w:r w:rsidRPr="00132429">
        <w:rPr>
          <w:bCs/>
          <w:lang w:val="en-GB"/>
        </w:rPr>
        <w:tab/>
      </w:r>
      <w:r w:rsidRPr="008955F5">
        <w:rPr>
          <w:bCs/>
          <w:strike/>
          <w:lang w:val="en-GB"/>
        </w:rPr>
        <w:t>In addition to the above, the following recommendations are given:</w:t>
      </w:r>
    </w:p>
    <w:p w14:paraId="31D76A3E" w14:textId="77777777" w:rsidR="00DF4B70" w:rsidRPr="008955F5" w:rsidRDefault="00DF4B70" w:rsidP="00FE1A1B">
      <w:pPr>
        <w:pStyle w:val="SingleTxtG"/>
        <w:ind w:left="2835" w:hanging="576"/>
        <w:rPr>
          <w:bCs/>
          <w:strike/>
          <w:lang w:val="en-GB"/>
        </w:rPr>
      </w:pPr>
      <w:r w:rsidRPr="008955F5">
        <w:rPr>
          <w:bCs/>
          <w:strike/>
          <w:lang w:val="en-GB"/>
        </w:rPr>
        <w:t>(a)</w:t>
      </w:r>
      <w:r w:rsidRPr="008955F5">
        <w:rPr>
          <w:bCs/>
          <w:strike/>
          <w:lang w:val="en-GB"/>
        </w:rPr>
        <w:tab/>
        <w:t>The sand fraction (0.063 mm &lt; square mesh sieve size &lt; 2 mm) shall include no more than 55 per cent natural sand and at least 45 per cent crushed sand;</w:t>
      </w:r>
    </w:p>
    <w:p w14:paraId="3013A52A" w14:textId="77777777" w:rsidR="00DF4B70" w:rsidRPr="008955F5" w:rsidRDefault="00DF4B70" w:rsidP="00FE1A1B">
      <w:pPr>
        <w:pStyle w:val="SingleTxtG"/>
        <w:ind w:left="2835" w:hanging="576"/>
        <w:rPr>
          <w:bCs/>
          <w:strike/>
          <w:lang w:val="en-GB"/>
        </w:rPr>
      </w:pPr>
      <w:r w:rsidRPr="008955F5">
        <w:rPr>
          <w:bCs/>
          <w:strike/>
          <w:lang w:val="en-GB"/>
        </w:rPr>
        <w:t>(b)</w:t>
      </w:r>
      <w:r w:rsidRPr="008955F5">
        <w:rPr>
          <w:bCs/>
          <w:strike/>
          <w:lang w:val="en-GB"/>
        </w:rPr>
        <w:tab/>
        <w:t>The base and sub-base shall ensure a good stability and evenness, according to best road construction practice;</w:t>
      </w:r>
    </w:p>
    <w:p w14:paraId="7CB41186" w14:textId="77777777" w:rsidR="00DF4B70" w:rsidRPr="008955F5" w:rsidRDefault="00DF4B70" w:rsidP="00FE1A1B">
      <w:pPr>
        <w:pStyle w:val="SingleTxtG"/>
        <w:ind w:left="2835" w:hanging="576"/>
        <w:rPr>
          <w:bCs/>
          <w:strike/>
          <w:lang w:val="en-GB"/>
        </w:rPr>
      </w:pPr>
      <w:r w:rsidRPr="008955F5">
        <w:rPr>
          <w:bCs/>
          <w:strike/>
          <w:lang w:val="en-GB"/>
        </w:rPr>
        <w:t>(c)</w:t>
      </w:r>
      <w:r w:rsidRPr="008955F5">
        <w:rPr>
          <w:bCs/>
          <w:strike/>
          <w:lang w:val="en-GB"/>
        </w:rPr>
        <w:tab/>
        <w:t>The chippings shall be crushed (100 per cent crushed faces) and of a material with a high resistance to crushing;</w:t>
      </w:r>
    </w:p>
    <w:p w14:paraId="231136A5" w14:textId="77777777" w:rsidR="00DF4B70" w:rsidRPr="008955F5" w:rsidRDefault="00DF4B70" w:rsidP="00FE1A1B">
      <w:pPr>
        <w:pStyle w:val="SingleTxtG"/>
        <w:ind w:left="2268" w:hanging="1134"/>
        <w:rPr>
          <w:bCs/>
          <w:strike/>
          <w:lang w:val="en-GB"/>
        </w:rPr>
      </w:pPr>
      <w:r w:rsidRPr="00132429">
        <w:rPr>
          <w:bCs/>
          <w:lang w:val="en-GB"/>
        </w:rPr>
        <w:tab/>
      </w:r>
      <w:r w:rsidRPr="008955F5">
        <w:rPr>
          <w:bCs/>
          <w:strike/>
          <w:lang w:val="en-GB"/>
        </w:rPr>
        <w:t>(d)</w:t>
      </w:r>
      <w:r w:rsidRPr="008955F5">
        <w:rPr>
          <w:bCs/>
          <w:strike/>
          <w:lang w:val="en-GB"/>
        </w:rPr>
        <w:tab/>
        <w:t>The chippings used in the mix shall be washed;</w:t>
      </w:r>
    </w:p>
    <w:p w14:paraId="666A203F" w14:textId="77777777" w:rsidR="00DF4B70" w:rsidRPr="008955F5" w:rsidRDefault="00DF4B70" w:rsidP="00FE1A1B">
      <w:pPr>
        <w:pStyle w:val="SingleTxtG"/>
        <w:ind w:left="2268" w:hanging="1134"/>
        <w:rPr>
          <w:bCs/>
          <w:strike/>
          <w:lang w:val="en-GB"/>
        </w:rPr>
      </w:pPr>
      <w:r w:rsidRPr="00132429">
        <w:rPr>
          <w:bCs/>
          <w:lang w:val="en-GB"/>
        </w:rPr>
        <w:tab/>
      </w:r>
      <w:r w:rsidRPr="008955F5">
        <w:rPr>
          <w:bCs/>
          <w:strike/>
          <w:lang w:val="en-GB"/>
        </w:rPr>
        <w:t>(e)</w:t>
      </w:r>
      <w:r w:rsidRPr="008955F5">
        <w:rPr>
          <w:bCs/>
          <w:strike/>
          <w:lang w:val="en-GB"/>
        </w:rPr>
        <w:tab/>
        <w:t>No extra chippings shall be added onto the surface;</w:t>
      </w:r>
    </w:p>
    <w:p w14:paraId="1063F598" w14:textId="77777777" w:rsidR="00DF4B70" w:rsidRPr="008955F5" w:rsidRDefault="00DF4B70" w:rsidP="00FE1A1B">
      <w:pPr>
        <w:pStyle w:val="SingleTxtG"/>
        <w:ind w:left="2829" w:hanging="561"/>
        <w:rPr>
          <w:bCs/>
          <w:strike/>
          <w:lang w:val="en-GB"/>
        </w:rPr>
      </w:pPr>
      <w:r w:rsidRPr="008955F5">
        <w:rPr>
          <w:bCs/>
          <w:strike/>
          <w:lang w:val="en-GB"/>
        </w:rPr>
        <w:t>(f)</w:t>
      </w:r>
      <w:r w:rsidRPr="008955F5">
        <w:rPr>
          <w:bCs/>
          <w:strike/>
          <w:lang w:val="en-GB"/>
        </w:rPr>
        <w:tab/>
        <w:t>The binder hardness expressed as PEN value shall be 40 - 60, 60 - 80 or even 80 - 100 depending on the climatic conditions of the country. The rule is that as hard a binder as possible shall be used, provided this is consistent with common practice;</w:t>
      </w:r>
    </w:p>
    <w:p w14:paraId="65D1807D" w14:textId="77777777" w:rsidR="00DF4B70" w:rsidRPr="008955F5" w:rsidRDefault="00DF4B70" w:rsidP="00FE1A1B">
      <w:pPr>
        <w:pStyle w:val="SingleTxtG"/>
        <w:ind w:left="2829" w:hanging="570"/>
        <w:rPr>
          <w:bCs/>
          <w:strike/>
          <w:lang w:val="en-GB"/>
        </w:rPr>
      </w:pPr>
      <w:r w:rsidRPr="008955F5">
        <w:rPr>
          <w:bCs/>
          <w:strike/>
          <w:lang w:val="en-GB"/>
        </w:rPr>
        <w:lastRenderedPageBreak/>
        <w:t>(g)</w:t>
      </w:r>
      <w:r w:rsidRPr="008955F5">
        <w:rPr>
          <w:bCs/>
          <w:strike/>
          <w:lang w:val="en-GB"/>
        </w:rPr>
        <w:tab/>
        <w:t>The temperature of the mix before rolling shall be chosen so as to achieve by subsequent rolling the required voids content. In order to increase the probability of satisfying the specifications of paragraphs 2.1. to 2.4. above, the compactness shall be studied not only by an appropriate choice of mixing temperature, but also by an appropriate number of passings and by the choice of compacting vehicle.</w:t>
      </w:r>
    </w:p>
    <w:p w14:paraId="313B250F" w14:textId="77777777" w:rsidR="00DF4B70" w:rsidRPr="008955F5" w:rsidRDefault="00DF4B70" w:rsidP="00132429">
      <w:pPr>
        <w:pStyle w:val="Heading1"/>
        <w:numPr>
          <w:ilvl w:val="0"/>
          <w:numId w:val="0"/>
        </w:numPr>
        <w:ind w:left="567" w:firstLine="567"/>
        <w:rPr>
          <w:strike/>
          <w:lang w:val="en-GB"/>
        </w:rPr>
      </w:pPr>
      <w:bookmarkStart w:id="16" w:name="_Toc367177768"/>
      <w:bookmarkStart w:id="17" w:name="_Toc432594582"/>
      <w:bookmarkStart w:id="18" w:name="_Toc440609134"/>
      <w:bookmarkStart w:id="19" w:name="_Toc61444510"/>
      <w:r w:rsidRPr="008955F5">
        <w:rPr>
          <w:strike/>
          <w:lang w:val="en-GB"/>
        </w:rPr>
        <w:t>Table 1</w:t>
      </w:r>
      <w:bookmarkEnd w:id="16"/>
      <w:bookmarkEnd w:id="17"/>
      <w:bookmarkEnd w:id="18"/>
      <w:bookmarkEnd w:id="19"/>
    </w:p>
    <w:p w14:paraId="45098EA2" w14:textId="77777777" w:rsidR="00DF4B70" w:rsidRPr="008955F5" w:rsidRDefault="00DF4B70" w:rsidP="00FE1A1B">
      <w:pPr>
        <w:pStyle w:val="SingleTxtG"/>
        <w:rPr>
          <w:b/>
          <w:bCs/>
          <w:strike/>
          <w:lang w:val="en-GB"/>
        </w:rPr>
      </w:pPr>
      <w:r w:rsidRPr="008955F5">
        <w:rPr>
          <w:b/>
          <w:bCs/>
          <w:strike/>
          <w:lang w:val="en-GB"/>
        </w:rPr>
        <w:t>Design guidelines</w:t>
      </w:r>
    </w:p>
    <w:tbl>
      <w:tblPr>
        <w:tblW w:w="7370" w:type="dxa"/>
        <w:tblInd w:w="11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8"/>
        <w:gridCol w:w="1242"/>
        <w:gridCol w:w="1340"/>
        <w:gridCol w:w="1340"/>
      </w:tblGrid>
      <w:tr w:rsidR="008955F5" w:rsidRPr="00451160" w14:paraId="78367C15" w14:textId="77777777" w:rsidTr="000764DE">
        <w:trPr>
          <w:cantSplit/>
          <w:tblHeader/>
        </w:trPr>
        <w:tc>
          <w:tcPr>
            <w:tcW w:w="3800" w:type="dxa"/>
            <w:vMerge w:val="restart"/>
            <w:shd w:val="clear" w:color="auto" w:fill="auto"/>
            <w:vAlign w:val="bottom"/>
          </w:tcPr>
          <w:p w14:paraId="1AB1C30E" w14:textId="77777777" w:rsidR="00DF4B70" w:rsidRPr="00451160" w:rsidRDefault="00DF4B70" w:rsidP="00FE1A1B">
            <w:pPr>
              <w:suppressAutoHyphens w:val="0"/>
              <w:spacing w:before="80" w:after="80" w:line="200" w:lineRule="exact"/>
              <w:ind w:right="113"/>
              <w:rPr>
                <w:b/>
                <w:i/>
                <w:strike/>
                <w:sz w:val="16"/>
                <w:szCs w:val="16"/>
                <w:lang w:val="en-GB"/>
              </w:rPr>
            </w:pPr>
          </w:p>
        </w:tc>
        <w:tc>
          <w:tcPr>
            <w:tcW w:w="2840" w:type="dxa"/>
            <w:gridSpan w:val="2"/>
            <w:shd w:val="clear" w:color="auto" w:fill="auto"/>
            <w:vAlign w:val="bottom"/>
          </w:tcPr>
          <w:p w14:paraId="3094C0A3" w14:textId="77777777" w:rsidR="00DF4B70" w:rsidRPr="00451160" w:rsidRDefault="00DF4B70" w:rsidP="00FE1A1B">
            <w:pPr>
              <w:suppressAutoHyphens w:val="0"/>
              <w:spacing w:before="80" w:after="80" w:line="200" w:lineRule="exact"/>
              <w:ind w:left="57" w:right="113"/>
              <w:jc w:val="center"/>
              <w:rPr>
                <w:b/>
                <w:i/>
                <w:strike/>
                <w:sz w:val="16"/>
                <w:szCs w:val="16"/>
                <w:lang w:val="en-GB"/>
              </w:rPr>
            </w:pPr>
            <w:r w:rsidRPr="00451160">
              <w:rPr>
                <w:b/>
                <w:i/>
                <w:strike/>
                <w:sz w:val="16"/>
                <w:szCs w:val="16"/>
                <w:lang w:val="en-GB"/>
              </w:rPr>
              <w:t>Target values</w:t>
            </w:r>
          </w:p>
        </w:tc>
        <w:tc>
          <w:tcPr>
            <w:tcW w:w="1474" w:type="dxa"/>
            <w:vMerge w:val="restart"/>
            <w:shd w:val="clear" w:color="auto" w:fill="auto"/>
            <w:vAlign w:val="bottom"/>
          </w:tcPr>
          <w:p w14:paraId="55AEEACE" w14:textId="77777777" w:rsidR="00DF4B70" w:rsidRPr="00451160" w:rsidRDefault="00DF4B70" w:rsidP="00FE1A1B">
            <w:pPr>
              <w:suppressAutoHyphens w:val="0"/>
              <w:spacing w:before="80" w:after="80" w:line="200" w:lineRule="exact"/>
              <w:ind w:right="113"/>
              <w:rPr>
                <w:b/>
                <w:i/>
                <w:strike/>
                <w:sz w:val="16"/>
                <w:szCs w:val="16"/>
                <w:lang w:val="en-GB"/>
              </w:rPr>
            </w:pPr>
          </w:p>
          <w:p w14:paraId="3272C684" w14:textId="77777777" w:rsidR="00DF4B70" w:rsidRPr="00451160" w:rsidRDefault="00DF4B70" w:rsidP="00FE1A1B">
            <w:pPr>
              <w:suppressAutoHyphens w:val="0"/>
              <w:spacing w:before="80" w:after="80" w:line="200" w:lineRule="exact"/>
              <w:ind w:right="113"/>
              <w:jc w:val="right"/>
              <w:rPr>
                <w:b/>
                <w:i/>
                <w:strike/>
                <w:sz w:val="16"/>
                <w:szCs w:val="16"/>
                <w:lang w:val="en-GB"/>
              </w:rPr>
            </w:pPr>
            <w:r w:rsidRPr="00451160">
              <w:rPr>
                <w:b/>
                <w:i/>
                <w:strike/>
                <w:sz w:val="16"/>
                <w:szCs w:val="16"/>
                <w:lang w:val="en-GB"/>
              </w:rPr>
              <w:t>Tolerances</w:t>
            </w:r>
          </w:p>
        </w:tc>
      </w:tr>
      <w:tr w:rsidR="008955F5" w:rsidRPr="00491F21" w14:paraId="22B57B91" w14:textId="77777777" w:rsidTr="000764DE">
        <w:trPr>
          <w:cantSplit/>
          <w:tblHeader/>
        </w:trPr>
        <w:tc>
          <w:tcPr>
            <w:tcW w:w="3800" w:type="dxa"/>
            <w:vMerge/>
            <w:tcBorders>
              <w:bottom w:val="single" w:sz="12" w:space="0" w:color="auto"/>
            </w:tcBorders>
            <w:shd w:val="clear" w:color="auto" w:fill="auto"/>
          </w:tcPr>
          <w:p w14:paraId="5D43326E" w14:textId="77777777" w:rsidR="00DF4B70" w:rsidRPr="008955F5" w:rsidRDefault="00DF4B70" w:rsidP="00FE1A1B">
            <w:pPr>
              <w:suppressAutoHyphens w:val="0"/>
              <w:spacing w:before="40" w:after="120" w:line="220" w:lineRule="exact"/>
              <w:ind w:right="113"/>
              <w:rPr>
                <w:bCs/>
                <w:i/>
                <w:strike/>
                <w:szCs w:val="16"/>
                <w:lang w:val="en-GB"/>
              </w:rPr>
            </w:pPr>
          </w:p>
        </w:tc>
        <w:tc>
          <w:tcPr>
            <w:tcW w:w="1366" w:type="dxa"/>
            <w:tcBorders>
              <w:bottom w:val="single" w:sz="12" w:space="0" w:color="auto"/>
            </w:tcBorders>
            <w:shd w:val="clear" w:color="auto" w:fill="auto"/>
          </w:tcPr>
          <w:p w14:paraId="75F28917" w14:textId="77777777" w:rsidR="00DF4B70" w:rsidRPr="00451160" w:rsidRDefault="00DF4B70" w:rsidP="00FE1A1B">
            <w:pPr>
              <w:suppressAutoHyphens w:val="0"/>
              <w:spacing w:before="40" w:after="120" w:line="220" w:lineRule="exact"/>
              <w:ind w:left="57" w:right="113"/>
              <w:jc w:val="right"/>
              <w:rPr>
                <w:b/>
                <w:i/>
                <w:strike/>
                <w:sz w:val="16"/>
                <w:szCs w:val="16"/>
                <w:lang w:val="en-GB"/>
              </w:rPr>
            </w:pPr>
            <w:r w:rsidRPr="00451160">
              <w:rPr>
                <w:b/>
                <w:i/>
                <w:strike/>
                <w:sz w:val="16"/>
                <w:szCs w:val="16"/>
                <w:lang w:val="en-GB"/>
              </w:rPr>
              <w:t xml:space="preserve">By total mass </w:t>
            </w:r>
            <w:r w:rsidRPr="00451160">
              <w:rPr>
                <w:b/>
                <w:i/>
                <w:strike/>
                <w:sz w:val="16"/>
                <w:szCs w:val="16"/>
                <w:lang w:val="en-GB"/>
              </w:rPr>
              <w:br/>
              <w:t>of mix</w:t>
            </w:r>
          </w:p>
        </w:tc>
        <w:tc>
          <w:tcPr>
            <w:tcW w:w="1474" w:type="dxa"/>
            <w:tcBorders>
              <w:bottom w:val="single" w:sz="12" w:space="0" w:color="auto"/>
            </w:tcBorders>
            <w:shd w:val="clear" w:color="auto" w:fill="auto"/>
          </w:tcPr>
          <w:p w14:paraId="74821D1B" w14:textId="77777777" w:rsidR="00DF4B70" w:rsidRPr="00451160" w:rsidRDefault="00DF4B70" w:rsidP="00FE1A1B">
            <w:pPr>
              <w:suppressAutoHyphens w:val="0"/>
              <w:spacing w:before="40" w:after="120" w:line="220" w:lineRule="exact"/>
              <w:ind w:left="57" w:right="113"/>
              <w:jc w:val="right"/>
              <w:rPr>
                <w:b/>
                <w:i/>
                <w:strike/>
                <w:sz w:val="16"/>
                <w:szCs w:val="16"/>
                <w:lang w:val="en-GB"/>
              </w:rPr>
            </w:pPr>
            <w:r w:rsidRPr="00451160">
              <w:rPr>
                <w:b/>
                <w:i/>
                <w:strike/>
                <w:sz w:val="16"/>
                <w:szCs w:val="16"/>
                <w:lang w:val="en-GB"/>
              </w:rPr>
              <w:t>By mass of the aggregate</w:t>
            </w:r>
          </w:p>
        </w:tc>
        <w:tc>
          <w:tcPr>
            <w:tcW w:w="1474" w:type="dxa"/>
            <w:vMerge/>
            <w:tcBorders>
              <w:bottom w:val="single" w:sz="12" w:space="0" w:color="auto"/>
            </w:tcBorders>
            <w:shd w:val="clear" w:color="auto" w:fill="auto"/>
          </w:tcPr>
          <w:p w14:paraId="3EA3886C" w14:textId="77777777" w:rsidR="00DF4B70" w:rsidRPr="008955F5" w:rsidRDefault="00DF4B70" w:rsidP="00FE1A1B">
            <w:pPr>
              <w:suppressAutoHyphens w:val="0"/>
              <w:spacing w:before="40" w:after="120" w:line="220" w:lineRule="exact"/>
              <w:ind w:right="113"/>
              <w:rPr>
                <w:bCs/>
                <w:strike/>
                <w:szCs w:val="18"/>
                <w:lang w:val="en-GB"/>
              </w:rPr>
            </w:pPr>
          </w:p>
        </w:tc>
      </w:tr>
      <w:tr w:rsidR="008955F5" w:rsidRPr="008955F5" w14:paraId="04362E80" w14:textId="77777777" w:rsidTr="000764DE">
        <w:trPr>
          <w:cantSplit/>
          <w:trHeight w:val="509"/>
        </w:trPr>
        <w:tc>
          <w:tcPr>
            <w:tcW w:w="3800" w:type="dxa"/>
            <w:tcBorders>
              <w:top w:val="single" w:sz="12" w:space="0" w:color="auto"/>
              <w:bottom w:val="single" w:sz="4" w:space="0" w:color="auto"/>
            </w:tcBorders>
            <w:shd w:val="clear" w:color="auto" w:fill="auto"/>
          </w:tcPr>
          <w:p w14:paraId="27522578" w14:textId="77777777" w:rsidR="00DF4B70" w:rsidRPr="00451160" w:rsidRDefault="00DF4B70" w:rsidP="00FE1A1B">
            <w:pPr>
              <w:suppressAutoHyphens w:val="0"/>
              <w:spacing w:before="40" w:after="120" w:line="220" w:lineRule="exact"/>
              <w:ind w:left="57" w:right="113"/>
              <w:rPr>
                <w:bCs/>
                <w:strike/>
                <w:sz w:val="18"/>
                <w:szCs w:val="18"/>
                <w:lang w:val="en-GB"/>
              </w:rPr>
            </w:pPr>
            <w:r w:rsidRPr="00451160">
              <w:rPr>
                <w:bCs/>
                <w:strike/>
                <w:sz w:val="18"/>
                <w:szCs w:val="18"/>
                <w:lang w:val="en-GB"/>
              </w:rPr>
              <w:t>Mass of stones,</w:t>
            </w:r>
            <w:r w:rsidRPr="00451160">
              <w:rPr>
                <w:bCs/>
                <w:strike/>
                <w:sz w:val="18"/>
                <w:szCs w:val="18"/>
                <w:lang w:val="en-GB"/>
              </w:rPr>
              <w:br/>
              <w:t>square mesh sieve (SM) &gt; 2 mm</w:t>
            </w:r>
          </w:p>
        </w:tc>
        <w:tc>
          <w:tcPr>
            <w:tcW w:w="1366" w:type="dxa"/>
            <w:tcBorders>
              <w:top w:val="single" w:sz="12" w:space="0" w:color="auto"/>
              <w:bottom w:val="single" w:sz="4" w:space="0" w:color="auto"/>
            </w:tcBorders>
            <w:shd w:val="clear" w:color="auto" w:fill="auto"/>
          </w:tcPr>
          <w:p w14:paraId="1574447D" w14:textId="77777777" w:rsidR="00DF4B70" w:rsidRPr="00451160" w:rsidRDefault="00DF4B70" w:rsidP="00FE1A1B">
            <w:pPr>
              <w:suppressAutoHyphens w:val="0"/>
              <w:spacing w:before="40" w:after="120" w:line="220" w:lineRule="exact"/>
              <w:ind w:left="57" w:right="113"/>
              <w:jc w:val="right"/>
              <w:rPr>
                <w:bCs/>
                <w:strike/>
                <w:sz w:val="18"/>
                <w:szCs w:val="18"/>
                <w:lang w:val="en-GB"/>
              </w:rPr>
            </w:pPr>
            <w:r w:rsidRPr="00451160">
              <w:rPr>
                <w:bCs/>
                <w:strike/>
                <w:sz w:val="18"/>
                <w:szCs w:val="18"/>
                <w:lang w:val="en-GB"/>
              </w:rPr>
              <w:br/>
              <w:t>47.6 %</w:t>
            </w:r>
          </w:p>
        </w:tc>
        <w:tc>
          <w:tcPr>
            <w:tcW w:w="1474" w:type="dxa"/>
            <w:tcBorders>
              <w:top w:val="single" w:sz="12" w:space="0" w:color="auto"/>
              <w:bottom w:val="single" w:sz="4" w:space="0" w:color="auto"/>
            </w:tcBorders>
            <w:shd w:val="clear" w:color="auto" w:fill="auto"/>
          </w:tcPr>
          <w:p w14:paraId="2874255C" w14:textId="77777777" w:rsidR="00DF4B70" w:rsidRPr="00451160" w:rsidRDefault="00DF4B70" w:rsidP="00FE1A1B">
            <w:pPr>
              <w:suppressAutoHyphens w:val="0"/>
              <w:spacing w:before="40" w:after="120" w:line="220" w:lineRule="exact"/>
              <w:ind w:left="57" w:right="113"/>
              <w:jc w:val="right"/>
              <w:rPr>
                <w:bCs/>
                <w:strike/>
                <w:sz w:val="18"/>
                <w:szCs w:val="18"/>
                <w:lang w:val="en-GB"/>
              </w:rPr>
            </w:pPr>
            <w:r w:rsidRPr="00451160">
              <w:rPr>
                <w:bCs/>
                <w:strike/>
                <w:sz w:val="18"/>
                <w:szCs w:val="18"/>
                <w:lang w:val="en-GB"/>
              </w:rPr>
              <w:br/>
              <w:t>50.5 %</w:t>
            </w:r>
          </w:p>
        </w:tc>
        <w:tc>
          <w:tcPr>
            <w:tcW w:w="1474" w:type="dxa"/>
            <w:tcBorders>
              <w:top w:val="single" w:sz="12" w:space="0" w:color="auto"/>
              <w:bottom w:val="single" w:sz="4" w:space="0" w:color="auto"/>
            </w:tcBorders>
            <w:shd w:val="clear" w:color="auto" w:fill="auto"/>
          </w:tcPr>
          <w:p w14:paraId="0ACA0BDF" w14:textId="77777777" w:rsidR="00DF4B70" w:rsidRPr="00451160" w:rsidRDefault="00DF4B70" w:rsidP="00FE1A1B">
            <w:pPr>
              <w:suppressAutoHyphens w:val="0"/>
              <w:spacing w:before="40" w:after="120" w:line="220" w:lineRule="exact"/>
              <w:ind w:left="57" w:right="113"/>
              <w:jc w:val="right"/>
              <w:rPr>
                <w:bCs/>
                <w:strike/>
                <w:sz w:val="18"/>
                <w:szCs w:val="18"/>
                <w:lang w:val="en-GB"/>
              </w:rPr>
            </w:pPr>
            <w:r w:rsidRPr="00451160">
              <w:rPr>
                <w:bCs/>
                <w:strike/>
                <w:sz w:val="18"/>
                <w:szCs w:val="18"/>
                <w:lang w:val="en-GB"/>
              </w:rPr>
              <w:br/>
              <w:t>±5 %</w:t>
            </w:r>
          </w:p>
        </w:tc>
      </w:tr>
      <w:tr w:rsidR="008955F5" w:rsidRPr="008955F5" w14:paraId="7BC0617C" w14:textId="77777777" w:rsidTr="000764DE">
        <w:trPr>
          <w:cantSplit/>
        </w:trPr>
        <w:tc>
          <w:tcPr>
            <w:tcW w:w="3800" w:type="dxa"/>
            <w:tcBorders>
              <w:top w:val="single" w:sz="4" w:space="0" w:color="auto"/>
            </w:tcBorders>
            <w:shd w:val="clear" w:color="auto" w:fill="auto"/>
          </w:tcPr>
          <w:p w14:paraId="2DA298BA" w14:textId="77777777" w:rsidR="00DF4B70" w:rsidRPr="00451160" w:rsidRDefault="00DF4B70" w:rsidP="00FE1A1B">
            <w:pPr>
              <w:suppressAutoHyphens w:val="0"/>
              <w:spacing w:before="40" w:after="120" w:line="220" w:lineRule="exact"/>
              <w:ind w:left="57" w:right="113"/>
              <w:rPr>
                <w:bCs/>
                <w:strike/>
                <w:sz w:val="18"/>
                <w:szCs w:val="18"/>
                <w:lang w:val="en-GB"/>
              </w:rPr>
            </w:pPr>
            <w:r w:rsidRPr="00451160">
              <w:rPr>
                <w:bCs/>
                <w:strike/>
                <w:sz w:val="18"/>
                <w:szCs w:val="18"/>
                <w:lang w:val="en-GB"/>
              </w:rPr>
              <w:t>Mass of sand    0.063 &lt; SM &lt; 2 mm</w:t>
            </w:r>
          </w:p>
        </w:tc>
        <w:tc>
          <w:tcPr>
            <w:tcW w:w="1366" w:type="dxa"/>
            <w:tcBorders>
              <w:top w:val="single" w:sz="4" w:space="0" w:color="auto"/>
            </w:tcBorders>
            <w:shd w:val="clear" w:color="auto" w:fill="auto"/>
          </w:tcPr>
          <w:p w14:paraId="51C9E233" w14:textId="77777777" w:rsidR="00DF4B70" w:rsidRPr="00451160" w:rsidRDefault="00DF4B70" w:rsidP="00FE1A1B">
            <w:pPr>
              <w:suppressAutoHyphens w:val="0"/>
              <w:spacing w:before="40" w:after="120" w:line="220" w:lineRule="exact"/>
              <w:ind w:left="57" w:right="113"/>
              <w:jc w:val="right"/>
              <w:rPr>
                <w:bCs/>
                <w:strike/>
                <w:sz w:val="18"/>
                <w:szCs w:val="18"/>
                <w:lang w:val="en-GB"/>
              </w:rPr>
            </w:pPr>
            <w:r w:rsidRPr="00451160">
              <w:rPr>
                <w:bCs/>
                <w:strike/>
                <w:sz w:val="18"/>
                <w:szCs w:val="18"/>
                <w:lang w:val="en-GB"/>
              </w:rPr>
              <w:t>38.0 %</w:t>
            </w:r>
          </w:p>
        </w:tc>
        <w:tc>
          <w:tcPr>
            <w:tcW w:w="1474" w:type="dxa"/>
            <w:tcBorders>
              <w:top w:val="single" w:sz="4" w:space="0" w:color="auto"/>
            </w:tcBorders>
            <w:shd w:val="clear" w:color="auto" w:fill="auto"/>
          </w:tcPr>
          <w:p w14:paraId="48F79512" w14:textId="77777777" w:rsidR="00DF4B70" w:rsidRPr="00451160" w:rsidRDefault="00DF4B70" w:rsidP="00FE1A1B">
            <w:pPr>
              <w:suppressAutoHyphens w:val="0"/>
              <w:spacing w:before="40" w:after="120" w:line="220" w:lineRule="exact"/>
              <w:ind w:left="57" w:right="113"/>
              <w:jc w:val="right"/>
              <w:rPr>
                <w:bCs/>
                <w:strike/>
                <w:sz w:val="18"/>
                <w:szCs w:val="18"/>
                <w:lang w:val="en-GB"/>
              </w:rPr>
            </w:pPr>
            <w:r w:rsidRPr="00451160">
              <w:rPr>
                <w:bCs/>
                <w:strike/>
                <w:sz w:val="18"/>
                <w:szCs w:val="18"/>
                <w:lang w:val="en-GB"/>
              </w:rPr>
              <w:t>40.2 %</w:t>
            </w:r>
          </w:p>
        </w:tc>
        <w:tc>
          <w:tcPr>
            <w:tcW w:w="1474" w:type="dxa"/>
            <w:tcBorders>
              <w:top w:val="single" w:sz="4" w:space="0" w:color="auto"/>
            </w:tcBorders>
            <w:shd w:val="clear" w:color="auto" w:fill="auto"/>
          </w:tcPr>
          <w:p w14:paraId="5D1EA582" w14:textId="77777777" w:rsidR="00DF4B70" w:rsidRPr="00451160" w:rsidRDefault="00DF4B70" w:rsidP="00FE1A1B">
            <w:pPr>
              <w:suppressAutoHyphens w:val="0"/>
              <w:spacing w:before="40" w:after="120" w:line="220" w:lineRule="exact"/>
              <w:ind w:left="57" w:right="113"/>
              <w:jc w:val="right"/>
              <w:rPr>
                <w:bCs/>
                <w:strike/>
                <w:sz w:val="18"/>
                <w:szCs w:val="18"/>
                <w:lang w:val="en-GB"/>
              </w:rPr>
            </w:pPr>
            <w:r w:rsidRPr="00451160">
              <w:rPr>
                <w:bCs/>
                <w:strike/>
                <w:sz w:val="18"/>
                <w:szCs w:val="18"/>
                <w:lang w:val="en-GB"/>
              </w:rPr>
              <w:t>±5 %</w:t>
            </w:r>
          </w:p>
        </w:tc>
      </w:tr>
      <w:tr w:rsidR="008955F5" w:rsidRPr="008955F5" w14:paraId="1492F681" w14:textId="77777777" w:rsidTr="000764DE">
        <w:trPr>
          <w:cantSplit/>
        </w:trPr>
        <w:tc>
          <w:tcPr>
            <w:tcW w:w="3800" w:type="dxa"/>
            <w:shd w:val="clear" w:color="auto" w:fill="auto"/>
          </w:tcPr>
          <w:p w14:paraId="1E68DC84" w14:textId="77777777" w:rsidR="00DF4B70" w:rsidRPr="00451160" w:rsidRDefault="00DF4B70" w:rsidP="00FE1A1B">
            <w:pPr>
              <w:suppressAutoHyphens w:val="0"/>
              <w:spacing w:before="40" w:after="120" w:line="220" w:lineRule="exact"/>
              <w:ind w:left="57" w:right="113"/>
              <w:rPr>
                <w:bCs/>
                <w:strike/>
                <w:sz w:val="18"/>
                <w:szCs w:val="18"/>
                <w:lang w:val="en-GB"/>
              </w:rPr>
            </w:pPr>
            <w:r w:rsidRPr="00451160">
              <w:rPr>
                <w:bCs/>
                <w:strike/>
                <w:sz w:val="18"/>
                <w:szCs w:val="18"/>
                <w:lang w:val="en-GB"/>
              </w:rPr>
              <w:t>Mass of filler   SM &lt; 0.063 mm</w:t>
            </w:r>
          </w:p>
        </w:tc>
        <w:tc>
          <w:tcPr>
            <w:tcW w:w="1366" w:type="dxa"/>
            <w:shd w:val="clear" w:color="auto" w:fill="auto"/>
          </w:tcPr>
          <w:p w14:paraId="37E08134" w14:textId="77777777" w:rsidR="00DF4B70" w:rsidRPr="00451160" w:rsidRDefault="00DF4B70" w:rsidP="00FE1A1B">
            <w:pPr>
              <w:suppressAutoHyphens w:val="0"/>
              <w:spacing w:before="40" w:after="120" w:line="220" w:lineRule="exact"/>
              <w:ind w:left="57" w:right="113"/>
              <w:jc w:val="right"/>
              <w:rPr>
                <w:bCs/>
                <w:strike/>
                <w:sz w:val="18"/>
                <w:szCs w:val="18"/>
                <w:lang w:val="en-GB"/>
              </w:rPr>
            </w:pPr>
            <w:r w:rsidRPr="00451160">
              <w:rPr>
                <w:bCs/>
                <w:strike/>
                <w:sz w:val="18"/>
                <w:szCs w:val="18"/>
                <w:lang w:val="en-GB"/>
              </w:rPr>
              <w:t xml:space="preserve"> 8.8 %</w:t>
            </w:r>
          </w:p>
        </w:tc>
        <w:tc>
          <w:tcPr>
            <w:tcW w:w="1474" w:type="dxa"/>
            <w:shd w:val="clear" w:color="auto" w:fill="auto"/>
          </w:tcPr>
          <w:p w14:paraId="3AC98C25" w14:textId="77777777" w:rsidR="00DF4B70" w:rsidRPr="00451160" w:rsidRDefault="00DF4B70" w:rsidP="00FE1A1B">
            <w:pPr>
              <w:suppressAutoHyphens w:val="0"/>
              <w:spacing w:before="40" w:after="120" w:line="220" w:lineRule="exact"/>
              <w:ind w:left="57" w:right="113"/>
              <w:jc w:val="right"/>
              <w:rPr>
                <w:bCs/>
                <w:strike/>
                <w:sz w:val="18"/>
                <w:szCs w:val="18"/>
                <w:lang w:val="en-GB"/>
              </w:rPr>
            </w:pPr>
            <w:r w:rsidRPr="00451160">
              <w:rPr>
                <w:bCs/>
                <w:strike/>
                <w:sz w:val="18"/>
                <w:szCs w:val="18"/>
                <w:lang w:val="en-GB"/>
              </w:rPr>
              <w:t>9.3 %</w:t>
            </w:r>
          </w:p>
        </w:tc>
        <w:tc>
          <w:tcPr>
            <w:tcW w:w="1474" w:type="dxa"/>
            <w:shd w:val="clear" w:color="auto" w:fill="auto"/>
          </w:tcPr>
          <w:p w14:paraId="611242A1" w14:textId="77777777" w:rsidR="00DF4B70" w:rsidRPr="00451160" w:rsidRDefault="00DF4B70" w:rsidP="00FE1A1B">
            <w:pPr>
              <w:suppressAutoHyphens w:val="0"/>
              <w:spacing w:before="40" w:after="120" w:line="220" w:lineRule="exact"/>
              <w:ind w:left="57" w:right="113"/>
              <w:jc w:val="right"/>
              <w:rPr>
                <w:bCs/>
                <w:strike/>
                <w:sz w:val="18"/>
                <w:szCs w:val="18"/>
                <w:lang w:val="en-GB"/>
              </w:rPr>
            </w:pPr>
            <w:r w:rsidRPr="00451160">
              <w:rPr>
                <w:bCs/>
                <w:strike/>
                <w:sz w:val="18"/>
                <w:szCs w:val="18"/>
                <w:lang w:val="en-GB"/>
              </w:rPr>
              <w:t>±5 %</w:t>
            </w:r>
          </w:p>
        </w:tc>
      </w:tr>
      <w:tr w:rsidR="008955F5" w:rsidRPr="008955F5" w14:paraId="6D836B0E" w14:textId="77777777" w:rsidTr="000764DE">
        <w:trPr>
          <w:cantSplit/>
        </w:trPr>
        <w:tc>
          <w:tcPr>
            <w:tcW w:w="3800" w:type="dxa"/>
            <w:shd w:val="clear" w:color="auto" w:fill="auto"/>
          </w:tcPr>
          <w:p w14:paraId="6507686F" w14:textId="77777777" w:rsidR="00DF4B70" w:rsidRPr="00451160" w:rsidRDefault="00DF4B70" w:rsidP="00FE1A1B">
            <w:pPr>
              <w:suppressAutoHyphens w:val="0"/>
              <w:spacing w:before="40" w:after="120" w:line="220" w:lineRule="exact"/>
              <w:ind w:left="57" w:right="113"/>
              <w:rPr>
                <w:bCs/>
                <w:strike/>
                <w:sz w:val="18"/>
                <w:szCs w:val="18"/>
                <w:lang w:val="en-GB"/>
              </w:rPr>
            </w:pPr>
            <w:r w:rsidRPr="00451160">
              <w:rPr>
                <w:bCs/>
                <w:strike/>
                <w:sz w:val="18"/>
                <w:szCs w:val="18"/>
                <w:lang w:val="en-GB"/>
              </w:rPr>
              <w:t>Mass of binder (bitumen)</w:t>
            </w:r>
          </w:p>
        </w:tc>
        <w:tc>
          <w:tcPr>
            <w:tcW w:w="1366" w:type="dxa"/>
            <w:shd w:val="clear" w:color="auto" w:fill="auto"/>
          </w:tcPr>
          <w:p w14:paraId="683E65A7" w14:textId="77777777" w:rsidR="00DF4B70" w:rsidRPr="00451160" w:rsidRDefault="00DF4B70" w:rsidP="00FE1A1B">
            <w:pPr>
              <w:suppressAutoHyphens w:val="0"/>
              <w:spacing w:before="40" w:after="120" w:line="220" w:lineRule="exact"/>
              <w:ind w:left="57" w:right="113"/>
              <w:jc w:val="right"/>
              <w:rPr>
                <w:bCs/>
                <w:strike/>
                <w:sz w:val="18"/>
                <w:szCs w:val="18"/>
                <w:lang w:val="en-GB"/>
              </w:rPr>
            </w:pPr>
            <w:r w:rsidRPr="00451160">
              <w:rPr>
                <w:bCs/>
                <w:strike/>
                <w:sz w:val="18"/>
                <w:szCs w:val="18"/>
                <w:lang w:val="en-GB"/>
              </w:rPr>
              <w:t xml:space="preserve"> 5.8 %</w:t>
            </w:r>
          </w:p>
        </w:tc>
        <w:tc>
          <w:tcPr>
            <w:tcW w:w="1474" w:type="dxa"/>
            <w:shd w:val="clear" w:color="auto" w:fill="auto"/>
          </w:tcPr>
          <w:p w14:paraId="3CCEB71F" w14:textId="77777777" w:rsidR="00DF4B70" w:rsidRPr="00451160" w:rsidRDefault="00DF4B70" w:rsidP="00FE1A1B">
            <w:pPr>
              <w:suppressAutoHyphens w:val="0"/>
              <w:spacing w:before="40" w:after="120" w:line="220" w:lineRule="exact"/>
              <w:ind w:left="57" w:right="113"/>
              <w:jc w:val="right"/>
              <w:rPr>
                <w:bCs/>
                <w:strike/>
                <w:sz w:val="18"/>
                <w:szCs w:val="18"/>
                <w:lang w:val="en-GB"/>
              </w:rPr>
            </w:pPr>
            <w:r w:rsidRPr="00451160">
              <w:rPr>
                <w:bCs/>
                <w:strike/>
                <w:sz w:val="18"/>
                <w:szCs w:val="18"/>
                <w:lang w:val="en-GB"/>
              </w:rPr>
              <w:t>N.A.</w:t>
            </w:r>
          </w:p>
        </w:tc>
        <w:tc>
          <w:tcPr>
            <w:tcW w:w="1474" w:type="dxa"/>
            <w:shd w:val="clear" w:color="auto" w:fill="auto"/>
          </w:tcPr>
          <w:p w14:paraId="6153F8FA" w14:textId="77777777" w:rsidR="00DF4B70" w:rsidRPr="00451160" w:rsidRDefault="00DF4B70" w:rsidP="00FE1A1B">
            <w:pPr>
              <w:suppressAutoHyphens w:val="0"/>
              <w:spacing w:before="40" w:after="120" w:line="220" w:lineRule="exact"/>
              <w:ind w:left="57" w:right="113"/>
              <w:jc w:val="right"/>
              <w:rPr>
                <w:bCs/>
                <w:strike/>
                <w:sz w:val="18"/>
                <w:szCs w:val="18"/>
                <w:lang w:val="en-GB"/>
              </w:rPr>
            </w:pPr>
            <w:r w:rsidRPr="00451160">
              <w:rPr>
                <w:bCs/>
                <w:strike/>
                <w:sz w:val="18"/>
                <w:szCs w:val="18"/>
                <w:lang w:val="en-GB"/>
              </w:rPr>
              <w:t>±0.5 %</w:t>
            </w:r>
          </w:p>
        </w:tc>
      </w:tr>
      <w:tr w:rsidR="008955F5" w:rsidRPr="008955F5" w14:paraId="5A007F43" w14:textId="77777777" w:rsidTr="000764DE">
        <w:trPr>
          <w:cantSplit/>
          <w:trHeight w:val="315"/>
        </w:trPr>
        <w:tc>
          <w:tcPr>
            <w:tcW w:w="3800" w:type="dxa"/>
            <w:shd w:val="clear" w:color="auto" w:fill="auto"/>
          </w:tcPr>
          <w:p w14:paraId="65AEE8ED" w14:textId="77777777" w:rsidR="00DF4B70" w:rsidRPr="00451160" w:rsidRDefault="00DF4B70" w:rsidP="00FE1A1B">
            <w:pPr>
              <w:suppressAutoHyphens w:val="0"/>
              <w:spacing w:before="40" w:after="120" w:line="220" w:lineRule="exact"/>
              <w:ind w:left="57" w:right="113"/>
              <w:rPr>
                <w:bCs/>
                <w:strike/>
                <w:sz w:val="18"/>
                <w:szCs w:val="18"/>
                <w:lang w:val="en-GB"/>
              </w:rPr>
            </w:pPr>
            <w:r w:rsidRPr="00451160">
              <w:rPr>
                <w:bCs/>
                <w:strike/>
                <w:sz w:val="18"/>
                <w:szCs w:val="18"/>
                <w:lang w:val="en-GB"/>
              </w:rPr>
              <w:t>Max. chipping size</w:t>
            </w:r>
          </w:p>
        </w:tc>
        <w:tc>
          <w:tcPr>
            <w:tcW w:w="2840" w:type="dxa"/>
            <w:gridSpan w:val="2"/>
            <w:shd w:val="clear" w:color="auto" w:fill="auto"/>
          </w:tcPr>
          <w:p w14:paraId="022ABB38" w14:textId="77777777" w:rsidR="00DF4B70" w:rsidRPr="00451160" w:rsidRDefault="00DF4B70" w:rsidP="00FE1A1B">
            <w:pPr>
              <w:suppressAutoHyphens w:val="0"/>
              <w:spacing w:before="40" w:after="120" w:line="220" w:lineRule="exact"/>
              <w:ind w:left="57" w:right="113"/>
              <w:jc w:val="center"/>
              <w:rPr>
                <w:bCs/>
                <w:strike/>
                <w:sz w:val="18"/>
                <w:szCs w:val="18"/>
                <w:lang w:val="en-GB"/>
              </w:rPr>
            </w:pPr>
            <w:r w:rsidRPr="00451160">
              <w:rPr>
                <w:bCs/>
                <w:strike/>
                <w:sz w:val="18"/>
                <w:szCs w:val="18"/>
                <w:lang w:val="en-GB"/>
              </w:rPr>
              <w:t>8 mm</w:t>
            </w:r>
          </w:p>
        </w:tc>
        <w:tc>
          <w:tcPr>
            <w:tcW w:w="1474" w:type="dxa"/>
            <w:shd w:val="clear" w:color="auto" w:fill="auto"/>
          </w:tcPr>
          <w:p w14:paraId="3C5D1522" w14:textId="77777777" w:rsidR="00DF4B70" w:rsidRPr="00451160" w:rsidRDefault="00DF4B70" w:rsidP="00FE1A1B">
            <w:pPr>
              <w:suppressAutoHyphens w:val="0"/>
              <w:spacing w:before="40" w:after="120" w:line="220" w:lineRule="exact"/>
              <w:ind w:left="57" w:right="113"/>
              <w:jc w:val="right"/>
              <w:rPr>
                <w:bCs/>
                <w:strike/>
                <w:sz w:val="18"/>
                <w:szCs w:val="18"/>
                <w:lang w:val="en-GB"/>
              </w:rPr>
            </w:pPr>
            <w:r w:rsidRPr="00451160">
              <w:rPr>
                <w:bCs/>
                <w:strike/>
                <w:sz w:val="18"/>
                <w:szCs w:val="18"/>
                <w:lang w:val="en-GB"/>
              </w:rPr>
              <w:t>6.3 - 10 mm</w:t>
            </w:r>
          </w:p>
        </w:tc>
      </w:tr>
      <w:tr w:rsidR="008955F5" w:rsidRPr="008955F5" w14:paraId="7E0996CB" w14:textId="77777777" w:rsidTr="000764DE">
        <w:trPr>
          <w:cantSplit/>
          <w:trHeight w:val="315"/>
        </w:trPr>
        <w:tc>
          <w:tcPr>
            <w:tcW w:w="3800" w:type="dxa"/>
            <w:shd w:val="clear" w:color="auto" w:fill="auto"/>
          </w:tcPr>
          <w:p w14:paraId="601F09E0" w14:textId="77777777" w:rsidR="00DF4B70" w:rsidRPr="00451160" w:rsidRDefault="00DF4B70" w:rsidP="00FE1A1B">
            <w:pPr>
              <w:suppressAutoHyphens w:val="0"/>
              <w:spacing w:before="40" w:after="120" w:line="220" w:lineRule="exact"/>
              <w:ind w:left="57" w:right="113"/>
              <w:rPr>
                <w:bCs/>
                <w:strike/>
                <w:sz w:val="18"/>
                <w:szCs w:val="18"/>
                <w:lang w:val="en-GB"/>
              </w:rPr>
            </w:pPr>
            <w:r w:rsidRPr="00451160">
              <w:rPr>
                <w:bCs/>
                <w:strike/>
                <w:sz w:val="18"/>
                <w:szCs w:val="18"/>
                <w:lang w:val="en-GB"/>
              </w:rPr>
              <w:t>Binder hardness</w:t>
            </w:r>
          </w:p>
        </w:tc>
        <w:tc>
          <w:tcPr>
            <w:tcW w:w="2840" w:type="dxa"/>
            <w:gridSpan w:val="2"/>
            <w:shd w:val="clear" w:color="auto" w:fill="auto"/>
          </w:tcPr>
          <w:p w14:paraId="21CABCBB" w14:textId="77777777" w:rsidR="00DF4B70" w:rsidRPr="00451160" w:rsidRDefault="00DF4B70" w:rsidP="00FE1A1B">
            <w:pPr>
              <w:suppressAutoHyphens w:val="0"/>
              <w:spacing w:before="40" w:after="120" w:line="220" w:lineRule="exact"/>
              <w:ind w:left="57" w:right="113"/>
              <w:rPr>
                <w:bCs/>
                <w:strike/>
                <w:sz w:val="18"/>
                <w:szCs w:val="18"/>
                <w:lang w:val="en-GB"/>
              </w:rPr>
            </w:pPr>
            <w:r w:rsidRPr="00451160">
              <w:rPr>
                <w:bCs/>
                <w:strike/>
                <w:sz w:val="18"/>
                <w:szCs w:val="18"/>
                <w:lang w:val="en-GB"/>
              </w:rPr>
              <w:t>(see paragraph 3.2.2. (f))</w:t>
            </w:r>
          </w:p>
        </w:tc>
        <w:tc>
          <w:tcPr>
            <w:tcW w:w="1474" w:type="dxa"/>
            <w:shd w:val="clear" w:color="auto" w:fill="auto"/>
          </w:tcPr>
          <w:p w14:paraId="79B70A0D" w14:textId="77777777" w:rsidR="00DF4B70" w:rsidRPr="00451160" w:rsidRDefault="00DF4B70" w:rsidP="00FE1A1B">
            <w:pPr>
              <w:suppressAutoHyphens w:val="0"/>
              <w:spacing w:before="40" w:after="120" w:line="220" w:lineRule="exact"/>
              <w:ind w:left="57" w:right="113"/>
              <w:rPr>
                <w:bCs/>
                <w:strike/>
                <w:sz w:val="18"/>
                <w:szCs w:val="18"/>
                <w:lang w:val="en-GB"/>
              </w:rPr>
            </w:pPr>
          </w:p>
        </w:tc>
      </w:tr>
      <w:tr w:rsidR="008955F5" w:rsidRPr="008955F5" w14:paraId="412DB14D" w14:textId="77777777" w:rsidTr="000764DE">
        <w:tc>
          <w:tcPr>
            <w:tcW w:w="3800" w:type="dxa"/>
            <w:shd w:val="clear" w:color="auto" w:fill="auto"/>
          </w:tcPr>
          <w:p w14:paraId="50EAF689" w14:textId="77777777" w:rsidR="00DF4B70" w:rsidRPr="00451160" w:rsidRDefault="00DF4B70" w:rsidP="00FE1A1B">
            <w:pPr>
              <w:suppressAutoHyphens w:val="0"/>
              <w:spacing w:before="40" w:after="120" w:line="220" w:lineRule="exact"/>
              <w:ind w:left="57" w:right="113"/>
              <w:rPr>
                <w:bCs/>
                <w:strike/>
                <w:sz w:val="18"/>
                <w:szCs w:val="18"/>
                <w:lang w:val="en-GB"/>
              </w:rPr>
            </w:pPr>
            <w:r w:rsidRPr="00451160">
              <w:rPr>
                <w:bCs/>
                <w:strike/>
                <w:sz w:val="18"/>
                <w:szCs w:val="18"/>
                <w:lang w:val="en-GB"/>
              </w:rPr>
              <w:t>Polished Stone Value (PSV)</w:t>
            </w:r>
          </w:p>
        </w:tc>
        <w:tc>
          <w:tcPr>
            <w:tcW w:w="2840" w:type="dxa"/>
            <w:gridSpan w:val="2"/>
            <w:shd w:val="clear" w:color="auto" w:fill="auto"/>
          </w:tcPr>
          <w:p w14:paraId="6100CB4C" w14:textId="77777777" w:rsidR="00DF4B70" w:rsidRPr="00451160" w:rsidRDefault="00DF4B70" w:rsidP="00FE1A1B">
            <w:pPr>
              <w:suppressAutoHyphens w:val="0"/>
              <w:spacing w:before="40" w:after="120" w:line="220" w:lineRule="exact"/>
              <w:ind w:left="57" w:right="113"/>
              <w:jc w:val="center"/>
              <w:rPr>
                <w:bCs/>
                <w:strike/>
                <w:sz w:val="18"/>
                <w:szCs w:val="18"/>
                <w:lang w:val="en-GB"/>
              </w:rPr>
            </w:pPr>
            <w:r w:rsidRPr="00451160">
              <w:rPr>
                <w:bCs/>
                <w:strike/>
                <w:sz w:val="18"/>
                <w:szCs w:val="18"/>
                <w:lang w:val="en-GB"/>
              </w:rPr>
              <w:t>&gt; 50</w:t>
            </w:r>
          </w:p>
        </w:tc>
        <w:tc>
          <w:tcPr>
            <w:tcW w:w="1474" w:type="dxa"/>
            <w:shd w:val="clear" w:color="auto" w:fill="auto"/>
          </w:tcPr>
          <w:p w14:paraId="7684012A" w14:textId="77777777" w:rsidR="00DF4B70" w:rsidRPr="00451160" w:rsidRDefault="00DF4B70" w:rsidP="00FE1A1B">
            <w:pPr>
              <w:suppressAutoHyphens w:val="0"/>
              <w:spacing w:before="40" w:after="120" w:line="220" w:lineRule="exact"/>
              <w:ind w:left="57" w:right="113"/>
              <w:rPr>
                <w:bCs/>
                <w:strike/>
                <w:sz w:val="18"/>
                <w:szCs w:val="18"/>
                <w:lang w:val="en-GB"/>
              </w:rPr>
            </w:pPr>
          </w:p>
        </w:tc>
      </w:tr>
      <w:tr w:rsidR="008955F5" w:rsidRPr="008955F5" w14:paraId="2091E6C8" w14:textId="77777777" w:rsidTr="000764DE">
        <w:tc>
          <w:tcPr>
            <w:tcW w:w="3800" w:type="dxa"/>
            <w:shd w:val="clear" w:color="auto" w:fill="auto"/>
          </w:tcPr>
          <w:p w14:paraId="10F7B95B" w14:textId="77777777" w:rsidR="00DF4B70" w:rsidRPr="00451160" w:rsidRDefault="00DF4B70" w:rsidP="00FE1A1B">
            <w:pPr>
              <w:suppressAutoHyphens w:val="0"/>
              <w:spacing w:before="40" w:after="120" w:line="220" w:lineRule="exact"/>
              <w:ind w:left="57" w:right="113"/>
              <w:rPr>
                <w:bCs/>
                <w:strike/>
                <w:sz w:val="18"/>
                <w:szCs w:val="18"/>
                <w:lang w:val="en-GB"/>
              </w:rPr>
            </w:pPr>
            <w:r w:rsidRPr="00451160">
              <w:rPr>
                <w:bCs/>
                <w:strike/>
                <w:sz w:val="18"/>
                <w:szCs w:val="18"/>
                <w:lang w:val="en-GB"/>
              </w:rPr>
              <w:t>Compactness, relative to Marshall</w:t>
            </w:r>
            <w:r w:rsidRPr="00451160">
              <w:rPr>
                <w:bCs/>
                <w:strike/>
                <w:sz w:val="18"/>
                <w:szCs w:val="18"/>
                <w:lang w:val="en-GB"/>
              </w:rPr>
              <w:br/>
              <w:t>Compactness</w:t>
            </w:r>
          </w:p>
        </w:tc>
        <w:tc>
          <w:tcPr>
            <w:tcW w:w="2840" w:type="dxa"/>
            <w:gridSpan w:val="2"/>
            <w:shd w:val="clear" w:color="auto" w:fill="auto"/>
          </w:tcPr>
          <w:p w14:paraId="0A8E9E7F" w14:textId="77777777" w:rsidR="00DF4B70" w:rsidRPr="00451160" w:rsidRDefault="00DF4B70" w:rsidP="00FE1A1B">
            <w:pPr>
              <w:suppressAutoHyphens w:val="0"/>
              <w:spacing w:before="40" w:after="120" w:line="220" w:lineRule="exact"/>
              <w:ind w:left="57" w:right="113"/>
              <w:jc w:val="center"/>
              <w:rPr>
                <w:bCs/>
                <w:strike/>
                <w:sz w:val="18"/>
                <w:szCs w:val="18"/>
                <w:lang w:val="en-GB"/>
              </w:rPr>
            </w:pPr>
            <w:r w:rsidRPr="00451160">
              <w:rPr>
                <w:bCs/>
                <w:strike/>
                <w:sz w:val="18"/>
                <w:szCs w:val="18"/>
                <w:lang w:val="en-GB"/>
              </w:rPr>
              <w:t>98 %</w:t>
            </w:r>
          </w:p>
        </w:tc>
        <w:tc>
          <w:tcPr>
            <w:tcW w:w="1474" w:type="dxa"/>
            <w:shd w:val="clear" w:color="auto" w:fill="auto"/>
          </w:tcPr>
          <w:p w14:paraId="1C6317B9" w14:textId="77777777" w:rsidR="00DF4B70" w:rsidRPr="00451160" w:rsidRDefault="00DF4B70" w:rsidP="00FE1A1B">
            <w:pPr>
              <w:suppressAutoHyphens w:val="0"/>
              <w:spacing w:before="40" w:after="120" w:line="220" w:lineRule="exact"/>
              <w:ind w:left="57" w:right="113"/>
              <w:rPr>
                <w:bCs/>
                <w:strike/>
                <w:sz w:val="18"/>
                <w:szCs w:val="18"/>
                <w:lang w:val="en-GB"/>
              </w:rPr>
            </w:pPr>
          </w:p>
        </w:tc>
      </w:tr>
    </w:tbl>
    <w:p w14:paraId="184F4094" w14:textId="77777777" w:rsidR="00DF4B70" w:rsidRPr="008955F5" w:rsidRDefault="00DF4B70" w:rsidP="00FE1A1B">
      <w:pPr>
        <w:pStyle w:val="SingleTxtG"/>
        <w:keepNext/>
        <w:keepLines/>
        <w:spacing w:before="120"/>
        <w:ind w:left="2268" w:hanging="1134"/>
        <w:rPr>
          <w:bCs/>
          <w:strike/>
          <w:lang w:val="en-GB"/>
        </w:rPr>
      </w:pPr>
      <w:r w:rsidRPr="008955F5">
        <w:rPr>
          <w:bCs/>
          <w:strike/>
          <w:lang w:val="en-GB"/>
        </w:rPr>
        <w:t>4.</w:t>
      </w:r>
      <w:r w:rsidRPr="00451160">
        <w:rPr>
          <w:bCs/>
          <w:lang w:val="en-GB"/>
        </w:rPr>
        <w:tab/>
      </w:r>
      <w:r w:rsidRPr="008955F5">
        <w:rPr>
          <w:bCs/>
          <w:strike/>
          <w:lang w:val="en-GB"/>
        </w:rPr>
        <w:t>Test method</w:t>
      </w:r>
    </w:p>
    <w:p w14:paraId="336D30E7" w14:textId="77777777" w:rsidR="00DF4B70" w:rsidRPr="008955F5" w:rsidRDefault="00DF4B70" w:rsidP="00FE1A1B">
      <w:pPr>
        <w:pStyle w:val="SingleTxtG"/>
        <w:keepNext/>
        <w:keepLines/>
        <w:ind w:left="2268" w:hanging="1134"/>
        <w:rPr>
          <w:bCs/>
          <w:strike/>
          <w:lang w:val="en-GB"/>
        </w:rPr>
      </w:pPr>
      <w:r w:rsidRPr="008955F5">
        <w:rPr>
          <w:bCs/>
          <w:strike/>
          <w:lang w:val="en-GB"/>
        </w:rPr>
        <w:t>4.1.</w:t>
      </w:r>
      <w:r w:rsidRPr="00451160">
        <w:rPr>
          <w:bCs/>
          <w:lang w:val="en-GB"/>
        </w:rPr>
        <w:tab/>
      </w:r>
      <w:r w:rsidRPr="008955F5">
        <w:rPr>
          <w:bCs/>
          <w:strike/>
          <w:lang w:val="en-GB"/>
        </w:rPr>
        <w:t>Measurement of the residual voids content</w:t>
      </w:r>
    </w:p>
    <w:p w14:paraId="7EF9DE2A" w14:textId="77777777" w:rsidR="00DF4B70" w:rsidRPr="008955F5" w:rsidRDefault="00DF4B70" w:rsidP="00FE1A1B">
      <w:pPr>
        <w:pStyle w:val="SingleTxtG"/>
        <w:ind w:left="2268" w:hanging="1134"/>
        <w:rPr>
          <w:bCs/>
          <w:strike/>
          <w:lang w:val="en-GB"/>
        </w:rPr>
      </w:pPr>
      <w:r w:rsidRPr="00451160">
        <w:rPr>
          <w:bCs/>
          <w:lang w:val="en-GB"/>
        </w:rPr>
        <w:tab/>
      </w:r>
      <w:r w:rsidRPr="008955F5">
        <w:rPr>
          <w:bCs/>
          <w:strike/>
          <w:lang w:val="en-GB"/>
        </w:rPr>
        <w:t>For the purpose of this measurement, cores have to be taken from the track in at least four different positions, which are equally distributed in the test area between lines AA and BB (see Figure 1). In order to avoid in homogeneity and unevenness in the wheel tracks, cores should not be taken in wheel tracks themselves, but close to them. Two cores (minimum) should be taken close to the wheel tracks and one core (minimum) should be taken approximately midway between the wheel tracks and each microphone location.</w:t>
      </w:r>
    </w:p>
    <w:p w14:paraId="52CCDFB4" w14:textId="77777777" w:rsidR="00DF4B70" w:rsidRPr="008955F5" w:rsidRDefault="00DF4B70" w:rsidP="00FE1A1B">
      <w:pPr>
        <w:pStyle w:val="SingleTxtG"/>
        <w:ind w:left="2268" w:hanging="1134"/>
        <w:rPr>
          <w:bCs/>
          <w:strike/>
          <w:lang w:val="en-GB"/>
        </w:rPr>
      </w:pPr>
      <w:r w:rsidRPr="00451160">
        <w:rPr>
          <w:bCs/>
          <w:lang w:val="en-GB"/>
        </w:rPr>
        <w:tab/>
      </w:r>
      <w:r w:rsidRPr="008955F5">
        <w:rPr>
          <w:bCs/>
          <w:strike/>
          <w:lang w:val="en-GB"/>
        </w:rPr>
        <w:t>If there is a suspicion that the condition of homogeneity is not met (see paragraph 2.4. above), cores shall be taken from more locations within the test area.</w:t>
      </w:r>
    </w:p>
    <w:p w14:paraId="18AECC58" w14:textId="77777777" w:rsidR="00DF4B70" w:rsidRPr="008955F5" w:rsidRDefault="00DF4B70" w:rsidP="00FE1A1B">
      <w:pPr>
        <w:pStyle w:val="SingleTxtG"/>
        <w:ind w:left="2268" w:hanging="1134"/>
        <w:rPr>
          <w:bCs/>
          <w:strike/>
          <w:lang w:val="en-GB"/>
        </w:rPr>
      </w:pPr>
      <w:r w:rsidRPr="00451160">
        <w:rPr>
          <w:bCs/>
          <w:lang w:val="en-GB"/>
        </w:rPr>
        <w:tab/>
      </w:r>
      <w:r w:rsidRPr="008955F5">
        <w:rPr>
          <w:bCs/>
          <w:strike/>
          <w:lang w:val="en-GB"/>
        </w:rPr>
        <w:t>The residual voids content has to be determined for each core, then the average value from all cores shall be calculated and compared with the requirement of paragraph 2.1. of this Annex. In addition, no single core shall have a voids value, which is higher than 10 per cent.</w:t>
      </w:r>
    </w:p>
    <w:p w14:paraId="04E1F82E" w14:textId="77777777" w:rsidR="00DF4B70" w:rsidRPr="008955F5" w:rsidRDefault="00DF4B70" w:rsidP="00FE1A1B">
      <w:pPr>
        <w:pStyle w:val="SingleTxtG"/>
        <w:ind w:left="2268" w:hanging="1134"/>
        <w:rPr>
          <w:bCs/>
          <w:strike/>
          <w:lang w:val="en-GB"/>
        </w:rPr>
      </w:pPr>
      <w:r w:rsidRPr="00451160">
        <w:rPr>
          <w:bCs/>
          <w:lang w:val="en-GB"/>
        </w:rPr>
        <w:tab/>
      </w:r>
      <w:r w:rsidRPr="008955F5">
        <w:rPr>
          <w:bCs/>
          <w:strike/>
          <w:lang w:val="en-GB"/>
        </w:rPr>
        <w:t>The test surface constructor is reminded of the problem, which may arise when the test area is heated by pipes or electrical wires and cores shall be taken from this area. Such installations shall be carefully planned with respect to future core drilling locations. It is recommended to leave a few locations of size approximately 200 mm x 300 mm where there are no wires/pipes or where the latter are located deep enough in order not to be damaged by cores taken from the surface layer.</w:t>
      </w:r>
    </w:p>
    <w:p w14:paraId="6BFAB6A1" w14:textId="77777777" w:rsidR="00DF4B70" w:rsidRPr="008955F5" w:rsidRDefault="00DF4B70" w:rsidP="00FE1A1B">
      <w:pPr>
        <w:pStyle w:val="SingleTxtG"/>
        <w:ind w:left="2268" w:hanging="1134"/>
        <w:rPr>
          <w:bCs/>
          <w:strike/>
          <w:lang w:val="en-GB"/>
        </w:rPr>
      </w:pPr>
      <w:r w:rsidRPr="008955F5">
        <w:rPr>
          <w:bCs/>
          <w:strike/>
          <w:lang w:val="en-GB"/>
        </w:rPr>
        <w:t>4.2.</w:t>
      </w:r>
      <w:r w:rsidRPr="00451160">
        <w:rPr>
          <w:bCs/>
          <w:lang w:val="en-GB"/>
        </w:rPr>
        <w:tab/>
      </w:r>
      <w:r w:rsidRPr="008955F5">
        <w:rPr>
          <w:bCs/>
          <w:strike/>
          <w:lang w:val="en-GB"/>
        </w:rPr>
        <w:t>Sound absorption coefficient</w:t>
      </w:r>
    </w:p>
    <w:p w14:paraId="0C3D27FE" w14:textId="77777777" w:rsidR="00DF4B70" w:rsidRPr="008955F5" w:rsidRDefault="00DF4B70" w:rsidP="00FE1A1B">
      <w:pPr>
        <w:pStyle w:val="SingleTxtG"/>
        <w:ind w:left="2268" w:hanging="1134"/>
        <w:rPr>
          <w:bCs/>
          <w:strike/>
          <w:lang w:val="en-GB"/>
        </w:rPr>
      </w:pPr>
      <w:r w:rsidRPr="00451160">
        <w:rPr>
          <w:bCs/>
          <w:lang w:val="en-GB"/>
        </w:rPr>
        <w:lastRenderedPageBreak/>
        <w:tab/>
      </w:r>
      <w:r w:rsidRPr="008955F5">
        <w:rPr>
          <w:bCs/>
          <w:strike/>
          <w:lang w:val="en-GB"/>
        </w:rPr>
        <w:t>The sound absorption coefficient (normal incidence) shall be measured by the impedance tube method using the procedure specified in ISO 10534-1:1996 or ISO 10534-2:1998.</w:t>
      </w:r>
    </w:p>
    <w:p w14:paraId="2133E529" w14:textId="77777777" w:rsidR="00DF4B70" w:rsidRPr="008955F5" w:rsidRDefault="00DF4B70" w:rsidP="00FE1A1B">
      <w:pPr>
        <w:pStyle w:val="SingleTxtG"/>
        <w:ind w:left="2268" w:hanging="1134"/>
        <w:rPr>
          <w:bCs/>
          <w:strike/>
          <w:lang w:val="en-GB"/>
        </w:rPr>
      </w:pPr>
      <w:r w:rsidRPr="00451160">
        <w:rPr>
          <w:bCs/>
          <w:lang w:val="en-GB"/>
        </w:rPr>
        <w:tab/>
      </w:r>
      <w:r w:rsidRPr="008955F5">
        <w:rPr>
          <w:bCs/>
          <w:strike/>
          <w:lang w:val="en-GB"/>
        </w:rPr>
        <w:t>Regarding test specimens, the same requirements shall be followed as regarding the residual voids content (see paragraph 4.1. above). The sound absorption shall be measured in the range between 400 Hz and 800 Hz and in the range between 800 Hz and 1,600 Hz (at least at the centre frequencies of third octave bands) and the maximum values shall be identified for both of these frequency ranges. Then these values, for all test scores, shall be averaged to constitute the final result.</w:t>
      </w:r>
    </w:p>
    <w:p w14:paraId="5EEB1DF9" w14:textId="77777777" w:rsidR="00DF4B70" w:rsidRPr="008955F5" w:rsidRDefault="00DF4B70" w:rsidP="00FE1A1B">
      <w:pPr>
        <w:pStyle w:val="SingleTxtG"/>
        <w:ind w:left="2268" w:hanging="1134"/>
        <w:rPr>
          <w:bCs/>
          <w:strike/>
          <w:lang w:val="en-GB"/>
        </w:rPr>
      </w:pPr>
      <w:r w:rsidRPr="008955F5">
        <w:rPr>
          <w:bCs/>
          <w:strike/>
          <w:lang w:val="en-GB"/>
        </w:rPr>
        <w:t>4.3.</w:t>
      </w:r>
      <w:r w:rsidRPr="00451160">
        <w:rPr>
          <w:bCs/>
          <w:lang w:val="en-GB"/>
        </w:rPr>
        <w:tab/>
      </w:r>
      <w:r w:rsidRPr="008955F5">
        <w:rPr>
          <w:bCs/>
          <w:strike/>
          <w:lang w:val="en-GB"/>
        </w:rPr>
        <w:t>Volumetric macro-texture measurement</w:t>
      </w:r>
    </w:p>
    <w:p w14:paraId="7CE9CF9E" w14:textId="77777777" w:rsidR="00DF4B70" w:rsidRPr="008955F5" w:rsidRDefault="00DF4B70" w:rsidP="00FE1A1B">
      <w:pPr>
        <w:pStyle w:val="SingleTxtG"/>
        <w:ind w:left="2268" w:hanging="1134"/>
        <w:rPr>
          <w:bCs/>
          <w:strike/>
          <w:lang w:val="en-GB"/>
        </w:rPr>
      </w:pPr>
      <w:r w:rsidRPr="00451160">
        <w:rPr>
          <w:bCs/>
          <w:lang w:val="en-GB"/>
        </w:rPr>
        <w:tab/>
      </w:r>
      <w:r w:rsidRPr="008955F5">
        <w:rPr>
          <w:bCs/>
          <w:strike/>
          <w:lang w:val="en-GB"/>
        </w:rPr>
        <w:t>For the purpose of this standard, texture depth measurements shall be made on at least 10 positions evenly spaced along the wheel tracks of the test strip and the average value taken to compare with the specified minimum texture depth. See Standard ISO 10844:2014 for description of the procedure.</w:t>
      </w:r>
    </w:p>
    <w:p w14:paraId="30CECB66" w14:textId="77777777" w:rsidR="00DF4B70" w:rsidRPr="008955F5" w:rsidRDefault="00DF4B70" w:rsidP="00FE1A1B">
      <w:pPr>
        <w:pStyle w:val="SingleTxtG"/>
        <w:ind w:left="2268" w:hanging="1134"/>
        <w:rPr>
          <w:bCs/>
          <w:strike/>
          <w:lang w:val="en-GB"/>
        </w:rPr>
      </w:pPr>
      <w:r w:rsidRPr="008955F5">
        <w:rPr>
          <w:bCs/>
          <w:strike/>
          <w:lang w:val="en-GB"/>
        </w:rPr>
        <w:t>5.</w:t>
      </w:r>
      <w:r w:rsidRPr="00451160">
        <w:rPr>
          <w:bCs/>
          <w:lang w:val="en-GB"/>
        </w:rPr>
        <w:tab/>
      </w:r>
      <w:r w:rsidRPr="008955F5">
        <w:rPr>
          <w:bCs/>
          <w:strike/>
          <w:lang w:val="en-GB"/>
        </w:rPr>
        <w:t>Stability in time and maintenance</w:t>
      </w:r>
    </w:p>
    <w:p w14:paraId="085DCA38" w14:textId="77777777" w:rsidR="00DF4B70" w:rsidRPr="008955F5" w:rsidRDefault="00DF4B70" w:rsidP="00FE1A1B">
      <w:pPr>
        <w:pStyle w:val="SingleTxtG"/>
        <w:ind w:left="2268" w:hanging="1134"/>
        <w:rPr>
          <w:bCs/>
          <w:strike/>
          <w:lang w:val="en-GB"/>
        </w:rPr>
      </w:pPr>
      <w:r w:rsidRPr="008955F5">
        <w:rPr>
          <w:bCs/>
          <w:strike/>
          <w:lang w:val="en-GB"/>
        </w:rPr>
        <w:t>5.1.</w:t>
      </w:r>
      <w:r w:rsidRPr="00451160">
        <w:rPr>
          <w:bCs/>
          <w:lang w:val="en-GB"/>
        </w:rPr>
        <w:tab/>
      </w:r>
      <w:r w:rsidRPr="008955F5">
        <w:rPr>
          <w:bCs/>
          <w:strike/>
          <w:lang w:val="en-GB"/>
        </w:rPr>
        <w:t>Age influence</w:t>
      </w:r>
    </w:p>
    <w:p w14:paraId="112388BC" w14:textId="77777777" w:rsidR="00DF4B70" w:rsidRPr="008955F5" w:rsidRDefault="00DF4B70" w:rsidP="00FE1A1B">
      <w:pPr>
        <w:pStyle w:val="SingleTxtG"/>
        <w:ind w:left="2268" w:hanging="1134"/>
        <w:rPr>
          <w:bCs/>
          <w:strike/>
          <w:lang w:val="en-GB"/>
        </w:rPr>
      </w:pPr>
      <w:r w:rsidRPr="00451160">
        <w:rPr>
          <w:bCs/>
          <w:lang w:val="en-GB"/>
        </w:rPr>
        <w:tab/>
      </w:r>
      <w:r w:rsidRPr="008955F5">
        <w:rPr>
          <w:bCs/>
          <w:strike/>
          <w:lang w:val="en-GB"/>
        </w:rPr>
        <w:t xml:space="preserve">In common with any other surfaces, it is expected that the tyre rolling sound level measured on the test surface may increase slightly during the first </w:t>
      </w:r>
      <w:r w:rsidRPr="008955F5">
        <w:rPr>
          <w:bCs/>
          <w:strike/>
          <w:lang w:val="en-GB"/>
        </w:rPr>
        <w:br/>
        <w:t>6-12 months after construction.</w:t>
      </w:r>
    </w:p>
    <w:p w14:paraId="1B41453A" w14:textId="77777777" w:rsidR="00DF4B70" w:rsidRPr="008955F5" w:rsidRDefault="00DF4B70" w:rsidP="00FE1A1B">
      <w:pPr>
        <w:pStyle w:val="SingleTxtG"/>
        <w:ind w:left="2268"/>
        <w:rPr>
          <w:bCs/>
          <w:strike/>
          <w:lang w:val="en-GB"/>
        </w:rPr>
      </w:pPr>
      <w:r w:rsidRPr="008955F5">
        <w:rPr>
          <w:bCs/>
          <w:strike/>
          <w:lang w:val="en-GB"/>
        </w:rPr>
        <w:t>The surface will achieve its required characteristics not earlier than four weeks after construction. The influence of age on the noise from trucks is generally less than that from cars.</w:t>
      </w:r>
    </w:p>
    <w:p w14:paraId="32098D00" w14:textId="77777777" w:rsidR="00DF4B70" w:rsidRPr="008955F5" w:rsidRDefault="00DF4B70" w:rsidP="00FE1A1B">
      <w:pPr>
        <w:pStyle w:val="SingleTxtG"/>
        <w:ind w:left="2268" w:hanging="1134"/>
        <w:rPr>
          <w:bCs/>
          <w:strike/>
          <w:lang w:val="en-GB"/>
        </w:rPr>
      </w:pPr>
      <w:r w:rsidRPr="00451160">
        <w:rPr>
          <w:bCs/>
          <w:lang w:val="en-GB"/>
        </w:rPr>
        <w:tab/>
      </w:r>
      <w:r w:rsidRPr="008955F5">
        <w:rPr>
          <w:bCs/>
          <w:strike/>
          <w:lang w:val="en-GB"/>
        </w:rPr>
        <w:t>The stability over time is determined mainly by the polishing and compaction by vehicles driving on the surface. It shall be periodically checked as stated in paragraph 2.5. above.</w:t>
      </w:r>
    </w:p>
    <w:p w14:paraId="3373050E" w14:textId="77777777" w:rsidR="00DF4B70" w:rsidRPr="008955F5" w:rsidRDefault="00DF4B70" w:rsidP="00FE1A1B">
      <w:pPr>
        <w:pStyle w:val="SingleTxtG"/>
        <w:ind w:left="2268" w:hanging="1134"/>
        <w:rPr>
          <w:bCs/>
          <w:strike/>
          <w:lang w:val="en-GB"/>
        </w:rPr>
      </w:pPr>
      <w:r w:rsidRPr="008955F5">
        <w:rPr>
          <w:bCs/>
          <w:strike/>
          <w:lang w:val="en-GB"/>
        </w:rPr>
        <w:t>5.2.</w:t>
      </w:r>
      <w:r w:rsidRPr="00451160">
        <w:rPr>
          <w:bCs/>
          <w:lang w:val="en-GB"/>
        </w:rPr>
        <w:tab/>
      </w:r>
      <w:r w:rsidRPr="008955F5">
        <w:rPr>
          <w:bCs/>
          <w:strike/>
          <w:lang w:val="en-GB"/>
        </w:rPr>
        <w:t>Maintenance of the surface</w:t>
      </w:r>
    </w:p>
    <w:p w14:paraId="5E95AB92" w14:textId="77777777" w:rsidR="00DF4B70" w:rsidRPr="008955F5" w:rsidRDefault="00DF4B70" w:rsidP="00FE1A1B">
      <w:pPr>
        <w:pStyle w:val="SingleTxtG"/>
        <w:ind w:left="2268" w:hanging="1134"/>
        <w:rPr>
          <w:bCs/>
          <w:strike/>
          <w:lang w:val="en-GB"/>
        </w:rPr>
      </w:pPr>
      <w:r w:rsidRPr="00451160">
        <w:rPr>
          <w:bCs/>
          <w:lang w:val="en-GB"/>
        </w:rPr>
        <w:tab/>
      </w:r>
      <w:r w:rsidRPr="008955F5">
        <w:rPr>
          <w:bCs/>
          <w:strike/>
          <w:lang w:val="en-GB"/>
        </w:rPr>
        <w:t>Loose debris or dust, which could significantly reduce the effective texture depth shall be removed from the surface. In countries with winter climates, salt is sometimes used for de-icing. Salt may alter the surface temporarily or even permanently in such a way as to increase noise and is therefore not recommended.</w:t>
      </w:r>
    </w:p>
    <w:p w14:paraId="2EE3F6CD" w14:textId="77777777" w:rsidR="00DF4B70" w:rsidRPr="008955F5" w:rsidRDefault="00DF4B70" w:rsidP="00FE1A1B">
      <w:pPr>
        <w:pStyle w:val="SingleTxtG"/>
        <w:keepNext/>
        <w:keepLines/>
        <w:ind w:left="2268" w:hanging="1134"/>
        <w:rPr>
          <w:bCs/>
          <w:strike/>
          <w:lang w:val="en-GB"/>
        </w:rPr>
      </w:pPr>
      <w:r w:rsidRPr="008955F5">
        <w:rPr>
          <w:bCs/>
          <w:strike/>
          <w:lang w:val="en-GB"/>
        </w:rPr>
        <w:t>5.3.</w:t>
      </w:r>
      <w:r w:rsidRPr="00451160">
        <w:rPr>
          <w:bCs/>
          <w:lang w:val="en-GB"/>
        </w:rPr>
        <w:tab/>
      </w:r>
      <w:r w:rsidRPr="008955F5">
        <w:rPr>
          <w:bCs/>
          <w:strike/>
          <w:lang w:val="en-GB"/>
        </w:rPr>
        <w:t>Repaving the test area</w:t>
      </w:r>
    </w:p>
    <w:p w14:paraId="7A7FEC7D" w14:textId="77777777" w:rsidR="00DF4B70" w:rsidRPr="008955F5" w:rsidRDefault="00DF4B70" w:rsidP="00FE1A1B">
      <w:pPr>
        <w:pStyle w:val="SingleTxtG"/>
        <w:keepNext/>
        <w:keepLines/>
        <w:ind w:left="2268" w:hanging="1134"/>
        <w:rPr>
          <w:bCs/>
          <w:strike/>
          <w:lang w:val="en-GB"/>
        </w:rPr>
      </w:pPr>
      <w:r w:rsidRPr="00451160">
        <w:rPr>
          <w:bCs/>
          <w:lang w:val="en-GB"/>
        </w:rPr>
        <w:tab/>
      </w:r>
      <w:r w:rsidRPr="008955F5">
        <w:rPr>
          <w:bCs/>
          <w:strike/>
          <w:lang w:val="en-GB"/>
        </w:rPr>
        <w:t>If it is necessary to repave the test track, it is usually unnecessary to repave more than the test strip (of 3 m width in Figure 1) where vehicles are driving, provided the test area outside the strip met the requirement of residual voids content or sound absorption when it was measured.</w:t>
      </w:r>
    </w:p>
    <w:p w14:paraId="18A06555" w14:textId="77777777" w:rsidR="00DF4B70" w:rsidRPr="008955F5" w:rsidRDefault="00DF4B70" w:rsidP="00FE1A1B">
      <w:pPr>
        <w:pStyle w:val="SingleTxtG"/>
        <w:ind w:left="2268" w:hanging="1134"/>
        <w:rPr>
          <w:bCs/>
          <w:strike/>
          <w:lang w:val="en-GB"/>
        </w:rPr>
      </w:pPr>
      <w:r w:rsidRPr="008955F5">
        <w:rPr>
          <w:bCs/>
          <w:strike/>
          <w:lang w:val="en-GB"/>
        </w:rPr>
        <w:t>6.</w:t>
      </w:r>
      <w:r w:rsidRPr="00451160">
        <w:rPr>
          <w:bCs/>
          <w:lang w:val="en-GB"/>
        </w:rPr>
        <w:tab/>
      </w:r>
      <w:r w:rsidRPr="008955F5">
        <w:rPr>
          <w:bCs/>
          <w:strike/>
          <w:lang w:val="en-GB"/>
        </w:rPr>
        <w:t>Documentation of the test surface and of tests performed on it</w:t>
      </w:r>
    </w:p>
    <w:p w14:paraId="5C5C3356" w14:textId="77777777" w:rsidR="00DF4B70" w:rsidRPr="008955F5" w:rsidRDefault="00DF4B70" w:rsidP="00FE1A1B">
      <w:pPr>
        <w:pStyle w:val="SingleTxtG"/>
        <w:ind w:left="2268" w:hanging="1134"/>
        <w:rPr>
          <w:bCs/>
          <w:strike/>
          <w:lang w:val="en-GB"/>
        </w:rPr>
      </w:pPr>
      <w:r w:rsidRPr="008955F5">
        <w:rPr>
          <w:bCs/>
          <w:strike/>
          <w:lang w:val="en-GB"/>
        </w:rPr>
        <w:t>6.1.</w:t>
      </w:r>
      <w:r w:rsidRPr="00451160">
        <w:rPr>
          <w:bCs/>
          <w:lang w:val="en-GB"/>
        </w:rPr>
        <w:tab/>
      </w:r>
      <w:r w:rsidRPr="008955F5">
        <w:rPr>
          <w:bCs/>
          <w:strike/>
          <w:lang w:val="en-GB"/>
        </w:rPr>
        <w:t>Documentation of the test surface</w:t>
      </w:r>
    </w:p>
    <w:p w14:paraId="582A52B1" w14:textId="77777777" w:rsidR="00DF4B70" w:rsidRPr="008955F5" w:rsidRDefault="00DF4B70" w:rsidP="00FE1A1B">
      <w:pPr>
        <w:pStyle w:val="SingleTxtG"/>
        <w:ind w:left="2268" w:hanging="1134"/>
        <w:rPr>
          <w:bCs/>
          <w:strike/>
          <w:lang w:val="en-GB"/>
        </w:rPr>
      </w:pPr>
      <w:r w:rsidRPr="00451160">
        <w:rPr>
          <w:bCs/>
          <w:lang w:val="en-GB"/>
        </w:rPr>
        <w:tab/>
      </w:r>
      <w:r w:rsidRPr="008955F5">
        <w:rPr>
          <w:bCs/>
          <w:strike/>
          <w:lang w:val="en-GB"/>
        </w:rPr>
        <w:t>The following data shall be given in a document describing the test surface:</w:t>
      </w:r>
    </w:p>
    <w:p w14:paraId="6AB33214" w14:textId="77777777" w:rsidR="00DF4B70" w:rsidRPr="008955F5" w:rsidRDefault="00DF4B70" w:rsidP="00FE1A1B">
      <w:pPr>
        <w:pStyle w:val="SingleTxtG"/>
        <w:ind w:left="2268" w:hanging="1134"/>
        <w:rPr>
          <w:bCs/>
          <w:strike/>
          <w:lang w:val="en-GB"/>
        </w:rPr>
      </w:pPr>
      <w:r w:rsidRPr="008955F5">
        <w:rPr>
          <w:bCs/>
          <w:strike/>
          <w:lang w:val="en-GB"/>
        </w:rPr>
        <w:t>6.1.1.</w:t>
      </w:r>
      <w:r w:rsidRPr="00451160">
        <w:rPr>
          <w:bCs/>
          <w:lang w:val="en-GB"/>
        </w:rPr>
        <w:tab/>
      </w:r>
      <w:r w:rsidRPr="008955F5">
        <w:rPr>
          <w:bCs/>
          <w:strike/>
          <w:lang w:val="en-GB"/>
        </w:rPr>
        <w:t>The location of the test track;</w:t>
      </w:r>
    </w:p>
    <w:p w14:paraId="77952B0A" w14:textId="77777777" w:rsidR="00DF4B70" w:rsidRPr="008955F5" w:rsidRDefault="00DF4B70" w:rsidP="00FE1A1B">
      <w:pPr>
        <w:pStyle w:val="SingleTxtG"/>
        <w:ind w:left="2268" w:hanging="1134"/>
        <w:rPr>
          <w:bCs/>
          <w:strike/>
          <w:lang w:val="en-GB"/>
        </w:rPr>
      </w:pPr>
      <w:r w:rsidRPr="008955F5">
        <w:rPr>
          <w:bCs/>
          <w:strike/>
          <w:lang w:val="en-GB"/>
        </w:rPr>
        <w:t>6.1.2.</w:t>
      </w:r>
      <w:r w:rsidRPr="00451160">
        <w:rPr>
          <w:bCs/>
          <w:lang w:val="en-GB"/>
        </w:rPr>
        <w:tab/>
      </w:r>
      <w:r w:rsidRPr="008955F5">
        <w:rPr>
          <w:bCs/>
          <w:strike/>
          <w:lang w:val="en-GB"/>
        </w:rPr>
        <w:t>Type of binder, binder hardness, type of aggregate, maximum theoretical density of the concrete (DR), thickness of the wearing course and grading curve determined from cores from the test track;</w:t>
      </w:r>
    </w:p>
    <w:p w14:paraId="30A10F8D" w14:textId="77777777" w:rsidR="00DF4B70" w:rsidRPr="008955F5" w:rsidRDefault="00DF4B70" w:rsidP="00FE1A1B">
      <w:pPr>
        <w:pStyle w:val="SingleTxtG"/>
        <w:ind w:left="2268" w:hanging="1134"/>
        <w:rPr>
          <w:bCs/>
          <w:strike/>
          <w:lang w:val="en-GB"/>
        </w:rPr>
      </w:pPr>
      <w:r w:rsidRPr="008955F5">
        <w:rPr>
          <w:bCs/>
          <w:strike/>
          <w:lang w:val="en-GB"/>
        </w:rPr>
        <w:t>6.1.3.</w:t>
      </w:r>
      <w:r w:rsidRPr="00451160">
        <w:rPr>
          <w:bCs/>
          <w:lang w:val="en-GB"/>
        </w:rPr>
        <w:tab/>
      </w:r>
      <w:r w:rsidRPr="008955F5">
        <w:rPr>
          <w:bCs/>
          <w:strike/>
          <w:lang w:val="en-GB"/>
        </w:rPr>
        <w:t>Method of compaction (e.g. type of roller, roller mass, number of passes);</w:t>
      </w:r>
    </w:p>
    <w:p w14:paraId="2DDE63DF" w14:textId="77777777" w:rsidR="00DF4B70" w:rsidRPr="008955F5" w:rsidRDefault="00DF4B70" w:rsidP="00FE1A1B">
      <w:pPr>
        <w:pStyle w:val="SingleTxtG"/>
        <w:ind w:left="2268" w:hanging="1134"/>
        <w:rPr>
          <w:bCs/>
          <w:strike/>
          <w:lang w:val="en-GB"/>
        </w:rPr>
      </w:pPr>
      <w:r w:rsidRPr="008955F5">
        <w:rPr>
          <w:bCs/>
          <w:strike/>
          <w:lang w:val="en-GB"/>
        </w:rPr>
        <w:t>6.1.4.</w:t>
      </w:r>
      <w:r w:rsidRPr="00451160">
        <w:rPr>
          <w:bCs/>
          <w:lang w:val="en-GB"/>
        </w:rPr>
        <w:tab/>
      </w:r>
      <w:r w:rsidRPr="008955F5">
        <w:rPr>
          <w:bCs/>
          <w:strike/>
          <w:lang w:val="en-GB"/>
        </w:rPr>
        <w:t>Temperature of the mix, temperature of the ambient air and wind speed during laying of the surface;</w:t>
      </w:r>
    </w:p>
    <w:p w14:paraId="47AA3F13" w14:textId="77777777" w:rsidR="00DF4B70" w:rsidRPr="008955F5" w:rsidRDefault="00DF4B70" w:rsidP="00FE1A1B">
      <w:pPr>
        <w:pStyle w:val="SingleTxtG"/>
        <w:ind w:left="2268" w:hanging="1134"/>
        <w:rPr>
          <w:bCs/>
          <w:strike/>
          <w:lang w:val="en-GB"/>
        </w:rPr>
      </w:pPr>
      <w:r w:rsidRPr="008955F5">
        <w:rPr>
          <w:bCs/>
          <w:strike/>
          <w:lang w:val="en-GB"/>
        </w:rPr>
        <w:t>6.1.5.</w:t>
      </w:r>
      <w:r w:rsidRPr="00451160">
        <w:rPr>
          <w:bCs/>
          <w:lang w:val="en-GB"/>
        </w:rPr>
        <w:tab/>
      </w:r>
      <w:r w:rsidRPr="008955F5">
        <w:rPr>
          <w:bCs/>
          <w:strike/>
          <w:lang w:val="en-GB"/>
        </w:rPr>
        <w:t>Date when the surface was laid and contractor;</w:t>
      </w:r>
    </w:p>
    <w:p w14:paraId="6942864E" w14:textId="77777777" w:rsidR="00DF4B70" w:rsidRPr="008955F5" w:rsidRDefault="00DF4B70" w:rsidP="00FE1A1B">
      <w:pPr>
        <w:pStyle w:val="SingleTxtG"/>
        <w:ind w:left="2268" w:hanging="1134"/>
        <w:rPr>
          <w:bCs/>
          <w:strike/>
          <w:lang w:val="en-GB"/>
        </w:rPr>
      </w:pPr>
      <w:r w:rsidRPr="008955F5">
        <w:rPr>
          <w:bCs/>
          <w:strike/>
          <w:lang w:val="en-GB"/>
        </w:rPr>
        <w:t>6.1.6.</w:t>
      </w:r>
      <w:r w:rsidRPr="00451160">
        <w:rPr>
          <w:bCs/>
          <w:lang w:val="en-GB"/>
        </w:rPr>
        <w:tab/>
      </w:r>
      <w:r w:rsidRPr="008955F5">
        <w:rPr>
          <w:bCs/>
          <w:strike/>
          <w:lang w:val="en-GB"/>
        </w:rPr>
        <w:t>All or at least the latest test result, including:</w:t>
      </w:r>
    </w:p>
    <w:p w14:paraId="38274656" w14:textId="77777777" w:rsidR="00DF4B70" w:rsidRPr="008955F5" w:rsidRDefault="00DF4B70" w:rsidP="00FE1A1B">
      <w:pPr>
        <w:pStyle w:val="SingleTxtG"/>
        <w:ind w:left="2268" w:hanging="1134"/>
        <w:rPr>
          <w:bCs/>
          <w:strike/>
          <w:lang w:val="en-GB"/>
        </w:rPr>
      </w:pPr>
      <w:r w:rsidRPr="008955F5">
        <w:rPr>
          <w:bCs/>
          <w:strike/>
          <w:lang w:val="en-GB"/>
        </w:rPr>
        <w:lastRenderedPageBreak/>
        <w:t>6.1.6.1.</w:t>
      </w:r>
      <w:r w:rsidRPr="00451160">
        <w:rPr>
          <w:bCs/>
          <w:lang w:val="en-GB"/>
        </w:rPr>
        <w:tab/>
      </w:r>
      <w:r w:rsidRPr="008955F5">
        <w:rPr>
          <w:bCs/>
          <w:strike/>
          <w:lang w:val="en-GB"/>
        </w:rPr>
        <w:t>The residual voids content of each core;</w:t>
      </w:r>
    </w:p>
    <w:p w14:paraId="55C22F93" w14:textId="77777777" w:rsidR="00DF4B70" w:rsidRPr="008955F5" w:rsidRDefault="00DF4B70" w:rsidP="00FE1A1B">
      <w:pPr>
        <w:pStyle w:val="SingleTxtG"/>
        <w:ind w:left="2268" w:hanging="1134"/>
        <w:rPr>
          <w:bCs/>
          <w:strike/>
          <w:lang w:val="en-GB"/>
        </w:rPr>
      </w:pPr>
      <w:r w:rsidRPr="008955F5">
        <w:rPr>
          <w:bCs/>
          <w:strike/>
          <w:lang w:val="en-GB"/>
        </w:rPr>
        <w:t>6.1.6.2.</w:t>
      </w:r>
      <w:r w:rsidRPr="00451160">
        <w:rPr>
          <w:bCs/>
          <w:lang w:val="en-GB"/>
        </w:rPr>
        <w:tab/>
      </w:r>
      <w:r w:rsidRPr="008955F5">
        <w:rPr>
          <w:bCs/>
          <w:strike/>
          <w:lang w:val="en-GB"/>
        </w:rPr>
        <w:t>The locations in the test area from where the cores for voids measurements have been taken;</w:t>
      </w:r>
    </w:p>
    <w:p w14:paraId="15A80E8B" w14:textId="77777777" w:rsidR="00DF4B70" w:rsidRPr="008955F5" w:rsidRDefault="00DF4B70" w:rsidP="00FE1A1B">
      <w:pPr>
        <w:pStyle w:val="SingleTxtG"/>
        <w:ind w:left="2268" w:hanging="1134"/>
        <w:rPr>
          <w:bCs/>
          <w:strike/>
          <w:lang w:val="en-GB"/>
        </w:rPr>
      </w:pPr>
      <w:r w:rsidRPr="008955F5">
        <w:rPr>
          <w:bCs/>
          <w:strike/>
          <w:lang w:val="en-GB"/>
        </w:rPr>
        <w:t>6.1.6.3.</w:t>
      </w:r>
      <w:r w:rsidRPr="00451160">
        <w:rPr>
          <w:bCs/>
          <w:lang w:val="en-GB"/>
        </w:rPr>
        <w:tab/>
      </w:r>
      <w:r w:rsidRPr="008955F5">
        <w:rPr>
          <w:bCs/>
          <w:strike/>
          <w:lang w:val="en-GB"/>
        </w:rPr>
        <w:t>The sound absorption coefficient of each core (if measured). Specify the results both for each core and each frequency range as well as the overall average;</w:t>
      </w:r>
    </w:p>
    <w:p w14:paraId="6B42B2CD" w14:textId="77777777" w:rsidR="00DF4B70" w:rsidRPr="008955F5" w:rsidRDefault="00DF4B70" w:rsidP="00FE1A1B">
      <w:pPr>
        <w:pStyle w:val="SingleTxtG"/>
        <w:ind w:left="2268" w:hanging="1134"/>
        <w:rPr>
          <w:bCs/>
          <w:strike/>
          <w:lang w:val="en-GB"/>
        </w:rPr>
      </w:pPr>
      <w:r w:rsidRPr="008955F5">
        <w:rPr>
          <w:bCs/>
          <w:strike/>
          <w:lang w:val="en-GB"/>
        </w:rPr>
        <w:t>6.1.6.4.</w:t>
      </w:r>
      <w:r w:rsidRPr="00451160">
        <w:rPr>
          <w:bCs/>
          <w:lang w:val="en-GB"/>
        </w:rPr>
        <w:tab/>
      </w:r>
      <w:r w:rsidRPr="008955F5">
        <w:rPr>
          <w:bCs/>
          <w:strike/>
          <w:lang w:val="en-GB"/>
        </w:rPr>
        <w:t>The locations in the test area from where the cores for absorption measurement have been taken;</w:t>
      </w:r>
    </w:p>
    <w:p w14:paraId="78D2472C" w14:textId="77777777" w:rsidR="00DF4B70" w:rsidRPr="008955F5" w:rsidRDefault="00DF4B70" w:rsidP="00FE1A1B">
      <w:pPr>
        <w:pStyle w:val="SingleTxtG"/>
        <w:ind w:left="2268" w:hanging="1134"/>
        <w:rPr>
          <w:bCs/>
          <w:strike/>
          <w:lang w:val="en-GB"/>
        </w:rPr>
      </w:pPr>
      <w:r w:rsidRPr="008955F5">
        <w:rPr>
          <w:bCs/>
          <w:strike/>
          <w:lang w:val="en-GB"/>
        </w:rPr>
        <w:t>6.1.6.5.</w:t>
      </w:r>
      <w:r w:rsidRPr="00451160">
        <w:rPr>
          <w:bCs/>
          <w:lang w:val="en-GB"/>
        </w:rPr>
        <w:tab/>
      </w:r>
      <w:r w:rsidRPr="008955F5">
        <w:rPr>
          <w:bCs/>
          <w:strike/>
          <w:lang w:val="en-GB"/>
        </w:rPr>
        <w:t>Texture depth, including the number of tests and standard deviation;</w:t>
      </w:r>
    </w:p>
    <w:p w14:paraId="360167FC" w14:textId="77777777" w:rsidR="00DF4B70" w:rsidRPr="008955F5" w:rsidRDefault="00DF4B70" w:rsidP="00FE1A1B">
      <w:pPr>
        <w:pStyle w:val="SingleTxtG"/>
        <w:ind w:left="2268" w:hanging="1134"/>
        <w:rPr>
          <w:bCs/>
          <w:strike/>
          <w:lang w:val="en-GB"/>
        </w:rPr>
      </w:pPr>
      <w:r w:rsidRPr="008955F5">
        <w:rPr>
          <w:bCs/>
          <w:strike/>
          <w:lang w:val="en-GB"/>
        </w:rPr>
        <w:t>6.1.6.6.</w:t>
      </w:r>
      <w:r w:rsidRPr="00451160">
        <w:rPr>
          <w:bCs/>
          <w:lang w:val="en-GB"/>
        </w:rPr>
        <w:tab/>
      </w:r>
      <w:r w:rsidRPr="008955F5">
        <w:rPr>
          <w:bCs/>
          <w:strike/>
          <w:lang w:val="en-GB"/>
        </w:rPr>
        <w:t>The institution responsible for tests according to paragraphs 6.1.6.1. and 6.1.6.2. above and the type of equipment used;</w:t>
      </w:r>
    </w:p>
    <w:p w14:paraId="6EFEF1E8" w14:textId="77777777" w:rsidR="00DF4B70" w:rsidRPr="008955F5" w:rsidRDefault="00DF4B70" w:rsidP="00FE1A1B">
      <w:pPr>
        <w:pStyle w:val="SingleTxtG"/>
        <w:ind w:left="2268" w:hanging="1134"/>
        <w:rPr>
          <w:bCs/>
          <w:strike/>
          <w:lang w:val="en-GB"/>
        </w:rPr>
      </w:pPr>
      <w:r w:rsidRPr="008955F5">
        <w:rPr>
          <w:bCs/>
          <w:strike/>
          <w:lang w:val="en-GB"/>
        </w:rPr>
        <w:t>6.1.6.7.</w:t>
      </w:r>
      <w:r w:rsidRPr="00451160">
        <w:rPr>
          <w:bCs/>
          <w:lang w:val="en-GB"/>
        </w:rPr>
        <w:tab/>
      </w:r>
      <w:r w:rsidRPr="008955F5">
        <w:rPr>
          <w:bCs/>
          <w:strike/>
          <w:lang w:val="en-GB"/>
        </w:rPr>
        <w:t>Date of the test(s) and date when the cores were taken from the test track.</w:t>
      </w:r>
    </w:p>
    <w:p w14:paraId="4593366F" w14:textId="77777777" w:rsidR="00DF4B70" w:rsidRPr="008955F5" w:rsidRDefault="00DF4B70" w:rsidP="00FE1A1B">
      <w:pPr>
        <w:pStyle w:val="SingleTxtG"/>
        <w:ind w:left="2268" w:hanging="1134"/>
        <w:rPr>
          <w:bCs/>
          <w:strike/>
          <w:lang w:val="en-GB"/>
        </w:rPr>
      </w:pPr>
      <w:r w:rsidRPr="008955F5">
        <w:rPr>
          <w:bCs/>
          <w:strike/>
          <w:lang w:val="en-GB"/>
        </w:rPr>
        <w:t>6.2.</w:t>
      </w:r>
      <w:r w:rsidRPr="00451160">
        <w:rPr>
          <w:bCs/>
          <w:lang w:val="en-GB"/>
        </w:rPr>
        <w:tab/>
      </w:r>
      <w:r w:rsidRPr="008955F5">
        <w:rPr>
          <w:bCs/>
          <w:strike/>
          <w:lang w:val="en-GB"/>
        </w:rPr>
        <w:t xml:space="preserve">Documentation of vehicle noise tests conducted on the </w:t>
      </w:r>
      <w:proofErr w:type="gramStart"/>
      <w:r w:rsidRPr="008955F5">
        <w:rPr>
          <w:bCs/>
          <w:strike/>
          <w:lang w:val="en-GB"/>
        </w:rPr>
        <w:t>surface</w:t>
      </w:r>
      <w:proofErr w:type="gramEnd"/>
    </w:p>
    <w:p w14:paraId="7E8042C3" w14:textId="7BA58D8E" w:rsidR="000E6010" w:rsidRPr="008955F5" w:rsidRDefault="00DF4B70" w:rsidP="00451160">
      <w:pPr>
        <w:pStyle w:val="SingleTxtG"/>
        <w:ind w:left="2268" w:hanging="1134"/>
        <w:rPr>
          <w:bCs/>
          <w:lang w:val="en-GB"/>
        </w:rPr>
      </w:pPr>
      <w:r w:rsidRPr="00451160">
        <w:rPr>
          <w:bCs/>
          <w:lang w:val="en-GB"/>
        </w:rPr>
        <w:tab/>
      </w:r>
      <w:r w:rsidRPr="008955F5">
        <w:rPr>
          <w:bCs/>
          <w:strike/>
          <w:lang w:val="en-GB"/>
        </w:rPr>
        <w:t>In the document describing the vehicle noise test(s) it shall be stated whether all the requirements of this standard were fulfilled or not. Reference shall be given to a document according to paragraph 6.1. above describing the results which verify this.</w:t>
      </w:r>
      <w:r w:rsidRPr="008955F5">
        <w:rPr>
          <w:iCs/>
          <w:lang w:val="en-GB"/>
        </w:rPr>
        <w:t>"</w:t>
      </w:r>
    </w:p>
    <w:p w14:paraId="6DAC71D5" w14:textId="77777777" w:rsidR="00451160" w:rsidRDefault="000E6010" w:rsidP="000E6010">
      <w:pPr>
        <w:pStyle w:val="SingleTxtG"/>
        <w:ind w:left="2410" w:hanging="1276"/>
        <w:rPr>
          <w:bCs/>
          <w:i/>
          <w:iCs/>
          <w:lang w:val="en-GB"/>
        </w:rPr>
      </w:pPr>
      <w:r w:rsidRPr="008955F5">
        <w:rPr>
          <w:bCs/>
          <w:i/>
          <w:iCs/>
          <w:lang w:val="en-GB"/>
        </w:rPr>
        <w:t xml:space="preserve">Annex 6, </w:t>
      </w:r>
    </w:p>
    <w:p w14:paraId="198E38E4" w14:textId="5E1D1569" w:rsidR="000E6010" w:rsidRPr="008955F5" w:rsidRDefault="00451160" w:rsidP="000E6010">
      <w:pPr>
        <w:pStyle w:val="SingleTxtG"/>
        <w:ind w:left="2410" w:hanging="1276"/>
        <w:rPr>
          <w:bCs/>
          <w:lang w:val="en-GB"/>
        </w:rPr>
      </w:pPr>
      <w:r>
        <w:rPr>
          <w:bCs/>
          <w:i/>
          <w:iCs/>
          <w:lang w:val="en-GB"/>
        </w:rPr>
        <w:t>P</w:t>
      </w:r>
      <w:r w:rsidR="000E6010" w:rsidRPr="008955F5">
        <w:rPr>
          <w:bCs/>
          <w:i/>
          <w:iCs/>
          <w:lang w:val="en-GB"/>
        </w:rPr>
        <w:t>aragraph 2.2.</w:t>
      </w:r>
      <w:r w:rsidR="000E6010" w:rsidRPr="008955F5">
        <w:rPr>
          <w:bCs/>
          <w:lang w:val="en-GB"/>
        </w:rPr>
        <w:t>, amend to read:</w:t>
      </w:r>
    </w:p>
    <w:p w14:paraId="002934A9" w14:textId="77777777" w:rsidR="000E6010" w:rsidRPr="008955F5" w:rsidRDefault="000E6010" w:rsidP="000E6010">
      <w:pPr>
        <w:keepNext/>
        <w:keepLines/>
        <w:spacing w:after="120"/>
        <w:ind w:left="2268" w:right="1139" w:hanging="1134"/>
        <w:jc w:val="both"/>
        <w:rPr>
          <w:lang w:val="en-GB"/>
        </w:rPr>
      </w:pPr>
      <w:r w:rsidRPr="008955F5">
        <w:rPr>
          <w:bCs/>
          <w:lang w:val="en-GB"/>
        </w:rPr>
        <w:t>"</w:t>
      </w:r>
      <w:r w:rsidRPr="008955F5">
        <w:rPr>
          <w:lang w:val="en-GB"/>
        </w:rPr>
        <w:t>2.2.</w:t>
      </w:r>
      <w:r w:rsidRPr="008955F5">
        <w:rPr>
          <w:lang w:val="en-GB"/>
        </w:rPr>
        <w:tab/>
        <w:t>Measuring rim</w:t>
      </w:r>
    </w:p>
    <w:p w14:paraId="47D5E2DA" w14:textId="77777777" w:rsidR="000E6010" w:rsidRPr="008955F5" w:rsidRDefault="000E6010" w:rsidP="000E6010">
      <w:pPr>
        <w:spacing w:after="120"/>
        <w:ind w:left="2268" w:right="1139"/>
        <w:jc w:val="both"/>
        <w:rPr>
          <w:bCs/>
          <w:lang w:val="en-GB"/>
        </w:rPr>
      </w:pPr>
      <w:r w:rsidRPr="008955F5">
        <w:rPr>
          <w:bCs/>
          <w:lang w:val="en-GB"/>
        </w:rPr>
        <w:t>The tyre shall be mounted on a steel or light alloy measuring rim, as follows:</w:t>
      </w:r>
    </w:p>
    <w:p w14:paraId="736CAC85" w14:textId="77777777" w:rsidR="000E6010" w:rsidRPr="008955F5" w:rsidRDefault="000E6010" w:rsidP="000E6010">
      <w:pPr>
        <w:spacing w:after="120"/>
        <w:ind w:left="2835" w:right="1139" w:hanging="567"/>
        <w:jc w:val="both"/>
        <w:rPr>
          <w:bCs/>
          <w:lang w:val="en-GB"/>
        </w:rPr>
      </w:pPr>
      <w:r w:rsidRPr="008955F5">
        <w:rPr>
          <w:bCs/>
          <w:lang w:val="en-GB"/>
        </w:rPr>
        <w:t>(a)</w:t>
      </w:r>
      <w:r w:rsidRPr="008955F5">
        <w:rPr>
          <w:bCs/>
          <w:lang w:val="en-GB"/>
        </w:rPr>
        <w:tab/>
        <w:t>For class C1 tyres, the width of the rim shall be as defined in ISO 4000-1:</w:t>
      </w:r>
      <w:r w:rsidRPr="008955F5">
        <w:rPr>
          <w:bCs/>
          <w:strike/>
          <w:lang w:val="en-GB"/>
        </w:rPr>
        <w:t>2010</w:t>
      </w:r>
      <w:r w:rsidRPr="008955F5">
        <w:rPr>
          <w:b/>
          <w:lang w:val="en-GB"/>
        </w:rPr>
        <w:t>2021</w:t>
      </w:r>
      <w:r w:rsidRPr="008955F5">
        <w:rPr>
          <w:bCs/>
          <w:lang w:val="en-GB"/>
        </w:rPr>
        <w:t>,</w:t>
      </w:r>
    </w:p>
    <w:p w14:paraId="2B23650D" w14:textId="6ED3A19C" w:rsidR="000E6010" w:rsidRPr="008955F5" w:rsidRDefault="000E6010" w:rsidP="000E6010">
      <w:pPr>
        <w:spacing w:after="120"/>
        <w:ind w:left="2835" w:right="1139" w:hanging="567"/>
        <w:jc w:val="both"/>
        <w:rPr>
          <w:bCs/>
          <w:dstrike/>
          <w:lang w:val="en-GB"/>
        </w:rPr>
      </w:pPr>
      <w:r w:rsidRPr="008955F5">
        <w:rPr>
          <w:bCs/>
          <w:lang w:val="en-GB"/>
        </w:rPr>
        <w:t>(b)</w:t>
      </w:r>
      <w:r w:rsidRPr="008955F5">
        <w:rPr>
          <w:bCs/>
          <w:lang w:val="en-GB"/>
        </w:rPr>
        <w:tab/>
      </w:r>
      <w:r w:rsidRPr="008955F5">
        <w:rPr>
          <w:bCs/>
          <w:lang w:val="en-GB"/>
        </w:rPr>
        <w:tab/>
        <w:t>For classes C2 and C3 tyres, the width of the rim shall be as defined in ISO 4209</w:t>
      </w:r>
      <w:r w:rsidR="00C11B9A">
        <w:rPr>
          <w:bCs/>
          <w:lang w:val="en-GB"/>
        </w:rPr>
        <w:t>-</w:t>
      </w:r>
      <w:r w:rsidRPr="008955F5">
        <w:rPr>
          <w:bCs/>
          <w:lang w:val="en-GB"/>
        </w:rPr>
        <w:t>1:2001.</w:t>
      </w:r>
    </w:p>
    <w:p w14:paraId="09A3BDA0" w14:textId="3F2466B1" w:rsidR="00791771" w:rsidRPr="008955F5" w:rsidRDefault="000E6010" w:rsidP="00C11B9A">
      <w:pPr>
        <w:pStyle w:val="SingleTxtG"/>
        <w:keepNext/>
        <w:keepLines/>
        <w:ind w:left="2268"/>
        <w:rPr>
          <w:lang w:val="en-GB"/>
        </w:rPr>
      </w:pPr>
      <w:r w:rsidRPr="008955F5">
        <w:rPr>
          <w:lang w:val="en-GB"/>
        </w:rPr>
        <w:t xml:space="preserve">In cases where the width is not defined in the </w:t>
      </w:r>
      <w:r w:rsidR="00C11B9A" w:rsidRPr="008955F5">
        <w:rPr>
          <w:lang w:val="en-GB"/>
        </w:rPr>
        <w:t>above-mentioned</w:t>
      </w:r>
      <w:r w:rsidRPr="008955F5">
        <w:rPr>
          <w:lang w:val="en-GB"/>
        </w:rPr>
        <w:t xml:space="preserve"> ISO Standards, the rim width as defined by one of the standards organizations as specified in Appendix 4 may be used."</w:t>
      </w:r>
    </w:p>
    <w:p w14:paraId="19339C9B" w14:textId="65C43EC6" w:rsidR="00791771" w:rsidRPr="008955F5" w:rsidRDefault="00451160" w:rsidP="00791771">
      <w:pPr>
        <w:pStyle w:val="SingleTxtG"/>
        <w:ind w:left="2410" w:hanging="1276"/>
        <w:rPr>
          <w:bCs/>
          <w:lang w:val="en-GB"/>
        </w:rPr>
      </w:pPr>
      <w:r>
        <w:rPr>
          <w:bCs/>
          <w:i/>
          <w:iCs/>
          <w:lang w:val="en-GB"/>
        </w:rPr>
        <w:t>P</w:t>
      </w:r>
      <w:r w:rsidR="00791771" w:rsidRPr="008955F5">
        <w:rPr>
          <w:bCs/>
          <w:i/>
          <w:iCs/>
          <w:lang w:val="en-GB"/>
        </w:rPr>
        <w:t>aragraph 4.5.</w:t>
      </w:r>
      <w:r w:rsidR="00791771" w:rsidRPr="008955F5">
        <w:rPr>
          <w:bCs/>
          <w:lang w:val="en-GB"/>
        </w:rPr>
        <w:t>, amend to read:</w:t>
      </w:r>
    </w:p>
    <w:p w14:paraId="6C0BADF0" w14:textId="77777777" w:rsidR="00791771" w:rsidRPr="008955F5" w:rsidRDefault="00791771" w:rsidP="00791771">
      <w:pPr>
        <w:pStyle w:val="SingleTxtG"/>
        <w:spacing w:before="120"/>
        <w:ind w:left="2268" w:hanging="1134"/>
        <w:rPr>
          <w:lang w:val="en-GB"/>
        </w:rPr>
      </w:pPr>
      <w:r w:rsidRPr="008955F5">
        <w:rPr>
          <w:bCs/>
          <w:lang w:val="en-GB"/>
        </w:rPr>
        <w:t>"</w:t>
      </w:r>
      <w:r w:rsidRPr="008955F5">
        <w:rPr>
          <w:lang w:val="en-GB"/>
        </w:rPr>
        <w:t>4.5.</w:t>
      </w:r>
      <w:r w:rsidRPr="008955F5">
        <w:rPr>
          <w:lang w:val="en-GB"/>
        </w:rPr>
        <w:tab/>
        <w:t>Measurement and recording</w:t>
      </w:r>
    </w:p>
    <w:p w14:paraId="171CC2E8" w14:textId="77777777" w:rsidR="00791771" w:rsidRPr="008955F5" w:rsidRDefault="00791771" w:rsidP="00791771">
      <w:pPr>
        <w:pStyle w:val="SingleTxtG"/>
        <w:spacing w:before="120"/>
        <w:ind w:left="2268" w:hanging="1134"/>
        <w:rPr>
          <w:lang w:val="en-GB"/>
        </w:rPr>
      </w:pPr>
      <w:r w:rsidRPr="008955F5">
        <w:rPr>
          <w:lang w:val="en-GB"/>
        </w:rPr>
        <w:tab/>
        <w:t>The following shall be measured and recorded (see Figure 1):</w:t>
      </w:r>
    </w:p>
    <w:p w14:paraId="456DF55B" w14:textId="77777777" w:rsidR="00791771" w:rsidRPr="008955F5" w:rsidRDefault="00791771" w:rsidP="00791771">
      <w:pPr>
        <w:pStyle w:val="SingleTxtG"/>
        <w:spacing w:before="120"/>
        <w:ind w:left="2268" w:hanging="1134"/>
        <w:rPr>
          <w:lang w:val="en-GB"/>
        </w:rPr>
      </w:pPr>
      <w:r w:rsidRPr="008955F5">
        <w:rPr>
          <w:lang w:val="en-GB"/>
        </w:rPr>
        <w:tab/>
        <w:t>(a)</w:t>
      </w:r>
      <w:r w:rsidRPr="008955F5">
        <w:rPr>
          <w:lang w:val="en-GB"/>
        </w:rPr>
        <w:tab/>
        <w:t>Test speed U</w:t>
      </w:r>
      <w:r w:rsidRPr="008955F5">
        <w:rPr>
          <w:vertAlign w:val="subscript"/>
          <w:lang w:val="en-GB"/>
        </w:rPr>
        <w:t>n</w:t>
      </w:r>
      <w:r w:rsidRPr="008955F5">
        <w:rPr>
          <w:lang w:val="en-GB"/>
        </w:rPr>
        <w:t>;</w:t>
      </w:r>
    </w:p>
    <w:p w14:paraId="266A6AF1" w14:textId="77777777" w:rsidR="00791771" w:rsidRPr="008955F5" w:rsidRDefault="00791771" w:rsidP="00791771">
      <w:pPr>
        <w:pStyle w:val="SingleTxtG"/>
        <w:spacing w:before="120"/>
        <w:ind w:left="2268" w:hanging="1134"/>
        <w:rPr>
          <w:lang w:val="en-GB"/>
        </w:rPr>
      </w:pPr>
      <w:r w:rsidRPr="008955F5">
        <w:rPr>
          <w:lang w:val="en-GB"/>
        </w:rPr>
        <w:tab/>
        <w:t>(b)</w:t>
      </w:r>
      <w:r w:rsidRPr="008955F5">
        <w:rPr>
          <w:lang w:val="en-GB"/>
        </w:rPr>
        <w:tab/>
        <w:t xml:space="preserve">Load on the tyre normal to the drum surface </w:t>
      </w:r>
      <w:proofErr w:type="spellStart"/>
      <w:r w:rsidRPr="008955F5">
        <w:rPr>
          <w:lang w:val="en-GB"/>
        </w:rPr>
        <w:t>L</w:t>
      </w:r>
      <w:r w:rsidRPr="008955F5">
        <w:rPr>
          <w:vertAlign w:val="subscript"/>
          <w:lang w:val="en-GB"/>
        </w:rPr>
        <w:t>m</w:t>
      </w:r>
      <w:proofErr w:type="spellEnd"/>
      <w:r w:rsidRPr="008955F5">
        <w:rPr>
          <w:lang w:val="en-GB"/>
        </w:rPr>
        <w:t>;</w:t>
      </w:r>
    </w:p>
    <w:p w14:paraId="5B9572F2" w14:textId="77777777" w:rsidR="00791771" w:rsidRPr="008955F5" w:rsidRDefault="00791771" w:rsidP="00791771">
      <w:pPr>
        <w:pStyle w:val="SingleTxtG"/>
        <w:spacing w:before="120"/>
        <w:ind w:left="2268" w:hanging="1134"/>
        <w:rPr>
          <w:lang w:val="en-GB"/>
        </w:rPr>
      </w:pPr>
      <w:r w:rsidRPr="008955F5">
        <w:rPr>
          <w:lang w:val="en-GB"/>
        </w:rPr>
        <w:tab/>
        <w:t>(c)</w:t>
      </w:r>
      <w:r w:rsidRPr="008955F5">
        <w:rPr>
          <w:lang w:val="en-GB"/>
        </w:rPr>
        <w:tab/>
        <w:t>The initial test inflation pressure as defined in paragraph 3.3. above;</w:t>
      </w:r>
    </w:p>
    <w:p w14:paraId="0F678E20" w14:textId="77777777" w:rsidR="00791771" w:rsidRPr="008955F5" w:rsidRDefault="00791771" w:rsidP="00791771">
      <w:pPr>
        <w:pStyle w:val="SingleTxtG"/>
        <w:spacing w:before="120"/>
        <w:ind w:left="2829" w:hanging="561"/>
        <w:rPr>
          <w:lang w:val="en-GB"/>
        </w:rPr>
      </w:pPr>
      <w:r w:rsidRPr="008955F5">
        <w:rPr>
          <w:lang w:val="en-GB"/>
        </w:rPr>
        <w:t>(d)</w:t>
      </w:r>
      <w:r w:rsidRPr="008955F5">
        <w:rPr>
          <w:lang w:val="en-GB"/>
        </w:rPr>
        <w:tab/>
        <w:t>The coefficient of rolling resistance measured C</w:t>
      </w:r>
      <w:r w:rsidRPr="008955F5">
        <w:rPr>
          <w:vertAlign w:val="subscript"/>
          <w:lang w:val="en-GB"/>
        </w:rPr>
        <w:t>r</w:t>
      </w:r>
      <w:r w:rsidRPr="008955F5">
        <w:rPr>
          <w:lang w:val="en-GB"/>
        </w:rPr>
        <w:t xml:space="preserve">, and its corrected value </w:t>
      </w:r>
      <w:proofErr w:type="spellStart"/>
      <w:r w:rsidRPr="008955F5">
        <w:rPr>
          <w:lang w:val="en-GB"/>
        </w:rPr>
        <w:t>C</w:t>
      </w:r>
      <w:r w:rsidRPr="008955F5">
        <w:rPr>
          <w:vertAlign w:val="subscript"/>
          <w:lang w:val="en-GB"/>
        </w:rPr>
        <w:t>rc</w:t>
      </w:r>
      <w:proofErr w:type="spellEnd"/>
      <w:r w:rsidRPr="008955F5">
        <w:rPr>
          <w:lang w:val="en-GB"/>
        </w:rPr>
        <w:t>, at 25 °C and for a drum diameter of 2 m;</w:t>
      </w:r>
    </w:p>
    <w:p w14:paraId="12C41DCC" w14:textId="77777777" w:rsidR="00791771" w:rsidRPr="008955F5" w:rsidRDefault="00791771" w:rsidP="00791771">
      <w:pPr>
        <w:pStyle w:val="SingleTxtG"/>
        <w:spacing w:before="120"/>
        <w:ind w:left="2829" w:hanging="561"/>
        <w:rPr>
          <w:lang w:val="en-GB"/>
        </w:rPr>
      </w:pPr>
      <w:r w:rsidRPr="008955F5">
        <w:rPr>
          <w:lang w:val="en-GB"/>
        </w:rPr>
        <w:t>(e)</w:t>
      </w:r>
      <w:r w:rsidRPr="008955F5">
        <w:rPr>
          <w:lang w:val="en-GB"/>
        </w:rPr>
        <w:tab/>
        <w:t xml:space="preserve">The distance from the tyre axis to the drum outer surface under steady state </w:t>
      </w:r>
      <w:proofErr w:type="spellStart"/>
      <w:r w:rsidRPr="008955F5">
        <w:rPr>
          <w:lang w:val="en-GB"/>
        </w:rPr>
        <w:t>r</w:t>
      </w:r>
      <w:r w:rsidRPr="008955F5">
        <w:rPr>
          <w:vertAlign w:val="subscript"/>
          <w:lang w:val="en-GB"/>
        </w:rPr>
        <w:t>L</w:t>
      </w:r>
      <w:proofErr w:type="spellEnd"/>
      <w:r w:rsidRPr="008955F5">
        <w:rPr>
          <w:vertAlign w:val="subscript"/>
          <w:lang w:val="en-GB"/>
        </w:rPr>
        <w:t>,</w:t>
      </w:r>
      <w:r w:rsidRPr="008955F5">
        <w:rPr>
          <w:lang w:val="en-GB"/>
        </w:rPr>
        <w:t>;</w:t>
      </w:r>
    </w:p>
    <w:p w14:paraId="08B7C91E" w14:textId="77777777" w:rsidR="00791771" w:rsidRPr="008955F5" w:rsidRDefault="00791771" w:rsidP="00791771">
      <w:pPr>
        <w:pStyle w:val="SingleTxtG"/>
        <w:spacing w:before="120"/>
        <w:ind w:left="2268" w:hanging="1134"/>
        <w:rPr>
          <w:vertAlign w:val="subscript"/>
          <w:lang w:val="en-GB"/>
        </w:rPr>
      </w:pPr>
      <w:r w:rsidRPr="008955F5">
        <w:rPr>
          <w:lang w:val="en-GB"/>
        </w:rPr>
        <w:tab/>
        <w:t>(f)</w:t>
      </w:r>
      <w:r w:rsidRPr="008955F5">
        <w:rPr>
          <w:lang w:val="en-GB"/>
        </w:rPr>
        <w:tab/>
        <w:t xml:space="preserve">Ambient temperature </w:t>
      </w:r>
      <w:proofErr w:type="spellStart"/>
      <w:r w:rsidRPr="008955F5">
        <w:rPr>
          <w:lang w:val="en-GB"/>
        </w:rPr>
        <w:t>t</w:t>
      </w:r>
      <w:r w:rsidRPr="008955F5">
        <w:rPr>
          <w:vertAlign w:val="subscript"/>
          <w:lang w:val="en-GB"/>
        </w:rPr>
        <w:t>amb</w:t>
      </w:r>
      <w:proofErr w:type="spellEnd"/>
      <w:r w:rsidRPr="008955F5">
        <w:rPr>
          <w:lang w:val="en-GB"/>
        </w:rPr>
        <w:t>;</w:t>
      </w:r>
    </w:p>
    <w:p w14:paraId="0DAB4B9C" w14:textId="77777777" w:rsidR="00791771" w:rsidRPr="008955F5" w:rsidRDefault="00791771" w:rsidP="00791771">
      <w:pPr>
        <w:pStyle w:val="SingleTxtG"/>
        <w:spacing w:before="120"/>
        <w:ind w:left="2268" w:hanging="1134"/>
        <w:rPr>
          <w:lang w:val="en-GB"/>
        </w:rPr>
      </w:pPr>
      <w:r w:rsidRPr="008955F5">
        <w:rPr>
          <w:lang w:val="en-GB"/>
        </w:rPr>
        <w:tab/>
        <w:t>(g)</w:t>
      </w:r>
      <w:r w:rsidRPr="008955F5">
        <w:rPr>
          <w:lang w:val="en-GB"/>
        </w:rPr>
        <w:tab/>
        <w:t>Test drum radius R;</w:t>
      </w:r>
    </w:p>
    <w:p w14:paraId="7F804CA0" w14:textId="77777777" w:rsidR="00791771" w:rsidRPr="008955F5" w:rsidRDefault="00791771" w:rsidP="00791771">
      <w:pPr>
        <w:pStyle w:val="SingleTxtG"/>
        <w:spacing w:before="120"/>
        <w:ind w:left="2268" w:hanging="1134"/>
        <w:rPr>
          <w:lang w:val="en-GB"/>
        </w:rPr>
      </w:pPr>
      <w:r w:rsidRPr="008955F5">
        <w:rPr>
          <w:lang w:val="en-GB"/>
        </w:rPr>
        <w:tab/>
        <w:t>(h)</w:t>
      </w:r>
      <w:r w:rsidRPr="008955F5">
        <w:rPr>
          <w:lang w:val="en-GB"/>
        </w:rPr>
        <w:tab/>
        <w:t>Test method chosen;</w:t>
      </w:r>
    </w:p>
    <w:p w14:paraId="780895BA" w14:textId="77777777" w:rsidR="00791771" w:rsidRPr="008955F5" w:rsidRDefault="00791771" w:rsidP="00791771">
      <w:pPr>
        <w:pStyle w:val="SingleTxtG"/>
        <w:spacing w:before="120"/>
        <w:ind w:left="2268" w:hanging="1134"/>
        <w:rPr>
          <w:lang w:val="en-GB"/>
        </w:rPr>
      </w:pPr>
      <w:r w:rsidRPr="008955F5">
        <w:rPr>
          <w:lang w:val="en-GB"/>
        </w:rPr>
        <w:tab/>
        <w:t>(</w:t>
      </w:r>
      <w:proofErr w:type="spellStart"/>
      <w:r w:rsidRPr="008955F5">
        <w:rPr>
          <w:lang w:val="en-GB"/>
        </w:rPr>
        <w:t>i</w:t>
      </w:r>
      <w:proofErr w:type="spellEnd"/>
      <w:r w:rsidRPr="008955F5">
        <w:rPr>
          <w:lang w:val="en-GB"/>
        </w:rPr>
        <w:t>)</w:t>
      </w:r>
      <w:r w:rsidRPr="008955F5">
        <w:rPr>
          <w:lang w:val="en-GB"/>
        </w:rPr>
        <w:tab/>
        <w:t>Test rim (size and material);</w:t>
      </w:r>
    </w:p>
    <w:p w14:paraId="7C64E74B" w14:textId="77777777" w:rsidR="00791771" w:rsidRPr="008955F5" w:rsidRDefault="00791771" w:rsidP="00791771">
      <w:pPr>
        <w:pStyle w:val="SingleTxtG"/>
        <w:spacing w:before="120"/>
        <w:ind w:left="2835" w:hanging="567"/>
        <w:rPr>
          <w:lang w:val="en-GB"/>
        </w:rPr>
      </w:pPr>
      <w:r w:rsidRPr="008955F5">
        <w:rPr>
          <w:lang w:val="en-GB"/>
        </w:rPr>
        <w:t>(j)</w:t>
      </w:r>
      <w:r w:rsidRPr="008955F5">
        <w:rPr>
          <w:lang w:val="en-GB"/>
        </w:rPr>
        <w:tab/>
        <w:t>Tyre size, manufacturer, type, identity number (if one exists), speed category symbol, load index, DOT number (Department of Transportation).</w:t>
      </w:r>
    </w:p>
    <w:p w14:paraId="460A29A6" w14:textId="77777777" w:rsidR="00791771" w:rsidRPr="008955F5" w:rsidRDefault="00791771" w:rsidP="00791771">
      <w:pPr>
        <w:pStyle w:val="SingleTxtG"/>
        <w:keepNext/>
        <w:keepLines/>
        <w:spacing w:before="120"/>
        <w:ind w:left="2835" w:hanging="567"/>
        <w:rPr>
          <w:lang w:val="en-GB"/>
        </w:rPr>
      </w:pPr>
      <w:r w:rsidRPr="008955F5">
        <w:rPr>
          <w:lang w:val="en-GB"/>
        </w:rPr>
        <w:lastRenderedPageBreak/>
        <w:t>Figure 1</w:t>
      </w:r>
    </w:p>
    <w:p w14:paraId="0EEC9375" w14:textId="77777777" w:rsidR="00791771" w:rsidRPr="008955F5" w:rsidRDefault="00791771" w:rsidP="00791771">
      <w:pPr>
        <w:pStyle w:val="SingleTxtG"/>
        <w:spacing w:before="120"/>
        <w:ind w:left="2835" w:hanging="567"/>
        <w:rPr>
          <w:lang w:val="en-GB"/>
        </w:rPr>
      </w:pPr>
      <w:r w:rsidRPr="008955F5">
        <w:rPr>
          <w:noProof/>
          <w:lang w:val="en-GB"/>
        </w:rPr>
        <w:drawing>
          <wp:inline distT="0" distB="0" distL="0" distR="0" wp14:anchorId="651FC7DB" wp14:editId="0F430310">
            <wp:extent cx="2066925" cy="2876550"/>
            <wp:effectExtent l="0" t="4762"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l="13623" t="7764" r="3642" b="9346"/>
                    <a:stretch>
                      <a:fillRect/>
                    </a:stretch>
                  </pic:blipFill>
                  <pic:spPr bwMode="auto">
                    <a:xfrm rot="-5400000">
                      <a:off x="0" y="0"/>
                      <a:ext cx="2066925" cy="2876550"/>
                    </a:xfrm>
                    <a:prstGeom prst="rect">
                      <a:avLst/>
                    </a:prstGeom>
                    <a:noFill/>
                    <a:ln>
                      <a:noFill/>
                    </a:ln>
                  </pic:spPr>
                </pic:pic>
              </a:graphicData>
            </a:graphic>
          </wp:inline>
        </w:drawing>
      </w:r>
    </w:p>
    <w:p w14:paraId="24E1B44A" w14:textId="77777777" w:rsidR="00791771" w:rsidRPr="008955F5" w:rsidRDefault="00791771" w:rsidP="00791771">
      <w:pPr>
        <w:pStyle w:val="SingleTxtG"/>
        <w:spacing w:before="120"/>
        <w:ind w:left="2268"/>
        <w:rPr>
          <w:lang w:val="en-GB"/>
        </w:rPr>
      </w:pPr>
      <w:r w:rsidRPr="008955F5">
        <w:rPr>
          <w:lang w:val="en-GB"/>
        </w:rPr>
        <w:t xml:space="preserve">All the mechanical quantities (forces, torques) will be orientated in accordance with the axis systems specified in </w:t>
      </w:r>
      <w:bookmarkStart w:id="20" w:name="_Hlk148357841"/>
      <w:r w:rsidRPr="008955F5">
        <w:rPr>
          <w:lang w:val="en-GB"/>
        </w:rPr>
        <w:t>ISO 8855:</w:t>
      </w:r>
      <w:r w:rsidRPr="008955F5">
        <w:rPr>
          <w:strike/>
          <w:lang w:val="en-GB"/>
        </w:rPr>
        <w:t>1991</w:t>
      </w:r>
      <w:r w:rsidRPr="008955F5">
        <w:rPr>
          <w:b/>
          <w:bCs/>
          <w:lang w:val="en-GB"/>
        </w:rPr>
        <w:t>2011</w:t>
      </w:r>
      <w:r w:rsidRPr="008955F5">
        <w:rPr>
          <w:lang w:val="en-GB"/>
        </w:rPr>
        <w:t>.</w:t>
      </w:r>
      <w:bookmarkEnd w:id="20"/>
    </w:p>
    <w:p w14:paraId="621F5FB1" w14:textId="41E3604C" w:rsidR="00791771" w:rsidRPr="008955F5" w:rsidRDefault="00791771" w:rsidP="00451160">
      <w:pPr>
        <w:pStyle w:val="SingleTxtG"/>
        <w:spacing w:before="120"/>
        <w:ind w:left="2268" w:hanging="1134"/>
        <w:rPr>
          <w:bCs/>
          <w:lang w:val="en-GB"/>
        </w:rPr>
      </w:pPr>
      <w:r w:rsidRPr="008955F5">
        <w:rPr>
          <w:lang w:val="en-GB"/>
        </w:rPr>
        <w:tab/>
        <w:t>The directional tyres shall be run in their specified rotation sense."</w:t>
      </w:r>
    </w:p>
    <w:p w14:paraId="54F22A8D" w14:textId="130D8408" w:rsidR="00791771" w:rsidRPr="008955F5" w:rsidRDefault="00451160" w:rsidP="00791771">
      <w:pPr>
        <w:pStyle w:val="SingleTxtG"/>
        <w:ind w:left="2410" w:hanging="1276"/>
        <w:rPr>
          <w:bCs/>
          <w:lang w:val="en-GB"/>
        </w:rPr>
      </w:pPr>
      <w:r>
        <w:rPr>
          <w:bCs/>
          <w:i/>
          <w:iCs/>
          <w:lang w:val="en-GB"/>
        </w:rPr>
        <w:t>P</w:t>
      </w:r>
      <w:r w:rsidR="00791771" w:rsidRPr="008955F5">
        <w:rPr>
          <w:bCs/>
          <w:i/>
          <w:iCs/>
          <w:lang w:val="en-GB"/>
        </w:rPr>
        <w:t>aragraphs 5.1.1. and 5.1.2.</w:t>
      </w:r>
      <w:r w:rsidR="00791771" w:rsidRPr="008955F5">
        <w:rPr>
          <w:bCs/>
          <w:lang w:val="en-GB"/>
        </w:rPr>
        <w:t>, amend to read:</w:t>
      </w:r>
    </w:p>
    <w:p w14:paraId="695741DB" w14:textId="77777777" w:rsidR="00791771" w:rsidRPr="008955F5" w:rsidRDefault="00791771" w:rsidP="00791771">
      <w:pPr>
        <w:pStyle w:val="SingleTxtG"/>
        <w:spacing w:before="120"/>
        <w:ind w:left="2268" w:hanging="1134"/>
        <w:rPr>
          <w:bCs/>
          <w:lang w:val="en-GB"/>
        </w:rPr>
      </w:pPr>
      <w:r w:rsidRPr="008955F5">
        <w:rPr>
          <w:bCs/>
          <w:lang w:val="en-GB"/>
        </w:rPr>
        <w:t>"5.1.1.</w:t>
      </w:r>
      <w:r w:rsidRPr="008955F5">
        <w:rPr>
          <w:bCs/>
          <w:lang w:val="en-GB"/>
        </w:rPr>
        <w:tab/>
        <w:t>General</w:t>
      </w:r>
    </w:p>
    <w:p w14:paraId="53865835" w14:textId="77777777" w:rsidR="00791771" w:rsidRPr="008955F5" w:rsidRDefault="00791771" w:rsidP="00791771">
      <w:pPr>
        <w:pStyle w:val="SingleTxtG"/>
        <w:spacing w:before="120"/>
        <w:ind w:left="2268" w:hanging="1134"/>
        <w:rPr>
          <w:bCs/>
          <w:lang w:val="en-GB"/>
        </w:rPr>
      </w:pPr>
      <w:r w:rsidRPr="008955F5">
        <w:rPr>
          <w:bCs/>
          <w:lang w:val="en-GB"/>
        </w:rPr>
        <w:tab/>
        <w:t>The laboratory shall perform the measurements described in paragraph 4.6.1. above for the force, torque and power methods or those described in paragraph 4.6.2. above for the deceleration method, in order to determine precisely in the test conditions (load, speed, temperature) the tyre spindle friction, the tyre and wheel aerodynamic losses, the drum (and as appropriate, engine and/or clutch) bearing friction, and the drum aerodynamic losses.</w:t>
      </w:r>
    </w:p>
    <w:p w14:paraId="63F2C770" w14:textId="77777777" w:rsidR="00791771" w:rsidRPr="008955F5" w:rsidRDefault="00791771" w:rsidP="00791771">
      <w:pPr>
        <w:pStyle w:val="SingleTxtG"/>
        <w:spacing w:before="120"/>
        <w:ind w:left="2268" w:hanging="1134"/>
        <w:rPr>
          <w:bCs/>
          <w:lang w:val="en-GB"/>
        </w:rPr>
      </w:pPr>
      <w:r w:rsidRPr="008955F5">
        <w:rPr>
          <w:bCs/>
          <w:lang w:val="en-GB"/>
        </w:rPr>
        <w:tab/>
        <w:t xml:space="preserve">The parasitic losses related to the tyre/drum interface </w:t>
      </w:r>
      <w:proofErr w:type="spellStart"/>
      <w:r w:rsidRPr="008955F5">
        <w:rPr>
          <w:bCs/>
          <w:lang w:val="en-GB"/>
        </w:rPr>
        <w:t>F</w:t>
      </w:r>
      <w:r w:rsidRPr="008955F5">
        <w:rPr>
          <w:bCs/>
          <w:vertAlign w:val="subscript"/>
          <w:lang w:val="en-GB"/>
        </w:rPr>
        <w:t>pl</w:t>
      </w:r>
      <w:proofErr w:type="spellEnd"/>
      <w:r w:rsidRPr="008955F5">
        <w:rPr>
          <w:bCs/>
          <w:lang w:val="en-GB"/>
        </w:rPr>
        <w:t xml:space="preserve"> expressed </w:t>
      </w:r>
      <w:r w:rsidRPr="008955F5">
        <w:rPr>
          <w:bCs/>
          <w:sz w:val="18"/>
          <w:szCs w:val="18"/>
          <w:lang w:val="en-GB"/>
        </w:rPr>
        <w:t xml:space="preserve">in </w:t>
      </w:r>
      <w:proofErr w:type="spellStart"/>
      <w:r w:rsidRPr="00451160">
        <w:rPr>
          <w:bCs/>
          <w:strike/>
          <w:lang w:val="en-GB"/>
        </w:rPr>
        <w:t>newton</w:t>
      </w:r>
      <w:r w:rsidRPr="00451160">
        <w:rPr>
          <w:b/>
          <w:lang w:val="en-GB"/>
        </w:rPr>
        <w:t>newtons</w:t>
      </w:r>
      <w:proofErr w:type="spellEnd"/>
      <w:r w:rsidRPr="00451160">
        <w:rPr>
          <w:bCs/>
          <w:lang w:val="en-GB"/>
        </w:rPr>
        <w:t xml:space="preserve"> sha</w:t>
      </w:r>
      <w:r w:rsidRPr="008955F5">
        <w:rPr>
          <w:bCs/>
          <w:lang w:val="en-GB"/>
        </w:rPr>
        <w:t>ll be calculated from the force F</w:t>
      </w:r>
      <w:r w:rsidRPr="008955F5">
        <w:rPr>
          <w:bCs/>
          <w:vertAlign w:val="subscript"/>
          <w:lang w:val="en-GB"/>
        </w:rPr>
        <w:t>t</w:t>
      </w:r>
      <w:r w:rsidRPr="008955F5">
        <w:rPr>
          <w:bCs/>
          <w:lang w:val="en-GB"/>
        </w:rPr>
        <w:t xml:space="preserve"> torque, power or the deceleration, as shown in paragraphs 5.1.2. to 5.1.5. below.</w:t>
      </w:r>
    </w:p>
    <w:p w14:paraId="73D9F9E3" w14:textId="77777777" w:rsidR="00791771" w:rsidRPr="008955F5" w:rsidRDefault="00791771" w:rsidP="00791771">
      <w:pPr>
        <w:pStyle w:val="SingleTxtG"/>
        <w:spacing w:before="120"/>
        <w:ind w:left="2268" w:hanging="1134"/>
        <w:rPr>
          <w:lang w:val="en-GB"/>
        </w:rPr>
      </w:pPr>
      <w:r w:rsidRPr="008955F5">
        <w:rPr>
          <w:lang w:val="en-GB"/>
        </w:rPr>
        <w:t>5.1.2.</w:t>
      </w:r>
      <w:r w:rsidRPr="008955F5">
        <w:rPr>
          <w:lang w:val="en-GB"/>
        </w:rPr>
        <w:tab/>
        <w:t>Force method at tyre spindle</w:t>
      </w:r>
    </w:p>
    <w:p w14:paraId="0C547061" w14:textId="77777777" w:rsidR="00791771" w:rsidRPr="008955F5" w:rsidRDefault="00791771" w:rsidP="00791771">
      <w:pPr>
        <w:pStyle w:val="SingleTxtG"/>
        <w:spacing w:before="120"/>
        <w:ind w:left="2268" w:hanging="1134"/>
        <w:rPr>
          <w:lang w:val="en-GB"/>
        </w:rPr>
      </w:pPr>
      <w:r w:rsidRPr="008955F5">
        <w:rPr>
          <w:lang w:val="en-GB"/>
        </w:rPr>
        <w:tab/>
        <w:t xml:space="preserve">Calculate: </w:t>
      </w:r>
      <w:proofErr w:type="spellStart"/>
      <w:r w:rsidRPr="008955F5">
        <w:rPr>
          <w:lang w:val="en-GB"/>
        </w:rPr>
        <w:t>F</w:t>
      </w:r>
      <w:r w:rsidRPr="008955F5">
        <w:rPr>
          <w:vertAlign w:val="subscript"/>
          <w:lang w:val="en-GB"/>
        </w:rPr>
        <w:t>pl</w:t>
      </w:r>
      <w:proofErr w:type="spellEnd"/>
      <w:r w:rsidRPr="008955F5">
        <w:rPr>
          <w:lang w:val="en-GB"/>
        </w:rPr>
        <w:t xml:space="preserve"> = F</w:t>
      </w:r>
      <w:r w:rsidRPr="008955F5">
        <w:rPr>
          <w:vertAlign w:val="subscript"/>
          <w:lang w:val="en-GB"/>
        </w:rPr>
        <w:t xml:space="preserve">t </w:t>
      </w:r>
      <w:r w:rsidRPr="008955F5">
        <w:rPr>
          <w:lang w:val="en-GB"/>
        </w:rPr>
        <w:t xml:space="preserve">(1 </w:t>
      </w:r>
      <w:r w:rsidRPr="008955F5">
        <w:rPr>
          <w:lang w:val="en-GB"/>
        </w:rPr>
        <w:sym w:font="Symbol" w:char="F02B"/>
      </w:r>
      <w:r w:rsidRPr="008955F5">
        <w:rPr>
          <w:lang w:val="en-GB"/>
        </w:rPr>
        <w:t xml:space="preserve"> </w:t>
      </w:r>
      <w:proofErr w:type="spellStart"/>
      <w:r w:rsidRPr="008955F5">
        <w:rPr>
          <w:lang w:val="en-GB"/>
        </w:rPr>
        <w:t>r</w:t>
      </w:r>
      <w:r w:rsidRPr="008955F5">
        <w:rPr>
          <w:vertAlign w:val="subscript"/>
          <w:lang w:val="en-GB"/>
        </w:rPr>
        <w:t>L</w:t>
      </w:r>
      <w:proofErr w:type="spellEnd"/>
      <w:r w:rsidRPr="008955F5">
        <w:rPr>
          <w:lang w:val="en-GB"/>
        </w:rPr>
        <w:t>/R)</w:t>
      </w:r>
    </w:p>
    <w:p w14:paraId="1E67F6E8" w14:textId="77777777" w:rsidR="00791771" w:rsidRPr="008955F5" w:rsidRDefault="00791771" w:rsidP="00791771">
      <w:pPr>
        <w:pStyle w:val="SingleTxtG"/>
        <w:spacing w:before="120"/>
        <w:ind w:left="2835" w:hanging="567"/>
        <w:rPr>
          <w:lang w:val="en-GB"/>
        </w:rPr>
      </w:pPr>
      <w:r w:rsidRPr="008955F5">
        <w:rPr>
          <w:lang w:val="en-GB"/>
        </w:rPr>
        <w:t>Where:</w:t>
      </w:r>
    </w:p>
    <w:p w14:paraId="1577E891" w14:textId="77777777" w:rsidR="00791771" w:rsidRPr="008955F5" w:rsidRDefault="00791771" w:rsidP="00791771">
      <w:pPr>
        <w:pStyle w:val="SingleTxtG"/>
        <w:spacing w:before="120"/>
        <w:ind w:left="2835" w:hanging="567"/>
        <w:rPr>
          <w:lang w:val="en-GB"/>
        </w:rPr>
      </w:pPr>
      <w:r w:rsidRPr="008955F5">
        <w:rPr>
          <w:lang w:val="en-GB"/>
        </w:rPr>
        <w:t>F</w:t>
      </w:r>
      <w:r w:rsidRPr="008955F5">
        <w:rPr>
          <w:vertAlign w:val="subscript"/>
          <w:lang w:val="en-GB"/>
        </w:rPr>
        <w:t>t</w:t>
      </w:r>
      <w:r w:rsidRPr="008955F5">
        <w:rPr>
          <w:vertAlign w:val="subscript"/>
          <w:lang w:val="en-GB"/>
        </w:rPr>
        <w:tab/>
      </w:r>
      <w:r w:rsidRPr="008955F5">
        <w:rPr>
          <w:lang w:val="en-GB"/>
        </w:rPr>
        <w:t xml:space="preserve">is the tyre spindle </w:t>
      </w:r>
      <w:r w:rsidRPr="00451160">
        <w:rPr>
          <w:lang w:val="en-GB"/>
        </w:rPr>
        <w:t xml:space="preserve">force </w:t>
      </w:r>
      <w:r w:rsidRPr="00451160">
        <w:rPr>
          <w:bCs/>
          <w:lang w:val="en-GB"/>
        </w:rPr>
        <w:t xml:space="preserve">in </w:t>
      </w:r>
      <w:proofErr w:type="spellStart"/>
      <w:r w:rsidRPr="00451160">
        <w:rPr>
          <w:bCs/>
          <w:strike/>
          <w:lang w:val="en-GB"/>
        </w:rPr>
        <w:t>newton</w:t>
      </w:r>
      <w:r w:rsidRPr="00451160">
        <w:rPr>
          <w:b/>
          <w:lang w:val="en-GB"/>
        </w:rPr>
        <w:t>newtons</w:t>
      </w:r>
      <w:proofErr w:type="spellEnd"/>
      <w:r w:rsidRPr="00451160">
        <w:rPr>
          <w:lang w:val="en-GB"/>
        </w:rPr>
        <w:t xml:space="preserve"> (</w:t>
      </w:r>
      <w:r w:rsidRPr="008955F5">
        <w:rPr>
          <w:lang w:val="en-GB"/>
        </w:rPr>
        <w:t>see paragraph 4.6.1. above),</w:t>
      </w:r>
    </w:p>
    <w:p w14:paraId="3421C4B0" w14:textId="77777777" w:rsidR="00791771" w:rsidRPr="008955F5" w:rsidRDefault="00791771" w:rsidP="00791771">
      <w:pPr>
        <w:pStyle w:val="SingleTxtG"/>
        <w:spacing w:before="120"/>
        <w:ind w:left="2835" w:hanging="567"/>
        <w:rPr>
          <w:lang w:val="en-GB"/>
        </w:rPr>
      </w:pPr>
      <w:proofErr w:type="spellStart"/>
      <w:r w:rsidRPr="008955F5">
        <w:rPr>
          <w:lang w:val="en-GB"/>
        </w:rPr>
        <w:t>r</w:t>
      </w:r>
      <w:r w:rsidRPr="008955F5">
        <w:rPr>
          <w:vertAlign w:val="subscript"/>
          <w:lang w:val="en-GB"/>
        </w:rPr>
        <w:t>L</w:t>
      </w:r>
      <w:proofErr w:type="spellEnd"/>
      <w:r w:rsidRPr="008955F5">
        <w:rPr>
          <w:vertAlign w:val="subscript"/>
          <w:lang w:val="en-GB"/>
        </w:rPr>
        <w:tab/>
      </w:r>
      <w:r w:rsidRPr="008955F5">
        <w:rPr>
          <w:lang w:val="en-GB"/>
        </w:rPr>
        <w:t>is the distance from the tyre axis to the drum outer surface under steady state conditions, in metres,</w:t>
      </w:r>
    </w:p>
    <w:p w14:paraId="2960E98A" w14:textId="1DDCC2BC" w:rsidR="00791771" w:rsidRPr="008955F5" w:rsidRDefault="00791771" w:rsidP="00451160">
      <w:pPr>
        <w:pStyle w:val="SingleTxtG"/>
        <w:spacing w:before="120"/>
        <w:ind w:left="2835" w:hanging="567"/>
        <w:rPr>
          <w:bCs/>
          <w:lang w:val="en-GB"/>
        </w:rPr>
      </w:pPr>
      <w:r w:rsidRPr="008955F5">
        <w:rPr>
          <w:lang w:val="en-GB"/>
        </w:rPr>
        <w:t>R</w:t>
      </w:r>
      <w:r w:rsidRPr="008955F5">
        <w:rPr>
          <w:lang w:val="en-GB"/>
        </w:rPr>
        <w:tab/>
        <w:t>is the test drum radius, in metres.</w:t>
      </w:r>
      <w:r w:rsidRPr="008955F5">
        <w:rPr>
          <w:bCs/>
          <w:lang w:val="en-GB"/>
        </w:rPr>
        <w:t>"</w:t>
      </w:r>
    </w:p>
    <w:p w14:paraId="05EC14B3" w14:textId="60C1028C" w:rsidR="00791771" w:rsidRPr="008955F5" w:rsidRDefault="00451160" w:rsidP="00791771">
      <w:pPr>
        <w:pStyle w:val="SingleTxtG"/>
        <w:ind w:left="2410" w:hanging="1276"/>
        <w:rPr>
          <w:bCs/>
          <w:lang w:val="en-GB"/>
        </w:rPr>
      </w:pPr>
      <w:r>
        <w:rPr>
          <w:bCs/>
          <w:i/>
          <w:iCs/>
          <w:lang w:val="en-GB"/>
        </w:rPr>
        <w:t>P</w:t>
      </w:r>
      <w:r w:rsidR="00791771" w:rsidRPr="008955F5">
        <w:rPr>
          <w:bCs/>
          <w:i/>
          <w:iCs/>
          <w:lang w:val="en-GB"/>
        </w:rPr>
        <w:t>aragraph 5.2.1.</w:t>
      </w:r>
      <w:r w:rsidR="00791771" w:rsidRPr="008955F5">
        <w:rPr>
          <w:bCs/>
          <w:lang w:val="en-GB"/>
        </w:rPr>
        <w:t>, amend to read:</w:t>
      </w:r>
    </w:p>
    <w:p w14:paraId="4CE2C808" w14:textId="77777777" w:rsidR="00791771" w:rsidRPr="008955F5" w:rsidRDefault="00791771" w:rsidP="00791771">
      <w:pPr>
        <w:pStyle w:val="SingleTxtG"/>
        <w:spacing w:before="120"/>
        <w:ind w:left="2268" w:hanging="1134"/>
        <w:rPr>
          <w:lang w:val="en-GB"/>
        </w:rPr>
      </w:pPr>
      <w:r w:rsidRPr="008955F5">
        <w:rPr>
          <w:bCs/>
          <w:lang w:val="en-GB"/>
        </w:rPr>
        <w:t>"</w:t>
      </w:r>
      <w:r w:rsidRPr="008955F5">
        <w:rPr>
          <w:lang w:val="en-GB"/>
        </w:rPr>
        <w:t>5.2.1.</w:t>
      </w:r>
      <w:r w:rsidRPr="008955F5">
        <w:rPr>
          <w:lang w:val="en-GB"/>
        </w:rPr>
        <w:tab/>
        <w:t>General</w:t>
      </w:r>
    </w:p>
    <w:p w14:paraId="682BD59D" w14:textId="5C49BA7B" w:rsidR="003F475A" w:rsidRPr="008955F5" w:rsidRDefault="00791771" w:rsidP="00451160">
      <w:pPr>
        <w:pStyle w:val="SingleTxtG"/>
        <w:spacing w:before="120"/>
        <w:ind w:left="2268" w:hanging="1134"/>
        <w:rPr>
          <w:lang w:val="en-GB"/>
        </w:rPr>
      </w:pPr>
      <w:r w:rsidRPr="008955F5">
        <w:rPr>
          <w:lang w:val="en-GB"/>
        </w:rPr>
        <w:tab/>
        <w:t>The rolling resistance F</w:t>
      </w:r>
      <w:r w:rsidRPr="008955F5">
        <w:rPr>
          <w:vertAlign w:val="subscript"/>
          <w:lang w:val="en-GB"/>
        </w:rPr>
        <w:t>r</w:t>
      </w:r>
      <w:r w:rsidRPr="008955F5">
        <w:rPr>
          <w:lang w:val="en-GB"/>
        </w:rPr>
        <w:t xml:space="preserve">, expressed </w:t>
      </w:r>
      <w:r w:rsidRPr="00451160">
        <w:rPr>
          <w:bCs/>
          <w:lang w:val="en-GB"/>
        </w:rPr>
        <w:t xml:space="preserve">in </w:t>
      </w:r>
      <w:proofErr w:type="spellStart"/>
      <w:r w:rsidRPr="00451160">
        <w:rPr>
          <w:bCs/>
          <w:strike/>
          <w:lang w:val="en-GB"/>
        </w:rPr>
        <w:t>newton</w:t>
      </w:r>
      <w:r w:rsidRPr="00451160">
        <w:rPr>
          <w:b/>
          <w:lang w:val="en-GB"/>
        </w:rPr>
        <w:t>newtons</w:t>
      </w:r>
      <w:proofErr w:type="spellEnd"/>
      <w:r w:rsidRPr="00451160">
        <w:rPr>
          <w:lang w:val="en-GB"/>
        </w:rPr>
        <w:t>,</w:t>
      </w:r>
      <w:r w:rsidRPr="008955F5">
        <w:rPr>
          <w:lang w:val="en-GB"/>
        </w:rPr>
        <w:t xml:space="preserve"> is calculated using the values obtained by testing the tyre to the conditions specified in this Regulation and by subtracting the appropriate parasitic losses </w:t>
      </w:r>
      <w:proofErr w:type="spellStart"/>
      <w:r w:rsidRPr="008955F5">
        <w:rPr>
          <w:lang w:val="en-GB"/>
        </w:rPr>
        <w:t>F</w:t>
      </w:r>
      <w:r w:rsidRPr="008955F5">
        <w:rPr>
          <w:vertAlign w:val="subscript"/>
          <w:lang w:val="en-GB"/>
        </w:rPr>
        <w:t>pl</w:t>
      </w:r>
      <w:proofErr w:type="spellEnd"/>
      <w:r w:rsidRPr="008955F5">
        <w:rPr>
          <w:lang w:val="en-GB"/>
        </w:rPr>
        <w:t>, obtained according to paragraph 5.1. above."</w:t>
      </w:r>
    </w:p>
    <w:p w14:paraId="74AEE157" w14:textId="607DFFC7" w:rsidR="003F475A" w:rsidRPr="008955F5" w:rsidRDefault="00451160" w:rsidP="003F475A">
      <w:pPr>
        <w:pStyle w:val="SingleTxtG"/>
        <w:ind w:left="2410" w:hanging="1276"/>
        <w:rPr>
          <w:bCs/>
          <w:lang w:val="en-GB"/>
        </w:rPr>
      </w:pPr>
      <w:r>
        <w:rPr>
          <w:bCs/>
          <w:i/>
          <w:iCs/>
          <w:lang w:val="en-GB"/>
        </w:rPr>
        <w:t>P</w:t>
      </w:r>
      <w:r w:rsidR="003F475A" w:rsidRPr="008955F5">
        <w:rPr>
          <w:bCs/>
          <w:i/>
          <w:iCs/>
          <w:lang w:val="en-GB"/>
        </w:rPr>
        <w:t>aragraph 6.1.</w:t>
      </w:r>
      <w:r w:rsidR="003F475A" w:rsidRPr="008955F5">
        <w:rPr>
          <w:bCs/>
          <w:lang w:val="en-GB"/>
        </w:rPr>
        <w:t>, amend to read:</w:t>
      </w:r>
    </w:p>
    <w:p w14:paraId="7407C9BA" w14:textId="77777777" w:rsidR="003F475A" w:rsidRPr="008955F5" w:rsidRDefault="003F475A" w:rsidP="003F475A">
      <w:pPr>
        <w:pStyle w:val="SingleTxtG"/>
        <w:spacing w:before="120"/>
        <w:ind w:left="2268" w:hanging="1134"/>
        <w:rPr>
          <w:lang w:val="en-GB"/>
        </w:rPr>
      </w:pPr>
      <w:r w:rsidRPr="008955F5">
        <w:rPr>
          <w:lang w:val="en-GB"/>
        </w:rPr>
        <w:t>"6.1.</w:t>
      </w:r>
      <w:r w:rsidRPr="008955F5">
        <w:rPr>
          <w:lang w:val="en-GB"/>
        </w:rPr>
        <w:tab/>
        <w:t>Rolling resistance coefficient</w:t>
      </w:r>
    </w:p>
    <w:p w14:paraId="69D2DFFA" w14:textId="77777777" w:rsidR="003F475A" w:rsidRPr="008955F5" w:rsidRDefault="003F475A" w:rsidP="003F475A">
      <w:pPr>
        <w:pStyle w:val="SingleTxtG"/>
        <w:spacing w:before="120"/>
        <w:ind w:left="2268" w:hanging="1134"/>
        <w:rPr>
          <w:lang w:val="en-GB"/>
        </w:rPr>
      </w:pPr>
      <w:r w:rsidRPr="008955F5">
        <w:rPr>
          <w:lang w:val="en-GB"/>
        </w:rPr>
        <w:tab/>
        <w:t>The rolling resistance coefficient C</w:t>
      </w:r>
      <w:r w:rsidRPr="008955F5">
        <w:rPr>
          <w:vertAlign w:val="subscript"/>
          <w:lang w:val="en-GB"/>
        </w:rPr>
        <w:t>r</w:t>
      </w:r>
      <w:r w:rsidRPr="008955F5">
        <w:rPr>
          <w:lang w:val="en-GB"/>
        </w:rPr>
        <w:t xml:space="preserve"> is calculated by dividing the rolling resistance by the load on the tyre:</w:t>
      </w:r>
    </w:p>
    <w:p w14:paraId="59E759F4" w14:textId="77777777" w:rsidR="003F475A" w:rsidRPr="008955F5" w:rsidRDefault="000875CB" w:rsidP="003F475A">
      <w:pPr>
        <w:pStyle w:val="SingleTxtG"/>
        <w:spacing w:before="120"/>
        <w:ind w:left="2268"/>
        <w:jc w:val="left"/>
        <w:rPr>
          <w:lang w:val="en-GB"/>
        </w:rPr>
      </w:pPr>
      <m:oMathPara>
        <m:oMathParaPr>
          <m:jc m:val="left"/>
        </m:oMathParaP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r</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r</m:t>
                  </m:r>
                </m:sub>
              </m:sSub>
            </m:num>
            <m:den>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m</m:t>
                  </m:r>
                </m:sub>
              </m:sSub>
            </m:den>
          </m:f>
        </m:oMath>
      </m:oMathPara>
    </w:p>
    <w:p w14:paraId="1B72C135" w14:textId="77777777" w:rsidR="003F475A" w:rsidRPr="008955F5" w:rsidRDefault="003F475A" w:rsidP="003F475A">
      <w:pPr>
        <w:pStyle w:val="SingleTxtG"/>
        <w:spacing w:before="120"/>
        <w:ind w:left="2268"/>
        <w:jc w:val="left"/>
        <w:rPr>
          <w:lang w:val="en-GB"/>
        </w:rPr>
      </w:pPr>
      <w:r w:rsidRPr="008955F5">
        <w:rPr>
          <w:lang w:val="en-GB"/>
        </w:rPr>
        <w:lastRenderedPageBreak/>
        <w:t>Where:</w:t>
      </w:r>
    </w:p>
    <w:p w14:paraId="1C6AC062" w14:textId="77777777" w:rsidR="003F475A" w:rsidRPr="008955F5" w:rsidRDefault="003F475A" w:rsidP="003F475A">
      <w:pPr>
        <w:pStyle w:val="SingleTxtG"/>
        <w:spacing w:before="120"/>
        <w:ind w:left="2268"/>
        <w:jc w:val="left"/>
        <w:rPr>
          <w:lang w:val="en-GB"/>
        </w:rPr>
      </w:pPr>
      <w:r w:rsidRPr="008955F5">
        <w:rPr>
          <w:i/>
          <w:iCs/>
          <w:lang w:val="en-GB"/>
        </w:rPr>
        <w:t>F</w:t>
      </w:r>
      <w:r w:rsidRPr="008955F5">
        <w:rPr>
          <w:i/>
          <w:iCs/>
          <w:vertAlign w:val="subscript"/>
          <w:lang w:val="en-GB"/>
        </w:rPr>
        <w:t>r</w:t>
      </w:r>
      <w:r w:rsidRPr="008955F5">
        <w:rPr>
          <w:lang w:val="en-GB"/>
        </w:rPr>
        <w:tab/>
        <w:t xml:space="preserve">is the rolling resistance, in </w:t>
      </w:r>
      <w:proofErr w:type="spellStart"/>
      <w:r w:rsidRPr="00451160">
        <w:rPr>
          <w:bCs/>
          <w:strike/>
          <w:lang w:val="en-GB"/>
        </w:rPr>
        <w:t>newton</w:t>
      </w:r>
      <w:r w:rsidRPr="00451160">
        <w:rPr>
          <w:b/>
          <w:lang w:val="en-GB"/>
        </w:rPr>
        <w:t>newtons</w:t>
      </w:r>
      <w:proofErr w:type="spellEnd"/>
      <w:r w:rsidRPr="00451160">
        <w:rPr>
          <w:lang w:val="en-GB"/>
        </w:rPr>
        <w:t>,</w:t>
      </w:r>
    </w:p>
    <w:p w14:paraId="466336EF" w14:textId="77777777" w:rsidR="003F475A" w:rsidRPr="008955F5" w:rsidRDefault="003F475A" w:rsidP="003F475A">
      <w:pPr>
        <w:pStyle w:val="SingleTxtG"/>
        <w:spacing w:before="120"/>
        <w:ind w:left="2268"/>
        <w:jc w:val="left"/>
        <w:rPr>
          <w:lang w:val="en-GB"/>
        </w:rPr>
      </w:pPr>
      <w:proofErr w:type="spellStart"/>
      <w:r w:rsidRPr="008955F5">
        <w:rPr>
          <w:i/>
          <w:iCs/>
          <w:lang w:val="en-GB"/>
        </w:rPr>
        <w:t>L</w:t>
      </w:r>
      <w:r w:rsidRPr="008955F5">
        <w:rPr>
          <w:i/>
          <w:iCs/>
          <w:vertAlign w:val="subscript"/>
          <w:lang w:val="en-GB"/>
        </w:rPr>
        <w:t>m</w:t>
      </w:r>
      <w:proofErr w:type="spellEnd"/>
      <w:r w:rsidRPr="008955F5">
        <w:rPr>
          <w:lang w:val="en-GB"/>
        </w:rPr>
        <w:tab/>
        <w:t xml:space="preserve">is the test load, in </w:t>
      </w:r>
      <w:proofErr w:type="spellStart"/>
      <w:r w:rsidRPr="008955F5">
        <w:rPr>
          <w:lang w:val="en-GB"/>
        </w:rPr>
        <w:t>kN.</w:t>
      </w:r>
      <w:proofErr w:type="spellEnd"/>
      <w:r w:rsidRPr="008955F5">
        <w:rPr>
          <w:lang w:val="en-GB"/>
        </w:rPr>
        <w:t>"</w:t>
      </w:r>
    </w:p>
    <w:p w14:paraId="1E06C239" w14:textId="58561C81" w:rsidR="00C42D56" w:rsidRPr="008955F5" w:rsidRDefault="00C42D56" w:rsidP="00C42D56">
      <w:pPr>
        <w:pStyle w:val="SingleTxtG"/>
        <w:spacing w:before="120"/>
        <w:ind w:left="2268" w:hanging="1134"/>
        <w:rPr>
          <w:lang w:val="en-GB"/>
        </w:rPr>
      </w:pPr>
      <w:r w:rsidRPr="008955F5">
        <w:rPr>
          <w:i/>
          <w:iCs/>
          <w:lang w:val="en-GB"/>
        </w:rPr>
        <w:t xml:space="preserve">Annex 6, Appendix 1, </w:t>
      </w:r>
      <w:r w:rsidR="00451160">
        <w:rPr>
          <w:i/>
          <w:iCs/>
          <w:lang w:val="en-GB"/>
        </w:rPr>
        <w:t>p</w:t>
      </w:r>
      <w:r w:rsidRPr="008955F5">
        <w:rPr>
          <w:i/>
          <w:iCs/>
          <w:lang w:val="en-GB"/>
        </w:rPr>
        <w:t>aragraph 2.1.,</w:t>
      </w:r>
      <w:r w:rsidRPr="008955F5">
        <w:rPr>
          <w:lang w:val="en-GB"/>
        </w:rPr>
        <w:t xml:space="preserve"> amend to read:</w:t>
      </w:r>
    </w:p>
    <w:p w14:paraId="0455D077" w14:textId="77777777" w:rsidR="00C42D56" w:rsidRPr="008955F5" w:rsidRDefault="00C42D56" w:rsidP="00C42D56">
      <w:pPr>
        <w:tabs>
          <w:tab w:val="left" w:pos="2268"/>
        </w:tabs>
        <w:suppressAutoHyphens w:val="0"/>
        <w:autoSpaceDE w:val="0"/>
        <w:autoSpaceDN w:val="0"/>
        <w:adjustRightInd w:val="0"/>
        <w:spacing w:line="240" w:lineRule="auto"/>
        <w:ind w:left="1134" w:right="1139"/>
        <w:jc w:val="both"/>
        <w:rPr>
          <w:lang w:val="en-GB"/>
        </w:rPr>
      </w:pPr>
      <w:r w:rsidRPr="008955F5">
        <w:rPr>
          <w:lang w:val="en-GB"/>
        </w:rPr>
        <w:t>"2.1.</w:t>
      </w:r>
      <w:r w:rsidRPr="008955F5">
        <w:rPr>
          <w:lang w:val="en-GB"/>
        </w:rPr>
        <w:tab/>
        <w:t>Width</w:t>
      </w:r>
    </w:p>
    <w:p w14:paraId="6B2B0AD8" w14:textId="77777777" w:rsidR="00C42D56" w:rsidRPr="008955F5" w:rsidRDefault="00C42D56" w:rsidP="00C42D56">
      <w:pPr>
        <w:spacing w:before="120" w:after="120"/>
        <w:ind w:left="2268" w:right="1134"/>
        <w:jc w:val="both"/>
        <w:rPr>
          <w:lang w:val="en-GB"/>
        </w:rPr>
      </w:pPr>
      <w:bookmarkStart w:id="21" w:name="_Hlk148358155"/>
      <w:r w:rsidRPr="008955F5">
        <w:rPr>
          <w:lang w:val="en-GB"/>
        </w:rPr>
        <w:t>For passenger car tyre rims (class C1 tyres), the test rim width shall be the same as the measuring rim determined in ISO 4000-1:</w:t>
      </w:r>
      <w:r w:rsidRPr="008955F5">
        <w:rPr>
          <w:bCs/>
          <w:strike/>
          <w:lang w:val="en-GB"/>
        </w:rPr>
        <w:t>2010</w:t>
      </w:r>
      <w:r w:rsidRPr="008955F5">
        <w:rPr>
          <w:b/>
          <w:lang w:val="en-GB"/>
        </w:rPr>
        <w:t>2021</w:t>
      </w:r>
      <w:r w:rsidRPr="008955F5">
        <w:rPr>
          <w:lang w:val="en-GB"/>
        </w:rPr>
        <w:t>, clause 6.2.2.</w:t>
      </w:r>
    </w:p>
    <w:bookmarkEnd w:id="21"/>
    <w:p w14:paraId="6D4BE159" w14:textId="77777777" w:rsidR="00C42D56" w:rsidRPr="008955F5" w:rsidRDefault="00C42D56" w:rsidP="00C42D56">
      <w:pPr>
        <w:spacing w:before="120" w:after="120"/>
        <w:ind w:left="2268" w:right="1134"/>
        <w:jc w:val="both"/>
        <w:rPr>
          <w:lang w:val="en-GB"/>
        </w:rPr>
      </w:pPr>
      <w:r w:rsidRPr="008955F5">
        <w:rPr>
          <w:lang w:val="en-GB"/>
        </w:rPr>
        <w:t>For truck and bus tyres (classes C2 and C3), the rim width shall be the same as the measuring rim determined in ISO 4209-1:2001, clause 5.1.3.</w:t>
      </w:r>
    </w:p>
    <w:p w14:paraId="6EC1EE2D" w14:textId="0718F4EF" w:rsidR="009130FD" w:rsidRPr="008955F5" w:rsidRDefault="00C42D56" w:rsidP="00451160">
      <w:pPr>
        <w:pStyle w:val="SingleTxtG"/>
        <w:spacing w:before="120"/>
        <w:ind w:left="2268"/>
        <w:rPr>
          <w:lang w:val="en-GB"/>
        </w:rPr>
      </w:pPr>
      <w:r w:rsidRPr="008955F5">
        <w:rPr>
          <w:lang w:val="en-GB"/>
        </w:rPr>
        <w:t>In cases where the width is not defined in the above mentioned ISO Standards, the rim width as defined by one of the standards organizations as specified in Appendix 4 to Annex 6 may be used."</w:t>
      </w:r>
    </w:p>
    <w:p w14:paraId="20DB2DCF" w14:textId="3CDD632F" w:rsidR="009130FD" w:rsidRPr="008955F5" w:rsidRDefault="009130FD" w:rsidP="009130FD">
      <w:pPr>
        <w:pStyle w:val="SingleTxtG"/>
        <w:spacing w:before="120"/>
        <w:ind w:left="2268" w:hanging="1134"/>
        <w:rPr>
          <w:lang w:val="en-GB"/>
        </w:rPr>
      </w:pPr>
      <w:r w:rsidRPr="008955F5">
        <w:rPr>
          <w:i/>
          <w:iCs/>
          <w:lang w:val="en-GB"/>
        </w:rPr>
        <w:t xml:space="preserve">Annex 7, </w:t>
      </w:r>
      <w:r w:rsidR="00451160">
        <w:rPr>
          <w:i/>
          <w:iCs/>
          <w:lang w:val="en-GB"/>
        </w:rPr>
        <w:t>p</w:t>
      </w:r>
      <w:r w:rsidRPr="008955F5">
        <w:rPr>
          <w:i/>
          <w:iCs/>
          <w:lang w:val="en-GB"/>
        </w:rPr>
        <w:t xml:space="preserve">aragraph 4.5.1., </w:t>
      </w:r>
      <w:r w:rsidRPr="008955F5">
        <w:rPr>
          <w:lang w:val="en-GB"/>
        </w:rPr>
        <w:t>amend to read:</w:t>
      </w:r>
    </w:p>
    <w:p w14:paraId="566AA261" w14:textId="7D485A2D" w:rsidR="001A27CA" w:rsidRPr="008955F5" w:rsidRDefault="009130FD" w:rsidP="00451160">
      <w:pPr>
        <w:pStyle w:val="SingleTxtG"/>
        <w:spacing w:before="120"/>
        <w:ind w:left="2268" w:hanging="1134"/>
        <w:rPr>
          <w:lang w:val="en-GB"/>
        </w:rPr>
      </w:pPr>
      <w:r w:rsidRPr="008955F5">
        <w:rPr>
          <w:lang w:val="en-GB"/>
        </w:rPr>
        <w:t>"4.5.1.</w:t>
      </w:r>
      <w:r w:rsidRPr="008955F5">
        <w:rPr>
          <w:lang w:val="en-GB"/>
        </w:rPr>
        <w:tab/>
        <w:t xml:space="preserve">Fit the test tyres on rims as per </w:t>
      </w:r>
      <w:bookmarkStart w:id="22" w:name="_Hlk148357888"/>
      <w:r w:rsidRPr="008955F5">
        <w:rPr>
          <w:lang w:val="en-GB"/>
        </w:rPr>
        <w:t>ISO 4209-1</w:t>
      </w:r>
      <w:r w:rsidRPr="008955F5">
        <w:rPr>
          <w:b/>
          <w:bCs/>
          <w:lang w:val="en-GB"/>
        </w:rPr>
        <w:t>:2001</w:t>
      </w:r>
      <w:r w:rsidRPr="008955F5">
        <w:rPr>
          <w:lang w:val="en-GB"/>
        </w:rPr>
        <w:t xml:space="preserve"> </w:t>
      </w:r>
      <w:bookmarkEnd w:id="22"/>
      <w:r w:rsidRPr="008955F5">
        <w:rPr>
          <w:lang w:val="en-GB"/>
        </w:rPr>
        <w:t>using conventional mounting methods. Ensure proper bead seating by the use of a suitable lubricant. Excessive use of lubricant should be avoided to prevent slipping of the tyre on the wheel rim."</w:t>
      </w:r>
    </w:p>
    <w:p w14:paraId="4CC5AE5A" w14:textId="77777777" w:rsidR="00451160" w:rsidRDefault="00594070" w:rsidP="00594070">
      <w:pPr>
        <w:pStyle w:val="SingleTxtG"/>
        <w:spacing w:before="120"/>
        <w:ind w:left="2268" w:hanging="1134"/>
        <w:rPr>
          <w:i/>
          <w:iCs/>
          <w:lang w:val="en-GB"/>
        </w:rPr>
      </w:pPr>
      <w:r w:rsidRPr="008955F5">
        <w:rPr>
          <w:i/>
          <w:iCs/>
          <w:lang w:val="en-GB"/>
        </w:rPr>
        <w:t xml:space="preserve">Annex 8, </w:t>
      </w:r>
    </w:p>
    <w:p w14:paraId="0A8E5874" w14:textId="5BB869F4" w:rsidR="00594070" w:rsidRPr="008955F5" w:rsidRDefault="00594070" w:rsidP="00594070">
      <w:pPr>
        <w:pStyle w:val="SingleTxtG"/>
        <w:spacing w:before="120"/>
        <w:ind w:left="2268" w:hanging="1134"/>
        <w:rPr>
          <w:lang w:val="en-GB"/>
        </w:rPr>
      </w:pPr>
      <w:r w:rsidRPr="008955F5">
        <w:rPr>
          <w:i/>
          <w:iCs/>
          <w:lang w:val="en-GB"/>
        </w:rPr>
        <w:t xml:space="preserve">Paragraph 2.1.3.1., </w:t>
      </w:r>
      <w:r w:rsidRPr="008955F5">
        <w:rPr>
          <w:lang w:val="en-GB"/>
        </w:rPr>
        <w:t>amend to read:</w:t>
      </w:r>
    </w:p>
    <w:p w14:paraId="11E40CF2" w14:textId="77777777" w:rsidR="00594070" w:rsidRPr="008955F5" w:rsidRDefault="00594070" w:rsidP="00594070">
      <w:pPr>
        <w:pStyle w:val="SingleTxtG"/>
        <w:ind w:left="2268" w:hanging="1134"/>
        <w:rPr>
          <w:lang w:val="en-GB"/>
        </w:rPr>
      </w:pPr>
      <w:r w:rsidRPr="008955F5">
        <w:rPr>
          <w:lang w:val="en-GB"/>
        </w:rPr>
        <w:t>"2.1.3.1.         Standard Reference Test Tyre</w:t>
      </w:r>
    </w:p>
    <w:p w14:paraId="74D1593B" w14:textId="5FF00065" w:rsidR="00594070" w:rsidRPr="008955F5" w:rsidRDefault="00594070" w:rsidP="00594070">
      <w:pPr>
        <w:pStyle w:val="SingleTxtG"/>
        <w:ind w:left="2268" w:hanging="1134"/>
        <w:rPr>
          <w:lang w:val="en-GB"/>
        </w:rPr>
      </w:pPr>
      <w:r w:rsidRPr="008955F5">
        <w:rPr>
          <w:lang w:val="en-GB"/>
        </w:rPr>
        <w:t xml:space="preserve">                       For the evaluation of the ice performance of class C1 tyres, the Standard Reference Test Tyre SRTT16 shall be used. The reference tyre shall not be older than 30 months starting from the production week and shall be stored in accordance with ASTM F2493 – </w:t>
      </w:r>
      <w:r w:rsidR="008955F5" w:rsidRPr="00AF51D3">
        <w:rPr>
          <w:strike/>
          <w:lang w:val="en-US"/>
        </w:rPr>
        <w:t>20</w:t>
      </w:r>
      <w:r w:rsidR="008955F5" w:rsidRPr="00AF51D3">
        <w:rPr>
          <w:b/>
          <w:bCs/>
          <w:lang w:val="en-US"/>
        </w:rPr>
        <w:t>23</w:t>
      </w:r>
      <w:r w:rsidRPr="008955F5">
        <w:rPr>
          <w:lang w:val="en-GB"/>
        </w:rPr>
        <w:t>."</w:t>
      </w:r>
    </w:p>
    <w:p w14:paraId="53E43788" w14:textId="75751C1E" w:rsidR="001A27CA" w:rsidRPr="008955F5" w:rsidRDefault="001A27CA" w:rsidP="001A27CA">
      <w:pPr>
        <w:pStyle w:val="SingleTxtG"/>
        <w:spacing w:before="120"/>
        <w:ind w:left="2268" w:hanging="1134"/>
        <w:rPr>
          <w:lang w:val="en-GB"/>
        </w:rPr>
      </w:pPr>
      <w:r w:rsidRPr="008955F5">
        <w:rPr>
          <w:i/>
          <w:iCs/>
          <w:lang w:val="en-GB"/>
        </w:rPr>
        <w:t xml:space="preserve">Paragraph 2.1.3.2.1., </w:t>
      </w:r>
      <w:r w:rsidRPr="008955F5">
        <w:rPr>
          <w:lang w:val="en-GB"/>
        </w:rPr>
        <w:t>amend to read:</w:t>
      </w:r>
    </w:p>
    <w:p w14:paraId="4AB1A9AB" w14:textId="13CDE533" w:rsidR="001A27CA" w:rsidRPr="008955F5" w:rsidRDefault="001A27CA" w:rsidP="00451160">
      <w:pPr>
        <w:pStyle w:val="SingleTxtG"/>
        <w:spacing w:before="120"/>
        <w:ind w:left="2268" w:hanging="1134"/>
        <w:rPr>
          <w:bCs/>
          <w:lang w:val="en-GB"/>
        </w:rPr>
      </w:pPr>
      <w:r w:rsidRPr="008955F5">
        <w:rPr>
          <w:lang w:val="en-GB"/>
        </w:rPr>
        <w:t>"</w:t>
      </w:r>
      <w:r w:rsidRPr="008955F5">
        <w:rPr>
          <w:bCs/>
          <w:lang w:val="en-GB"/>
        </w:rPr>
        <w:t>2.1.3.2.1.</w:t>
      </w:r>
      <w:r w:rsidRPr="008955F5">
        <w:rPr>
          <w:bCs/>
          <w:lang w:val="en-GB"/>
        </w:rPr>
        <w:tab/>
      </w:r>
      <w:r w:rsidRPr="008955F5">
        <w:rPr>
          <w:bCs/>
          <w:lang w:val="en-GB"/>
        </w:rPr>
        <w:tab/>
        <w:t>Fit each test tyres on an approved rim pursuant to ISO 4000-1</w:t>
      </w:r>
      <w:r w:rsidRPr="008955F5">
        <w:rPr>
          <w:b/>
          <w:lang w:val="en-GB"/>
        </w:rPr>
        <w:t>:2021</w:t>
      </w:r>
      <w:r w:rsidRPr="008955F5">
        <w:rPr>
          <w:bCs/>
          <w:lang w:val="en-GB"/>
        </w:rPr>
        <w:t xml:space="preserve"> using conventional mounting methods. Subject to the foregoing, the rim width code shall not differ more than 0.5 from the measuring rim. If a commercialized rim is not available for the test vehicle, it will be acceptable to use a rim whose rim width code differs by 1.0 from the measuring rim width code. Ensure proper bead seating by the use of a suitable lubricant. Excessive use of lubricant should be avoided to prevent slipping of the tyre on the wheel rim."</w:t>
      </w:r>
    </w:p>
    <w:p w14:paraId="5B5E173D" w14:textId="77777777" w:rsidR="00EF32B0" w:rsidRPr="008955F5" w:rsidRDefault="00EF32B0" w:rsidP="00EF32B0">
      <w:pPr>
        <w:keepNext/>
        <w:keepLines/>
        <w:tabs>
          <w:tab w:val="right" w:pos="851"/>
        </w:tabs>
        <w:spacing w:before="360" w:after="240" w:line="300" w:lineRule="exact"/>
        <w:ind w:left="360" w:right="1134"/>
        <w:rPr>
          <w:b/>
          <w:bCs/>
          <w:sz w:val="28"/>
          <w:szCs w:val="28"/>
          <w:lang w:val="en-GB"/>
        </w:rPr>
      </w:pPr>
      <w:r w:rsidRPr="008955F5">
        <w:rPr>
          <w:b/>
          <w:bCs/>
          <w:sz w:val="28"/>
          <w:szCs w:val="28"/>
          <w:lang w:val="en-GB"/>
        </w:rPr>
        <w:tab/>
        <w:t>II.</w:t>
      </w:r>
      <w:r w:rsidRPr="008955F5">
        <w:rPr>
          <w:b/>
          <w:bCs/>
          <w:sz w:val="28"/>
          <w:szCs w:val="28"/>
          <w:lang w:val="en-GB"/>
        </w:rPr>
        <w:tab/>
        <w:t>Justification</w:t>
      </w:r>
    </w:p>
    <w:p w14:paraId="43AE7133" w14:textId="77777777" w:rsidR="00EF32B0" w:rsidRPr="008955F5" w:rsidRDefault="00EF32B0" w:rsidP="00451160">
      <w:pPr>
        <w:pStyle w:val="ListParagraph"/>
        <w:numPr>
          <w:ilvl w:val="0"/>
          <w:numId w:val="14"/>
        </w:numPr>
        <w:spacing w:after="120"/>
        <w:ind w:left="1134" w:right="1134" w:firstLine="0"/>
        <w:jc w:val="both"/>
      </w:pPr>
      <w:r w:rsidRPr="008955F5">
        <w:rPr>
          <w:lang w:eastAsia="ja-JP"/>
        </w:rPr>
        <w:t xml:space="preserve">The title of paragraph 6 is changed to </w:t>
      </w:r>
      <w:r w:rsidRPr="008955F5">
        <w:rPr>
          <w:i/>
          <w:iCs/>
          <w:lang w:eastAsia="ja-JP"/>
        </w:rPr>
        <w:t>Requirements</w:t>
      </w:r>
      <w:r w:rsidRPr="008955F5">
        <w:rPr>
          <w:lang w:eastAsia="ja-JP"/>
        </w:rPr>
        <w:t>, more in line with its content and with UN Regulations No. 30, 75 and 106.</w:t>
      </w:r>
    </w:p>
    <w:p w14:paraId="16399CE7" w14:textId="556494EC" w:rsidR="00EF32B0" w:rsidRPr="008955F5" w:rsidRDefault="00EF32B0" w:rsidP="00451160">
      <w:pPr>
        <w:pStyle w:val="ListParagraph"/>
        <w:numPr>
          <w:ilvl w:val="0"/>
          <w:numId w:val="14"/>
        </w:numPr>
        <w:spacing w:after="120"/>
        <w:ind w:left="1134" w:right="1134" w:firstLine="0"/>
        <w:jc w:val="both"/>
      </w:pPr>
      <w:r w:rsidRPr="008955F5">
        <w:rPr>
          <w:lang w:eastAsia="ja-JP"/>
        </w:rPr>
        <w:t xml:space="preserve">In the </w:t>
      </w:r>
      <w:r w:rsidR="00701B5A" w:rsidRPr="00701B5A">
        <w:rPr>
          <w:i/>
          <w:iCs/>
          <w:lang w:eastAsia="ja-JP"/>
        </w:rPr>
        <w:t xml:space="preserve">Table of </w:t>
      </w:r>
      <w:r w:rsidRPr="00701B5A">
        <w:rPr>
          <w:i/>
          <w:iCs/>
          <w:lang w:eastAsia="ja-JP"/>
        </w:rPr>
        <w:t>Contents</w:t>
      </w:r>
      <w:r w:rsidRPr="008955F5">
        <w:rPr>
          <w:lang w:eastAsia="ja-JP"/>
        </w:rPr>
        <w:t xml:space="preserve">, item 7 is now aligned to the title </w:t>
      </w:r>
      <w:r w:rsidR="006D39A5">
        <w:rPr>
          <w:lang w:eastAsia="ja-JP"/>
        </w:rPr>
        <w:t>o</w:t>
      </w:r>
      <w:r w:rsidRPr="008955F5">
        <w:rPr>
          <w:lang w:eastAsia="ja-JP"/>
        </w:rPr>
        <w:t xml:space="preserve">f </w:t>
      </w:r>
      <w:r w:rsidR="00202CFC">
        <w:rPr>
          <w:lang w:eastAsia="ja-JP"/>
        </w:rPr>
        <w:t>p</w:t>
      </w:r>
      <w:r w:rsidRPr="008955F5">
        <w:rPr>
          <w:lang w:eastAsia="ja-JP"/>
        </w:rPr>
        <w:t>aragraph 7.</w:t>
      </w:r>
    </w:p>
    <w:p w14:paraId="3B45088F" w14:textId="77777777" w:rsidR="00EF32B0" w:rsidRPr="008955F5" w:rsidRDefault="00EF32B0" w:rsidP="00451160">
      <w:pPr>
        <w:pStyle w:val="ListParagraph"/>
        <w:numPr>
          <w:ilvl w:val="0"/>
          <w:numId w:val="14"/>
        </w:numPr>
        <w:spacing w:after="120"/>
        <w:ind w:left="1134" w:right="1134" w:firstLine="0"/>
        <w:jc w:val="both"/>
      </w:pPr>
      <w:r w:rsidRPr="008955F5">
        <w:rPr>
          <w:lang w:eastAsia="ja-JP"/>
        </w:rPr>
        <w:t xml:space="preserve">As already done for UN Regulation No. 164, in paragraph 1, the reference to the </w:t>
      </w:r>
      <w:r w:rsidRPr="008955F5">
        <w:t>Consolidated Resolution on the Construction of Vehicles (R.E.3) is simplified to avoid the need of continuous update with new revisions.</w:t>
      </w:r>
    </w:p>
    <w:p w14:paraId="62662A18" w14:textId="77777777" w:rsidR="00EF32B0" w:rsidRPr="008955F5" w:rsidRDefault="00EF32B0" w:rsidP="00451160">
      <w:pPr>
        <w:pStyle w:val="ListParagraph"/>
        <w:numPr>
          <w:ilvl w:val="0"/>
          <w:numId w:val="14"/>
        </w:numPr>
        <w:suppressAutoHyphens w:val="0"/>
        <w:spacing w:after="120"/>
        <w:ind w:left="1134" w:right="1134" w:firstLine="0"/>
        <w:jc w:val="both"/>
      </w:pPr>
      <w:r w:rsidRPr="008955F5">
        <w:t>The reference to ISO standards is updated in many paragraphs.</w:t>
      </w:r>
    </w:p>
    <w:p w14:paraId="0469B3E3" w14:textId="28847EA2" w:rsidR="00EF32B0" w:rsidRPr="008955F5" w:rsidRDefault="00EF32B0" w:rsidP="00451160">
      <w:pPr>
        <w:pStyle w:val="ListParagraph"/>
        <w:numPr>
          <w:ilvl w:val="0"/>
          <w:numId w:val="14"/>
        </w:numPr>
        <w:suppressAutoHyphens w:val="0"/>
        <w:spacing w:after="120"/>
        <w:ind w:left="1134" w:right="1134" w:firstLine="0"/>
        <w:jc w:val="both"/>
      </w:pPr>
      <w:r w:rsidRPr="008955F5">
        <w:t xml:space="preserve">Editorial corrections </w:t>
      </w:r>
      <w:r w:rsidR="00491F21">
        <w:t xml:space="preserve">are introduced </w:t>
      </w:r>
      <w:r w:rsidRPr="008955F5">
        <w:t xml:space="preserve">to align the wording of measurement units in line with the Guidelines for the preparation and submission of documents to </w:t>
      </w:r>
      <w:r w:rsidR="00E10700">
        <w:t xml:space="preserve">the </w:t>
      </w:r>
      <w:r w:rsidR="00E10700" w:rsidRPr="00E10700">
        <w:t xml:space="preserve">World Forum for Harmonization of Vehicle Regulations </w:t>
      </w:r>
      <w:r w:rsidR="00E10700">
        <w:t>(</w:t>
      </w:r>
      <w:r w:rsidRPr="008955F5">
        <w:t>WP.29</w:t>
      </w:r>
      <w:r w:rsidR="00E10700">
        <w:t>)</w:t>
      </w:r>
      <w:r w:rsidRPr="008955F5">
        <w:t xml:space="preserve"> and to its subsidiary bodies.</w:t>
      </w:r>
    </w:p>
    <w:p w14:paraId="6626C4C8" w14:textId="77777777" w:rsidR="00EF32B0" w:rsidRPr="008955F5" w:rsidRDefault="00EF32B0" w:rsidP="00451160">
      <w:pPr>
        <w:pStyle w:val="ListParagraph"/>
        <w:numPr>
          <w:ilvl w:val="0"/>
          <w:numId w:val="14"/>
        </w:numPr>
        <w:suppressAutoHyphens w:val="0"/>
        <w:spacing w:after="120"/>
        <w:ind w:left="1134" w:right="1134" w:firstLine="0"/>
        <w:jc w:val="both"/>
      </w:pPr>
      <w:r w:rsidRPr="008955F5">
        <w:t xml:space="preserve">The </w:t>
      </w:r>
      <w:r w:rsidRPr="008955F5">
        <w:rPr>
          <w:i/>
          <w:iCs/>
        </w:rPr>
        <w:t>snow tyre</w:t>
      </w:r>
      <w:r w:rsidRPr="008955F5">
        <w:t xml:space="preserve"> definition is now aligned to the one in UN Regulations No. 54 and 75.</w:t>
      </w:r>
    </w:p>
    <w:p w14:paraId="78582B22" w14:textId="4281F9A4" w:rsidR="00EF32B0" w:rsidRPr="008955F5" w:rsidRDefault="00EF32B0" w:rsidP="00451160">
      <w:pPr>
        <w:pStyle w:val="ListParagraph"/>
        <w:numPr>
          <w:ilvl w:val="0"/>
          <w:numId w:val="14"/>
        </w:numPr>
        <w:suppressAutoHyphens w:val="0"/>
        <w:spacing w:after="120"/>
        <w:ind w:left="1134" w:right="1134" w:firstLine="0"/>
        <w:jc w:val="both"/>
      </w:pPr>
      <w:r w:rsidRPr="008955F5">
        <w:t>The updated reference to AST</w:t>
      </w:r>
      <w:r w:rsidR="00612C3F" w:rsidRPr="008955F5">
        <w:t>M</w:t>
      </w:r>
      <w:r w:rsidRPr="008955F5">
        <w:t xml:space="preserve"> standards is provided in paragraph 2.18.</w:t>
      </w:r>
    </w:p>
    <w:p w14:paraId="3BEE1B76" w14:textId="2B50B1A9" w:rsidR="0030596E" w:rsidRPr="008955F5" w:rsidRDefault="006D64DE" w:rsidP="00A233EF">
      <w:pPr>
        <w:pStyle w:val="ListParagraph"/>
        <w:numPr>
          <w:ilvl w:val="0"/>
          <w:numId w:val="14"/>
        </w:numPr>
        <w:suppressAutoHyphens w:val="0"/>
        <w:spacing w:after="120"/>
        <w:ind w:left="1134" w:right="1134" w:firstLine="0"/>
        <w:jc w:val="both"/>
      </w:pPr>
      <w:r w:rsidRPr="008955F5">
        <w:lastRenderedPageBreak/>
        <w:t xml:space="preserve">In line with the amendment adopted </w:t>
      </w:r>
      <w:r w:rsidR="003431EB">
        <w:t xml:space="preserve">at the seventy-eighth </w:t>
      </w:r>
      <w:r w:rsidRPr="008955F5">
        <w:t xml:space="preserve">session </w:t>
      </w:r>
      <w:r w:rsidR="003431EB">
        <w:t xml:space="preserve">of the </w:t>
      </w:r>
      <w:r w:rsidR="003431EB" w:rsidRPr="003431EB">
        <w:t>Working Party on Noise and Tyres</w:t>
      </w:r>
      <w:r w:rsidR="003431EB">
        <w:t xml:space="preserve"> (GRBP) </w:t>
      </w:r>
      <w:r w:rsidRPr="008955F5">
        <w:t xml:space="preserve">for Supplement 2 to the 04 </w:t>
      </w:r>
      <w:r w:rsidR="003431EB">
        <w:t>s</w:t>
      </w:r>
      <w:r w:rsidRPr="008955F5">
        <w:t xml:space="preserve">eries of </w:t>
      </w:r>
      <w:r w:rsidR="003431EB">
        <w:t>a</w:t>
      </w:r>
      <w:r w:rsidRPr="008955F5">
        <w:t>mendments to UN Regulation No. 117 (</w:t>
      </w:r>
      <w:r w:rsidR="00F1378C">
        <w:t xml:space="preserve">informal document </w:t>
      </w:r>
      <w:r w:rsidRPr="008955F5">
        <w:t xml:space="preserve">GRBP-78-05 replacing </w:t>
      </w:r>
      <w:r w:rsidR="00F1378C">
        <w:t>ECE/TRANS/WP.29/</w:t>
      </w:r>
      <w:r w:rsidRPr="008955F5">
        <w:t xml:space="preserve">GRBP/2023/19), we propose to introduce </w:t>
      </w:r>
      <w:r w:rsidR="00F1378C">
        <w:t xml:space="preserve">a </w:t>
      </w:r>
      <w:r w:rsidRPr="008955F5">
        <w:t>new temperature correction formula for the rolling sound emissions of tyres of classes C1 and C2</w:t>
      </w:r>
      <w:r w:rsidR="00C91B5F">
        <w:t xml:space="preserve"> and </w:t>
      </w:r>
      <w:r w:rsidRPr="008955F5">
        <w:t>to remove the content of the now obsolete Annex 4 as well as all its references.</w:t>
      </w:r>
      <w:r w:rsidR="00A22019" w:rsidRPr="008955F5">
        <w:tab/>
      </w:r>
      <w:r w:rsidR="00F9603A" w:rsidRPr="008955F5">
        <w:tab/>
      </w:r>
    </w:p>
    <w:p w14:paraId="3AABACE1" w14:textId="1F7AAE22" w:rsidR="00B11277" w:rsidRPr="008955F5" w:rsidRDefault="003A7CF1" w:rsidP="003A7CF1">
      <w:pPr>
        <w:spacing w:before="240"/>
        <w:jc w:val="center"/>
        <w:rPr>
          <w:u w:val="single"/>
          <w:lang w:val="en-GB"/>
        </w:rPr>
      </w:pPr>
      <w:r w:rsidRPr="008955F5">
        <w:rPr>
          <w:u w:val="single"/>
          <w:lang w:val="en-GB"/>
        </w:rPr>
        <w:tab/>
      </w:r>
      <w:r w:rsidRPr="008955F5">
        <w:rPr>
          <w:u w:val="single"/>
          <w:lang w:val="en-GB"/>
        </w:rPr>
        <w:tab/>
      </w:r>
      <w:r w:rsidRPr="008955F5">
        <w:rPr>
          <w:u w:val="single"/>
          <w:lang w:val="en-GB"/>
        </w:rPr>
        <w:tab/>
      </w:r>
    </w:p>
    <w:sectPr w:rsidR="00B11277" w:rsidRPr="008955F5" w:rsidSect="000C3659">
      <w:headerReference w:type="first" r:id="rId22"/>
      <w:footerReference w:type="first" r:id="rId23"/>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FD1C" w14:textId="77777777" w:rsidR="00674C69" w:rsidRDefault="00674C69"/>
  </w:endnote>
  <w:endnote w:type="continuationSeparator" w:id="0">
    <w:p w14:paraId="2D6148CF" w14:textId="77777777" w:rsidR="00674C69" w:rsidRDefault="00674C69"/>
  </w:endnote>
  <w:endnote w:type="continuationNotice" w:id="1">
    <w:p w14:paraId="293475B6" w14:textId="77777777" w:rsidR="00674C69" w:rsidRDefault="00674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1360" w14:textId="77777777" w:rsidR="00127D55" w:rsidRDefault="00127D55">
    <w:pPr>
      <w:pStyle w:val="Footer"/>
    </w:pPr>
    <w:r>
      <w:rPr>
        <w:rStyle w:val="PageNumber"/>
      </w:rPr>
      <w:fldChar w:fldCharType="begin"/>
    </w:r>
    <w:r>
      <w:rPr>
        <w:rStyle w:val="PageNumber"/>
      </w:rPr>
      <w:instrText xml:space="preserve"> PAGE </w:instrText>
    </w:r>
    <w:r>
      <w:rPr>
        <w:rStyle w:val="PageNumber"/>
      </w:rPr>
      <w:fldChar w:fldCharType="separate"/>
    </w:r>
    <w:r w:rsidR="00B37514">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B06" w14:textId="77777777" w:rsidR="00127D55" w:rsidRDefault="00127D55" w:rsidP="00E03A64">
    <w:pPr>
      <w:pStyle w:val="Footer"/>
      <w:jc w:val="right"/>
    </w:pPr>
    <w:r>
      <w:rPr>
        <w:rStyle w:val="PageNumber"/>
      </w:rPr>
      <w:fldChar w:fldCharType="begin"/>
    </w:r>
    <w:r>
      <w:rPr>
        <w:rStyle w:val="PageNumber"/>
      </w:rPr>
      <w:instrText xml:space="preserve"> PAGE </w:instrText>
    </w:r>
    <w:r>
      <w:rPr>
        <w:rStyle w:val="PageNumber"/>
      </w:rPr>
      <w:fldChar w:fldCharType="separate"/>
    </w:r>
    <w:r w:rsidR="00B37514">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0FAE" w14:textId="6DAC4B18" w:rsidR="003563BC" w:rsidRDefault="003563BC" w:rsidP="003563BC">
    <w:pPr>
      <w:pStyle w:val="Footer"/>
    </w:pPr>
    <w:r w:rsidRPr="0027112F">
      <w:rPr>
        <w:noProof/>
        <w:lang w:val="en-US"/>
      </w:rPr>
      <w:drawing>
        <wp:anchor distT="0" distB="0" distL="114300" distR="114300" simplePos="0" relativeHeight="251659264" behindDoc="0" locked="1" layoutInCell="1" allowOverlap="1" wp14:anchorId="47F53A0C" wp14:editId="25C0BA00">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5C9C14C" w14:textId="7718B7A6" w:rsidR="003563BC" w:rsidRPr="003563BC" w:rsidRDefault="003563BC" w:rsidP="003563BC">
    <w:pPr>
      <w:spacing w:line="240" w:lineRule="auto"/>
      <w:ind w:right="1134"/>
    </w:pPr>
    <w:r>
      <w:t>GE.23-22765(E)</w:t>
    </w:r>
    <w:r>
      <w:rPr>
        <w:noProof/>
      </w:rPr>
      <w:drawing>
        <wp:anchor distT="0" distB="0" distL="114300" distR="114300" simplePos="0" relativeHeight="251660288" behindDoc="0" locked="0" layoutInCell="1" allowOverlap="1" wp14:anchorId="0F80728E" wp14:editId="7C043915">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51CE" w14:textId="77777777"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E391" w14:textId="77777777" w:rsidR="00674C69" w:rsidRPr="00D27D5E" w:rsidRDefault="00674C69" w:rsidP="00D27D5E">
      <w:pPr>
        <w:tabs>
          <w:tab w:val="right" w:pos="2155"/>
        </w:tabs>
        <w:spacing w:after="80"/>
        <w:ind w:left="680"/>
        <w:rPr>
          <w:u w:val="single"/>
        </w:rPr>
      </w:pPr>
      <w:r>
        <w:rPr>
          <w:u w:val="single"/>
        </w:rPr>
        <w:tab/>
      </w:r>
    </w:p>
  </w:footnote>
  <w:footnote w:type="continuationSeparator" w:id="0">
    <w:p w14:paraId="752D2BC3" w14:textId="77777777" w:rsidR="00674C69" w:rsidRDefault="00674C69">
      <w:r>
        <w:rPr>
          <w:u w:val="single"/>
        </w:rPr>
        <w:tab/>
      </w:r>
      <w:r>
        <w:rPr>
          <w:u w:val="single"/>
        </w:rPr>
        <w:tab/>
      </w:r>
      <w:r>
        <w:rPr>
          <w:u w:val="single"/>
        </w:rPr>
        <w:tab/>
      </w:r>
      <w:r>
        <w:rPr>
          <w:u w:val="single"/>
        </w:rPr>
        <w:tab/>
      </w:r>
    </w:p>
  </w:footnote>
  <w:footnote w:type="continuationNotice" w:id="1">
    <w:p w14:paraId="2B6A42C9" w14:textId="77777777" w:rsidR="00674C69" w:rsidRDefault="00674C69"/>
  </w:footnote>
  <w:footnote w:id="2">
    <w:p w14:paraId="3D2E18DA" w14:textId="23D333A2" w:rsidR="00E01A8C" w:rsidRPr="00EA370C" w:rsidRDefault="00E01A8C" w:rsidP="00E01A8C">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programme of work of the Inland Transport Committee for </w:t>
      </w:r>
      <w:r w:rsidRPr="00CC0197">
        <w:rPr>
          <w:lang w:val="en-US"/>
        </w:rPr>
        <w:t xml:space="preserve">2023 as outlined in proposed programme budget for </w:t>
      </w:r>
      <w:r w:rsidRPr="005936E3">
        <w:rPr>
          <w:szCs w:val="18"/>
          <w:lang w:val="en-US"/>
        </w:rPr>
        <w:t>202</w:t>
      </w:r>
      <w:r w:rsidR="00AF51D3">
        <w:rPr>
          <w:szCs w:val="18"/>
          <w:lang w:val="en-US"/>
        </w:rPr>
        <w:t>4</w:t>
      </w:r>
      <w:r w:rsidR="001B6CFD">
        <w:rPr>
          <w:szCs w:val="18"/>
          <w:lang w:val="en-US"/>
        </w:rPr>
        <w:t xml:space="preserve"> </w:t>
      </w:r>
      <w:r w:rsidR="001B6CFD" w:rsidRPr="001B6CFD">
        <w:rPr>
          <w:szCs w:val="18"/>
          <w:lang w:val="en-US"/>
        </w:rPr>
        <w:t>(A/78/6 (Sect. 20), table 20.5)</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3DA9953F" w14:textId="77777777" w:rsidR="00DF4B70" w:rsidRPr="00762CAB" w:rsidRDefault="00DF4B70" w:rsidP="00FE1A1B">
      <w:pPr>
        <w:pStyle w:val="FootnoteText"/>
        <w:widowControl w:val="0"/>
        <w:tabs>
          <w:tab w:val="clear" w:pos="1021"/>
          <w:tab w:val="right" w:pos="1020"/>
        </w:tabs>
        <w:rPr>
          <w:strike/>
          <w:lang w:val="en-US"/>
        </w:rPr>
      </w:pPr>
      <w:r w:rsidRPr="00AF51D3">
        <w:rPr>
          <w:lang w:val="en-US"/>
        </w:rPr>
        <w:tab/>
      </w:r>
      <w:r w:rsidRPr="00762CAB">
        <w:rPr>
          <w:rStyle w:val="FootnoteReference"/>
          <w:strike/>
        </w:rPr>
        <w:footnoteRef/>
      </w:r>
      <w:r w:rsidRPr="00780258">
        <w:rPr>
          <w:strike/>
          <w:lang w:val="en-US"/>
        </w:rPr>
        <w:tab/>
        <w:t>The specifications for the test site reproduced in this annex are valid until the end of the period indicated in paragraph 12.8. of this Regulation.</w:t>
      </w:r>
    </w:p>
  </w:footnote>
  <w:footnote w:id="4">
    <w:p w14:paraId="2DCF619D" w14:textId="77777777" w:rsidR="00DF4B70" w:rsidRPr="0088753D" w:rsidRDefault="00DF4B70" w:rsidP="00FE1A1B">
      <w:pPr>
        <w:pStyle w:val="FootnoteText"/>
        <w:rPr>
          <w:lang w:val="en-US"/>
        </w:rPr>
      </w:pPr>
      <w:r w:rsidRPr="00780258">
        <w:rPr>
          <w:strike/>
          <w:lang w:val="en-US"/>
        </w:rPr>
        <w:tab/>
      </w:r>
      <w:r w:rsidRPr="00762CAB">
        <w:rPr>
          <w:rStyle w:val="FootnoteReference"/>
          <w:strike/>
        </w:rPr>
        <w:footnoteRef/>
      </w:r>
      <w:r w:rsidRPr="00762CAB">
        <w:rPr>
          <w:strike/>
        </w:rPr>
        <w:tab/>
      </w:r>
      <w:r w:rsidRPr="00762CAB">
        <w:rPr>
          <w:strike/>
          <w:lang w:val="en-US"/>
        </w:rPr>
        <w:t>ISO 10844:2014.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A96A" w14:textId="33D9CBA7" w:rsidR="00127D55" w:rsidRPr="00A11304" w:rsidRDefault="00A11304" w:rsidP="00A11304">
    <w:pPr>
      <w:pStyle w:val="Header"/>
      <w:rPr>
        <w:color w:val="FF0000"/>
        <w:u w:val="single"/>
        <w:lang w:val="en-US"/>
      </w:rPr>
    </w:pPr>
    <w:r w:rsidRPr="00BB1F39">
      <w:rPr>
        <w:lang w:val="en-US"/>
      </w:rPr>
      <w:t>ECE/TRANS/WP.29</w:t>
    </w:r>
    <w:r>
      <w:rPr>
        <w:lang w:val="en-US"/>
      </w:rPr>
      <w:t>/GRBP/2024/</w:t>
    </w:r>
    <w:r w:rsidR="00C34441">
      <w:rPr>
        <w:lang w:val="en-U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337D" w14:textId="07E4B333" w:rsidR="00127D55" w:rsidRPr="00A11304" w:rsidRDefault="00A11304" w:rsidP="00A11304">
    <w:pPr>
      <w:pStyle w:val="Header"/>
      <w:jc w:val="right"/>
      <w:rPr>
        <w:color w:val="FF0000"/>
        <w:u w:val="single"/>
        <w:lang w:val="en-US"/>
      </w:rPr>
    </w:pPr>
    <w:r w:rsidRPr="00BB1F39">
      <w:rPr>
        <w:lang w:val="en-US"/>
      </w:rPr>
      <w:t>ECE/TRANS/WP.29</w:t>
    </w:r>
    <w:r>
      <w:rPr>
        <w:lang w:val="en-US"/>
      </w:rPr>
      <w:t>/GRBP/2024/</w:t>
    </w:r>
    <w:r w:rsidR="00C34441">
      <w:rPr>
        <w:lang w:val="en-U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9F48" w14:textId="77777777" w:rsidR="00127D55" w:rsidRPr="00BB1F39" w:rsidRDefault="00127D55" w:rsidP="00FE243B">
    <w:pPr>
      <w:pStyle w:val="Header"/>
      <w:pBdr>
        <w:bottom w:val="none" w:sz="0" w:space="0" w:color="auto"/>
      </w:pBdr>
      <w:rPr>
        <w:color w:val="FFFFFF"/>
        <w:u w:val="single"/>
        <w:lang w:val="en-US"/>
      </w:rPr>
    </w:pPr>
    <w:r w:rsidRPr="00BB1F39">
      <w:rPr>
        <w:color w:val="FFFFFF"/>
        <w:lang w:val="en-US"/>
      </w:rPr>
      <w:t xml:space="preserve">ECE/TRANS/WP.29/2012/xx </w:t>
    </w:r>
    <w:r w:rsidRPr="00BB1F39">
      <w:rPr>
        <w:color w:val="FFFFFF"/>
        <w:u w:val="single"/>
        <w:lang w:val="en-US"/>
      </w:rPr>
      <w:t>(Header.6_G)</w:t>
    </w:r>
  </w:p>
  <w:p w14:paraId="2EEF4EDF" w14:textId="77777777" w:rsidR="00127D55" w:rsidRPr="00E63627" w:rsidRDefault="00127D55" w:rsidP="00E63627">
    <w:pPr>
      <w:pStyle w:val="Header"/>
      <w:pBdr>
        <w:bottom w:val="none" w:sz="0" w:space="0" w:color="auto"/>
      </w:pBdr>
      <w:rPr>
        <w:b w:val="0"/>
        <w:bCs/>
        <w:shd w:val="pct15" w:color="auto" w:fill="FFFFFF"/>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1911" w14:textId="218F4A96" w:rsidR="00127D55" w:rsidRPr="00BB1F39" w:rsidRDefault="00127D55" w:rsidP="006A187B">
    <w:pPr>
      <w:pStyle w:val="Header"/>
      <w:rPr>
        <w:color w:val="FF0000"/>
        <w:u w:val="single"/>
        <w:lang w:val="en-US"/>
      </w:rPr>
    </w:pPr>
    <w:r w:rsidRPr="00BB1F39">
      <w:rPr>
        <w:lang w:val="en-US"/>
      </w:rPr>
      <w:t>ECE/TRANS/WP.29</w:t>
    </w:r>
    <w:r w:rsidR="006A187B">
      <w:rPr>
        <w:lang w:val="en-US"/>
      </w:rPr>
      <w:t>/GRBP/202</w:t>
    </w:r>
    <w:r w:rsidR="00B06876">
      <w:rPr>
        <w:lang w:val="en-US"/>
      </w:rPr>
      <w:t>4</w:t>
    </w:r>
    <w:r w:rsidR="006A187B">
      <w:rPr>
        <w:lang w:val="en-US"/>
      </w:rPr>
      <w:t>/</w:t>
    </w:r>
    <w:r w:rsidR="00C34441">
      <w:rPr>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61E"/>
    <w:multiLevelType w:val="hybridMultilevel"/>
    <w:tmpl w:val="3BB4B6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3EB7BB3"/>
    <w:multiLevelType w:val="hybridMultilevel"/>
    <w:tmpl w:val="FFAE61B4"/>
    <w:lvl w:ilvl="0" w:tplc="17D475F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 w15:restartNumberingAfterBreak="0">
    <w:nsid w:val="068E186E"/>
    <w:multiLevelType w:val="hybridMultilevel"/>
    <w:tmpl w:val="B42212B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3"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6"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7" w15:restartNumberingAfterBreak="0">
    <w:nsid w:val="55FC609B"/>
    <w:multiLevelType w:val="hybridMultilevel"/>
    <w:tmpl w:val="EE527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47825B7"/>
    <w:multiLevelType w:val="hybridMultilevel"/>
    <w:tmpl w:val="09600C62"/>
    <w:lvl w:ilvl="0" w:tplc="75BE75D6">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0" w15:restartNumberingAfterBreak="0">
    <w:nsid w:val="64F71D10"/>
    <w:multiLevelType w:val="hybridMultilevel"/>
    <w:tmpl w:val="6420AC7A"/>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1" w15:restartNumberingAfterBreak="0">
    <w:nsid w:val="67021628"/>
    <w:multiLevelType w:val="hybridMultilevel"/>
    <w:tmpl w:val="885CCA5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3" w15:restartNumberingAfterBreak="0">
    <w:nsid w:val="72433AE5"/>
    <w:multiLevelType w:val="hybridMultilevel"/>
    <w:tmpl w:val="6060B8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670372798">
    <w:abstractNumId w:val="12"/>
  </w:num>
  <w:num w:numId="2" w16cid:durableId="1712224024">
    <w:abstractNumId w:val="6"/>
  </w:num>
  <w:num w:numId="3" w16cid:durableId="330833877">
    <w:abstractNumId w:val="8"/>
  </w:num>
  <w:num w:numId="4" w16cid:durableId="856044574">
    <w:abstractNumId w:val="4"/>
  </w:num>
  <w:num w:numId="5" w16cid:durableId="1154417406">
    <w:abstractNumId w:val="3"/>
  </w:num>
  <w:num w:numId="6" w16cid:durableId="2102872827">
    <w:abstractNumId w:val="1"/>
  </w:num>
  <w:num w:numId="7" w16cid:durableId="1453984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9465428">
    <w:abstractNumId w:val="2"/>
  </w:num>
  <w:num w:numId="9" w16cid:durableId="466704081">
    <w:abstractNumId w:val="11"/>
  </w:num>
  <w:num w:numId="10" w16cid:durableId="1506047554">
    <w:abstractNumId w:val="7"/>
  </w:num>
  <w:num w:numId="11" w16cid:durableId="4091750">
    <w:abstractNumId w:val="13"/>
  </w:num>
  <w:num w:numId="12" w16cid:durableId="450979022">
    <w:abstractNumId w:val="0"/>
  </w:num>
  <w:num w:numId="13" w16cid:durableId="239406188">
    <w:abstractNumId w:val="5"/>
  </w:num>
  <w:num w:numId="14" w16cid:durableId="128368465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47D9"/>
    <w:rsid w:val="00004EBE"/>
    <w:rsid w:val="0000737A"/>
    <w:rsid w:val="0001397C"/>
    <w:rsid w:val="000168E8"/>
    <w:rsid w:val="00016AC5"/>
    <w:rsid w:val="000200F1"/>
    <w:rsid w:val="00020252"/>
    <w:rsid w:val="0002353C"/>
    <w:rsid w:val="000261C2"/>
    <w:rsid w:val="00030ADE"/>
    <w:rsid w:val="000312C0"/>
    <w:rsid w:val="00031CA3"/>
    <w:rsid w:val="00031EFC"/>
    <w:rsid w:val="00035F50"/>
    <w:rsid w:val="000403DA"/>
    <w:rsid w:val="000412E9"/>
    <w:rsid w:val="00042C26"/>
    <w:rsid w:val="00042F83"/>
    <w:rsid w:val="00053AD5"/>
    <w:rsid w:val="000571C0"/>
    <w:rsid w:val="00057396"/>
    <w:rsid w:val="00057B5D"/>
    <w:rsid w:val="0006268C"/>
    <w:rsid w:val="000676C2"/>
    <w:rsid w:val="00081703"/>
    <w:rsid w:val="0008393C"/>
    <w:rsid w:val="00083F5E"/>
    <w:rsid w:val="00093ECB"/>
    <w:rsid w:val="000A2D72"/>
    <w:rsid w:val="000A500E"/>
    <w:rsid w:val="000A59AC"/>
    <w:rsid w:val="000B422A"/>
    <w:rsid w:val="000C3659"/>
    <w:rsid w:val="000C7B5F"/>
    <w:rsid w:val="000D08FD"/>
    <w:rsid w:val="000D146E"/>
    <w:rsid w:val="000D6F61"/>
    <w:rsid w:val="000E099C"/>
    <w:rsid w:val="000E40FD"/>
    <w:rsid w:val="000E6010"/>
    <w:rsid w:val="000F2A46"/>
    <w:rsid w:val="000F3C75"/>
    <w:rsid w:val="000F41F2"/>
    <w:rsid w:val="000F5826"/>
    <w:rsid w:val="0010544E"/>
    <w:rsid w:val="0011306C"/>
    <w:rsid w:val="001138F1"/>
    <w:rsid w:val="0011447A"/>
    <w:rsid w:val="001243E5"/>
    <w:rsid w:val="001249D5"/>
    <w:rsid w:val="0012502C"/>
    <w:rsid w:val="00127D55"/>
    <w:rsid w:val="00130B2A"/>
    <w:rsid w:val="00130D9B"/>
    <w:rsid w:val="00132429"/>
    <w:rsid w:val="00135C0D"/>
    <w:rsid w:val="00136077"/>
    <w:rsid w:val="00140B74"/>
    <w:rsid w:val="001438FD"/>
    <w:rsid w:val="00146FCF"/>
    <w:rsid w:val="00153756"/>
    <w:rsid w:val="0015656A"/>
    <w:rsid w:val="00160540"/>
    <w:rsid w:val="00161A5C"/>
    <w:rsid w:val="00164B1E"/>
    <w:rsid w:val="00164EC9"/>
    <w:rsid w:val="0017182C"/>
    <w:rsid w:val="00177007"/>
    <w:rsid w:val="0018605F"/>
    <w:rsid w:val="00186C01"/>
    <w:rsid w:val="00186EE9"/>
    <w:rsid w:val="00187BBC"/>
    <w:rsid w:val="001901A6"/>
    <w:rsid w:val="001924E1"/>
    <w:rsid w:val="00192EEB"/>
    <w:rsid w:val="00193D16"/>
    <w:rsid w:val="001A1371"/>
    <w:rsid w:val="001A20FB"/>
    <w:rsid w:val="001A27CA"/>
    <w:rsid w:val="001A293E"/>
    <w:rsid w:val="001B2A28"/>
    <w:rsid w:val="001B6CFD"/>
    <w:rsid w:val="001B6F40"/>
    <w:rsid w:val="001C1022"/>
    <w:rsid w:val="001C1AEE"/>
    <w:rsid w:val="001C263B"/>
    <w:rsid w:val="001C2E31"/>
    <w:rsid w:val="001C3BB1"/>
    <w:rsid w:val="001C5E6F"/>
    <w:rsid w:val="001C60AE"/>
    <w:rsid w:val="001D190C"/>
    <w:rsid w:val="001D2352"/>
    <w:rsid w:val="001D7B06"/>
    <w:rsid w:val="001D7F8A"/>
    <w:rsid w:val="001E1C4E"/>
    <w:rsid w:val="001E20DE"/>
    <w:rsid w:val="001E2E48"/>
    <w:rsid w:val="001E3FEB"/>
    <w:rsid w:val="001E4A02"/>
    <w:rsid w:val="001F7687"/>
    <w:rsid w:val="002013C5"/>
    <w:rsid w:val="00202CFC"/>
    <w:rsid w:val="002057A1"/>
    <w:rsid w:val="00207580"/>
    <w:rsid w:val="002128EE"/>
    <w:rsid w:val="00217A86"/>
    <w:rsid w:val="00220973"/>
    <w:rsid w:val="002232AF"/>
    <w:rsid w:val="00223B89"/>
    <w:rsid w:val="002246FB"/>
    <w:rsid w:val="00224F25"/>
    <w:rsid w:val="00225013"/>
    <w:rsid w:val="00225A8C"/>
    <w:rsid w:val="00232EE1"/>
    <w:rsid w:val="00237290"/>
    <w:rsid w:val="002375DC"/>
    <w:rsid w:val="00240D36"/>
    <w:rsid w:val="00244494"/>
    <w:rsid w:val="00247143"/>
    <w:rsid w:val="00254A40"/>
    <w:rsid w:val="002576C7"/>
    <w:rsid w:val="00264B1C"/>
    <w:rsid w:val="002659F1"/>
    <w:rsid w:val="00271C7C"/>
    <w:rsid w:val="00272BC5"/>
    <w:rsid w:val="002760E0"/>
    <w:rsid w:val="00285232"/>
    <w:rsid w:val="002873BA"/>
    <w:rsid w:val="00287B39"/>
    <w:rsid w:val="00287E79"/>
    <w:rsid w:val="0029070F"/>
    <w:rsid w:val="00291021"/>
    <w:rsid w:val="00291667"/>
    <w:rsid w:val="00291862"/>
    <w:rsid w:val="00291D90"/>
    <w:rsid w:val="002928F9"/>
    <w:rsid w:val="00293F81"/>
    <w:rsid w:val="00295370"/>
    <w:rsid w:val="002A073F"/>
    <w:rsid w:val="002A5D07"/>
    <w:rsid w:val="002B0672"/>
    <w:rsid w:val="002B3AB3"/>
    <w:rsid w:val="002B47F8"/>
    <w:rsid w:val="002B6D3F"/>
    <w:rsid w:val="002C03EB"/>
    <w:rsid w:val="002C0CBE"/>
    <w:rsid w:val="002C16C3"/>
    <w:rsid w:val="002C2BCA"/>
    <w:rsid w:val="002E1088"/>
    <w:rsid w:val="002E38A6"/>
    <w:rsid w:val="002E5E7A"/>
    <w:rsid w:val="002F32A9"/>
    <w:rsid w:val="002F7163"/>
    <w:rsid w:val="003016B7"/>
    <w:rsid w:val="0030596E"/>
    <w:rsid w:val="00310241"/>
    <w:rsid w:val="00311677"/>
    <w:rsid w:val="00311D7D"/>
    <w:rsid w:val="00312DCE"/>
    <w:rsid w:val="00314D40"/>
    <w:rsid w:val="00317CE1"/>
    <w:rsid w:val="003220DA"/>
    <w:rsid w:val="0032427A"/>
    <w:rsid w:val="00325C93"/>
    <w:rsid w:val="003261B6"/>
    <w:rsid w:val="0032688E"/>
    <w:rsid w:val="003278BE"/>
    <w:rsid w:val="00330F9C"/>
    <w:rsid w:val="0033572B"/>
    <w:rsid w:val="00335748"/>
    <w:rsid w:val="00335D9F"/>
    <w:rsid w:val="003360FB"/>
    <w:rsid w:val="00336E96"/>
    <w:rsid w:val="00340C35"/>
    <w:rsid w:val="003427E7"/>
    <w:rsid w:val="00342FE6"/>
    <w:rsid w:val="003431EB"/>
    <w:rsid w:val="00345E00"/>
    <w:rsid w:val="003515AA"/>
    <w:rsid w:val="00352282"/>
    <w:rsid w:val="003540FD"/>
    <w:rsid w:val="003563BC"/>
    <w:rsid w:val="003602A4"/>
    <w:rsid w:val="003616B4"/>
    <w:rsid w:val="00362757"/>
    <w:rsid w:val="003649BA"/>
    <w:rsid w:val="00365F33"/>
    <w:rsid w:val="00366F10"/>
    <w:rsid w:val="00370E0F"/>
    <w:rsid w:val="00374106"/>
    <w:rsid w:val="003822EB"/>
    <w:rsid w:val="00387337"/>
    <w:rsid w:val="00393F52"/>
    <w:rsid w:val="00395DFE"/>
    <w:rsid w:val="003976D5"/>
    <w:rsid w:val="003A0FE8"/>
    <w:rsid w:val="003A4450"/>
    <w:rsid w:val="003A4B0A"/>
    <w:rsid w:val="003A7CF1"/>
    <w:rsid w:val="003B0348"/>
    <w:rsid w:val="003B1596"/>
    <w:rsid w:val="003B3944"/>
    <w:rsid w:val="003B4E7F"/>
    <w:rsid w:val="003B71BA"/>
    <w:rsid w:val="003C27CA"/>
    <w:rsid w:val="003C4373"/>
    <w:rsid w:val="003C4719"/>
    <w:rsid w:val="003C573C"/>
    <w:rsid w:val="003C5788"/>
    <w:rsid w:val="003C78C7"/>
    <w:rsid w:val="003D1DF3"/>
    <w:rsid w:val="003D2C3E"/>
    <w:rsid w:val="003D3133"/>
    <w:rsid w:val="003D4183"/>
    <w:rsid w:val="003D46A7"/>
    <w:rsid w:val="003D4FFB"/>
    <w:rsid w:val="003D6A1B"/>
    <w:rsid w:val="003D6C68"/>
    <w:rsid w:val="003D77CD"/>
    <w:rsid w:val="003E4A29"/>
    <w:rsid w:val="003F143E"/>
    <w:rsid w:val="003F475A"/>
    <w:rsid w:val="003F6314"/>
    <w:rsid w:val="003F636C"/>
    <w:rsid w:val="0041175A"/>
    <w:rsid w:val="00411A77"/>
    <w:rsid w:val="004137EA"/>
    <w:rsid w:val="004159D0"/>
    <w:rsid w:val="004212CD"/>
    <w:rsid w:val="004249E7"/>
    <w:rsid w:val="0042645E"/>
    <w:rsid w:val="00426C6C"/>
    <w:rsid w:val="004302BF"/>
    <w:rsid w:val="0043072D"/>
    <w:rsid w:val="00430895"/>
    <w:rsid w:val="00430E44"/>
    <w:rsid w:val="004341F2"/>
    <w:rsid w:val="00434F04"/>
    <w:rsid w:val="00437B76"/>
    <w:rsid w:val="00440D4C"/>
    <w:rsid w:val="00444ACD"/>
    <w:rsid w:val="004456D6"/>
    <w:rsid w:val="00451160"/>
    <w:rsid w:val="0045262A"/>
    <w:rsid w:val="004538FB"/>
    <w:rsid w:val="004606B9"/>
    <w:rsid w:val="004720B1"/>
    <w:rsid w:val="00473A8F"/>
    <w:rsid w:val="00473D03"/>
    <w:rsid w:val="0048239C"/>
    <w:rsid w:val="00490450"/>
    <w:rsid w:val="00491F21"/>
    <w:rsid w:val="004A67FC"/>
    <w:rsid w:val="004A7442"/>
    <w:rsid w:val="004C0D3F"/>
    <w:rsid w:val="004D2005"/>
    <w:rsid w:val="004D3124"/>
    <w:rsid w:val="004D36D3"/>
    <w:rsid w:val="004D6F75"/>
    <w:rsid w:val="004E5BF0"/>
    <w:rsid w:val="004F077A"/>
    <w:rsid w:val="004F147A"/>
    <w:rsid w:val="004F4989"/>
    <w:rsid w:val="004F55FF"/>
    <w:rsid w:val="00502C64"/>
    <w:rsid w:val="00503783"/>
    <w:rsid w:val="0050659C"/>
    <w:rsid w:val="00510FAC"/>
    <w:rsid w:val="00514DBB"/>
    <w:rsid w:val="00515D54"/>
    <w:rsid w:val="0052189F"/>
    <w:rsid w:val="0052230D"/>
    <w:rsid w:val="0052484D"/>
    <w:rsid w:val="00525DFD"/>
    <w:rsid w:val="0053388D"/>
    <w:rsid w:val="005409E7"/>
    <w:rsid w:val="00542549"/>
    <w:rsid w:val="0054385B"/>
    <w:rsid w:val="00543D5E"/>
    <w:rsid w:val="00550885"/>
    <w:rsid w:val="00550ED2"/>
    <w:rsid w:val="005552D8"/>
    <w:rsid w:val="005561F0"/>
    <w:rsid w:val="005647EC"/>
    <w:rsid w:val="00571F41"/>
    <w:rsid w:val="00571FCA"/>
    <w:rsid w:val="005740D6"/>
    <w:rsid w:val="00575BDF"/>
    <w:rsid w:val="00575E4A"/>
    <w:rsid w:val="005837D4"/>
    <w:rsid w:val="005872B7"/>
    <w:rsid w:val="00594070"/>
    <w:rsid w:val="00595576"/>
    <w:rsid w:val="00595817"/>
    <w:rsid w:val="00595BE4"/>
    <w:rsid w:val="005A3CDD"/>
    <w:rsid w:val="005A636F"/>
    <w:rsid w:val="005B27C4"/>
    <w:rsid w:val="005B5842"/>
    <w:rsid w:val="005B76A3"/>
    <w:rsid w:val="005C166A"/>
    <w:rsid w:val="005C45D1"/>
    <w:rsid w:val="005D2048"/>
    <w:rsid w:val="005D7F42"/>
    <w:rsid w:val="005E2FF0"/>
    <w:rsid w:val="005E5D1F"/>
    <w:rsid w:val="005E67C5"/>
    <w:rsid w:val="005F0D33"/>
    <w:rsid w:val="005F1107"/>
    <w:rsid w:val="005F5601"/>
    <w:rsid w:val="005F5902"/>
    <w:rsid w:val="005F5C4D"/>
    <w:rsid w:val="005F69A2"/>
    <w:rsid w:val="006021A9"/>
    <w:rsid w:val="00603391"/>
    <w:rsid w:val="00611D43"/>
    <w:rsid w:val="00612265"/>
    <w:rsid w:val="00612C3F"/>
    <w:rsid w:val="00612D48"/>
    <w:rsid w:val="00614877"/>
    <w:rsid w:val="00615307"/>
    <w:rsid w:val="00616B45"/>
    <w:rsid w:val="0062215D"/>
    <w:rsid w:val="00624003"/>
    <w:rsid w:val="00630D9B"/>
    <w:rsid w:val="00631953"/>
    <w:rsid w:val="00634E1A"/>
    <w:rsid w:val="006439EC"/>
    <w:rsid w:val="00644577"/>
    <w:rsid w:val="00655C8D"/>
    <w:rsid w:val="00661205"/>
    <w:rsid w:val="00661275"/>
    <w:rsid w:val="00662440"/>
    <w:rsid w:val="00664987"/>
    <w:rsid w:val="00674C69"/>
    <w:rsid w:val="0068252A"/>
    <w:rsid w:val="00683B34"/>
    <w:rsid w:val="00685843"/>
    <w:rsid w:val="006863E9"/>
    <w:rsid w:val="00692E89"/>
    <w:rsid w:val="00693CFD"/>
    <w:rsid w:val="006A12E1"/>
    <w:rsid w:val="006A187B"/>
    <w:rsid w:val="006B0AA5"/>
    <w:rsid w:val="006B0D40"/>
    <w:rsid w:val="006B1399"/>
    <w:rsid w:val="006B2B2A"/>
    <w:rsid w:val="006B4590"/>
    <w:rsid w:val="006B59C7"/>
    <w:rsid w:val="006B6A09"/>
    <w:rsid w:val="006C340C"/>
    <w:rsid w:val="006C72D5"/>
    <w:rsid w:val="006D1D1C"/>
    <w:rsid w:val="006D223A"/>
    <w:rsid w:val="006D39A5"/>
    <w:rsid w:val="006D3FB7"/>
    <w:rsid w:val="006D64DE"/>
    <w:rsid w:val="006D6638"/>
    <w:rsid w:val="006D666F"/>
    <w:rsid w:val="006E1570"/>
    <w:rsid w:val="006E5FC7"/>
    <w:rsid w:val="006E6860"/>
    <w:rsid w:val="006F13DC"/>
    <w:rsid w:val="006F3FA6"/>
    <w:rsid w:val="006F707A"/>
    <w:rsid w:val="006F73F4"/>
    <w:rsid w:val="006F7CD1"/>
    <w:rsid w:val="006F7F03"/>
    <w:rsid w:val="00701B5A"/>
    <w:rsid w:val="0070347C"/>
    <w:rsid w:val="00704F96"/>
    <w:rsid w:val="00706101"/>
    <w:rsid w:val="007063F5"/>
    <w:rsid w:val="00710302"/>
    <w:rsid w:val="007133B7"/>
    <w:rsid w:val="00716F84"/>
    <w:rsid w:val="0071722C"/>
    <w:rsid w:val="007176C1"/>
    <w:rsid w:val="00724130"/>
    <w:rsid w:val="00724DA7"/>
    <w:rsid w:val="00730966"/>
    <w:rsid w:val="00732B3C"/>
    <w:rsid w:val="00733353"/>
    <w:rsid w:val="007338CE"/>
    <w:rsid w:val="00745C44"/>
    <w:rsid w:val="00746F5E"/>
    <w:rsid w:val="00752E98"/>
    <w:rsid w:val="00756FE9"/>
    <w:rsid w:val="00762229"/>
    <w:rsid w:val="00762CAB"/>
    <w:rsid w:val="00763C21"/>
    <w:rsid w:val="00764136"/>
    <w:rsid w:val="00766D06"/>
    <w:rsid w:val="00766E2D"/>
    <w:rsid w:val="00770873"/>
    <w:rsid w:val="00776A3A"/>
    <w:rsid w:val="007774AE"/>
    <w:rsid w:val="00780258"/>
    <w:rsid w:val="00780BF8"/>
    <w:rsid w:val="007824DF"/>
    <w:rsid w:val="00786255"/>
    <w:rsid w:val="00790F2F"/>
    <w:rsid w:val="00791771"/>
    <w:rsid w:val="0079324F"/>
    <w:rsid w:val="00795197"/>
    <w:rsid w:val="00795AA5"/>
    <w:rsid w:val="007961B4"/>
    <w:rsid w:val="007A4735"/>
    <w:rsid w:val="007A614F"/>
    <w:rsid w:val="007C43A7"/>
    <w:rsid w:val="007C62E9"/>
    <w:rsid w:val="007C7E0C"/>
    <w:rsid w:val="007D1A04"/>
    <w:rsid w:val="007D4E20"/>
    <w:rsid w:val="007D6434"/>
    <w:rsid w:val="007D6D51"/>
    <w:rsid w:val="007E17EE"/>
    <w:rsid w:val="007E1B56"/>
    <w:rsid w:val="007E3BD7"/>
    <w:rsid w:val="007E7D03"/>
    <w:rsid w:val="007F3451"/>
    <w:rsid w:val="007F3E03"/>
    <w:rsid w:val="007F55CB"/>
    <w:rsid w:val="007F5D98"/>
    <w:rsid w:val="00801A06"/>
    <w:rsid w:val="00812C1A"/>
    <w:rsid w:val="00814573"/>
    <w:rsid w:val="00821AE9"/>
    <w:rsid w:val="0082220B"/>
    <w:rsid w:val="0082428A"/>
    <w:rsid w:val="008317F6"/>
    <w:rsid w:val="00844750"/>
    <w:rsid w:val="0084488A"/>
    <w:rsid w:val="00856B6B"/>
    <w:rsid w:val="00856D39"/>
    <w:rsid w:val="008579E0"/>
    <w:rsid w:val="00860332"/>
    <w:rsid w:val="00862738"/>
    <w:rsid w:val="00863D1E"/>
    <w:rsid w:val="0086417A"/>
    <w:rsid w:val="00866A05"/>
    <w:rsid w:val="0087460B"/>
    <w:rsid w:val="008769D0"/>
    <w:rsid w:val="00876BCD"/>
    <w:rsid w:val="00877113"/>
    <w:rsid w:val="0088395A"/>
    <w:rsid w:val="00893025"/>
    <w:rsid w:val="008955F5"/>
    <w:rsid w:val="008962BF"/>
    <w:rsid w:val="00896B4A"/>
    <w:rsid w:val="00896F83"/>
    <w:rsid w:val="008A23E1"/>
    <w:rsid w:val="008A49A1"/>
    <w:rsid w:val="008B013F"/>
    <w:rsid w:val="008B44C4"/>
    <w:rsid w:val="008B7879"/>
    <w:rsid w:val="008C063C"/>
    <w:rsid w:val="008C3758"/>
    <w:rsid w:val="008C39AC"/>
    <w:rsid w:val="008C52FB"/>
    <w:rsid w:val="008D3919"/>
    <w:rsid w:val="008E10A8"/>
    <w:rsid w:val="008E4410"/>
    <w:rsid w:val="008E4B46"/>
    <w:rsid w:val="008E4E9A"/>
    <w:rsid w:val="008E7FAE"/>
    <w:rsid w:val="008F0F36"/>
    <w:rsid w:val="008F251A"/>
    <w:rsid w:val="008F6436"/>
    <w:rsid w:val="008F65CA"/>
    <w:rsid w:val="00901556"/>
    <w:rsid w:val="0090498A"/>
    <w:rsid w:val="00905FBF"/>
    <w:rsid w:val="0091171C"/>
    <w:rsid w:val="009117E5"/>
    <w:rsid w:val="00911BF7"/>
    <w:rsid w:val="00912BF1"/>
    <w:rsid w:val="009130FD"/>
    <w:rsid w:val="00914E35"/>
    <w:rsid w:val="00916838"/>
    <w:rsid w:val="00917113"/>
    <w:rsid w:val="009211D4"/>
    <w:rsid w:val="00925881"/>
    <w:rsid w:val="009267F1"/>
    <w:rsid w:val="009279E7"/>
    <w:rsid w:val="0093468D"/>
    <w:rsid w:val="00934D4C"/>
    <w:rsid w:val="009359E9"/>
    <w:rsid w:val="00936F5A"/>
    <w:rsid w:val="009470BD"/>
    <w:rsid w:val="009513AE"/>
    <w:rsid w:val="00952FDB"/>
    <w:rsid w:val="00955275"/>
    <w:rsid w:val="009556DB"/>
    <w:rsid w:val="00955EE9"/>
    <w:rsid w:val="0096487B"/>
    <w:rsid w:val="00970BD3"/>
    <w:rsid w:val="00970F6B"/>
    <w:rsid w:val="00971562"/>
    <w:rsid w:val="00977EC8"/>
    <w:rsid w:val="00980780"/>
    <w:rsid w:val="00983DA0"/>
    <w:rsid w:val="00984FEA"/>
    <w:rsid w:val="009948E3"/>
    <w:rsid w:val="00995D02"/>
    <w:rsid w:val="00997F30"/>
    <w:rsid w:val="009A09FE"/>
    <w:rsid w:val="009A249E"/>
    <w:rsid w:val="009A321F"/>
    <w:rsid w:val="009A4CE4"/>
    <w:rsid w:val="009A6A9E"/>
    <w:rsid w:val="009B7AE1"/>
    <w:rsid w:val="009C00A3"/>
    <w:rsid w:val="009C39D4"/>
    <w:rsid w:val="009C6919"/>
    <w:rsid w:val="009D1D31"/>
    <w:rsid w:val="009D3A8C"/>
    <w:rsid w:val="009D64C4"/>
    <w:rsid w:val="009D7768"/>
    <w:rsid w:val="009E48E5"/>
    <w:rsid w:val="009E599F"/>
    <w:rsid w:val="009E7956"/>
    <w:rsid w:val="009F3A13"/>
    <w:rsid w:val="009F6FF1"/>
    <w:rsid w:val="009F7077"/>
    <w:rsid w:val="00A01DBC"/>
    <w:rsid w:val="00A0313F"/>
    <w:rsid w:val="00A0381F"/>
    <w:rsid w:val="00A050FA"/>
    <w:rsid w:val="00A103AF"/>
    <w:rsid w:val="00A11304"/>
    <w:rsid w:val="00A13301"/>
    <w:rsid w:val="00A21A8C"/>
    <w:rsid w:val="00A22019"/>
    <w:rsid w:val="00A2492E"/>
    <w:rsid w:val="00A24FEE"/>
    <w:rsid w:val="00A326FA"/>
    <w:rsid w:val="00A34891"/>
    <w:rsid w:val="00A35E18"/>
    <w:rsid w:val="00A365CD"/>
    <w:rsid w:val="00A41849"/>
    <w:rsid w:val="00A455E2"/>
    <w:rsid w:val="00A4574F"/>
    <w:rsid w:val="00A46130"/>
    <w:rsid w:val="00A52538"/>
    <w:rsid w:val="00A52DCB"/>
    <w:rsid w:val="00A5529C"/>
    <w:rsid w:val="00A55C74"/>
    <w:rsid w:val="00A566C8"/>
    <w:rsid w:val="00A57313"/>
    <w:rsid w:val="00A6018E"/>
    <w:rsid w:val="00A6161F"/>
    <w:rsid w:val="00A62D08"/>
    <w:rsid w:val="00A64975"/>
    <w:rsid w:val="00A67496"/>
    <w:rsid w:val="00A70163"/>
    <w:rsid w:val="00A70EF3"/>
    <w:rsid w:val="00A71547"/>
    <w:rsid w:val="00A72057"/>
    <w:rsid w:val="00A72CF5"/>
    <w:rsid w:val="00A809AC"/>
    <w:rsid w:val="00A8726A"/>
    <w:rsid w:val="00A910E3"/>
    <w:rsid w:val="00A97264"/>
    <w:rsid w:val="00A97414"/>
    <w:rsid w:val="00AA0E74"/>
    <w:rsid w:val="00AA1D51"/>
    <w:rsid w:val="00AA477F"/>
    <w:rsid w:val="00AA4811"/>
    <w:rsid w:val="00AB21D5"/>
    <w:rsid w:val="00AC1895"/>
    <w:rsid w:val="00AC6744"/>
    <w:rsid w:val="00AC67A1"/>
    <w:rsid w:val="00AC7977"/>
    <w:rsid w:val="00AD4644"/>
    <w:rsid w:val="00AD56A1"/>
    <w:rsid w:val="00AD79AF"/>
    <w:rsid w:val="00AE0D21"/>
    <w:rsid w:val="00AE1636"/>
    <w:rsid w:val="00AE16CE"/>
    <w:rsid w:val="00AE352C"/>
    <w:rsid w:val="00AE656F"/>
    <w:rsid w:val="00AE794F"/>
    <w:rsid w:val="00AE7CB3"/>
    <w:rsid w:val="00AF51D3"/>
    <w:rsid w:val="00AF6522"/>
    <w:rsid w:val="00B06876"/>
    <w:rsid w:val="00B11277"/>
    <w:rsid w:val="00B11FED"/>
    <w:rsid w:val="00B12AB4"/>
    <w:rsid w:val="00B132F6"/>
    <w:rsid w:val="00B20126"/>
    <w:rsid w:val="00B20C7B"/>
    <w:rsid w:val="00B20E76"/>
    <w:rsid w:val="00B21B20"/>
    <w:rsid w:val="00B238BF"/>
    <w:rsid w:val="00B23E80"/>
    <w:rsid w:val="00B2541E"/>
    <w:rsid w:val="00B32E2D"/>
    <w:rsid w:val="00B367AE"/>
    <w:rsid w:val="00B37514"/>
    <w:rsid w:val="00B412F8"/>
    <w:rsid w:val="00B4466B"/>
    <w:rsid w:val="00B52B3F"/>
    <w:rsid w:val="00B6080F"/>
    <w:rsid w:val="00B61990"/>
    <w:rsid w:val="00B7040F"/>
    <w:rsid w:val="00B706B3"/>
    <w:rsid w:val="00B7145E"/>
    <w:rsid w:val="00B73F31"/>
    <w:rsid w:val="00B76C84"/>
    <w:rsid w:val="00B778BF"/>
    <w:rsid w:val="00B821A3"/>
    <w:rsid w:val="00B840F2"/>
    <w:rsid w:val="00B8537C"/>
    <w:rsid w:val="00B85D99"/>
    <w:rsid w:val="00B93E72"/>
    <w:rsid w:val="00BA4E05"/>
    <w:rsid w:val="00BA511E"/>
    <w:rsid w:val="00BA61FA"/>
    <w:rsid w:val="00BB1F39"/>
    <w:rsid w:val="00BB3094"/>
    <w:rsid w:val="00BC4943"/>
    <w:rsid w:val="00BC6718"/>
    <w:rsid w:val="00BD028B"/>
    <w:rsid w:val="00BD1481"/>
    <w:rsid w:val="00BD71C8"/>
    <w:rsid w:val="00BE15E7"/>
    <w:rsid w:val="00BE78EB"/>
    <w:rsid w:val="00BE7B88"/>
    <w:rsid w:val="00BF0556"/>
    <w:rsid w:val="00BF188D"/>
    <w:rsid w:val="00BF2655"/>
    <w:rsid w:val="00BF6A48"/>
    <w:rsid w:val="00BF6EF2"/>
    <w:rsid w:val="00C04A87"/>
    <w:rsid w:val="00C11802"/>
    <w:rsid w:val="00C11B9A"/>
    <w:rsid w:val="00C15296"/>
    <w:rsid w:val="00C15437"/>
    <w:rsid w:val="00C16B57"/>
    <w:rsid w:val="00C17138"/>
    <w:rsid w:val="00C24B53"/>
    <w:rsid w:val="00C24E22"/>
    <w:rsid w:val="00C261F8"/>
    <w:rsid w:val="00C2665A"/>
    <w:rsid w:val="00C33100"/>
    <w:rsid w:val="00C34441"/>
    <w:rsid w:val="00C42D56"/>
    <w:rsid w:val="00C448F5"/>
    <w:rsid w:val="00C52995"/>
    <w:rsid w:val="00C5325A"/>
    <w:rsid w:val="00C53BAF"/>
    <w:rsid w:val="00C53CCE"/>
    <w:rsid w:val="00C54AA6"/>
    <w:rsid w:val="00C60530"/>
    <w:rsid w:val="00C61AC1"/>
    <w:rsid w:val="00C62D4B"/>
    <w:rsid w:val="00C63328"/>
    <w:rsid w:val="00C6664E"/>
    <w:rsid w:val="00C70440"/>
    <w:rsid w:val="00C70623"/>
    <w:rsid w:val="00C70CA1"/>
    <w:rsid w:val="00C7350D"/>
    <w:rsid w:val="00C81F4B"/>
    <w:rsid w:val="00C83AC3"/>
    <w:rsid w:val="00C91B5F"/>
    <w:rsid w:val="00C940E9"/>
    <w:rsid w:val="00C94120"/>
    <w:rsid w:val="00C96972"/>
    <w:rsid w:val="00CA49A6"/>
    <w:rsid w:val="00CA78E2"/>
    <w:rsid w:val="00CB1F1C"/>
    <w:rsid w:val="00CB6267"/>
    <w:rsid w:val="00CB7EB9"/>
    <w:rsid w:val="00CC04B5"/>
    <w:rsid w:val="00CC1634"/>
    <w:rsid w:val="00CD1A71"/>
    <w:rsid w:val="00CD1FBB"/>
    <w:rsid w:val="00CE320D"/>
    <w:rsid w:val="00CE32FE"/>
    <w:rsid w:val="00CE5A9C"/>
    <w:rsid w:val="00CE698E"/>
    <w:rsid w:val="00CE7227"/>
    <w:rsid w:val="00CF5F96"/>
    <w:rsid w:val="00CF69F5"/>
    <w:rsid w:val="00D016B5"/>
    <w:rsid w:val="00D034F1"/>
    <w:rsid w:val="00D045B5"/>
    <w:rsid w:val="00D11B17"/>
    <w:rsid w:val="00D11DC3"/>
    <w:rsid w:val="00D142CE"/>
    <w:rsid w:val="00D164D1"/>
    <w:rsid w:val="00D170AC"/>
    <w:rsid w:val="00D17D4E"/>
    <w:rsid w:val="00D218F8"/>
    <w:rsid w:val="00D27D5E"/>
    <w:rsid w:val="00D30ABC"/>
    <w:rsid w:val="00D3199E"/>
    <w:rsid w:val="00D371F4"/>
    <w:rsid w:val="00D429C2"/>
    <w:rsid w:val="00D4469F"/>
    <w:rsid w:val="00D44F97"/>
    <w:rsid w:val="00D46131"/>
    <w:rsid w:val="00D47A16"/>
    <w:rsid w:val="00D52489"/>
    <w:rsid w:val="00D56A9E"/>
    <w:rsid w:val="00D57082"/>
    <w:rsid w:val="00D57C1E"/>
    <w:rsid w:val="00D60301"/>
    <w:rsid w:val="00D604F1"/>
    <w:rsid w:val="00D60841"/>
    <w:rsid w:val="00D6454D"/>
    <w:rsid w:val="00D74C4B"/>
    <w:rsid w:val="00D8446E"/>
    <w:rsid w:val="00D8607C"/>
    <w:rsid w:val="00D9454D"/>
    <w:rsid w:val="00D967C7"/>
    <w:rsid w:val="00DA153B"/>
    <w:rsid w:val="00DA300D"/>
    <w:rsid w:val="00DA57D4"/>
    <w:rsid w:val="00DA7672"/>
    <w:rsid w:val="00DB2190"/>
    <w:rsid w:val="00DB4793"/>
    <w:rsid w:val="00DB6A82"/>
    <w:rsid w:val="00DD3A69"/>
    <w:rsid w:val="00DD55C8"/>
    <w:rsid w:val="00DD6E2C"/>
    <w:rsid w:val="00DE01E3"/>
    <w:rsid w:val="00DE17DD"/>
    <w:rsid w:val="00DE6D90"/>
    <w:rsid w:val="00DF002F"/>
    <w:rsid w:val="00DF4B70"/>
    <w:rsid w:val="00DF73EC"/>
    <w:rsid w:val="00E01A8C"/>
    <w:rsid w:val="00E0244D"/>
    <w:rsid w:val="00E02A4F"/>
    <w:rsid w:val="00E032FD"/>
    <w:rsid w:val="00E03A64"/>
    <w:rsid w:val="00E04CA6"/>
    <w:rsid w:val="00E104C3"/>
    <w:rsid w:val="00E10700"/>
    <w:rsid w:val="00E13A6A"/>
    <w:rsid w:val="00E14106"/>
    <w:rsid w:val="00E16C22"/>
    <w:rsid w:val="00E21653"/>
    <w:rsid w:val="00E2562B"/>
    <w:rsid w:val="00E259A2"/>
    <w:rsid w:val="00E25CEE"/>
    <w:rsid w:val="00E337A0"/>
    <w:rsid w:val="00E377AA"/>
    <w:rsid w:val="00E42D23"/>
    <w:rsid w:val="00E42F9B"/>
    <w:rsid w:val="00E4491D"/>
    <w:rsid w:val="00E467D9"/>
    <w:rsid w:val="00E50794"/>
    <w:rsid w:val="00E5260A"/>
    <w:rsid w:val="00E557A0"/>
    <w:rsid w:val="00E55D71"/>
    <w:rsid w:val="00E56FA6"/>
    <w:rsid w:val="00E61A2F"/>
    <w:rsid w:val="00E63421"/>
    <w:rsid w:val="00E63627"/>
    <w:rsid w:val="00E65042"/>
    <w:rsid w:val="00E66D4C"/>
    <w:rsid w:val="00E76853"/>
    <w:rsid w:val="00E8060B"/>
    <w:rsid w:val="00E81E94"/>
    <w:rsid w:val="00E82607"/>
    <w:rsid w:val="00E83FBC"/>
    <w:rsid w:val="00E84E79"/>
    <w:rsid w:val="00E90B72"/>
    <w:rsid w:val="00E91159"/>
    <w:rsid w:val="00E97E84"/>
    <w:rsid w:val="00EA31C2"/>
    <w:rsid w:val="00EA58B1"/>
    <w:rsid w:val="00EB04A0"/>
    <w:rsid w:val="00EB6EDD"/>
    <w:rsid w:val="00EB7C7C"/>
    <w:rsid w:val="00ED0A27"/>
    <w:rsid w:val="00ED2702"/>
    <w:rsid w:val="00ED2EDD"/>
    <w:rsid w:val="00ED5C69"/>
    <w:rsid w:val="00EE2EA3"/>
    <w:rsid w:val="00EF1059"/>
    <w:rsid w:val="00EF32B0"/>
    <w:rsid w:val="00EF3A5B"/>
    <w:rsid w:val="00EF6183"/>
    <w:rsid w:val="00EF73A7"/>
    <w:rsid w:val="00F00678"/>
    <w:rsid w:val="00F01516"/>
    <w:rsid w:val="00F0499F"/>
    <w:rsid w:val="00F06C2A"/>
    <w:rsid w:val="00F1378C"/>
    <w:rsid w:val="00F13965"/>
    <w:rsid w:val="00F15930"/>
    <w:rsid w:val="00F15C00"/>
    <w:rsid w:val="00F16AC6"/>
    <w:rsid w:val="00F202BC"/>
    <w:rsid w:val="00F20C8B"/>
    <w:rsid w:val="00F20F49"/>
    <w:rsid w:val="00F2438C"/>
    <w:rsid w:val="00F30D47"/>
    <w:rsid w:val="00F3201D"/>
    <w:rsid w:val="00F32889"/>
    <w:rsid w:val="00F353CA"/>
    <w:rsid w:val="00F47B29"/>
    <w:rsid w:val="00F55188"/>
    <w:rsid w:val="00F56037"/>
    <w:rsid w:val="00F57129"/>
    <w:rsid w:val="00F60857"/>
    <w:rsid w:val="00F610A1"/>
    <w:rsid w:val="00F614CA"/>
    <w:rsid w:val="00F6284B"/>
    <w:rsid w:val="00F6679D"/>
    <w:rsid w:val="00F66822"/>
    <w:rsid w:val="00F6756C"/>
    <w:rsid w:val="00F72980"/>
    <w:rsid w:val="00F72A53"/>
    <w:rsid w:val="00F804CD"/>
    <w:rsid w:val="00F822AD"/>
    <w:rsid w:val="00F8436A"/>
    <w:rsid w:val="00F870FA"/>
    <w:rsid w:val="00F87BC6"/>
    <w:rsid w:val="00F9327E"/>
    <w:rsid w:val="00F9603A"/>
    <w:rsid w:val="00F96B3F"/>
    <w:rsid w:val="00FA07FA"/>
    <w:rsid w:val="00FA5A79"/>
    <w:rsid w:val="00FB00CB"/>
    <w:rsid w:val="00FB0BFE"/>
    <w:rsid w:val="00FB122F"/>
    <w:rsid w:val="00FB43DE"/>
    <w:rsid w:val="00FB4C51"/>
    <w:rsid w:val="00FB7943"/>
    <w:rsid w:val="00FC0F63"/>
    <w:rsid w:val="00FC0FB0"/>
    <w:rsid w:val="00FD04D2"/>
    <w:rsid w:val="00FD29E0"/>
    <w:rsid w:val="00FD3F34"/>
    <w:rsid w:val="00FE19D6"/>
    <w:rsid w:val="00FE1A1B"/>
    <w:rsid w:val="00FE243B"/>
    <w:rsid w:val="00FE6821"/>
    <w:rsid w:val="00FF1DBD"/>
    <w:rsid w:val="00FF2A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78F5A9"/>
  <w15:chartTrackingRefBased/>
  <w15:docId w15:val="{705AE042-63DB-4962-9172-7C8080C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annotation text" w:uiPriority="99"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7A0"/>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Fußnotentext,5_GR,-E Fußnotentext,footnote text,Fußnotentext Ursprung,Footnote Text Char Char Char Char,Footnote Text1,Footnote Text Char Char Char,Fußnotentext Char1,Fußnotentext Char Char,Fußnotentext Char2,Fußn"/>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uiPriority w:val="3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uiPriority w:val="34"/>
    <w:qFormat/>
    <w:rsid w:val="00716F84"/>
    <w:pPr>
      <w:ind w:left="708"/>
    </w:pPr>
    <w:rPr>
      <w:lang w:val="en-GB"/>
    </w:rPr>
  </w:style>
  <w:style w:type="character" w:customStyle="1" w:styleId="EndnoteTextChar">
    <w:name w:val="Endnote Text Char"/>
    <w:aliases w:val="2_G Char"/>
    <w:link w:val="EndnoteText"/>
    <w:rsid w:val="005E67C5"/>
    <w:rPr>
      <w:sz w:val="18"/>
      <w:lang w:val="fr-CH" w:eastAsia="en-US"/>
    </w:rPr>
  </w:style>
  <w:style w:type="paragraph" w:customStyle="1" w:styleId="notessoustab">
    <w:name w:val="notes sous tab"/>
    <w:basedOn w:val="Normal"/>
    <w:qFormat/>
    <w:rsid w:val="005E67C5"/>
    <w:pPr>
      <w:widowControl w:val="0"/>
      <w:tabs>
        <w:tab w:val="left" w:pos="851"/>
      </w:tabs>
      <w:suppressAutoHyphens w:val="0"/>
      <w:autoSpaceDE w:val="0"/>
      <w:autoSpaceDN w:val="0"/>
      <w:adjustRightInd w:val="0"/>
      <w:spacing w:line="240" w:lineRule="auto"/>
      <w:ind w:left="567" w:hanging="567"/>
      <w:jc w:val="both"/>
    </w:pPr>
    <w:rPr>
      <w:lang w:val="fr-FR"/>
    </w:rPr>
  </w:style>
  <w:style w:type="paragraph" w:customStyle="1" w:styleId="a0">
    <w:name w:val="(a)"/>
    <w:basedOn w:val="Normal"/>
    <w:qFormat/>
    <w:rsid w:val="005E67C5"/>
    <w:pPr>
      <w:spacing w:after="120"/>
      <w:ind w:left="2835" w:right="1134" w:hanging="567"/>
      <w:jc w:val="both"/>
    </w:pPr>
    <w:rPr>
      <w:lang w:val="en-GB"/>
    </w:rPr>
  </w:style>
  <w:style w:type="character" w:customStyle="1" w:styleId="CommentTextChar">
    <w:name w:val="Comment Text Char"/>
    <w:basedOn w:val="DefaultParagraphFont"/>
    <w:link w:val="CommentText"/>
    <w:uiPriority w:val="99"/>
    <w:rsid w:val="00550ED2"/>
    <w:rPr>
      <w:lang w:val="fr-CH" w:eastAsia="en-US"/>
    </w:rPr>
  </w:style>
  <w:style w:type="paragraph" w:styleId="TOC1">
    <w:name w:val="toc 1"/>
    <w:basedOn w:val="Normal"/>
    <w:next w:val="Normal"/>
    <w:uiPriority w:val="39"/>
    <w:rsid w:val="000412E9"/>
    <w:pPr>
      <w:tabs>
        <w:tab w:val="right" w:leader="dot" w:pos="9071"/>
      </w:tabs>
      <w:suppressAutoHyphens w:val="0"/>
      <w:spacing w:before="60" w:after="120" w:line="240" w:lineRule="auto"/>
      <w:ind w:left="850" w:hanging="850"/>
    </w:pPr>
    <w:rPr>
      <w:sz w:val="24"/>
      <w:szCs w:val="24"/>
      <w:lang w:val="en-GB" w:eastAsia="de-DE"/>
    </w:rPr>
  </w:style>
  <w:style w:type="paragraph" w:customStyle="1" w:styleId="Tableheader">
    <w:name w:val="Table header"/>
    <w:basedOn w:val="Normal"/>
    <w:rsid w:val="00345E00"/>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pPr>
    <w:rPr>
      <w:rFonts w:ascii="Cambria" w:eastAsia="Calibri" w:hAnsi="Cambria"/>
      <w:szCs w:val="22"/>
      <w:lang w:val="en-GB"/>
    </w:rPr>
  </w:style>
  <w:style w:type="paragraph" w:customStyle="1" w:styleId="Rom2">
    <w:name w:val="Rom2"/>
    <w:basedOn w:val="Normal"/>
    <w:rsid w:val="00DF4B70"/>
    <w:pPr>
      <w:numPr>
        <w:numId w:val="13"/>
      </w:numPr>
      <w:tabs>
        <w:tab w:val="clear" w:pos="927"/>
      </w:tabs>
      <w:suppressAutoHyphens w:val="0"/>
      <w:spacing w:line="240" w:lineRule="auto"/>
      <w:ind w:left="1712" w:hanging="465"/>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29761">
      <w:bodyDiv w:val="1"/>
      <w:marLeft w:val="0"/>
      <w:marRight w:val="0"/>
      <w:marTop w:val="0"/>
      <w:marBottom w:val="0"/>
      <w:divBdr>
        <w:top w:val="none" w:sz="0" w:space="0" w:color="auto"/>
        <w:left w:val="none" w:sz="0" w:space="0" w:color="auto"/>
        <w:bottom w:val="none" w:sz="0" w:space="0" w:color="auto"/>
        <w:right w:val="none" w:sz="0" w:space="0" w:color="auto"/>
      </w:divBdr>
    </w:div>
    <w:div w:id="195077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unece.org/trans/main/wp29/wp29wgs/wp29gen/wp29resolutions.html" TargetMode="Externa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2.xml><?xml version="1.0" encoding="utf-8"?>
<ds:datastoreItem xmlns:ds="http://schemas.openxmlformats.org/officeDocument/2006/customXml" ds:itemID="{1C9C8668-FA30-464A-BC22-3A9AB77CA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14D6EFD1-022D-4D99-A74B-726FBA7D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4592</Words>
  <Characters>23058</Characters>
  <Application>Microsoft Office Word</Application>
  <DocSecurity>0</DocSecurity>
  <Lines>559</Lines>
  <Paragraphs>296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ECE/TRANS/WP.29/GRBP/2024/5</vt:lpstr>
      <vt:lpstr>ECE/TRANS/WP.29/2009/...</vt:lpstr>
      <vt:lpstr>ECE/TRANS/WP.29/2009/...</vt:lpstr>
    </vt:vector>
  </TitlesOfParts>
  <Company>CSD</Company>
  <LinksUpToDate>false</LinksUpToDate>
  <CharactersWithSpaces>27511</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ECE/TRANS/WP.29/GRBP/2024/5</dc:title>
  <dc:subject>2322765</dc:subject>
  <dc:creator>Una Giltsoff</dc:creator>
  <cp:keywords/>
  <dc:description/>
  <cp:lastModifiedBy>Una Giltsoff</cp:lastModifiedBy>
  <cp:revision>2</cp:revision>
  <cp:lastPrinted>2020-06-19T13:11:00Z</cp:lastPrinted>
  <dcterms:created xsi:type="dcterms:W3CDTF">2023-11-20T15:56:00Z</dcterms:created>
  <dcterms:modified xsi:type="dcterms:W3CDTF">2023-11-20T15:56:00Z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ies>
</file>