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113A567" w14:textId="77777777" w:rsidTr="00C97039">
        <w:trPr>
          <w:trHeight w:hRule="exact" w:val="851"/>
        </w:trPr>
        <w:tc>
          <w:tcPr>
            <w:tcW w:w="1276" w:type="dxa"/>
            <w:tcBorders>
              <w:bottom w:val="single" w:sz="4" w:space="0" w:color="auto"/>
            </w:tcBorders>
          </w:tcPr>
          <w:p w14:paraId="0F0FAEDC" w14:textId="77777777" w:rsidR="00F35BAF" w:rsidRPr="00DB58B5" w:rsidRDefault="00F35BAF" w:rsidP="00A133E3"/>
        </w:tc>
        <w:tc>
          <w:tcPr>
            <w:tcW w:w="2268" w:type="dxa"/>
            <w:tcBorders>
              <w:bottom w:val="single" w:sz="4" w:space="0" w:color="auto"/>
            </w:tcBorders>
            <w:vAlign w:val="bottom"/>
          </w:tcPr>
          <w:p w14:paraId="67B3E5E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874FF7" w14:textId="0B666DDB" w:rsidR="00F35BAF" w:rsidRPr="00DB58B5" w:rsidRDefault="00A133E3" w:rsidP="00A133E3">
            <w:pPr>
              <w:jc w:val="right"/>
            </w:pPr>
            <w:r w:rsidRPr="00A133E3">
              <w:rPr>
                <w:sz w:val="40"/>
              </w:rPr>
              <w:t>ECE</w:t>
            </w:r>
            <w:r>
              <w:t>/TRANS/WP.29/GRVA/2024/11</w:t>
            </w:r>
          </w:p>
        </w:tc>
      </w:tr>
      <w:tr w:rsidR="00F35BAF" w:rsidRPr="00DB58B5" w14:paraId="31AE44AE" w14:textId="77777777" w:rsidTr="00C97039">
        <w:trPr>
          <w:trHeight w:hRule="exact" w:val="2835"/>
        </w:trPr>
        <w:tc>
          <w:tcPr>
            <w:tcW w:w="1276" w:type="dxa"/>
            <w:tcBorders>
              <w:top w:val="single" w:sz="4" w:space="0" w:color="auto"/>
              <w:bottom w:val="single" w:sz="12" w:space="0" w:color="auto"/>
            </w:tcBorders>
          </w:tcPr>
          <w:p w14:paraId="39BD1ED5" w14:textId="77777777" w:rsidR="00F35BAF" w:rsidRPr="00DB58B5" w:rsidRDefault="00F35BAF" w:rsidP="00C97039">
            <w:pPr>
              <w:spacing w:before="120"/>
              <w:jc w:val="center"/>
            </w:pPr>
            <w:r>
              <w:rPr>
                <w:noProof/>
                <w:lang w:eastAsia="fr-CH"/>
              </w:rPr>
              <w:drawing>
                <wp:inline distT="0" distB="0" distL="0" distR="0" wp14:anchorId="649FB95E" wp14:editId="5E973C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54B6F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F45576" w14:textId="77777777" w:rsidR="00F35BAF" w:rsidRDefault="00A133E3" w:rsidP="00C97039">
            <w:pPr>
              <w:spacing w:before="240"/>
            </w:pPr>
            <w:proofErr w:type="spellStart"/>
            <w:r>
              <w:t>Distr</w:t>
            </w:r>
            <w:proofErr w:type="spellEnd"/>
            <w:r>
              <w:t>. générale</w:t>
            </w:r>
          </w:p>
          <w:p w14:paraId="13B5F2C7" w14:textId="77777777" w:rsidR="00A133E3" w:rsidRDefault="00A133E3" w:rsidP="00A133E3">
            <w:pPr>
              <w:spacing w:line="240" w:lineRule="exact"/>
            </w:pPr>
            <w:r>
              <w:t>9 novembre 2023</w:t>
            </w:r>
          </w:p>
          <w:p w14:paraId="4F2C214C" w14:textId="77777777" w:rsidR="00A133E3" w:rsidRDefault="00A133E3" w:rsidP="00A133E3">
            <w:pPr>
              <w:spacing w:line="240" w:lineRule="exact"/>
            </w:pPr>
            <w:r>
              <w:t>Français</w:t>
            </w:r>
          </w:p>
          <w:p w14:paraId="77FCA0B5" w14:textId="6C195BA0" w:rsidR="00A133E3" w:rsidRPr="00DB58B5" w:rsidRDefault="00A133E3" w:rsidP="00A133E3">
            <w:pPr>
              <w:spacing w:line="240" w:lineRule="exact"/>
            </w:pPr>
            <w:r>
              <w:t>Original : anglais</w:t>
            </w:r>
          </w:p>
        </w:tc>
      </w:tr>
    </w:tbl>
    <w:p w14:paraId="058D83AF" w14:textId="77777777" w:rsidR="007F20FA" w:rsidRPr="000312C0" w:rsidRDefault="007F20FA" w:rsidP="007F20FA">
      <w:pPr>
        <w:spacing w:before="120"/>
        <w:rPr>
          <w:b/>
          <w:sz w:val="28"/>
          <w:szCs w:val="28"/>
        </w:rPr>
      </w:pPr>
      <w:r w:rsidRPr="000312C0">
        <w:rPr>
          <w:b/>
          <w:sz w:val="28"/>
          <w:szCs w:val="28"/>
        </w:rPr>
        <w:t>Commission économique pour l’Europe</w:t>
      </w:r>
    </w:p>
    <w:p w14:paraId="21017418" w14:textId="77777777" w:rsidR="007F20FA" w:rsidRDefault="007F20FA" w:rsidP="007F20FA">
      <w:pPr>
        <w:spacing w:before="120"/>
        <w:rPr>
          <w:sz w:val="28"/>
          <w:szCs w:val="28"/>
        </w:rPr>
      </w:pPr>
      <w:r w:rsidRPr="00685843">
        <w:rPr>
          <w:sz w:val="28"/>
          <w:szCs w:val="28"/>
        </w:rPr>
        <w:t>Comité des transports intérieurs</w:t>
      </w:r>
    </w:p>
    <w:p w14:paraId="529D87B5" w14:textId="77777777" w:rsidR="00A133E3" w:rsidRDefault="00A133E3" w:rsidP="00A133E3">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sidRPr="00685843">
        <w:rPr>
          <w:b/>
          <w:sz w:val="24"/>
          <w:szCs w:val="24"/>
        </w:rPr>
        <w:t>des Règlements</w:t>
      </w:r>
      <w:r>
        <w:rPr>
          <w:b/>
          <w:sz w:val="24"/>
          <w:szCs w:val="24"/>
        </w:rPr>
        <w:t xml:space="preserve"> </w:t>
      </w:r>
      <w:r>
        <w:rPr>
          <w:b/>
          <w:sz w:val="24"/>
          <w:szCs w:val="24"/>
        </w:rPr>
        <w:br/>
      </w:r>
      <w:r w:rsidRPr="00685843">
        <w:rPr>
          <w:b/>
          <w:sz w:val="24"/>
          <w:szCs w:val="24"/>
        </w:rPr>
        <w:t>concernant les véhicules</w:t>
      </w:r>
    </w:p>
    <w:p w14:paraId="006C177B" w14:textId="77777777" w:rsidR="00A133E3" w:rsidRDefault="00A133E3" w:rsidP="00A133E3">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4DCD6C4D" w14:textId="77777777" w:rsidR="00A133E3" w:rsidRPr="004F4EF4" w:rsidRDefault="00A133E3" w:rsidP="00A133E3">
      <w:pPr>
        <w:spacing w:before="120"/>
        <w:rPr>
          <w:b/>
          <w:lang w:val="fr-FR"/>
        </w:rPr>
      </w:pPr>
      <w:r>
        <w:rPr>
          <w:b/>
          <w:bCs/>
          <w:lang w:val="fr-FR"/>
        </w:rPr>
        <w:t>Dix-huitième session</w:t>
      </w:r>
    </w:p>
    <w:p w14:paraId="5CC09CAA" w14:textId="77777777" w:rsidR="00A133E3" w:rsidRPr="004F4EF4" w:rsidRDefault="00A133E3" w:rsidP="00A133E3">
      <w:pPr>
        <w:rPr>
          <w:lang w:val="fr-FR"/>
        </w:rPr>
      </w:pPr>
      <w:r>
        <w:rPr>
          <w:lang w:val="fr-FR"/>
        </w:rPr>
        <w:t>Genève, 22-26 janvier 2024</w:t>
      </w:r>
    </w:p>
    <w:p w14:paraId="64471121" w14:textId="74C51B66" w:rsidR="00A133E3" w:rsidRPr="004F4EF4" w:rsidRDefault="00A133E3" w:rsidP="00A133E3">
      <w:pPr>
        <w:rPr>
          <w:lang w:val="fr-FR"/>
        </w:rPr>
      </w:pPr>
      <w:r>
        <w:rPr>
          <w:lang w:val="fr-FR"/>
        </w:rPr>
        <w:t xml:space="preserve">Point </w:t>
      </w:r>
      <w:r w:rsidR="00C35B77">
        <w:rPr>
          <w:lang w:val="fr-FR"/>
        </w:rPr>
        <w:t>10</w:t>
      </w:r>
      <w:r>
        <w:rPr>
          <w:lang w:val="fr-FR"/>
        </w:rPr>
        <w:t xml:space="preserve"> de l’ordre du jour provisoire</w:t>
      </w:r>
    </w:p>
    <w:p w14:paraId="78CAFB6A" w14:textId="0312E11A" w:rsidR="00A133E3" w:rsidRPr="004F4EF4" w:rsidRDefault="00A133E3" w:rsidP="00A133E3">
      <w:pPr>
        <w:rPr>
          <w:b/>
          <w:bCs/>
          <w:lang w:val="fr-FR"/>
        </w:rPr>
      </w:pPr>
      <w:r>
        <w:rPr>
          <w:b/>
          <w:bCs/>
          <w:lang w:val="fr-FR"/>
        </w:rPr>
        <w:t xml:space="preserve">Règlement ONU </w:t>
      </w:r>
      <w:r w:rsidRPr="00055372">
        <w:rPr>
          <w:rFonts w:eastAsia="MS Mincho"/>
          <w:b/>
          <w:bCs/>
          <w:lang w:val="fr-FR"/>
        </w:rPr>
        <w:t>n</w:t>
      </w:r>
      <w:r w:rsidRPr="00055372">
        <w:rPr>
          <w:rFonts w:eastAsia="MS Mincho"/>
          <w:b/>
          <w:bCs/>
          <w:vertAlign w:val="superscript"/>
          <w:lang w:val="fr-FR"/>
        </w:rPr>
        <w:t>o</w:t>
      </w:r>
      <w:r>
        <w:rPr>
          <w:b/>
          <w:bCs/>
          <w:lang w:val="fr-FR"/>
        </w:rPr>
        <w:t> </w:t>
      </w:r>
      <w:r w:rsidR="00C35B77">
        <w:rPr>
          <w:b/>
          <w:bCs/>
          <w:lang w:val="fr-FR"/>
        </w:rPr>
        <w:t>90</w:t>
      </w:r>
    </w:p>
    <w:p w14:paraId="14C21413" w14:textId="756342CF" w:rsidR="00B64A1F" w:rsidRPr="0067343B" w:rsidRDefault="00B64A1F" w:rsidP="00A95D28">
      <w:pPr>
        <w:pStyle w:val="HChG"/>
        <w:rPr>
          <w:lang w:val="fr-FR"/>
        </w:rPr>
      </w:pPr>
      <w:r>
        <w:rPr>
          <w:lang w:val="fr-FR"/>
        </w:rPr>
        <w:tab/>
      </w:r>
      <w:r>
        <w:rPr>
          <w:lang w:val="fr-FR"/>
        </w:rPr>
        <w:tab/>
        <w:t xml:space="preserve">Proposition de complément à la série 02 d’amendements </w:t>
      </w:r>
      <w:r w:rsidR="00A95D28">
        <w:rPr>
          <w:lang w:val="fr-FR"/>
        </w:rPr>
        <w:br/>
      </w:r>
      <w:r>
        <w:rPr>
          <w:lang w:val="fr-FR"/>
        </w:rPr>
        <w:t xml:space="preserve">au Règlement ONU </w:t>
      </w:r>
      <w:r w:rsidR="009011DA" w:rsidRPr="009011DA">
        <w:rPr>
          <w:rFonts w:eastAsia="MS Mincho"/>
          <w:lang w:val="fr-FR"/>
        </w:rPr>
        <w:t>n</w:t>
      </w:r>
      <w:r w:rsidR="009011DA" w:rsidRPr="009011DA">
        <w:rPr>
          <w:rFonts w:eastAsia="MS Mincho"/>
          <w:vertAlign w:val="superscript"/>
          <w:lang w:val="fr-FR"/>
        </w:rPr>
        <w:t>o</w:t>
      </w:r>
      <w:r w:rsidR="009011DA">
        <w:rPr>
          <w:lang w:val="fr-FR"/>
        </w:rPr>
        <w:t> </w:t>
      </w:r>
      <w:r>
        <w:rPr>
          <w:lang w:val="fr-FR"/>
        </w:rPr>
        <w:t xml:space="preserve">90 (Pièces de rechange </w:t>
      </w:r>
      <w:r w:rsidR="00CD493E">
        <w:rPr>
          <w:lang w:val="fr-FR"/>
        </w:rPr>
        <w:br/>
      </w:r>
      <w:r>
        <w:rPr>
          <w:lang w:val="fr-FR"/>
        </w:rPr>
        <w:t>pour systèmes de freinage)</w:t>
      </w:r>
    </w:p>
    <w:p w14:paraId="7488E2F5" w14:textId="77777777" w:rsidR="00B64A1F" w:rsidRPr="0067343B" w:rsidRDefault="00B64A1F" w:rsidP="00A95D28">
      <w:pPr>
        <w:pStyle w:val="H1G"/>
        <w:rPr>
          <w:lang w:val="fr-FR"/>
        </w:rPr>
      </w:pPr>
      <w:r>
        <w:rPr>
          <w:lang w:val="fr-FR"/>
        </w:rPr>
        <w:tab/>
      </w:r>
      <w:r>
        <w:rPr>
          <w:lang w:val="fr-FR"/>
        </w:rPr>
        <w:tab/>
        <w:t xml:space="preserve">Communication de l’expert de la </w:t>
      </w:r>
      <w:proofErr w:type="spellStart"/>
      <w:r>
        <w:rPr>
          <w:lang w:val="fr-FR"/>
        </w:rPr>
        <w:t>Federation</w:t>
      </w:r>
      <w:proofErr w:type="spellEnd"/>
      <w:r>
        <w:rPr>
          <w:lang w:val="fr-FR"/>
        </w:rPr>
        <w:t xml:space="preserve"> of </w:t>
      </w:r>
      <w:proofErr w:type="spellStart"/>
      <w:r>
        <w:rPr>
          <w:lang w:val="fr-FR"/>
        </w:rPr>
        <w:t>European</w:t>
      </w:r>
      <w:proofErr w:type="spellEnd"/>
      <w:r>
        <w:rPr>
          <w:lang w:val="fr-FR"/>
        </w:rPr>
        <w:t xml:space="preserve"> </w:t>
      </w:r>
      <w:proofErr w:type="spellStart"/>
      <w:r>
        <w:rPr>
          <w:lang w:val="fr-FR"/>
        </w:rPr>
        <w:t>Manufacturers</w:t>
      </w:r>
      <w:proofErr w:type="spellEnd"/>
      <w:r>
        <w:rPr>
          <w:lang w:val="fr-FR"/>
        </w:rPr>
        <w:t xml:space="preserve"> of Friction Materials</w:t>
      </w:r>
      <w:r w:rsidRPr="009011DA">
        <w:rPr>
          <w:rStyle w:val="Appelnotedebasdep"/>
          <w:b w:val="0"/>
          <w:bCs/>
          <w:sz w:val="20"/>
          <w:vertAlign w:val="baseline"/>
          <w:lang w:val="fr-FR"/>
        </w:rPr>
        <w:footnoteReference w:customMarkFollows="1" w:id="2"/>
        <w:t>*</w:t>
      </w:r>
    </w:p>
    <w:p w14:paraId="4277CAD6" w14:textId="2083E6F2" w:rsidR="00B64A1F" w:rsidRPr="0067343B" w:rsidRDefault="00B64A1F" w:rsidP="00A95D28">
      <w:pPr>
        <w:pStyle w:val="SingleTxtG"/>
        <w:ind w:firstLine="567"/>
        <w:rPr>
          <w:b/>
          <w:sz w:val="28"/>
          <w:lang w:val="fr-FR"/>
        </w:rPr>
      </w:pPr>
      <w:r>
        <w:rPr>
          <w:lang w:val="fr-FR"/>
        </w:rPr>
        <w:tab/>
        <w:t xml:space="preserve">Le texte ci-après a été établi par l’expert de la </w:t>
      </w:r>
      <w:proofErr w:type="spellStart"/>
      <w:r>
        <w:rPr>
          <w:lang w:val="fr-FR"/>
        </w:rPr>
        <w:t>Federation</w:t>
      </w:r>
      <w:proofErr w:type="spellEnd"/>
      <w:r>
        <w:rPr>
          <w:lang w:val="fr-FR"/>
        </w:rPr>
        <w:t xml:space="preserve"> of </w:t>
      </w:r>
      <w:proofErr w:type="spellStart"/>
      <w:r>
        <w:rPr>
          <w:lang w:val="fr-FR"/>
        </w:rPr>
        <w:t>European</w:t>
      </w:r>
      <w:proofErr w:type="spellEnd"/>
      <w:r>
        <w:rPr>
          <w:lang w:val="fr-FR"/>
        </w:rPr>
        <w:t xml:space="preserve"> </w:t>
      </w:r>
      <w:proofErr w:type="spellStart"/>
      <w:r>
        <w:rPr>
          <w:lang w:val="fr-FR"/>
        </w:rPr>
        <w:t>Manufacturers</w:t>
      </w:r>
      <w:proofErr w:type="spellEnd"/>
      <w:r>
        <w:rPr>
          <w:lang w:val="fr-FR"/>
        </w:rPr>
        <w:t xml:space="preserve"> of Friction Materials (FEMFM). Il est fondé sur le document informel GRVA-17-45, qui contient une proposition de la FEMFM visant à inscrire dans le Règlement ONU </w:t>
      </w:r>
      <w:r w:rsidR="0034072C" w:rsidRPr="0034072C">
        <w:rPr>
          <w:rFonts w:eastAsia="MS Mincho"/>
          <w:lang w:val="fr-FR"/>
        </w:rPr>
        <w:t>n</w:t>
      </w:r>
      <w:r w:rsidR="0034072C" w:rsidRPr="0034072C">
        <w:rPr>
          <w:rFonts w:eastAsia="MS Mincho"/>
          <w:vertAlign w:val="superscript"/>
          <w:lang w:val="fr-FR"/>
        </w:rPr>
        <w:t>o</w:t>
      </w:r>
      <w:r w:rsidR="0034072C">
        <w:rPr>
          <w:lang w:val="fr-FR"/>
        </w:rPr>
        <w:t> </w:t>
      </w:r>
      <w:r>
        <w:rPr>
          <w:lang w:val="fr-FR"/>
        </w:rPr>
        <w:t>90 la possibilité d’utiliser un code QR (ou un autre type de support de données numériques) en complément d’informations figurant sur l’emballage, si cela s’avère nécessaire. Les modifications qu’il est proposé d’apporter au texte actuel du Règlement figurent en caractères gras pour les ajouts et biffés pour les suppressions.</w:t>
      </w:r>
    </w:p>
    <w:p w14:paraId="08AD5B12" w14:textId="77777777" w:rsidR="00B64A1F" w:rsidRPr="0067343B" w:rsidRDefault="00B64A1F" w:rsidP="00B64A1F">
      <w:pPr>
        <w:pStyle w:val="Sansinterligne"/>
        <w:ind w:left="0"/>
        <w:rPr>
          <w:rFonts w:ascii="Times New Roman" w:hAnsi="Times New Roman" w:cs="Times New Roman"/>
          <w:b/>
          <w:bCs/>
          <w:sz w:val="28"/>
          <w:szCs w:val="28"/>
          <w:lang w:val="fr-FR"/>
        </w:rPr>
      </w:pPr>
      <w:r w:rsidRPr="0067343B">
        <w:rPr>
          <w:rFonts w:ascii="Times New Roman" w:hAnsi="Times New Roman" w:cs="Times New Roman"/>
          <w:b/>
          <w:bCs/>
          <w:sz w:val="28"/>
          <w:szCs w:val="28"/>
          <w:lang w:val="fr-FR"/>
        </w:rPr>
        <w:br w:type="page"/>
      </w:r>
    </w:p>
    <w:p w14:paraId="7D8B8785" w14:textId="1E734C36" w:rsidR="00B64A1F" w:rsidRPr="00EB756A" w:rsidRDefault="00B64A1F" w:rsidP="00B64A1F">
      <w:pPr>
        <w:pStyle w:val="HChG"/>
        <w:rPr>
          <w:lang w:val="fr-FR"/>
        </w:rPr>
      </w:pPr>
      <w:r>
        <w:rPr>
          <w:lang w:val="fr-FR"/>
        </w:rPr>
        <w:lastRenderedPageBreak/>
        <w:tab/>
      </w:r>
      <w:r w:rsidRPr="00EB756A">
        <w:rPr>
          <w:lang w:val="fr-FR"/>
        </w:rPr>
        <w:t>I.</w:t>
      </w:r>
      <w:r w:rsidRPr="00EB756A">
        <w:rPr>
          <w:lang w:val="fr-FR"/>
        </w:rPr>
        <w:tab/>
        <w:t>Proposition</w:t>
      </w:r>
    </w:p>
    <w:p w14:paraId="6CDAEC2E" w14:textId="07713E65" w:rsidR="00B64A1F" w:rsidRPr="00EB756A" w:rsidRDefault="00B64A1F" w:rsidP="00B64A1F">
      <w:pPr>
        <w:pStyle w:val="SingleTxtG"/>
        <w:keepNext/>
        <w:rPr>
          <w:lang w:val="fr-FR"/>
        </w:rPr>
      </w:pPr>
      <w:r w:rsidRPr="00B64A1F">
        <w:rPr>
          <w:i/>
          <w:iCs/>
          <w:lang w:val="fr-FR"/>
        </w:rPr>
        <w:t>Paragraphe 6.2.1.5</w:t>
      </w:r>
      <w:r w:rsidRPr="00EB756A">
        <w:rPr>
          <w:lang w:val="fr-FR"/>
        </w:rPr>
        <w:t>, lire</w:t>
      </w:r>
      <w:r>
        <w:rPr>
          <w:lang w:val="fr-FR"/>
        </w:rPr>
        <w:t> :</w:t>
      </w:r>
    </w:p>
    <w:p w14:paraId="25A38C16" w14:textId="5CA52EEE" w:rsidR="00B64A1F" w:rsidRPr="00EB756A" w:rsidRDefault="00B64A1F" w:rsidP="00B64A1F">
      <w:pPr>
        <w:pStyle w:val="SingleTxtG"/>
        <w:ind w:left="2268" w:hanging="1134"/>
        <w:rPr>
          <w:lang w:val="fr-FR"/>
        </w:rPr>
      </w:pPr>
      <w:r>
        <w:rPr>
          <w:lang w:val="fr-FR"/>
        </w:rPr>
        <w:t>«</w:t>
      </w:r>
      <w:r>
        <w:rPr>
          <w:lang w:val="fr-FR"/>
        </w:rPr>
        <w:t> </w:t>
      </w:r>
      <w:r w:rsidRPr="003F117B">
        <w:rPr>
          <w:lang w:val="fr-FR"/>
        </w:rPr>
        <w:t>6.2.1.5</w:t>
      </w:r>
      <w:r w:rsidRPr="003F117B">
        <w:rPr>
          <w:lang w:val="fr-FR"/>
        </w:rPr>
        <w:tab/>
      </w:r>
      <w:r>
        <w:rPr>
          <w:lang w:val="fr-FR"/>
        </w:rPr>
        <w:t xml:space="preserve">Si nécessaire, il est permis de </w:t>
      </w:r>
      <w:r>
        <w:rPr>
          <w:b/>
          <w:bCs/>
          <w:lang w:val="fr-FR"/>
        </w:rPr>
        <w:t>fournir</w:t>
      </w:r>
      <w:r w:rsidRPr="002E33BD">
        <w:rPr>
          <w:b/>
          <w:bCs/>
          <w:strike/>
          <w:lang w:val="fr-FR"/>
        </w:rPr>
        <w:t xml:space="preserve"> </w:t>
      </w:r>
      <w:r w:rsidRPr="003F117B">
        <w:rPr>
          <w:strike/>
          <w:lang w:val="fr-FR"/>
        </w:rPr>
        <w:t>compléter</w:t>
      </w:r>
      <w:r>
        <w:rPr>
          <w:lang w:val="fr-FR"/>
        </w:rPr>
        <w:t xml:space="preserve"> les</w:t>
      </w:r>
      <w:r>
        <w:rPr>
          <w:b/>
          <w:bCs/>
          <w:lang w:val="fr-FR"/>
        </w:rPr>
        <w:t xml:space="preserve"> compléments d’</w:t>
      </w:r>
      <w:r>
        <w:rPr>
          <w:lang w:val="fr-FR"/>
        </w:rPr>
        <w:t>information</w:t>
      </w:r>
      <w:r w:rsidRPr="00D222A7">
        <w:rPr>
          <w:strike/>
          <w:lang w:val="fr-FR"/>
        </w:rPr>
        <w:t>s</w:t>
      </w:r>
      <w:r>
        <w:rPr>
          <w:lang w:val="fr-FR"/>
        </w:rPr>
        <w:t xml:space="preserve"> prescrit</w:t>
      </w:r>
      <w:r w:rsidRPr="00D222A7">
        <w:rPr>
          <w:strike/>
          <w:lang w:val="fr-FR"/>
        </w:rPr>
        <w:t>e</w:t>
      </w:r>
      <w:r>
        <w:rPr>
          <w:lang w:val="fr-FR"/>
        </w:rPr>
        <w:t>s aux paragraphes </w:t>
      </w:r>
      <w:r>
        <w:rPr>
          <w:b/>
          <w:bCs/>
          <w:lang w:val="fr-FR"/>
        </w:rPr>
        <w:t xml:space="preserve">6.1.3.4., 6.1.4, </w:t>
      </w:r>
      <w:r>
        <w:rPr>
          <w:lang w:val="fr-FR"/>
        </w:rPr>
        <w:t xml:space="preserve">6.2.1.2 et 6.2.1.3 au moyen d’un </w:t>
      </w:r>
      <w:r>
        <w:rPr>
          <w:b/>
          <w:bCs/>
          <w:lang w:val="fr-FR"/>
        </w:rPr>
        <w:t xml:space="preserve">support matériel imprimé, d’un </w:t>
      </w:r>
      <w:r>
        <w:rPr>
          <w:lang w:val="fr-FR"/>
        </w:rPr>
        <w:t xml:space="preserve">code QR, d’un lien Web ou d’un autre type de support numérique </w:t>
      </w:r>
      <w:r w:rsidRPr="00EF5380">
        <w:rPr>
          <w:lang w:val="fr-FR"/>
        </w:rPr>
        <w:t>qui doit être placé, imprimé ou gravé de manière visible, clairement lisible et indélébile sur l</w:t>
      </w:r>
      <w:r>
        <w:rPr>
          <w:lang w:val="fr-FR"/>
        </w:rPr>
        <w:t>’</w:t>
      </w:r>
      <w:r w:rsidRPr="00EF5380">
        <w:rPr>
          <w:lang w:val="fr-FR"/>
        </w:rPr>
        <w:t>emballage</w:t>
      </w:r>
      <w:r>
        <w:rPr>
          <w:lang w:val="fr-FR"/>
        </w:rPr>
        <w:t xml:space="preserve">. </w:t>
      </w:r>
      <w:r w:rsidRPr="00EF5380">
        <w:rPr>
          <w:lang w:val="fr-FR"/>
        </w:rPr>
        <w:t xml:space="preserve">Si </w:t>
      </w:r>
      <w:r>
        <w:rPr>
          <w:b/>
          <w:bCs/>
          <w:lang w:val="fr-FR"/>
        </w:rPr>
        <w:t xml:space="preserve">plus de trois modèles de véhicule doivent être référencés, </w:t>
      </w:r>
      <w:r w:rsidRPr="00EF5380">
        <w:rPr>
          <w:lang w:val="fr-FR"/>
        </w:rPr>
        <w:t xml:space="preserve">un support </w:t>
      </w:r>
      <w:r w:rsidRPr="0067343B">
        <w:rPr>
          <w:strike/>
          <w:lang w:val="fr-FR"/>
        </w:rPr>
        <w:t>numérique</w:t>
      </w:r>
      <w:r w:rsidRPr="00EF5380">
        <w:rPr>
          <w:lang w:val="fr-FR"/>
        </w:rPr>
        <w:t xml:space="preserve"> </w:t>
      </w:r>
      <w:r>
        <w:rPr>
          <w:b/>
          <w:bCs/>
          <w:lang w:val="fr-FR"/>
        </w:rPr>
        <w:t xml:space="preserve">matériel ou numérique </w:t>
      </w:r>
      <w:r w:rsidRPr="00EF5380">
        <w:rPr>
          <w:lang w:val="fr-FR"/>
        </w:rPr>
        <w:t>est utilisé</w:t>
      </w:r>
      <w:r>
        <w:rPr>
          <w:b/>
          <w:bCs/>
          <w:lang w:val="fr-FR"/>
        </w:rPr>
        <w:t xml:space="preserve"> pour apporter les compléments d’information nécessaires, sous la forme d’un pictogramme représentant un support matériel</w:t>
      </w:r>
      <w:r w:rsidRPr="00EF5380">
        <w:rPr>
          <w:lang w:val="fr-FR"/>
        </w:rPr>
        <w:t xml:space="preserve">, </w:t>
      </w:r>
      <w:r w:rsidRPr="003F117B">
        <w:rPr>
          <w:strike/>
          <w:lang w:val="fr-FR"/>
        </w:rPr>
        <w:t>la mention “Liste complète des modèles homologués” doit être imprimée à proximité du</w:t>
      </w:r>
      <w:r>
        <w:rPr>
          <w:lang w:val="fr-FR"/>
        </w:rPr>
        <w:t xml:space="preserve"> </w:t>
      </w:r>
      <w:r w:rsidRPr="00C97E3C">
        <w:rPr>
          <w:b/>
          <w:bCs/>
          <w:lang w:val="fr-FR"/>
        </w:rPr>
        <w:t>d</w:t>
      </w:r>
      <w:r>
        <w:rPr>
          <w:b/>
          <w:bCs/>
          <w:lang w:val="fr-FR"/>
        </w:rPr>
        <w:t xml:space="preserve">’un </w:t>
      </w:r>
      <w:r w:rsidRPr="00EF5380">
        <w:rPr>
          <w:lang w:val="fr-FR"/>
        </w:rPr>
        <w:t xml:space="preserve">code QR, </w:t>
      </w:r>
      <w:r w:rsidRPr="003F117B">
        <w:rPr>
          <w:strike/>
          <w:lang w:val="fr-FR"/>
        </w:rPr>
        <w:t>du</w:t>
      </w:r>
      <w:r w:rsidRPr="003F117B">
        <w:rPr>
          <w:lang w:val="fr-FR"/>
        </w:rPr>
        <w:t xml:space="preserve"> </w:t>
      </w:r>
      <w:r>
        <w:rPr>
          <w:b/>
          <w:bCs/>
          <w:lang w:val="fr-FR"/>
        </w:rPr>
        <w:t>d’un</w:t>
      </w:r>
      <w:r w:rsidRPr="00EF5380">
        <w:rPr>
          <w:lang w:val="fr-FR"/>
        </w:rPr>
        <w:t xml:space="preserve"> lien Web ou </w:t>
      </w:r>
      <w:r w:rsidRPr="00C97E3C">
        <w:rPr>
          <w:lang w:val="fr-FR"/>
        </w:rPr>
        <w:t>de</w:t>
      </w:r>
      <w:r w:rsidRPr="00EF5380">
        <w:rPr>
          <w:lang w:val="fr-FR"/>
        </w:rPr>
        <w:t xml:space="preserve"> tout autre support numérique</w:t>
      </w:r>
      <w:r>
        <w:rPr>
          <w:b/>
          <w:bCs/>
          <w:lang w:val="fr-FR"/>
        </w:rPr>
        <w:t xml:space="preserve">. La </w:t>
      </w:r>
      <w:r w:rsidRPr="003F117B">
        <w:rPr>
          <w:b/>
          <w:bCs/>
          <w:lang w:val="fr-FR"/>
        </w:rPr>
        <w:t>mention “Liste complète des modèles homologués” doit être imprimée</w:t>
      </w:r>
      <w:r>
        <w:rPr>
          <w:b/>
          <w:bCs/>
          <w:lang w:val="fr-FR"/>
        </w:rPr>
        <w:t xml:space="preserve"> à proximité</w:t>
      </w:r>
      <w:r w:rsidRPr="00EF5380">
        <w:rPr>
          <w:lang w:val="fr-FR"/>
        </w:rPr>
        <w:t xml:space="preserve">. La </w:t>
      </w:r>
      <w:r w:rsidRPr="003F117B">
        <w:rPr>
          <w:strike/>
          <w:lang w:val="fr-FR"/>
        </w:rPr>
        <w:t>version numérique de cette</w:t>
      </w:r>
      <w:r w:rsidRPr="00EF5380">
        <w:rPr>
          <w:lang w:val="fr-FR"/>
        </w:rPr>
        <w:t xml:space="preserve"> liste </w:t>
      </w:r>
      <w:r>
        <w:rPr>
          <w:b/>
          <w:bCs/>
          <w:lang w:val="fr-FR"/>
        </w:rPr>
        <w:t xml:space="preserve">des trois modèles principaux de véhicule </w:t>
      </w:r>
      <w:r w:rsidRPr="00EF5380">
        <w:rPr>
          <w:lang w:val="fr-FR"/>
        </w:rPr>
        <w:t>doit être proposée dans un format imprimable et doit être disponible pendant toute la durée de vie du produit</w:t>
      </w:r>
      <w:r w:rsidRPr="003F117B">
        <w:rPr>
          <w:strike/>
          <w:lang w:val="fr-FR"/>
        </w:rPr>
        <w:t>, et au moins 5 ans à compter du moment où la production est définitivement arrêtée. Le consommateur ne doit pas avoir à communiquer des données personnelles avant de pouvoir accéder à la liste numérique</w:t>
      </w:r>
      <w:r w:rsidRPr="00EF5380">
        <w:rPr>
          <w:lang w:val="fr-FR"/>
        </w:rPr>
        <w:t>.</w:t>
      </w:r>
      <w:r>
        <w:rPr>
          <w:lang w:val="fr-FR"/>
        </w:rPr>
        <w:t> ».</w:t>
      </w:r>
    </w:p>
    <w:p w14:paraId="0E41E6B6" w14:textId="07D82E03" w:rsidR="00B64A1F" w:rsidRPr="0067343B" w:rsidRDefault="00B64A1F" w:rsidP="00B64A1F">
      <w:pPr>
        <w:pStyle w:val="HChG"/>
        <w:rPr>
          <w:lang w:val="fr-FR"/>
        </w:rPr>
      </w:pPr>
      <w:r>
        <w:rPr>
          <w:lang w:val="fr-FR"/>
        </w:rPr>
        <w:tab/>
      </w:r>
      <w:r>
        <w:rPr>
          <w:lang w:val="fr-FR"/>
        </w:rPr>
        <w:t>II.</w:t>
      </w:r>
      <w:r>
        <w:rPr>
          <w:lang w:val="fr-FR"/>
        </w:rPr>
        <w:tab/>
        <w:t>Justification</w:t>
      </w:r>
    </w:p>
    <w:p w14:paraId="113C88DF" w14:textId="49AF5A0C" w:rsidR="00B64A1F" w:rsidRPr="0067343B" w:rsidRDefault="00B64A1F" w:rsidP="00B64A1F">
      <w:pPr>
        <w:pStyle w:val="SingleTxtG"/>
        <w:rPr>
          <w:lang w:val="fr-FR"/>
        </w:rPr>
      </w:pPr>
      <w:r>
        <w:rPr>
          <w:lang w:val="fr-FR"/>
        </w:rPr>
        <w:t>1.</w:t>
      </w:r>
      <w:r>
        <w:rPr>
          <w:lang w:val="fr-FR"/>
        </w:rPr>
        <w:tab/>
        <w:t>S’agissant des informations complémentaires requises par le nouveau paragraphe</w:t>
      </w:r>
      <w:r w:rsidR="00517199">
        <w:rPr>
          <w:lang w:val="fr-FR"/>
        </w:rPr>
        <w:t> </w:t>
      </w:r>
      <w:r>
        <w:rPr>
          <w:lang w:val="fr-FR"/>
        </w:rPr>
        <w:t xml:space="preserve">6.2.1.5 proposé, qui peuvent être fournies sur des supports matériels ou au moyen de supports ou formats de données numériques ou d’autres technologies futures, il convient de souligner que, conformément au Règlement ONU </w:t>
      </w:r>
      <w:r w:rsidR="00517199" w:rsidRPr="00517199">
        <w:rPr>
          <w:rFonts w:eastAsia="MS Mincho"/>
          <w:lang w:val="fr-FR"/>
        </w:rPr>
        <w:t>n</w:t>
      </w:r>
      <w:r w:rsidR="00517199" w:rsidRPr="00517199">
        <w:rPr>
          <w:rFonts w:eastAsia="MS Mincho"/>
          <w:vertAlign w:val="superscript"/>
          <w:lang w:val="fr-FR"/>
        </w:rPr>
        <w:t>o</w:t>
      </w:r>
      <w:r w:rsidR="00517199">
        <w:rPr>
          <w:lang w:val="fr-FR"/>
        </w:rPr>
        <w:t> </w:t>
      </w:r>
      <w:r>
        <w:rPr>
          <w:lang w:val="fr-FR"/>
        </w:rPr>
        <w:t>90, la responsabilité du respect de toutes les prescriptions en matière de marquage et d’étiquetage incombe exclusivement au détenteur de l’homologation du type, c’est-à-dire au fabricant de la pièce de rechange ou à son représentant dûment accrédité.</w:t>
      </w:r>
    </w:p>
    <w:p w14:paraId="5A5B81B1" w14:textId="77777777" w:rsidR="00B64A1F" w:rsidRPr="0067343B" w:rsidRDefault="00B64A1F" w:rsidP="00B64A1F">
      <w:pPr>
        <w:pStyle w:val="SingleTxtG"/>
        <w:rPr>
          <w:lang w:val="fr-FR"/>
        </w:rPr>
      </w:pPr>
      <w:r>
        <w:rPr>
          <w:lang w:val="fr-FR"/>
        </w:rPr>
        <w:t>2.</w:t>
      </w:r>
      <w:r>
        <w:rPr>
          <w:lang w:val="fr-FR"/>
        </w:rPr>
        <w:tab/>
        <w:t xml:space="preserve">Le détenteur de l’homologation du type (fabricant de pièces de rechange) est légalement tenu d’apposer les informations requises sur son produit. Les propriétaires de marques commerciales ou les grossistes ou distributeurs du produit doivent toutefois pouvoir s’appuyer sur une liste de modèles de véhicule correcte et exhaustive et en vérifier l’exactitude. </w:t>
      </w:r>
    </w:p>
    <w:p w14:paraId="038B435D" w14:textId="60287EFD" w:rsidR="00B64A1F" w:rsidRPr="0067343B" w:rsidRDefault="00B64A1F" w:rsidP="00B64A1F">
      <w:pPr>
        <w:pStyle w:val="SingleTxtG"/>
        <w:rPr>
          <w:lang w:val="fr-FR"/>
        </w:rPr>
      </w:pPr>
      <w:r>
        <w:rPr>
          <w:lang w:val="fr-FR"/>
        </w:rPr>
        <w:t>3.</w:t>
      </w:r>
      <w:r>
        <w:rPr>
          <w:lang w:val="fr-FR"/>
        </w:rPr>
        <w:tab/>
        <w:t xml:space="preserve">Étant donné que la liste des modèles de véhicule n’est qu’une des nombreuses exigences du Règlement ONU </w:t>
      </w:r>
      <w:r w:rsidR="003267B7" w:rsidRPr="003267B7">
        <w:rPr>
          <w:rFonts w:eastAsia="MS Mincho"/>
          <w:lang w:val="fr-FR"/>
        </w:rPr>
        <w:t>n</w:t>
      </w:r>
      <w:r w:rsidR="003267B7" w:rsidRPr="003267B7">
        <w:rPr>
          <w:rFonts w:eastAsia="MS Mincho"/>
          <w:vertAlign w:val="superscript"/>
          <w:lang w:val="fr-FR"/>
        </w:rPr>
        <w:t>o</w:t>
      </w:r>
      <w:r w:rsidR="003267B7">
        <w:rPr>
          <w:lang w:val="fr-FR"/>
        </w:rPr>
        <w:t> </w:t>
      </w:r>
      <w:r>
        <w:rPr>
          <w:lang w:val="fr-FR"/>
        </w:rPr>
        <w:t xml:space="preserve">90 concernant l’étiquetage et le marquage des produits, et afin de permettre l’identification directe et visuelle des pièces, au moins trois modèles de véhicule doivent être indiqués sous forme imprimée. Cela permet de toujours pouvoir identifier </w:t>
      </w:r>
      <w:r w:rsidR="003267B7">
        <w:rPr>
          <w:lang w:val="fr-FR"/>
        </w:rPr>
        <w:t>l</w:t>
      </w:r>
      <w:r>
        <w:rPr>
          <w:lang w:val="fr-FR"/>
        </w:rPr>
        <w:t xml:space="preserve">e produit, même si les informations complémentaires sont fournies sur un support matériel ou numérique distinct. </w:t>
      </w:r>
    </w:p>
    <w:p w14:paraId="7449B983" w14:textId="5359396D" w:rsidR="00F9573C" w:rsidRDefault="00B64A1F" w:rsidP="00B64A1F">
      <w:pPr>
        <w:pStyle w:val="SingleTxtG"/>
        <w:rPr>
          <w:lang w:val="fr-FR"/>
        </w:rPr>
      </w:pPr>
      <w:r>
        <w:rPr>
          <w:lang w:val="fr-FR"/>
        </w:rPr>
        <w:t>4.</w:t>
      </w:r>
      <w:r>
        <w:rPr>
          <w:lang w:val="fr-FR"/>
        </w:rPr>
        <w:tab/>
        <w:t xml:space="preserve">Les modifications qu’il est proposé d’apporter au paragraphe 6.2.1.5 en tant que complément à la série 02 d’amendements au Règlement ONU </w:t>
      </w:r>
      <w:r w:rsidR="003267B7" w:rsidRPr="003267B7">
        <w:rPr>
          <w:rFonts w:eastAsia="MS Mincho"/>
          <w:lang w:val="fr-FR"/>
        </w:rPr>
        <w:t>n</w:t>
      </w:r>
      <w:r w:rsidR="003267B7" w:rsidRPr="003267B7">
        <w:rPr>
          <w:rFonts w:eastAsia="MS Mincho"/>
          <w:vertAlign w:val="superscript"/>
          <w:lang w:val="fr-FR"/>
        </w:rPr>
        <w:t>o</w:t>
      </w:r>
      <w:r w:rsidR="003267B7">
        <w:rPr>
          <w:lang w:val="fr-FR"/>
        </w:rPr>
        <w:t> </w:t>
      </w:r>
      <w:r>
        <w:rPr>
          <w:lang w:val="fr-FR"/>
        </w:rPr>
        <w:t>90 visent cette finalité en incluant différents niveaux de technologie, ce qui permet à l’utilisateur final de recevoir les informations minimales nécessaires sur la pièce détachée, quels que soient le débit et la qualité de la connexion à Internet dans le pays de chaque Partie contractante.</w:t>
      </w:r>
    </w:p>
    <w:p w14:paraId="20FCE856" w14:textId="76E81B1F" w:rsidR="00346EA7" w:rsidRPr="00346EA7" w:rsidRDefault="00346EA7" w:rsidP="00346EA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46EA7" w:rsidRPr="00346EA7" w:rsidSect="00A133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943A" w14:textId="77777777" w:rsidR="00252755" w:rsidRDefault="00252755" w:rsidP="00F95C08">
      <w:pPr>
        <w:spacing w:line="240" w:lineRule="auto"/>
      </w:pPr>
    </w:p>
  </w:endnote>
  <w:endnote w:type="continuationSeparator" w:id="0">
    <w:p w14:paraId="03E8A28B" w14:textId="77777777" w:rsidR="00252755" w:rsidRPr="00AC3823" w:rsidRDefault="00252755" w:rsidP="00AC3823">
      <w:pPr>
        <w:pStyle w:val="Pieddepage"/>
      </w:pPr>
    </w:p>
  </w:endnote>
  <w:endnote w:type="continuationNotice" w:id="1">
    <w:p w14:paraId="221B2311" w14:textId="77777777" w:rsidR="00252755" w:rsidRDefault="002527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D207" w14:textId="62EA356F" w:rsidR="00A133E3" w:rsidRPr="00A133E3" w:rsidRDefault="00A133E3" w:rsidP="00A133E3">
    <w:pPr>
      <w:pStyle w:val="Pieddepage"/>
      <w:tabs>
        <w:tab w:val="right" w:pos="9638"/>
      </w:tabs>
    </w:pPr>
    <w:r w:rsidRPr="00A133E3">
      <w:rPr>
        <w:b/>
        <w:sz w:val="18"/>
      </w:rPr>
      <w:fldChar w:fldCharType="begin"/>
    </w:r>
    <w:r w:rsidRPr="00A133E3">
      <w:rPr>
        <w:b/>
        <w:sz w:val="18"/>
      </w:rPr>
      <w:instrText xml:space="preserve"> PAGE  \* MERGEFORMAT </w:instrText>
    </w:r>
    <w:r w:rsidRPr="00A133E3">
      <w:rPr>
        <w:b/>
        <w:sz w:val="18"/>
      </w:rPr>
      <w:fldChar w:fldCharType="separate"/>
    </w:r>
    <w:r w:rsidRPr="00A133E3">
      <w:rPr>
        <w:b/>
        <w:noProof/>
        <w:sz w:val="18"/>
      </w:rPr>
      <w:t>2</w:t>
    </w:r>
    <w:r w:rsidRPr="00A133E3">
      <w:rPr>
        <w:b/>
        <w:sz w:val="18"/>
      </w:rPr>
      <w:fldChar w:fldCharType="end"/>
    </w:r>
    <w:r>
      <w:rPr>
        <w:b/>
        <w:sz w:val="18"/>
      </w:rPr>
      <w:tab/>
    </w:r>
    <w:r>
      <w:t>GE.23-21844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8648" w14:textId="7A5E3ECC" w:rsidR="00A133E3" w:rsidRPr="00A133E3" w:rsidRDefault="00A133E3" w:rsidP="00A133E3">
    <w:pPr>
      <w:pStyle w:val="Pieddepage"/>
      <w:tabs>
        <w:tab w:val="right" w:pos="9638"/>
      </w:tabs>
      <w:rPr>
        <w:b/>
        <w:sz w:val="18"/>
      </w:rPr>
    </w:pPr>
    <w:r>
      <w:t>GE.23-21844</w:t>
    </w:r>
    <w:r>
      <w:tab/>
    </w:r>
    <w:r w:rsidRPr="00A133E3">
      <w:rPr>
        <w:b/>
        <w:sz w:val="18"/>
      </w:rPr>
      <w:fldChar w:fldCharType="begin"/>
    </w:r>
    <w:r w:rsidRPr="00A133E3">
      <w:rPr>
        <w:b/>
        <w:sz w:val="18"/>
      </w:rPr>
      <w:instrText xml:space="preserve"> PAGE  \* MERGEFORMAT </w:instrText>
    </w:r>
    <w:r w:rsidRPr="00A133E3">
      <w:rPr>
        <w:b/>
        <w:sz w:val="18"/>
      </w:rPr>
      <w:fldChar w:fldCharType="separate"/>
    </w:r>
    <w:r w:rsidRPr="00A133E3">
      <w:rPr>
        <w:b/>
        <w:noProof/>
        <w:sz w:val="18"/>
      </w:rPr>
      <w:t>3</w:t>
    </w:r>
    <w:r w:rsidRPr="00A133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A977" w14:textId="1A0056BC" w:rsidR="007F20FA" w:rsidRPr="00A133E3" w:rsidRDefault="00A133E3" w:rsidP="00A133E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19ACB15" wp14:editId="116106A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23-21844  (F)</w:t>
    </w:r>
    <w:r>
      <w:rPr>
        <w:noProof/>
        <w:sz w:val="20"/>
      </w:rPr>
      <w:drawing>
        <wp:anchor distT="0" distB="0" distL="114300" distR="114300" simplePos="0" relativeHeight="251660288" behindDoc="0" locked="0" layoutInCell="1" allowOverlap="1" wp14:anchorId="4A79C1ED" wp14:editId="2876B04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291123    291123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26B6" w14:textId="77777777" w:rsidR="00252755" w:rsidRPr="00AC3823" w:rsidRDefault="00252755" w:rsidP="00AC3823">
      <w:pPr>
        <w:pStyle w:val="Pieddepage"/>
        <w:tabs>
          <w:tab w:val="right" w:pos="2155"/>
        </w:tabs>
        <w:spacing w:after="80" w:line="240" w:lineRule="atLeast"/>
        <w:ind w:left="680"/>
        <w:rPr>
          <w:u w:val="single"/>
        </w:rPr>
      </w:pPr>
      <w:r>
        <w:rPr>
          <w:u w:val="single"/>
        </w:rPr>
        <w:tab/>
      </w:r>
    </w:p>
  </w:footnote>
  <w:footnote w:type="continuationSeparator" w:id="0">
    <w:p w14:paraId="2EC09CB1" w14:textId="77777777" w:rsidR="00252755" w:rsidRPr="00AC3823" w:rsidRDefault="00252755" w:rsidP="00AC3823">
      <w:pPr>
        <w:pStyle w:val="Pieddepage"/>
        <w:tabs>
          <w:tab w:val="right" w:pos="2155"/>
        </w:tabs>
        <w:spacing w:after="80" w:line="240" w:lineRule="atLeast"/>
        <w:ind w:left="680"/>
        <w:rPr>
          <w:u w:val="single"/>
        </w:rPr>
      </w:pPr>
      <w:r>
        <w:rPr>
          <w:u w:val="single"/>
        </w:rPr>
        <w:tab/>
      </w:r>
    </w:p>
  </w:footnote>
  <w:footnote w:type="continuationNotice" w:id="1">
    <w:p w14:paraId="1BE9FF8E" w14:textId="77777777" w:rsidR="00252755" w:rsidRPr="00AC3823" w:rsidRDefault="00252755">
      <w:pPr>
        <w:spacing w:line="240" w:lineRule="auto"/>
        <w:rPr>
          <w:sz w:val="2"/>
          <w:szCs w:val="2"/>
        </w:rPr>
      </w:pPr>
    </w:p>
  </w:footnote>
  <w:footnote w:id="2">
    <w:p w14:paraId="7CFB7710" w14:textId="77777777" w:rsidR="00B64A1F" w:rsidRPr="0067343B" w:rsidRDefault="00B64A1F" w:rsidP="00B64A1F">
      <w:pPr>
        <w:pStyle w:val="Notedebasdepage"/>
        <w:rPr>
          <w:lang w:val="fr-FR"/>
        </w:rPr>
      </w:pPr>
      <w:r>
        <w:rPr>
          <w:lang w:val="fr-FR"/>
        </w:rPr>
        <w:tab/>
      </w:r>
      <w:r w:rsidRPr="00B64A1F">
        <w:rPr>
          <w:sz w:val="20"/>
          <w:lang w:val="fr-FR"/>
        </w:rPr>
        <w:t>*</w:t>
      </w:r>
      <w:r>
        <w:rPr>
          <w:lang w:val="fr-FR"/>
        </w:rPr>
        <w:tab/>
        <w:t>Conformément au programme de travail du Comité des transports intérieurs pour 2024 tel qu’il figure dans le projet de budget-programme pour 2024 (A/78/6 (Sect. 20), par.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E122" w14:textId="134BA405" w:rsidR="00A133E3" w:rsidRPr="00A133E3" w:rsidRDefault="00A133E3">
    <w:pPr>
      <w:pStyle w:val="En-tte"/>
    </w:pPr>
    <w:fldSimple w:instr=" TITLE  \* MERGEFORMAT ">
      <w:r w:rsidR="00492762">
        <w:t>ECE/TRANS/WP.29/GRVA/2024/11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D0F7" w14:textId="487BFA4E" w:rsidR="00A133E3" w:rsidRPr="00A133E3" w:rsidRDefault="00A133E3" w:rsidP="00A133E3">
    <w:pPr>
      <w:pStyle w:val="En-tte"/>
      <w:jc w:val="right"/>
    </w:pPr>
    <w:fldSimple w:instr=" TITLE  \* MERGEFORMAT ">
      <w:r w:rsidR="00492762">
        <w:t>ECE/TRANS/WP.29/GRVA/2024/11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63529421">
    <w:abstractNumId w:val="12"/>
  </w:num>
  <w:num w:numId="2" w16cid:durableId="117728383">
    <w:abstractNumId w:val="11"/>
  </w:num>
  <w:num w:numId="3" w16cid:durableId="709888942">
    <w:abstractNumId w:val="10"/>
  </w:num>
  <w:num w:numId="4" w16cid:durableId="2103453160">
    <w:abstractNumId w:val="8"/>
  </w:num>
  <w:num w:numId="5" w16cid:durableId="237447288">
    <w:abstractNumId w:val="3"/>
  </w:num>
  <w:num w:numId="6" w16cid:durableId="369114102">
    <w:abstractNumId w:val="2"/>
  </w:num>
  <w:num w:numId="7" w16cid:durableId="472909545">
    <w:abstractNumId w:val="1"/>
  </w:num>
  <w:num w:numId="8" w16cid:durableId="776828970">
    <w:abstractNumId w:val="0"/>
  </w:num>
  <w:num w:numId="9" w16cid:durableId="475028340">
    <w:abstractNumId w:val="9"/>
  </w:num>
  <w:num w:numId="10" w16cid:durableId="448744196">
    <w:abstractNumId w:val="7"/>
  </w:num>
  <w:num w:numId="11" w16cid:durableId="1713731641">
    <w:abstractNumId w:val="6"/>
  </w:num>
  <w:num w:numId="12" w16cid:durableId="1747872894">
    <w:abstractNumId w:val="5"/>
  </w:num>
  <w:num w:numId="13" w16cid:durableId="288364013">
    <w:abstractNumId w:val="4"/>
  </w:num>
  <w:num w:numId="14" w16cid:durableId="302587288">
    <w:abstractNumId w:val="12"/>
  </w:num>
  <w:num w:numId="15" w16cid:durableId="572817312">
    <w:abstractNumId w:val="11"/>
  </w:num>
  <w:num w:numId="16" w16cid:durableId="1859342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5"/>
    <w:rsid w:val="00017F94"/>
    <w:rsid w:val="00023842"/>
    <w:rsid w:val="000334F9"/>
    <w:rsid w:val="00045FEB"/>
    <w:rsid w:val="0007796D"/>
    <w:rsid w:val="000B7790"/>
    <w:rsid w:val="00111F2F"/>
    <w:rsid w:val="0014365E"/>
    <w:rsid w:val="00143C66"/>
    <w:rsid w:val="00176178"/>
    <w:rsid w:val="001F525A"/>
    <w:rsid w:val="00201148"/>
    <w:rsid w:val="00223272"/>
    <w:rsid w:val="00234C86"/>
    <w:rsid w:val="0024779E"/>
    <w:rsid w:val="00252755"/>
    <w:rsid w:val="00257168"/>
    <w:rsid w:val="002744B8"/>
    <w:rsid w:val="002832AC"/>
    <w:rsid w:val="002D7C93"/>
    <w:rsid w:val="002E33BD"/>
    <w:rsid w:val="00305801"/>
    <w:rsid w:val="003267B7"/>
    <w:rsid w:val="0034072C"/>
    <w:rsid w:val="00346EA7"/>
    <w:rsid w:val="003916DE"/>
    <w:rsid w:val="00421996"/>
    <w:rsid w:val="00441C3B"/>
    <w:rsid w:val="00446FE5"/>
    <w:rsid w:val="00452396"/>
    <w:rsid w:val="00477EB2"/>
    <w:rsid w:val="004837D8"/>
    <w:rsid w:val="00492762"/>
    <w:rsid w:val="004E2EED"/>
    <w:rsid w:val="004E468C"/>
    <w:rsid w:val="00517199"/>
    <w:rsid w:val="005505B7"/>
    <w:rsid w:val="00573BE5"/>
    <w:rsid w:val="00586ED3"/>
    <w:rsid w:val="00596AA9"/>
    <w:rsid w:val="0071601D"/>
    <w:rsid w:val="007A62E6"/>
    <w:rsid w:val="007F20FA"/>
    <w:rsid w:val="0080684C"/>
    <w:rsid w:val="00841F98"/>
    <w:rsid w:val="00871C75"/>
    <w:rsid w:val="008776DC"/>
    <w:rsid w:val="008D5EF9"/>
    <w:rsid w:val="009011DA"/>
    <w:rsid w:val="009446C0"/>
    <w:rsid w:val="009705C8"/>
    <w:rsid w:val="009C1CF4"/>
    <w:rsid w:val="009F6B74"/>
    <w:rsid w:val="00A133E3"/>
    <w:rsid w:val="00A3029F"/>
    <w:rsid w:val="00A30353"/>
    <w:rsid w:val="00A95D28"/>
    <w:rsid w:val="00AC3823"/>
    <w:rsid w:val="00AE323C"/>
    <w:rsid w:val="00AF0CB5"/>
    <w:rsid w:val="00B00181"/>
    <w:rsid w:val="00B00B0D"/>
    <w:rsid w:val="00B45F2E"/>
    <w:rsid w:val="00B64A1F"/>
    <w:rsid w:val="00B765F7"/>
    <w:rsid w:val="00B77993"/>
    <w:rsid w:val="00BA0CA9"/>
    <w:rsid w:val="00C02897"/>
    <w:rsid w:val="00C35B77"/>
    <w:rsid w:val="00C97039"/>
    <w:rsid w:val="00CD493E"/>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D566D"/>
  <w15:docId w15:val="{9777A74C-CE45-4A17-A262-D4174666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B64A1F"/>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Sansinterligne">
    <w:name w:val="No Spacing"/>
    <w:uiPriority w:val="1"/>
    <w:qFormat/>
    <w:rsid w:val="00B64A1F"/>
    <w:pPr>
      <w:spacing w:after="0" w:line="240" w:lineRule="auto"/>
      <w:ind w:left="1276"/>
      <w:jc w:val="both"/>
    </w:pPr>
    <w:rPr>
      <w:rFonts w:eastAsiaTheme="minorHAnsi"/>
      <w:lang w:val="en-GB" w:eastAsia="en-US"/>
    </w:rPr>
  </w:style>
  <w:style w:type="character" w:customStyle="1" w:styleId="HChGChar">
    <w:name w:val="_ H _Ch_G Char"/>
    <w:link w:val="HChG"/>
    <w:qFormat/>
    <w:rsid w:val="00B64A1F"/>
    <w:rPr>
      <w:rFonts w:ascii="Times New Roman" w:eastAsiaTheme="minorHAnsi" w:hAnsi="Times New Roman" w:cs="Times New Roman"/>
      <w:b/>
      <w:sz w:val="28"/>
      <w:szCs w:val="20"/>
      <w:lang w:eastAsia="en-US"/>
    </w:rPr>
  </w:style>
  <w:style w:type="character" w:customStyle="1" w:styleId="H1GChar">
    <w:name w:val="_ H_1_G Char"/>
    <w:link w:val="H1G"/>
    <w:rsid w:val="00B64A1F"/>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64A1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886E8-63D1-4CDA-B998-197180E9932E}"/>
</file>

<file path=customXml/itemProps2.xml><?xml version="1.0" encoding="utf-8"?>
<ds:datastoreItem xmlns:ds="http://schemas.openxmlformats.org/officeDocument/2006/customXml" ds:itemID="{135DF72B-D129-44F6-8A43-F791A94EE49B}"/>
</file>

<file path=docProps/app.xml><?xml version="1.0" encoding="utf-8"?>
<Properties xmlns="http://schemas.openxmlformats.org/officeDocument/2006/extended-properties" xmlns:vt="http://schemas.openxmlformats.org/officeDocument/2006/docPropsVTypes">
  <Template>ECE_TRANS.dotm</Template>
  <TotalTime>0</TotalTime>
  <Pages>2</Pages>
  <Words>549</Words>
  <Characters>3844</Characters>
  <Application>Microsoft Office Word</Application>
  <DocSecurity>0</DocSecurity>
  <Lines>320</Lines>
  <Paragraphs>175</Paragraphs>
  <ScaleCrop>false</ScaleCrop>
  <HeadingPairs>
    <vt:vector size="2" baseType="variant">
      <vt:variant>
        <vt:lpstr>Titre</vt:lpstr>
      </vt:variant>
      <vt:variant>
        <vt:i4>1</vt:i4>
      </vt:variant>
    </vt:vector>
  </HeadingPairs>
  <TitlesOfParts>
    <vt:vector size="1" baseType="lpstr">
      <vt:lpstr>ECE/TRANS/WP.29/GRVA/2024/11</vt:lpstr>
    </vt:vector>
  </TitlesOfParts>
  <Company>DCM</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ECE/TRANS/WP.29/GRVA/2024/11</dc:title>
  <dc:subject/>
  <dc:creator>Nathalie VITTOZ</dc:creator>
  <cp:keywords/>
  <cp:lastModifiedBy>Nathalie Vittoz</cp:lastModifiedBy>
  <cp:revision>2</cp:revision>
  <cp:lastPrinted>2023-11-29T16:00:00Z</cp:lastPrinted>
  <dcterms:created xsi:type="dcterms:W3CDTF">2023-11-29T16:01:00Z</dcterms:created>
  <dcterms:modified xsi:type="dcterms:W3CDTF">2023-11-29T16:01:00Z</dcterms:modified>
</cp:coreProperties>
</file>