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5361018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4B68AC6" w14:textId="77777777" w:rsidR="002D5AAC" w:rsidRDefault="002D5AAC" w:rsidP="00C04C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9F68680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192BBA9" w14:textId="5A2E5962" w:rsidR="002D5AAC" w:rsidRDefault="00C04CE4" w:rsidP="00C04CE4">
            <w:pPr>
              <w:jc w:val="right"/>
            </w:pPr>
            <w:r w:rsidRPr="00C04CE4">
              <w:rPr>
                <w:sz w:val="40"/>
              </w:rPr>
              <w:t>ECE</w:t>
            </w:r>
            <w:r>
              <w:t>/TRANS/WP.29/GRVA/2024/8</w:t>
            </w:r>
          </w:p>
        </w:tc>
      </w:tr>
      <w:tr w:rsidR="002D5AAC" w14:paraId="1A9535E8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614506B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42B94CA" wp14:editId="66F7BAE9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45E01B2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1B3F3ECC" w14:textId="77777777" w:rsidR="002D5AAC" w:rsidRDefault="00C04CE4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04349475" w14:textId="77777777" w:rsidR="00C04CE4" w:rsidRDefault="00C04CE4" w:rsidP="00C04CE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10 November 2023</w:t>
            </w:r>
          </w:p>
          <w:p w14:paraId="71AE5F0A" w14:textId="77777777" w:rsidR="00C04CE4" w:rsidRDefault="00C04CE4" w:rsidP="00C04CE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1573E7ED" w14:textId="72F538E7" w:rsidR="00C04CE4" w:rsidRPr="008D53B6" w:rsidRDefault="00C04CE4" w:rsidP="00C04CE4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6941D1B5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4F7A7F37" w14:textId="77777777" w:rsidR="00C04CE4" w:rsidRPr="005A27F9" w:rsidRDefault="00C04CE4" w:rsidP="00C04CE4">
      <w:pPr>
        <w:spacing w:before="120"/>
        <w:rPr>
          <w:sz w:val="28"/>
          <w:szCs w:val="28"/>
        </w:rPr>
      </w:pPr>
      <w:r w:rsidRPr="005A27F9">
        <w:rPr>
          <w:sz w:val="28"/>
          <w:szCs w:val="28"/>
        </w:rPr>
        <w:t>Комитет по внутреннему транспорту</w:t>
      </w:r>
    </w:p>
    <w:p w14:paraId="296F5259" w14:textId="688709D6" w:rsidR="00C04CE4" w:rsidRPr="005A27F9" w:rsidRDefault="00C04CE4" w:rsidP="00C04CE4">
      <w:pPr>
        <w:spacing w:before="120"/>
        <w:rPr>
          <w:b/>
          <w:sz w:val="24"/>
          <w:szCs w:val="24"/>
        </w:rPr>
      </w:pPr>
      <w:r w:rsidRPr="005A27F9">
        <w:rPr>
          <w:b/>
          <w:bCs/>
          <w:sz w:val="24"/>
          <w:szCs w:val="24"/>
        </w:rPr>
        <w:t>Всемирный форум для согласования правил</w:t>
      </w:r>
      <w:r w:rsidR="005A27F9">
        <w:rPr>
          <w:b/>
          <w:bCs/>
          <w:sz w:val="24"/>
          <w:szCs w:val="24"/>
        </w:rPr>
        <w:br/>
      </w:r>
      <w:r w:rsidRPr="005A27F9">
        <w:rPr>
          <w:b/>
          <w:bCs/>
          <w:sz w:val="24"/>
          <w:szCs w:val="24"/>
        </w:rPr>
        <w:t>в области транспортных средств</w:t>
      </w:r>
    </w:p>
    <w:p w14:paraId="2EB6F35B" w14:textId="20DEEBD8" w:rsidR="00C04CE4" w:rsidRPr="00DF2AA2" w:rsidRDefault="00C04CE4" w:rsidP="00C04CE4">
      <w:pPr>
        <w:spacing w:before="120"/>
        <w:rPr>
          <w:b/>
        </w:rPr>
      </w:pPr>
      <w:bookmarkStart w:id="0" w:name="_Hlk518466992"/>
      <w:r>
        <w:rPr>
          <w:b/>
          <w:bCs/>
        </w:rPr>
        <w:t>Рабочая группа по автоматизированным/автономным</w:t>
      </w:r>
      <w:r w:rsidR="005A27F9">
        <w:rPr>
          <w:b/>
          <w:bCs/>
        </w:rPr>
        <w:br/>
      </w:r>
      <w:r>
        <w:rPr>
          <w:b/>
          <w:bCs/>
        </w:rPr>
        <w:t>и подключенным транспортным средствам</w:t>
      </w:r>
      <w:bookmarkEnd w:id="0"/>
    </w:p>
    <w:p w14:paraId="3BA2A76D" w14:textId="77777777" w:rsidR="00C04CE4" w:rsidRPr="00DF2AA2" w:rsidRDefault="00C04CE4" w:rsidP="00C04CE4">
      <w:pPr>
        <w:spacing w:before="120"/>
        <w:rPr>
          <w:b/>
        </w:rPr>
      </w:pPr>
      <w:bookmarkStart w:id="1" w:name="OLE_LINK2"/>
      <w:r>
        <w:rPr>
          <w:b/>
          <w:bCs/>
        </w:rPr>
        <w:t>Восемнадцатая сессия</w:t>
      </w:r>
    </w:p>
    <w:p w14:paraId="69FDD15E" w14:textId="577B7ABE" w:rsidR="00C04CE4" w:rsidRPr="00DF2AA2" w:rsidRDefault="00C04CE4" w:rsidP="00C04CE4">
      <w:r>
        <w:t xml:space="preserve">Женева, </w:t>
      </w:r>
      <w:r w:rsidR="005A27F9">
        <w:t xml:space="preserve">22–26 </w:t>
      </w:r>
      <w:r>
        <w:t>января 2024 года</w:t>
      </w:r>
    </w:p>
    <w:p w14:paraId="4955FC02" w14:textId="77777777" w:rsidR="00C04CE4" w:rsidRPr="00DF2AA2" w:rsidRDefault="00C04CE4" w:rsidP="00C04CE4">
      <w:r>
        <w:t>Пункт 4 f) i) предварительной повестки дня</w:t>
      </w:r>
    </w:p>
    <w:p w14:paraId="02B1B20C" w14:textId="45374FC4" w:rsidR="00C04CE4" w:rsidRPr="00DF2AA2" w:rsidRDefault="00C04CE4" w:rsidP="00C04CE4">
      <w:pPr>
        <w:rPr>
          <w:b/>
          <w:bCs/>
        </w:rPr>
      </w:pPr>
      <w:r>
        <w:rPr>
          <w:b/>
          <w:bCs/>
        </w:rPr>
        <w:t>Автоматизированные/автономные</w:t>
      </w:r>
      <w:r w:rsidR="005A27F9">
        <w:rPr>
          <w:b/>
          <w:bCs/>
        </w:rPr>
        <w:br/>
      </w:r>
      <w:r>
        <w:rPr>
          <w:b/>
          <w:bCs/>
        </w:rPr>
        <w:t>и подключенные</w:t>
      </w:r>
      <w:r w:rsidR="005A27F9" w:rsidRPr="005A27F9">
        <w:rPr>
          <w:b/>
          <w:bCs/>
        </w:rPr>
        <w:t xml:space="preserve"> </w:t>
      </w:r>
      <w:r>
        <w:rPr>
          <w:b/>
          <w:bCs/>
        </w:rPr>
        <w:t>транспортные средства:</w:t>
      </w:r>
    </w:p>
    <w:p w14:paraId="76081740" w14:textId="45024325" w:rsidR="00C04CE4" w:rsidRPr="00DF2AA2" w:rsidRDefault="00C04CE4" w:rsidP="00C04CE4">
      <w:pPr>
        <w:rPr>
          <w:b/>
          <w:bCs/>
        </w:rPr>
      </w:pPr>
      <w:r>
        <w:rPr>
          <w:b/>
          <w:bCs/>
        </w:rPr>
        <w:t>Координация работ по автоматизации между</w:t>
      </w:r>
      <w:r w:rsidR="00D84ADA">
        <w:rPr>
          <w:b/>
          <w:bCs/>
        </w:rPr>
        <w:br/>
      </w:r>
      <w:r>
        <w:rPr>
          <w:b/>
          <w:bCs/>
        </w:rPr>
        <w:t>рабочими</w:t>
      </w:r>
      <w:r w:rsidR="005A27F9" w:rsidRPr="005A27F9">
        <w:rPr>
          <w:b/>
          <w:bCs/>
        </w:rPr>
        <w:t xml:space="preserve"> </w:t>
      </w:r>
      <w:r>
        <w:rPr>
          <w:b/>
          <w:bCs/>
        </w:rPr>
        <w:t>группами (РГ):</w:t>
      </w:r>
      <w:r w:rsidR="00D84ADA">
        <w:rPr>
          <w:b/>
          <w:bCs/>
        </w:rPr>
        <w:br/>
      </w:r>
      <w:r>
        <w:rPr>
          <w:b/>
          <w:bCs/>
        </w:rPr>
        <w:t>Применимость ГТП ООН</w:t>
      </w:r>
      <w:r w:rsidR="00D84ADA" w:rsidRPr="00D84ADA">
        <w:rPr>
          <w:b/>
          <w:bCs/>
        </w:rPr>
        <w:t xml:space="preserve"> </w:t>
      </w:r>
      <w:r>
        <w:rPr>
          <w:b/>
          <w:bCs/>
        </w:rPr>
        <w:t>и правил ООН для АСВ</w:t>
      </w:r>
    </w:p>
    <w:p w14:paraId="2F70E87E" w14:textId="082E2A37" w:rsidR="00C04CE4" w:rsidRPr="00DF2AA2" w:rsidRDefault="00C04CE4" w:rsidP="00C04CE4">
      <w:pPr>
        <w:pStyle w:val="HChG"/>
      </w:pPr>
      <w:r>
        <w:tab/>
      </w:r>
      <w:r>
        <w:tab/>
      </w:r>
      <w:r>
        <w:rPr>
          <w:bCs/>
        </w:rPr>
        <w:t>Предложение по дополнению к поправкам серии 13 к</w:t>
      </w:r>
      <w:r w:rsidR="005A27F9">
        <w:rPr>
          <w:bCs/>
          <w:lang w:val="en-US"/>
        </w:rPr>
        <w:t> </w:t>
      </w:r>
      <w:r>
        <w:rPr>
          <w:bCs/>
        </w:rPr>
        <w:t>Правилам № 13 ООН (торможение большегрузных транспортных средств)</w:t>
      </w:r>
      <w:bookmarkEnd w:id="1"/>
    </w:p>
    <w:p w14:paraId="1993E618" w14:textId="30FD070C" w:rsidR="00C04CE4" w:rsidRPr="00DF2AA2" w:rsidRDefault="00C04CE4" w:rsidP="00C04CE4">
      <w:pPr>
        <w:pStyle w:val="H1G"/>
      </w:pPr>
      <w:r>
        <w:tab/>
      </w:r>
      <w:r>
        <w:tab/>
      </w:r>
      <w:r>
        <w:rPr>
          <w:bCs/>
        </w:rPr>
        <w:t>Представлено экспертами от Целевой группы по вопросу о</w:t>
      </w:r>
      <w:r w:rsidR="00AD46D5">
        <w:rPr>
          <w:bCs/>
          <w:lang w:val="en-US"/>
        </w:rPr>
        <w:t> </w:t>
      </w:r>
      <w:r>
        <w:rPr>
          <w:bCs/>
        </w:rPr>
        <w:t>применимости для автоматизированных систем вождения</w:t>
      </w:r>
      <w:r w:rsidRPr="00AD46D5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</w:p>
    <w:p w14:paraId="59EEE2A9" w14:textId="77777777" w:rsidR="00C04CE4" w:rsidRPr="00DF2AA2" w:rsidRDefault="00C04CE4" w:rsidP="00C04CE4">
      <w:pPr>
        <w:pStyle w:val="SingleTxtG"/>
      </w:pPr>
      <w:r>
        <w:tab/>
        <w:t>Воспроизведенный ниже текст был подготовлен экспертами Целевой группы по вопросу о применимости для автоматизированных систем вождения (ЦГ-ФАДС). Предлагаемые поправки направлены на то, чтобы изменить Правила, предусмотрев возможность утверждения типа транспортных средств, предназначенных как для управления с помощью автоматизированной системы вождения, так и для управления в ручном режиме. Изменения к существующему тексту Правил выделены жирным шрифтом в случае новых элементов или зачеркиванием в случае исключенных элементов.</w:t>
      </w:r>
    </w:p>
    <w:p w14:paraId="3C7A5339" w14:textId="77777777" w:rsidR="00C04CE4" w:rsidRPr="00DF2AA2" w:rsidRDefault="00C04CE4" w:rsidP="00C04CE4">
      <w:pPr>
        <w:suppressAutoHyphens w:val="0"/>
        <w:spacing w:line="240" w:lineRule="auto"/>
        <w:rPr>
          <w:b/>
          <w:sz w:val="28"/>
        </w:rPr>
      </w:pPr>
      <w:r w:rsidRPr="00DF2AA2">
        <w:br w:type="page"/>
      </w:r>
    </w:p>
    <w:p w14:paraId="3BD785C7" w14:textId="08B46D76" w:rsidR="00C04CE4" w:rsidRPr="00DF2AA2" w:rsidRDefault="00AD46D5" w:rsidP="00C04CE4">
      <w:pPr>
        <w:pStyle w:val="HChG"/>
      </w:pPr>
      <w:r>
        <w:rPr>
          <w:bCs/>
        </w:rPr>
        <w:lastRenderedPageBreak/>
        <w:tab/>
      </w:r>
      <w:r w:rsidR="00C04CE4">
        <w:rPr>
          <w:bCs/>
        </w:rPr>
        <w:t>I.</w:t>
      </w:r>
      <w:r w:rsidR="00C04CE4">
        <w:tab/>
      </w:r>
      <w:r w:rsidR="00C04CE4">
        <w:rPr>
          <w:bCs/>
        </w:rPr>
        <w:t>Предложение</w:t>
      </w:r>
    </w:p>
    <w:p w14:paraId="5633F57D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i/>
          <w:iCs/>
        </w:rPr>
      </w:pPr>
      <w:r>
        <w:rPr>
          <w:i/>
          <w:iCs/>
        </w:rPr>
        <w:t>Включить новый пункт 1.2.5</w:t>
      </w:r>
      <w:r>
        <w:t xml:space="preserve"> следующего содержания:</w:t>
      </w:r>
    </w:p>
    <w:p w14:paraId="225DA037" w14:textId="577F2870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iCs/>
        </w:rPr>
      </w:pPr>
      <w:r>
        <w:t>«1.1</w:t>
      </w:r>
      <w:r>
        <w:tab/>
        <w:t>Настоящие Правила применяются к транспортным средствам категорий</w:t>
      </w:r>
      <w:r w:rsidR="00024538">
        <w:rPr>
          <w:lang w:val="en-US"/>
        </w:rPr>
        <w:t> </w:t>
      </w:r>
      <w:r>
        <w:t>M</w:t>
      </w:r>
      <w:r>
        <w:rPr>
          <w:vertAlign w:val="subscript"/>
        </w:rPr>
        <w:t>2</w:t>
      </w:r>
      <w:r>
        <w:t>, M</w:t>
      </w:r>
      <w:r>
        <w:rPr>
          <w:vertAlign w:val="subscript"/>
        </w:rPr>
        <w:t>3</w:t>
      </w:r>
      <w:r>
        <w:t>, N и O</w:t>
      </w:r>
      <w:r>
        <w:rPr>
          <w:vertAlign w:val="superscript"/>
        </w:rPr>
        <w:t>1)</w:t>
      </w:r>
      <w:r>
        <w:t xml:space="preserve"> в отношении торможения</w:t>
      </w:r>
      <w:r>
        <w:rPr>
          <w:vertAlign w:val="superscript"/>
        </w:rPr>
        <w:t>2)</w:t>
      </w:r>
      <w:r>
        <w:t>.</w:t>
      </w:r>
    </w:p>
    <w:p w14:paraId="7CD835B8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iCs/>
        </w:rPr>
      </w:pPr>
      <w:r>
        <w:t>1.2.</w:t>
      </w:r>
      <w:r>
        <w:tab/>
        <w:t>Настоящие Правила не распространяются:</w:t>
      </w:r>
    </w:p>
    <w:p w14:paraId="0D91C896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iCs/>
        </w:rPr>
      </w:pPr>
      <w:r>
        <w:t>1.2.1</w:t>
      </w:r>
      <w:r>
        <w:tab/>
        <w:t>на транспортные средства, конструктивная скорость которых не превышает 25 км/ч;</w:t>
      </w:r>
    </w:p>
    <w:p w14:paraId="2CC8D5F8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iCs/>
        </w:rPr>
      </w:pPr>
      <w:r>
        <w:t>1.2.2</w:t>
      </w:r>
      <w:r>
        <w:tab/>
        <w:t>на прицепы, которые запрещается прицеплять к механическим транспортным средствам, конструктивная скорость которых превышает 25 км/ч;</w:t>
      </w:r>
    </w:p>
    <w:p w14:paraId="2FC55CC4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iCs/>
        </w:rPr>
      </w:pPr>
      <w:r>
        <w:t>1.2.3</w:t>
      </w:r>
      <w:r>
        <w:tab/>
        <w:t>на транспортные средства, приспособленные для управления водителями с инвалидностью;</w:t>
      </w:r>
    </w:p>
    <w:p w14:paraId="4184A498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iCs/>
        </w:rPr>
      </w:pPr>
      <w:r>
        <w:t>1.2.4</w:t>
      </w:r>
      <w:r>
        <w:tab/>
        <w:t>на подкатные тележки с шарнирной сцепкой, соответствующие определению, содержащемуся в пункте 2.43.1;</w:t>
      </w:r>
    </w:p>
    <w:p w14:paraId="18AB2972" w14:textId="1E3DD5AC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b/>
          <w:iCs/>
        </w:rPr>
      </w:pPr>
      <w:r>
        <w:rPr>
          <w:b/>
          <w:bCs/>
        </w:rPr>
        <w:t>1.2.5</w:t>
      </w:r>
      <w:r>
        <w:tab/>
      </w:r>
      <w:r>
        <w:rPr>
          <w:b/>
          <w:bCs/>
        </w:rPr>
        <w:t>на транспортные средства, которые не оборудованы органами ручного управления торможением, предназначенными для использования в условиях нормальной эксплуатации.</w:t>
      </w:r>
    </w:p>
    <w:p w14:paraId="7961C62A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iCs/>
        </w:rPr>
      </w:pPr>
      <w:r>
        <w:t>1.3</w:t>
      </w:r>
      <w:r>
        <w:tab/>
        <w:t>С учетом соблюдения применимых предписаний настоящих Правил на оборудование, устройства, методы и условия, перечисленные в приложении 1, действие настоящих Правил не распространяется».</w:t>
      </w:r>
    </w:p>
    <w:p w14:paraId="36FC2B99" w14:textId="77777777" w:rsidR="00C04CE4" w:rsidRPr="00BC03C3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i/>
          <w:iCs/>
        </w:rPr>
      </w:pPr>
      <w:r>
        <w:rPr>
          <w:i/>
          <w:iCs/>
        </w:rPr>
        <w:t>Пункты 2.40–2.44</w:t>
      </w:r>
      <w:r>
        <w:t xml:space="preserve"> изменить следующим образом:</w:t>
      </w:r>
    </w:p>
    <w:p w14:paraId="03216D9E" w14:textId="1885A82E" w:rsidR="00C04CE4" w:rsidRPr="00DF2AA2" w:rsidRDefault="00C04CE4" w:rsidP="00C04CE4">
      <w:pPr>
        <w:tabs>
          <w:tab w:val="left" w:pos="-1440"/>
          <w:tab w:val="left" w:pos="-720"/>
        </w:tabs>
        <w:spacing w:after="120" w:line="240" w:lineRule="auto"/>
        <w:ind w:left="2268" w:right="1134" w:hanging="1134"/>
        <w:jc w:val="both"/>
        <w:rPr>
          <w:bCs/>
        </w:rPr>
      </w:pPr>
      <w:r>
        <w:t>«2.</w:t>
      </w:r>
      <w:r>
        <w:rPr>
          <w:b/>
          <w:bCs/>
        </w:rPr>
        <w:t>40</w:t>
      </w:r>
      <w:r>
        <w:tab/>
      </w:r>
      <w:r w:rsidR="00E27DC5" w:rsidRPr="008728D6">
        <w:t>“</w:t>
      </w:r>
      <w:r w:rsidRPr="00D06390">
        <w:rPr>
          <w:i/>
          <w:iCs/>
        </w:rPr>
        <w:t>Тормозной электрический/электронный интерфейс</w:t>
      </w:r>
      <w:r w:rsidR="008728D6" w:rsidRPr="008728D6">
        <w:t>”</w:t>
      </w:r>
      <w:r>
        <w:t xml:space="preserve"> означает часть разъемного электрического/электронного соединения между буксирующим транспортным средством и буксируемым транспортным средством, выделенную для тормозной системы.</w:t>
      </w:r>
    </w:p>
    <w:p w14:paraId="3477027E" w14:textId="1A114041" w:rsidR="00C04CE4" w:rsidRPr="00DF2AA2" w:rsidRDefault="00C04CE4" w:rsidP="00C04CE4">
      <w:pPr>
        <w:pStyle w:val="SingleTxtG"/>
        <w:ind w:left="2268" w:hanging="1134"/>
        <w:rPr>
          <w:iCs/>
        </w:rPr>
      </w:pPr>
      <w:r>
        <w:t>2.</w:t>
      </w:r>
      <w:r>
        <w:rPr>
          <w:b/>
          <w:bCs/>
        </w:rPr>
        <w:t>41</w:t>
      </w:r>
      <w:r>
        <w:tab/>
      </w:r>
      <w:r w:rsidR="008728D6">
        <w:tab/>
      </w:r>
      <w:r w:rsidR="008728D6" w:rsidRPr="008728D6">
        <w:t>“</w:t>
      </w:r>
      <w:r w:rsidRPr="00D06390">
        <w:rPr>
          <w:i/>
          <w:iCs/>
        </w:rPr>
        <w:t>Автоматизированный соединитель</w:t>
      </w:r>
      <w:r w:rsidR="008728D6" w:rsidRPr="008728D6">
        <w:t>”</w:t>
      </w:r>
      <w:r>
        <w:t xml:space="preserve"> означает систему, с помощью которой между буксирующим транспортным средством и буксируемым транспортным средством автоматически </w:t>
      </w:r>
      <w:r w:rsidR="008728D6">
        <w:t>—</w:t>
      </w:r>
      <w:r>
        <w:t xml:space="preserve"> без непосредственного участия человека-оператора </w:t>
      </w:r>
      <w:r w:rsidR="008728D6">
        <w:t>—</w:t>
      </w:r>
      <w:r>
        <w:t xml:space="preserve"> устанавливается электрическое и пневматическое соединение.</w:t>
      </w:r>
    </w:p>
    <w:p w14:paraId="54A7692D" w14:textId="572940AF" w:rsidR="00C04CE4" w:rsidRPr="00DF2AA2" w:rsidRDefault="00C04CE4" w:rsidP="00C04CE4">
      <w:pPr>
        <w:tabs>
          <w:tab w:val="left" w:pos="-1440"/>
          <w:tab w:val="left" w:pos="-720"/>
        </w:tabs>
        <w:spacing w:after="120" w:line="240" w:lineRule="auto"/>
        <w:ind w:left="2268" w:right="1134" w:hanging="1134"/>
        <w:jc w:val="both"/>
        <w:rPr>
          <w:bCs/>
        </w:rPr>
      </w:pPr>
      <w:r>
        <w:t>2.</w:t>
      </w:r>
      <w:r>
        <w:rPr>
          <w:b/>
          <w:bCs/>
        </w:rPr>
        <w:t>42</w:t>
      </w:r>
      <w:r>
        <w:tab/>
      </w:r>
      <w:r w:rsidR="008728D6" w:rsidRPr="008728D6">
        <w:t>“</w:t>
      </w:r>
      <w:r w:rsidRPr="00D06390">
        <w:rPr>
          <w:i/>
          <w:iCs/>
        </w:rPr>
        <w:t>Средство оценки эффективности торможения</w:t>
      </w:r>
      <w:r w:rsidR="008728D6" w:rsidRPr="008728D6">
        <w:t>”</w:t>
      </w:r>
      <w:r>
        <w:t xml:space="preserve"> означает функцию, проводящую оценку доступной эффективности фрикционного тормоза с учетом влияния нагревания тормозов, которая реализуется на основе моделей, учитывающих такие входные данные, как, например, тип и расположение тормозов, количество и интенсивность торможений, скорость автомобиля или температура окружающей среды.</w:t>
      </w:r>
    </w:p>
    <w:p w14:paraId="357AC62E" w14:textId="46D1375A" w:rsidR="00C04CE4" w:rsidRPr="00DF2AA2" w:rsidRDefault="00C04CE4" w:rsidP="00C04CE4">
      <w:pPr>
        <w:pStyle w:val="SingleTxtG"/>
        <w:adjustRightInd w:val="0"/>
        <w:snapToGrid w:val="0"/>
        <w:spacing w:line="240" w:lineRule="auto"/>
        <w:ind w:left="2268" w:hanging="1134"/>
        <w:rPr>
          <w:bCs/>
        </w:rPr>
      </w:pPr>
      <w:r>
        <w:t>2.</w:t>
      </w:r>
      <w:r>
        <w:rPr>
          <w:b/>
          <w:bCs/>
        </w:rPr>
        <w:t>43</w:t>
      </w:r>
      <w:r>
        <w:tab/>
      </w:r>
      <w:r w:rsidR="008728D6">
        <w:tab/>
      </w:r>
      <w:r w:rsidR="008728D6" w:rsidRPr="008728D6">
        <w:t>“</w:t>
      </w:r>
      <w:r w:rsidRPr="00912470">
        <w:rPr>
          <w:i/>
          <w:iCs/>
        </w:rPr>
        <w:t>Буксировочный прицеп</w:t>
      </w:r>
      <w:r w:rsidR="008728D6" w:rsidRPr="008728D6">
        <w:t>”</w:t>
      </w:r>
      <w:r>
        <w:t xml:space="preserve"> означает прицеп, оборудованный для буксировки другого прицепа.</w:t>
      </w:r>
    </w:p>
    <w:p w14:paraId="42119C97" w14:textId="010A3CCC" w:rsidR="00C04CE4" w:rsidRPr="00DF2AA2" w:rsidRDefault="00C04CE4" w:rsidP="00C04CE4">
      <w:pPr>
        <w:pStyle w:val="SingleTxtG"/>
        <w:adjustRightInd w:val="0"/>
        <w:snapToGrid w:val="0"/>
        <w:spacing w:line="240" w:lineRule="auto"/>
        <w:ind w:left="2268" w:hanging="1134"/>
        <w:rPr>
          <w:bCs/>
        </w:rPr>
      </w:pPr>
      <w:r>
        <w:t>2.</w:t>
      </w:r>
      <w:r w:rsidRPr="00912470">
        <w:rPr>
          <w:b/>
          <w:bCs/>
        </w:rPr>
        <w:t>43.1</w:t>
      </w:r>
      <w:r>
        <w:tab/>
      </w:r>
      <w:r w:rsidR="008728D6">
        <w:tab/>
      </w:r>
      <w:r w:rsidR="008728D6" w:rsidRPr="008728D6">
        <w:t>“</w:t>
      </w:r>
      <w:r w:rsidRPr="00912470">
        <w:rPr>
          <w:i/>
          <w:iCs/>
        </w:rPr>
        <w:t>Подкатная тележка</w:t>
      </w:r>
      <w:r w:rsidR="008728D6" w:rsidRPr="008728D6">
        <w:t>”</w:t>
      </w:r>
      <w:r>
        <w:t xml:space="preserve"> означает буксировочный прицеп, предназначенный исключительно для буксировки полуприцепа. Сцепка подкатной тележки может быть жесткой или шарнирной.</w:t>
      </w:r>
    </w:p>
    <w:p w14:paraId="38B12A71" w14:textId="61143BF3" w:rsidR="00C04CE4" w:rsidRPr="00DF2AA2" w:rsidRDefault="00C04CE4" w:rsidP="00C04CE4">
      <w:pPr>
        <w:pStyle w:val="SingleTxtG"/>
        <w:tabs>
          <w:tab w:val="left" w:pos="2300"/>
          <w:tab w:val="left" w:pos="2800"/>
        </w:tabs>
        <w:ind w:left="2268" w:hanging="1134"/>
        <w:rPr>
          <w:iCs/>
        </w:rPr>
      </w:pPr>
      <w:r>
        <w:t>2</w:t>
      </w:r>
      <w:r w:rsidRPr="00912470">
        <w:rPr>
          <w:b/>
          <w:bCs/>
        </w:rPr>
        <w:t>.43.2</w:t>
      </w:r>
      <w:r>
        <w:tab/>
      </w:r>
      <w:r w:rsidR="008728D6">
        <w:tab/>
      </w:r>
      <w:r w:rsidR="008728D6" w:rsidRPr="008728D6">
        <w:t>“</w:t>
      </w:r>
      <w:r w:rsidRPr="00912470">
        <w:rPr>
          <w:i/>
          <w:iCs/>
        </w:rPr>
        <w:t>Соединительный прицеп</w:t>
      </w:r>
      <w:r w:rsidR="008728D6" w:rsidRPr="008728D6">
        <w:t>”</w:t>
      </w:r>
      <w:r>
        <w:t xml:space="preserve"> означает полуприцеп, оборудованный сзади седельно-сцепным устройством для буксирования второго полуприцепа.</w:t>
      </w:r>
    </w:p>
    <w:p w14:paraId="7FB605DE" w14:textId="32B8A19D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b/>
        </w:rPr>
      </w:pPr>
      <w:r>
        <w:rPr>
          <w:b/>
          <w:bCs/>
        </w:rPr>
        <w:t>2.44</w:t>
      </w:r>
      <w:r>
        <w:tab/>
      </w:r>
      <w:r w:rsidR="008728D6" w:rsidRPr="008728D6">
        <w:rPr>
          <w:b/>
          <w:bCs/>
        </w:rPr>
        <w:t>“</w:t>
      </w:r>
      <w:r w:rsidRPr="00A926AC">
        <w:rPr>
          <w:b/>
          <w:bCs/>
          <w:i/>
          <w:iCs/>
        </w:rPr>
        <w:t>Автоматизированная система вождения (АСВ)</w:t>
      </w:r>
      <w:r w:rsidR="008728D6" w:rsidRPr="008728D6">
        <w:rPr>
          <w:b/>
          <w:bCs/>
        </w:rPr>
        <w:t>”</w:t>
      </w:r>
      <w:r>
        <w:rPr>
          <w:b/>
          <w:bCs/>
        </w:rPr>
        <w:t xml:space="preserve"> означает совокупность аппаратных и программных компонентов транспортного средства, способных обеспечить полноценное выполнение динамической задачи управления (ДЗУ) на постоянной основе.</w:t>
      </w:r>
    </w:p>
    <w:p w14:paraId="050C072B" w14:textId="21122DD8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b/>
        </w:rPr>
      </w:pPr>
      <w:r>
        <w:rPr>
          <w:b/>
          <w:bCs/>
        </w:rPr>
        <w:t>2.44.1</w:t>
      </w:r>
      <w:r w:rsidRPr="00B40886">
        <w:rPr>
          <w:b/>
          <w:bCs/>
        </w:rPr>
        <w:tab/>
        <w:t>“</w:t>
      </w:r>
      <w:r w:rsidRPr="00A926AC">
        <w:rPr>
          <w:b/>
          <w:bCs/>
          <w:i/>
          <w:iCs/>
        </w:rPr>
        <w:t>Динамическая задача управления (ДЗУ)</w:t>
      </w:r>
      <w:r w:rsidRPr="00B40886">
        <w:rPr>
          <w:b/>
          <w:bCs/>
        </w:rPr>
        <w:t xml:space="preserve">” означает осуществляемые в реальном масштабе времени оперативные и тактические функции, </w:t>
      </w:r>
      <w:r w:rsidRPr="00B40886">
        <w:rPr>
          <w:b/>
          <w:bCs/>
        </w:rPr>
        <w:lastRenderedPageBreak/>
        <w:t>необходимы</w:t>
      </w:r>
      <w:r w:rsidR="00262DB2">
        <w:rPr>
          <w:b/>
          <w:bCs/>
        </w:rPr>
        <w:t>е</w:t>
      </w:r>
      <w:r w:rsidRPr="00B40886">
        <w:rPr>
          <w:b/>
          <w:bCs/>
        </w:rPr>
        <w:t xml:space="preserve"> для управления транспортным средством в условиях дорожного движения</w:t>
      </w:r>
      <w:r>
        <w:rPr>
          <w:b/>
          <w:bCs/>
        </w:rPr>
        <w:t>»</w:t>
      </w:r>
      <w:r w:rsidRPr="00B40886">
        <w:rPr>
          <w:b/>
          <w:bCs/>
        </w:rPr>
        <w:t>.</w:t>
      </w:r>
    </w:p>
    <w:p w14:paraId="397BB74A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iCs/>
        </w:rPr>
      </w:pPr>
      <w:r>
        <w:rPr>
          <w:i/>
          <w:iCs/>
        </w:rPr>
        <w:t>Пункт 5.2.1.9</w:t>
      </w:r>
      <w:r>
        <w:t xml:space="preserve"> изменить следующим образом:</w:t>
      </w:r>
    </w:p>
    <w:p w14:paraId="5A337456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iCs/>
        </w:rPr>
      </w:pPr>
      <w:r>
        <w:t>«5.2.1.9</w:t>
      </w:r>
      <w:r>
        <w:tab/>
        <w:t xml:space="preserve">Нарушение функционирования электрического привода управления не должно вызывать </w:t>
      </w:r>
      <w:r>
        <w:rPr>
          <w:strike/>
        </w:rPr>
        <w:t>неконтролируемого водителем</w:t>
      </w:r>
      <w:r>
        <w:t xml:space="preserve"> срабатывания тормозов</w:t>
      </w:r>
      <w:r>
        <w:rPr>
          <w:b/>
          <w:bCs/>
        </w:rPr>
        <w:t>, не поддающегося контролю со стороны водителя или АСВ</w:t>
      </w:r>
      <w:r>
        <w:t>.</w:t>
      </w:r>
    </w:p>
    <w:p w14:paraId="0302FB03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iCs/>
        </w:rPr>
      </w:pPr>
      <w:r>
        <w:rPr>
          <w:i/>
          <w:iCs/>
        </w:rPr>
        <w:t>Пункт 5.2.1.10</w:t>
      </w:r>
      <w:r>
        <w:t xml:space="preserve"> изменить следующим образом:</w:t>
      </w:r>
    </w:p>
    <w:p w14:paraId="2464478E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2" w:right="1134" w:hanging="1128"/>
        <w:jc w:val="both"/>
        <w:rPr>
          <w:rFonts w:eastAsia="Times New Roman"/>
          <w:bCs/>
        </w:rPr>
      </w:pPr>
      <w:r>
        <w:t>«5.2.1.10</w:t>
      </w:r>
      <w:r>
        <w:tab/>
        <w:t>Рабочая, аварийная и стояночная тормозные системы должны действовать на тормозные поверхности, соединенные с колесами, с помощью достаточно прочных деталей.</w:t>
      </w:r>
    </w:p>
    <w:p w14:paraId="3619E589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/>
        <w:jc w:val="both"/>
        <w:rPr>
          <w:rFonts w:eastAsia="Times New Roman"/>
          <w:bCs/>
        </w:rPr>
      </w:pPr>
      <w:r>
        <w:t xml:space="preserve">Когда тормозной момент на какую-либо конкретную ось или оси подается и фрикционной тормозной системой и электрической системой рекуперативного торможения категории В, отключение последнего источника допускается при том условии, что фрикционный тормоз остается постоянно включенным и может обеспечивать компенсацию, указанную в пункте 5.2.1.7.2.1. </w:t>
      </w:r>
    </w:p>
    <w:p w14:paraId="1A87862C" w14:textId="649A954B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/>
        <w:jc w:val="both"/>
        <w:rPr>
          <w:rFonts w:eastAsia="Times New Roman"/>
          <w:bCs/>
        </w:rPr>
      </w:pPr>
      <w:r>
        <w:t>Вместе с тем в случае кратковременных переходных периодов разъединения допускается неполная компенсация, но в течение 1 с эта компенсация должна достигать не менее 75</w:t>
      </w:r>
      <w:r w:rsidR="00623D96" w:rsidRPr="00623D96">
        <w:t xml:space="preserve"> </w:t>
      </w:r>
      <w:r>
        <w:t>% от своего окончательного уровня. Тем не менее во всех случаях постоянно соединенный фрикционный тормоз должен гарантировать, что и рабочая и аварийная тормозные системы будут продолжать функционировать с предписанной эффективностью.</w:t>
      </w:r>
    </w:p>
    <w:p w14:paraId="5C3311CF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/>
        <w:jc w:val="both"/>
        <w:rPr>
          <w:rFonts w:eastAsia="Times New Roman"/>
          <w:bCs/>
        </w:rPr>
      </w:pPr>
      <w:r>
        <w:t>Разъединение тормозных поверхностей стояночной тормозной системы допускается лишь при том условии, что это разъединение осуществляется водителем со своего места или посредством устройства дистанционного управления</w:t>
      </w:r>
      <w:r>
        <w:rPr>
          <w:b/>
          <w:bCs/>
        </w:rPr>
        <w:t xml:space="preserve"> или же автоматизированной системой вождения </w:t>
      </w:r>
      <w:r>
        <w:t>с помощью системы, которая не может быть приведена в действие при утечке жидкости.</w:t>
      </w:r>
    </w:p>
    <w:p w14:paraId="2E3F2B82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/>
        <w:jc w:val="both"/>
        <w:rPr>
          <w:rFonts w:eastAsia="Times New Roman"/>
          <w:bCs/>
        </w:rPr>
      </w:pPr>
      <w:r>
        <w:t>Устройство дистанционного управления, упомянутое выше, должно быть частью системы, отвечающей техническим требованиям, предусмотренным для АФРУ категории А в поправках серии 02 к Правилам № 79 ООН или в поправках более поздних серий».</w:t>
      </w:r>
    </w:p>
    <w:p w14:paraId="4874F6FD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iCs/>
        </w:rPr>
      </w:pPr>
      <w:r>
        <w:rPr>
          <w:i/>
          <w:iCs/>
        </w:rPr>
        <w:t>Пункт 5.2.1.24.1</w:t>
      </w:r>
      <w:r>
        <w:t xml:space="preserve"> изменить следующим образом:</w:t>
      </w:r>
    </w:p>
    <w:p w14:paraId="4A341CCE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bCs/>
        </w:rPr>
      </w:pPr>
      <w:r>
        <w:t>«5.2.1.24.1</w:t>
      </w:r>
      <w:r>
        <w:tab/>
        <w:t xml:space="preserve">электрическая система рекуперативного торможения включается только при </w:t>
      </w:r>
      <w:r>
        <w:rPr>
          <w:strike/>
        </w:rPr>
        <w:t>приведении в действия устройства управления акселератором</w:t>
      </w:r>
      <w:r>
        <w:t xml:space="preserve"> </w:t>
      </w:r>
      <w:r>
        <w:rPr>
          <w:b/>
          <w:bCs/>
        </w:rPr>
        <w:t>отмене команды на ускорение</w:t>
      </w:r>
      <w:r>
        <w:t xml:space="preserve"> и/или в нейтральном положении переключения привода транспортных средств категории N</w:t>
      </w:r>
      <w:r>
        <w:rPr>
          <w:vertAlign w:val="subscript"/>
        </w:rPr>
        <w:t>1</w:t>
      </w:r>
      <w:r>
        <w:t>».</w:t>
      </w:r>
    </w:p>
    <w:p w14:paraId="4C41DCF5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iCs/>
        </w:rPr>
      </w:pPr>
      <w:r>
        <w:rPr>
          <w:i/>
          <w:iCs/>
        </w:rPr>
        <w:t>Пункт 5.2.1.25.3</w:t>
      </w:r>
      <w:r>
        <w:t xml:space="preserve"> изменить следующим образом:</w:t>
      </w:r>
    </w:p>
    <w:p w14:paraId="15C67FD8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bCs/>
        </w:rPr>
      </w:pPr>
      <w:r>
        <w:t>«5.2.1.25.3</w:t>
      </w:r>
      <w:r>
        <w:tab/>
        <w:t>Для транспортных средств, оснащенных электрической системой рекуперативного торможения любой из двух категорий, применяются все соответствующие предписания, за исключением пункта 5.2.1.24.1.</w:t>
      </w:r>
    </w:p>
    <w:p w14:paraId="7B2336F7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/>
        <w:jc w:val="both"/>
        <w:rPr>
          <w:rFonts w:eastAsia="Times New Roman"/>
          <w:b/>
          <w:strike/>
        </w:rPr>
      </w:pPr>
      <w:r>
        <w:t xml:space="preserve">В этом случае электрическая система рекуперативного торможения может включаться при </w:t>
      </w:r>
      <w:r>
        <w:rPr>
          <w:strike/>
        </w:rPr>
        <w:t>приведении в действия устройства управления акселератором</w:t>
      </w:r>
      <w:r>
        <w:t xml:space="preserve"> </w:t>
      </w:r>
      <w:r>
        <w:rPr>
          <w:b/>
          <w:bCs/>
        </w:rPr>
        <w:t>отмене команды на ускорение</w:t>
      </w:r>
      <w:r>
        <w:t xml:space="preserve"> и/или в нейтральном положении переключения привода транспортных средств категории N</w:t>
      </w:r>
      <w:r>
        <w:rPr>
          <w:vertAlign w:val="subscript"/>
        </w:rPr>
        <w:t>1</w:t>
      </w:r>
      <w:r>
        <w:t>.</w:t>
      </w:r>
    </w:p>
    <w:p w14:paraId="11009619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/>
        <w:jc w:val="both"/>
        <w:rPr>
          <w:rFonts w:eastAsia="Times New Roman"/>
          <w:b/>
          <w:strike/>
        </w:rPr>
      </w:pPr>
      <w:r>
        <w:t xml:space="preserve">Кроме того, при приведении в действие устройства управления рабочим тормозом не должен ограничиваться вышеупомянутый эффект торможения, вызываемый </w:t>
      </w:r>
      <w:r>
        <w:rPr>
          <w:strike/>
        </w:rPr>
        <w:t>отпусканием устройства управления акселератором</w:t>
      </w:r>
      <w:r>
        <w:t xml:space="preserve"> </w:t>
      </w:r>
      <w:r>
        <w:rPr>
          <w:b/>
          <w:bCs/>
        </w:rPr>
        <w:t>отменой команды на ускорение</w:t>
      </w:r>
      <w:r>
        <w:t>.</w:t>
      </w:r>
    </w:p>
    <w:p w14:paraId="5E8AF401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1276" w:right="1134" w:hanging="142"/>
        <w:jc w:val="both"/>
        <w:rPr>
          <w:rFonts w:eastAsia="Times New Roman"/>
          <w:i/>
          <w:iCs/>
        </w:rPr>
      </w:pPr>
      <w:r>
        <w:rPr>
          <w:i/>
          <w:iCs/>
        </w:rPr>
        <w:t>Пункт 5.2.1.26.2.1</w:t>
      </w:r>
      <w:r>
        <w:t xml:space="preserve"> изменить следующим образом:</w:t>
      </w:r>
    </w:p>
    <w:p w14:paraId="13BFA9AD" w14:textId="77777777" w:rsidR="00C04CE4" w:rsidRPr="00DF2AA2" w:rsidRDefault="00C04CE4" w:rsidP="00207E9C">
      <w:pPr>
        <w:pageBreakBefore/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bCs/>
        </w:rPr>
      </w:pPr>
      <w:r>
        <w:lastRenderedPageBreak/>
        <w:t>«5.2.1.26.2.1</w:t>
      </w:r>
      <w:r>
        <w:tab/>
        <w:t>Транспортные средства категорий M</w:t>
      </w:r>
      <w:r>
        <w:rPr>
          <w:vertAlign w:val="subscript"/>
        </w:rPr>
        <w:t>2</w:t>
      </w:r>
      <w:r>
        <w:t>, M</w:t>
      </w:r>
      <w:r>
        <w:rPr>
          <w:vertAlign w:val="subscript"/>
        </w:rPr>
        <w:t>3</w:t>
      </w:r>
      <w:r>
        <w:t>, N</w:t>
      </w:r>
      <w:r>
        <w:rPr>
          <w:vertAlign w:val="subscript"/>
        </w:rPr>
        <w:t>2</w:t>
      </w:r>
      <w:r>
        <w:t xml:space="preserve"> и N</w:t>
      </w:r>
      <w:r>
        <w:rPr>
          <w:vertAlign w:val="subscript"/>
        </w:rPr>
        <w:t>3</w:t>
      </w:r>
      <w:r>
        <w:t>:</w:t>
      </w:r>
    </w:p>
    <w:p w14:paraId="3ADD071F" w14:textId="7E1A8BE1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/>
        <w:jc w:val="both"/>
      </w:pPr>
      <w:r>
        <w:t>В случае сбоя в электрической части органа управления или разрыва провода в электрическом приводе управления за пределами блока (блоков) электронного управления, не затрагивающих источник энергии, должна сохраняться возможность включения стояночной тормозной системы с места водителя и таким образом обеспечиваться возможность удерживания груженого транспортного средства в неподвижном состоянии под 8-процентным уклоном вверх или вниз. В качестве альтернативы в этом случае допускается автоматическое включение</w:t>
      </w:r>
      <w:r w:rsidR="00623D96" w:rsidRPr="00623D96">
        <w:t xml:space="preserve"> </w:t>
      </w:r>
      <w:r>
        <w:t>стояночного тормоза, когда транспортное средство находится в неподвижном</w:t>
      </w:r>
      <w:r w:rsidR="00623D96" w:rsidRPr="00623D96">
        <w:t xml:space="preserve"> </w:t>
      </w:r>
      <w:r>
        <w:t>состоянии, при условии достижения вышеуказанной эффективности и сохранения</w:t>
      </w:r>
      <w:r w:rsidR="00623D96" w:rsidRPr="00623D96">
        <w:t xml:space="preserve"> </w:t>
      </w:r>
      <w:r>
        <w:t xml:space="preserve">в действии стояночного тормоза после включения, независимо от положения включателя зажигания (пускового переключателя). В этом альтернативном случае стояночный тормоз должен автоматически растормаживаться сразу после того, как водитель </w:t>
      </w:r>
      <w:r>
        <w:rPr>
          <w:b/>
          <w:bCs/>
        </w:rPr>
        <w:t>или АСВ</w:t>
      </w:r>
      <w:r>
        <w:t xml:space="preserve"> вновь начинает предпринимать действия для приведения транспортного средства в движение. При необходимости должна быть также обеспечена возможность растормаживания стояночной тормозной системы путем использования механизмов и/или вспомогательного устройства, имеющегося/установленного на транспортном средстве».</w:t>
      </w:r>
    </w:p>
    <w:p w14:paraId="4C670FB8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i/>
          <w:iCs/>
        </w:rPr>
      </w:pPr>
      <w:r>
        <w:rPr>
          <w:i/>
          <w:iCs/>
        </w:rPr>
        <w:t>Пункт 5.2.1.26.2.2</w:t>
      </w:r>
      <w:r>
        <w:t xml:space="preserve"> изменить следующим образом:</w:t>
      </w:r>
    </w:p>
    <w:p w14:paraId="28D2EF6B" w14:textId="77777777" w:rsidR="00C04CE4" w:rsidRPr="00DF2AA2" w:rsidRDefault="00C04CE4" w:rsidP="00C04CE4">
      <w:pPr>
        <w:pStyle w:val="SingleTxtG"/>
        <w:keepLines/>
        <w:ind w:left="2268" w:hanging="1134"/>
        <w:rPr>
          <w:snapToGrid w:val="0"/>
        </w:rPr>
      </w:pPr>
      <w:r>
        <w:t>«5.2.1.26.2.2</w:t>
      </w:r>
      <w:r>
        <w:tab/>
        <w:t>Транспортные средства категории N</w:t>
      </w:r>
      <w:r>
        <w:rPr>
          <w:vertAlign w:val="subscript"/>
        </w:rPr>
        <w:t>1</w:t>
      </w:r>
      <w:r>
        <w:t>:</w:t>
      </w:r>
    </w:p>
    <w:p w14:paraId="3F37B317" w14:textId="69317FC4" w:rsidR="00C04CE4" w:rsidRPr="00DF2AA2" w:rsidRDefault="00C04CE4" w:rsidP="00C04CE4">
      <w:pPr>
        <w:pStyle w:val="SingleTxtG"/>
        <w:ind w:left="2268"/>
        <w:rPr>
          <w:bCs/>
        </w:rPr>
      </w:pPr>
      <w:r>
        <w:t>в случае сбоя в электрической части органа управления или разрыва провода в электрическом приводе управления между органом управления и непосредственно</w:t>
      </w:r>
      <w:r w:rsidR="00982FC4" w:rsidRPr="00982FC4">
        <w:t xml:space="preserve"> </w:t>
      </w:r>
      <w:r>
        <w:t>подсоединенным к нему ЭБУ, не затрагивающих источник энергии, должна сохраняться возможность включения стояночной тормозной системы с места водителя и таким образом обеспечиваться возможность удерживания груженого транспортного средства в неподвижном состоянии под 8-процентным уклоном вверх или вниз. В качестве альтернативы в этом случае допускается автоматическое включение</w:t>
      </w:r>
      <w:r w:rsidR="00982FC4" w:rsidRPr="00982FC4">
        <w:t xml:space="preserve"> </w:t>
      </w:r>
      <w:r>
        <w:t>стояночного тормоза, когда транспортное средство находится в неподвижном</w:t>
      </w:r>
      <w:r w:rsidR="00982FC4" w:rsidRPr="00982FC4">
        <w:t xml:space="preserve"> </w:t>
      </w:r>
      <w:r>
        <w:t>состоянии, при условии достижения вышеуказанной эффективности и сохранения</w:t>
      </w:r>
      <w:r w:rsidR="00982FC4" w:rsidRPr="00982FC4">
        <w:t xml:space="preserve"> </w:t>
      </w:r>
      <w:r>
        <w:t xml:space="preserve">в действии стояночного тормоза после включения, независимо от положения включателя зажигания (пускового переключателя). В этом альтернативном случае стояночный тормоз должен автоматически растормаживаться сразу после того, как водитель </w:t>
      </w:r>
      <w:r>
        <w:rPr>
          <w:b/>
          <w:bCs/>
        </w:rPr>
        <w:t>или АСВ</w:t>
      </w:r>
      <w:r>
        <w:t xml:space="preserve"> вновь начинает предпринимать действия для приведения транспортного средства в движение. Для достижения или содействия достижению указанной выше эффективности может использоваться привод двигателя/ручной привод или автоматический привод (в положении “стоянка”)».</w:t>
      </w:r>
    </w:p>
    <w:p w14:paraId="56DE3D50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iCs/>
        </w:rPr>
      </w:pPr>
      <w:r>
        <w:rPr>
          <w:i/>
          <w:iCs/>
        </w:rPr>
        <w:t>Пункт 5.2.1.30.1</w:t>
      </w:r>
      <w:r>
        <w:t xml:space="preserve"> изменить следующим образом:</w:t>
      </w:r>
    </w:p>
    <w:p w14:paraId="26E31C9A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</w:rPr>
      </w:pPr>
      <w:r>
        <w:t>«5.2.1.30.1</w:t>
      </w:r>
      <w:r>
        <w:tab/>
        <w:t xml:space="preserve">При приведении в действие водителем </w:t>
      </w:r>
      <w:r>
        <w:rPr>
          <w:b/>
          <w:bCs/>
        </w:rPr>
        <w:t>или АСВ</w:t>
      </w:r>
      <w:r>
        <w:t xml:space="preserve"> рабочей тормозной системы подается сигнал для освещения сигналов торможения».</w:t>
      </w:r>
    </w:p>
    <w:p w14:paraId="71CD010E" w14:textId="77777777" w:rsidR="00C04CE4" w:rsidRPr="00DF2AA2" w:rsidRDefault="00C04CE4" w:rsidP="00C04CE4">
      <w:pPr>
        <w:adjustRightInd w:val="0"/>
        <w:snapToGrid w:val="0"/>
        <w:spacing w:after="120" w:line="240" w:lineRule="auto"/>
        <w:ind w:left="2268" w:right="1134" w:hanging="1134"/>
        <w:jc w:val="both"/>
        <w:rPr>
          <w:rFonts w:eastAsia="Times New Roman"/>
          <w:i/>
          <w:iCs/>
        </w:rPr>
      </w:pPr>
      <w:r>
        <w:rPr>
          <w:i/>
          <w:iCs/>
        </w:rPr>
        <w:t>Включить новые пункты 5.3, 5.3.1, 5.3.2, 5.3.2.1 и 5.3.3</w:t>
      </w:r>
      <w:r>
        <w:t xml:space="preserve"> следующего содержания: </w:t>
      </w:r>
    </w:p>
    <w:p w14:paraId="60AE705E" w14:textId="77777777" w:rsidR="00C04CE4" w:rsidRPr="00DF2AA2" w:rsidRDefault="00C04CE4" w:rsidP="00C04CE4">
      <w:pPr>
        <w:spacing w:after="120"/>
        <w:ind w:left="2268" w:right="1134" w:hanging="1134"/>
        <w:jc w:val="both"/>
        <w:rPr>
          <w:rFonts w:eastAsia="Times New Roman" w:cs="Calibri"/>
          <w:b/>
        </w:rPr>
      </w:pPr>
      <w:r w:rsidRPr="00BD4797">
        <w:t>«</w:t>
      </w:r>
      <w:r w:rsidRPr="00B40886">
        <w:rPr>
          <w:b/>
          <w:bCs/>
        </w:rPr>
        <w:t>5.3</w:t>
      </w:r>
      <w:r>
        <w:tab/>
      </w:r>
      <w:r>
        <w:rPr>
          <w:b/>
          <w:bCs/>
        </w:rPr>
        <w:t>Особые положения для транспортных средств, оснащенных автоматизированной системой вождения</w:t>
      </w:r>
    </w:p>
    <w:p w14:paraId="1F19B0C6" w14:textId="77777777" w:rsidR="00C04CE4" w:rsidRPr="00DF2AA2" w:rsidRDefault="00C04CE4" w:rsidP="00C04CE4">
      <w:pPr>
        <w:spacing w:after="120"/>
        <w:ind w:left="2268" w:right="1134" w:hanging="1134"/>
        <w:jc w:val="both"/>
        <w:rPr>
          <w:rFonts w:eastAsia="Times New Roman" w:cs="Calibri"/>
          <w:b/>
        </w:rPr>
      </w:pPr>
      <w:r>
        <w:tab/>
      </w:r>
      <w:r>
        <w:rPr>
          <w:b/>
          <w:bCs/>
        </w:rPr>
        <w:t>Тормозная система любого транспортного средства, оснащенного автоматизированной системой вождения, отличной от автоматизированной системы удержания в полосе, определение которой соответствует Правилам № 157 ООН, должна отвечать следующим требованиям.</w:t>
      </w:r>
    </w:p>
    <w:p w14:paraId="379F619D" w14:textId="771CA3B0" w:rsidR="00C04CE4" w:rsidRPr="00DF2AA2" w:rsidRDefault="00C04CE4" w:rsidP="00C04CE4">
      <w:pPr>
        <w:spacing w:after="120"/>
        <w:ind w:left="2268" w:right="1134" w:hanging="1134"/>
        <w:jc w:val="both"/>
        <w:rPr>
          <w:rFonts w:eastAsia="Times New Roman" w:cs="Calibri"/>
          <w:b/>
        </w:rPr>
      </w:pPr>
      <w:r>
        <w:rPr>
          <w:b/>
          <w:bCs/>
        </w:rPr>
        <w:t>5.3.1</w:t>
      </w:r>
      <w:r>
        <w:tab/>
      </w:r>
      <w:r>
        <w:rPr>
          <w:b/>
          <w:bCs/>
        </w:rPr>
        <w:t xml:space="preserve">АСВ может осуществлять управление тормозной системой транспортного средства при условии, что конструкция АСВ отвечает </w:t>
      </w:r>
      <w:r>
        <w:rPr>
          <w:b/>
          <w:bCs/>
        </w:rPr>
        <w:lastRenderedPageBreak/>
        <w:t>предписаниям соответствующих национальных и/или международных технических правил и соответствующего национального законодательства, которым регулируется ее работа, а также при условии, что ввиду ограничений, накладываемых с помощью технических средств, включение АСВ возможно только на той</w:t>
      </w:r>
      <w:r w:rsidR="00F15029">
        <w:rPr>
          <w:b/>
          <w:bCs/>
        </w:rPr>
        <w:t xml:space="preserve"> </w:t>
      </w:r>
      <w:r>
        <w:rPr>
          <w:b/>
          <w:bCs/>
        </w:rPr>
        <w:t>(тех) юрисдикционной(ых) территории(ях), где действуют эти предписания.</w:t>
      </w:r>
      <w:r>
        <w:t xml:space="preserve"> </w:t>
      </w:r>
      <w:r>
        <w:rPr>
          <w:b/>
          <w:bCs/>
        </w:rPr>
        <w:t>Соблюдение этого требования подтверждается изготовителем при подаче заявки на официальное утверждение.</w:t>
      </w:r>
    </w:p>
    <w:p w14:paraId="78709B06" w14:textId="77777777" w:rsidR="00C04CE4" w:rsidRPr="00DF2AA2" w:rsidRDefault="00C04CE4" w:rsidP="00C04CE4">
      <w:pPr>
        <w:spacing w:after="120"/>
        <w:ind w:left="2268" w:right="1134" w:hanging="1134"/>
        <w:jc w:val="both"/>
        <w:rPr>
          <w:rFonts w:eastAsia="Times New Roman" w:cs="Calibri"/>
          <w:b/>
        </w:rPr>
      </w:pPr>
      <w:r>
        <w:rPr>
          <w:b/>
          <w:bCs/>
        </w:rPr>
        <w:t>5.3.2</w:t>
      </w:r>
      <w:r>
        <w:tab/>
      </w:r>
      <w:r>
        <w:rPr>
          <w:b/>
          <w:bCs/>
        </w:rPr>
        <w:t>Соответствие применимым требованиям к эффективности, предусмотренным настоящими Правилами ООН, при включенной АСВ должно быть продемонстрировано в соответствии с приложением 18.</w:t>
      </w:r>
    </w:p>
    <w:p w14:paraId="12F830F7" w14:textId="77777777" w:rsidR="00C04CE4" w:rsidRPr="00DF2AA2" w:rsidRDefault="00C04CE4" w:rsidP="00C04CE4">
      <w:pPr>
        <w:spacing w:after="120"/>
        <w:ind w:left="2268" w:right="1134" w:hanging="1134"/>
        <w:jc w:val="both"/>
        <w:rPr>
          <w:rFonts w:eastAsia="Times New Roman" w:cs="Calibri"/>
          <w:b/>
        </w:rPr>
      </w:pPr>
      <w:r>
        <w:rPr>
          <w:b/>
          <w:bCs/>
        </w:rPr>
        <w:t>5.3.2.1</w:t>
      </w:r>
      <w:r>
        <w:tab/>
      </w:r>
      <w:r>
        <w:rPr>
          <w:b/>
          <w:bCs/>
        </w:rPr>
        <w:t>Линии передачи, связывающие между собой АСВ и тормозную систему (за исключением самой АСВ), должны удовлетворять требованиям, изложенным в приложении 18.</w:t>
      </w:r>
    </w:p>
    <w:p w14:paraId="567B29E7" w14:textId="77777777" w:rsidR="00C04CE4" w:rsidRPr="00DF2AA2" w:rsidRDefault="00C04CE4" w:rsidP="00C04CE4">
      <w:pPr>
        <w:spacing w:after="120"/>
        <w:ind w:left="2268" w:right="1134" w:hanging="1134"/>
        <w:jc w:val="both"/>
        <w:rPr>
          <w:rFonts w:eastAsia="Times New Roman" w:cs="Calibri"/>
          <w:b/>
        </w:rPr>
      </w:pPr>
      <w:r>
        <w:rPr>
          <w:b/>
          <w:bCs/>
        </w:rPr>
        <w:t>5.3.3</w:t>
      </w:r>
      <w:r w:rsidRPr="00B40886">
        <w:rPr>
          <w:b/>
          <w:bCs/>
        </w:rPr>
        <w:tab/>
        <w:t>Когда АСВ включена, ей должна передаваться информация о выявленных неисправностях, указанных в настоящих Правилах ООН</w:t>
      </w:r>
      <w:r w:rsidRPr="00BD4797">
        <w:t>».</w:t>
      </w:r>
    </w:p>
    <w:p w14:paraId="4E036945" w14:textId="77777777" w:rsidR="00C04CE4" w:rsidRPr="00DF2AA2" w:rsidRDefault="00C04CE4" w:rsidP="00C04CE4">
      <w:pPr>
        <w:pStyle w:val="HChG"/>
      </w:pPr>
      <w:r>
        <w:rPr>
          <w:bCs/>
        </w:rPr>
        <w:tab/>
        <w:t>II.</w:t>
      </w:r>
      <w:r>
        <w:tab/>
      </w:r>
      <w:r>
        <w:rPr>
          <w:bCs/>
        </w:rPr>
        <w:t>Обоснование</w:t>
      </w:r>
    </w:p>
    <w:p w14:paraId="73EA5A8C" w14:textId="77777777" w:rsidR="00C04CE4" w:rsidRPr="00DF2AA2" w:rsidRDefault="00C04CE4" w:rsidP="00C04CE4">
      <w:pPr>
        <w:pStyle w:val="SingleTxtG"/>
      </w:pPr>
      <w:r>
        <w:t>1.</w:t>
      </w:r>
      <w:r>
        <w:tab/>
        <w:t>На своей сто девяностой сессии в июне 2023 года WP.29 одобрил переданный группами экспертов доклад (ECE/TRANS/WP.29/2023/86), посвященный вопросу о применимости правил для автоматизированных транспортных средств, и предложил рабочим группам приступить к разработке поправок к правилам, указанным группами экспертов в этом докладе.</w:t>
      </w:r>
    </w:p>
    <w:p w14:paraId="00A0AEF0" w14:textId="77777777" w:rsidR="00C04CE4" w:rsidRPr="00DF2AA2" w:rsidRDefault="00C04CE4" w:rsidP="00C04CE4">
      <w:pPr>
        <w:pStyle w:val="SingleTxtG"/>
      </w:pPr>
      <w:r>
        <w:t>2.</w:t>
      </w:r>
      <w:r>
        <w:tab/>
        <w:t>На своей семнадцатой сессии в сентябре 2023 года Рабочая группа по автоматизированным/автономным и подключенным транспортным средствам (GRVA) постановила, что ЦГ-ФАДС, которой GRVA поручила разработать поправки к находящимся в ее ведении правилам ООН и глобальным техническим правилам с целью включения в них автоматизированных транспортных средств, должна сначала представить поправки для автоматизированных транспортных средств, которые оснащены также и органами ручного управления. Это позволит значительно сократить количество необходимых изменений, касающихся положений об испытаниях, которые могут проводиться в режиме ручного управления, а также изменений, касающихся определений и предписаний, прямо или косвенно связанных с присутствием на борту транспортного средства водителя.</w:t>
      </w:r>
    </w:p>
    <w:p w14:paraId="2F63ED41" w14:textId="44B6D3C6" w:rsidR="00C04CE4" w:rsidRPr="00DF2AA2" w:rsidRDefault="00C04CE4" w:rsidP="00C04CE4">
      <w:pPr>
        <w:pStyle w:val="SingleTxtG"/>
      </w:pPr>
      <w:r>
        <w:t>3.</w:t>
      </w:r>
      <w:r>
        <w:tab/>
        <w:t>Подробный неофициальный документ, содержащий разъяснения относительно изменений, а также вопросы и ответы по данному предложению, будет передан</w:t>
      </w:r>
      <w:r w:rsidR="0017671C">
        <w:br/>
      </w:r>
      <w:r>
        <w:t>ЦГ-ФАДС в GRVA.</w:t>
      </w:r>
    </w:p>
    <w:p w14:paraId="279195B5" w14:textId="77777777" w:rsidR="00C04CE4" w:rsidRPr="00DF2AA2" w:rsidRDefault="00C04CE4" w:rsidP="00C04CE4">
      <w:pPr>
        <w:spacing w:before="240"/>
        <w:jc w:val="center"/>
        <w:rPr>
          <w:u w:val="single"/>
        </w:rPr>
      </w:pPr>
      <w:r w:rsidRPr="00DF2AA2">
        <w:rPr>
          <w:u w:val="single"/>
        </w:rPr>
        <w:tab/>
      </w:r>
      <w:r w:rsidRPr="00DF2AA2">
        <w:rPr>
          <w:u w:val="single"/>
        </w:rPr>
        <w:tab/>
      </w:r>
      <w:r w:rsidRPr="00DF2AA2">
        <w:rPr>
          <w:u w:val="single"/>
        </w:rPr>
        <w:tab/>
      </w:r>
    </w:p>
    <w:p w14:paraId="6EAB904D" w14:textId="77777777" w:rsidR="00E12C5F" w:rsidRPr="008D53B6" w:rsidRDefault="00E12C5F" w:rsidP="00D9145B"/>
    <w:sectPr w:rsidR="00E12C5F" w:rsidRPr="008D53B6" w:rsidSect="00C04CE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911B" w14:textId="77777777" w:rsidR="00DF4061" w:rsidRPr="00A312BC" w:rsidRDefault="00DF4061" w:rsidP="00A312BC"/>
  </w:endnote>
  <w:endnote w:type="continuationSeparator" w:id="0">
    <w:p w14:paraId="49F2FF87" w14:textId="77777777" w:rsidR="00DF4061" w:rsidRPr="00A312BC" w:rsidRDefault="00DF406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7CD6" w14:textId="17990153" w:rsidR="00C04CE4" w:rsidRPr="00C04CE4" w:rsidRDefault="00C04CE4">
    <w:pPr>
      <w:pStyle w:val="a8"/>
    </w:pPr>
    <w:r w:rsidRPr="00C04CE4">
      <w:rPr>
        <w:b/>
        <w:sz w:val="18"/>
      </w:rPr>
      <w:fldChar w:fldCharType="begin"/>
    </w:r>
    <w:r w:rsidRPr="00C04CE4">
      <w:rPr>
        <w:b/>
        <w:sz w:val="18"/>
      </w:rPr>
      <w:instrText xml:space="preserve"> PAGE  \* MERGEFORMAT </w:instrText>
    </w:r>
    <w:r w:rsidRPr="00C04CE4">
      <w:rPr>
        <w:b/>
        <w:sz w:val="18"/>
      </w:rPr>
      <w:fldChar w:fldCharType="separate"/>
    </w:r>
    <w:r w:rsidRPr="00C04CE4">
      <w:rPr>
        <w:b/>
        <w:noProof/>
        <w:sz w:val="18"/>
      </w:rPr>
      <w:t>2</w:t>
    </w:r>
    <w:r w:rsidRPr="00C04CE4">
      <w:rPr>
        <w:b/>
        <w:sz w:val="18"/>
      </w:rPr>
      <w:fldChar w:fldCharType="end"/>
    </w:r>
    <w:r>
      <w:rPr>
        <w:b/>
        <w:sz w:val="18"/>
      </w:rPr>
      <w:tab/>
    </w:r>
    <w:r>
      <w:t>GE.23-21974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77DE" w14:textId="655D2570" w:rsidR="00C04CE4" w:rsidRPr="00C04CE4" w:rsidRDefault="00C04CE4" w:rsidP="00C04CE4">
    <w:pPr>
      <w:pStyle w:val="a8"/>
      <w:tabs>
        <w:tab w:val="clear" w:pos="9639"/>
        <w:tab w:val="right" w:pos="9638"/>
      </w:tabs>
      <w:rPr>
        <w:b/>
        <w:sz w:val="18"/>
      </w:rPr>
    </w:pPr>
    <w:r>
      <w:t>GE.23-21974</w:t>
    </w:r>
    <w:r>
      <w:tab/>
    </w:r>
    <w:r w:rsidRPr="00C04CE4">
      <w:rPr>
        <w:b/>
        <w:sz w:val="18"/>
      </w:rPr>
      <w:fldChar w:fldCharType="begin"/>
    </w:r>
    <w:r w:rsidRPr="00C04CE4">
      <w:rPr>
        <w:b/>
        <w:sz w:val="18"/>
      </w:rPr>
      <w:instrText xml:space="preserve"> PAGE  \* MERGEFORMAT </w:instrText>
    </w:r>
    <w:r w:rsidRPr="00C04CE4">
      <w:rPr>
        <w:b/>
        <w:sz w:val="18"/>
      </w:rPr>
      <w:fldChar w:fldCharType="separate"/>
    </w:r>
    <w:r w:rsidRPr="00C04CE4">
      <w:rPr>
        <w:b/>
        <w:noProof/>
        <w:sz w:val="18"/>
      </w:rPr>
      <w:t>3</w:t>
    </w:r>
    <w:r w:rsidRPr="00C04CE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B180" w14:textId="28D26396" w:rsidR="00042B72" w:rsidRPr="005A27F9" w:rsidRDefault="00C04CE4" w:rsidP="00C04CE4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58B9D05" wp14:editId="530A8DFD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23-21974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DC10EAC" wp14:editId="7E066554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7F9">
      <w:rPr>
        <w:lang w:val="en-US"/>
      </w:rPr>
      <w:t xml:space="preserve">  201123  211123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58F5" w14:textId="77777777" w:rsidR="00DF4061" w:rsidRPr="001075E9" w:rsidRDefault="00DF406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823A6A1" w14:textId="77777777" w:rsidR="00DF4061" w:rsidRDefault="00DF406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728FD7C" w14:textId="77777777" w:rsidR="00C04CE4" w:rsidRPr="00DF2AA2" w:rsidRDefault="00C04CE4" w:rsidP="00AD46D5">
      <w:pPr>
        <w:pStyle w:val="ad"/>
      </w:pPr>
      <w:r>
        <w:tab/>
      </w:r>
      <w:r w:rsidRPr="00F33FAB">
        <w:rPr>
          <w:sz w:val="20"/>
        </w:rPr>
        <w:t>*</w:t>
      </w:r>
      <w:r>
        <w:tab/>
      </w:r>
      <w:r>
        <w:tab/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 20.5),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F9A0" w14:textId="0739B1B4" w:rsidR="00C04CE4" w:rsidRPr="00C04CE4" w:rsidRDefault="00C04CE4">
    <w:pPr>
      <w:pStyle w:val="a5"/>
    </w:pPr>
    <w:fldSimple w:instr=" TITLE  \* MERGEFORMAT ">
      <w:r w:rsidR="009D4EE6">
        <w:t>ECE/TRANS/WP.29/GRVA/2024/8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DD21" w14:textId="300FC033" w:rsidR="00C04CE4" w:rsidRPr="00C04CE4" w:rsidRDefault="00C04CE4" w:rsidP="00C04CE4">
    <w:pPr>
      <w:pStyle w:val="a5"/>
      <w:jc w:val="right"/>
    </w:pPr>
    <w:fldSimple w:instr=" TITLE  \* MERGEFORMAT ">
      <w:r w:rsidR="009D4EE6">
        <w:t>ECE/TRANS/WP.29/GRVA/2024/8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2033335161">
    <w:abstractNumId w:val="10"/>
    <w:lvlOverride w:ilvl="0">
      <w:startOverride w:val="1"/>
      <w:lvl w:ilvl="0">
        <w:start w:val="1"/>
        <w:numFmt w:val="decimal"/>
        <w:pStyle w:val="Level1"/>
        <w:lvlText w:val="1.%1_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61"/>
    <w:rsid w:val="00024538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7671C"/>
    <w:rsid w:val="00180183"/>
    <w:rsid w:val="0018024D"/>
    <w:rsid w:val="0018649F"/>
    <w:rsid w:val="00196389"/>
    <w:rsid w:val="001B3EF6"/>
    <w:rsid w:val="001C7A89"/>
    <w:rsid w:val="00207E9C"/>
    <w:rsid w:val="00255343"/>
    <w:rsid w:val="00262DB2"/>
    <w:rsid w:val="0027151D"/>
    <w:rsid w:val="002945C8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A27F9"/>
    <w:rsid w:val="005D7914"/>
    <w:rsid w:val="005E2B41"/>
    <w:rsid w:val="005F0B42"/>
    <w:rsid w:val="00617A43"/>
    <w:rsid w:val="00623D96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728D6"/>
    <w:rsid w:val="00894693"/>
    <w:rsid w:val="008A08D7"/>
    <w:rsid w:val="008A37C8"/>
    <w:rsid w:val="008B6909"/>
    <w:rsid w:val="008D53B6"/>
    <w:rsid w:val="008F7609"/>
    <w:rsid w:val="00906890"/>
    <w:rsid w:val="00911BE4"/>
    <w:rsid w:val="00912470"/>
    <w:rsid w:val="00951972"/>
    <w:rsid w:val="009608F3"/>
    <w:rsid w:val="00982FC4"/>
    <w:rsid w:val="009A24AC"/>
    <w:rsid w:val="009C59D7"/>
    <w:rsid w:val="009C6FE6"/>
    <w:rsid w:val="009D4EE6"/>
    <w:rsid w:val="009D7E7D"/>
    <w:rsid w:val="00A14DA8"/>
    <w:rsid w:val="00A312BC"/>
    <w:rsid w:val="00A84021"/>
    <w:rsid w:val="00A84D35"/>
    <w:rsid w:val="00A917B3"/>
    <w:rsid w:val="00A926AC"/>
    <w:rsid w:val="00AB4B51"/>
    <w:rsid w:val="00AD46D5"/>
    <w:rsid w:val="00B10CC7"/>
    <w:rsid w:val="00B36DF7"/>
    <w:rsid w:val="00B539E7"/>
    <w:rsid w:val="00B62458"/>
    <w:rsid w:val="00B81400"/>
    <w:rsid w:val="00BC18B2"/>
    <w:rsid w:val="00BD33EE"/>
    <w:rsid w:val="00BD4797"/>
    <w:rsid w:val="00BE1CC7"/>
    <w:rsid w:val="00C04CE4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06390"/>
    <w:rsid w:val="00D33D63"/>
    <w:rsid w:val="00D5253A"/>
    <w:rsid w:val="00D84ADA"/>
    <w:rsid w:val="00D873A8"/>
    <w:rsid w:val="00D90028"/>
    <w:rsid w:val="00D90138"/>
    <w:rsid w:val="00D9145B"/>
    <w:rsid w:val="00DD78D1"/>
    <w:rsid w:val="00DE32CD"/>
    <w:rsid w:val="00DF4061"/>
    <w:rsid w:val="00DF5767"/>
    <w:rsid w:val="00DF71B9"/>
    <w:rsid w:val="00E12C5F"/>
    <w:rsid w:val="00E27DC5"/>
    <w:rsid w:val="00E73F76"/>
    <w:rsid w:val="00EA2C9F"/>
    <w:rsid w:val="00EA420E"/>
    <w:rsid w:val="00ED0BDA"/>
    <w:rsid w:val="00EE142A"/>
    <w:rsid w:val="00EF1360"/>
    <w:rsid w:val="00EF3220"/>
    <w:rsid w:val="00F15029"/>
    <w:rsid w:val="00F2523A"/>
    <w:rsid w:val="00F33FAB"/>
    <w:rsid w:val="00F43903"/>
    <w:rsid w:val="00F55792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3E0F1"/>
  <w15:docId w15:val="{C17A4736-F83C-4F47-9D33-BEE622B5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ootnote Text Char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ootnote Text Char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C04CE4"/>
    <w:rPr>
      <w:lang w:val="ru-RU" w:eastAsia="en-US"/>
    </w:rPr>
  </w:style>
  <w:style w:type="paragraph" w:customStyle="1" w:styleId="Level1">
    <w:name w:val="Level 1"/>
    <w:basedOn w:val="a"/>
    <w:rsid w:val="00C04CE4"/>
    <w:pPr>
      <w:widowControl w:val="0"/>
      <w:numPr>
        <w:numId w:val="22"/>
      </w:numPr>
      <w:suppressAutoHyphens w:val="0"/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Courier New" w:eastAsiaTheme="minorEastAsia" w:hAnsi="Courier New" w:cs="Times New Roman"/>
      <w:szCs w:val="20"/>
      <w:lang w:val="en-US" w:eastAsia="it-IT"/>
    </w:rPr>
  </w:style>
  <w:style w:type="character" w:customStyle="1" w:styleId="HChGChar">
    <w:name w:val="_ H _Ch_G Char"/>
    <w:link w:val="HChG"/>
    <w:qFormat/>
    <w:rsid w:val="00C04CE4"/>
    <w:rPr>
      <w:b/>
      <w:sz w:val="28"/>
      <w:lang w:val="ru-RU" w:eastAsia="ru-RU"/>
    </w:rPr>
  </w:style>
  <w:style w:type="character" w:customStyle="1" w:styleId="H1GChar">
    <w:name w:val="_ H_1_G Char"/>
    <w:link w:val="H1G"/>
    <w:rsid w:val="00C04CE4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27AFF-C424-4416-9C0A-C83F3FA9D958}"/>
</file>

<file path=customXml/itemProps2.xml><?xml version="1.0" encoding="utf-8"?>
<ds:datastoreItem xmlns:ds="http://schemas.openxmlformats.org/officeDocument/2006/customXml" ds:itemID="{01E1CE23-0E21-4FF7-9E73-D6B0F7F17BBE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5</Pages>
  <Words>1551</Words>
  <Characters>11044</Characters>
  <Application>Microsoft Office Word</Application>
  <DocSecurity>0</DocSecurity>
  <Lines>208</Lines>
  <Paragraphs>60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ECE/TRANS/WP.29/GRVA/2024/8</vt:lpstr>
      <vt:lpstr>A/</vt:lpstr>
      <vt:lpstr>A/</vt:lpstr>
    </vt:vector>
  </TitlesOfParts>
  <Company>DCM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ECE/TRANS/WP.29/GRVA/2024/8</dc:title>
  <dc:subject/>
  <dc:creator>Uliana ANTIPOVA</dc:creator>
  <cp:keywords/>
  <cp:lastModifiedBy>Uliana Antipova</cp:lastModifiedBy>
  <cp:revision>3</cp:revision>
  <cp:lastPrinted>2023-11-21T08:20:00Z</cp:lastPrinted>
  <dcterms:created xsi:type="dcterms:W3CDTF">2023-11-21T08:20:00Z</dcterms:created>
  <dcterms:modified xsi:type="dcterms:W3CDTF">2023-11-21T08:20:00Z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