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1433FD" w:rsidRPr="00DB58B5" w14:paraId="04337428" w14:textId="77777777" w:rsidTr="005316B0">
        <w:trPr>
          <w:trHeight w:hRule="exact" w:val="851"/>
        </w:trPr>
        <w:tc>
          <w:tcPr>
            <w:tcW w:w="1276" w:type="dxa"/>
            <w:tcBorders>
              <w:bottom w:val="single" w:sz="4" w:space="0" w:color="auto"/>
            </w:tcBorders>
          </w:tcPr>
          <w:p w14:paraId="23792A37" w14:textId="77777777" w:rsidR="001433FD" w:rsidRPr="00DB58B5" w:rsidRDefault="001433FD" w:rsidP="0001207F"/>
        </w:tc>
        <w:tc>
          <w:tcPr>
            <w:tcW w:w="2268" w:type="dxa"/>
            <w:tcBorders>
              <w:bottom w:val="single" w:sz="4" w:space="0" w:color="auto"/>
            </w:tcBorders>
            <w:vAlign w:val="bottom"/>
          </w:tcPr>
          <w:p w14:paraId="7A554B35" w14:textId="77777777" w:rsidR="001433FD" w:rsidRPr="00DB58B5" w:rsidRDefault="001433FD" w:rsidP="00084AC0">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3533182E" w14:textId="5DEC0521" w:rsidR="001433FD" w:rsidRPr="00355E45" w:rsidRDefault="00355E45" w:rsidP="00355E45">
            <w:pPr>
              <w:jc w:val="right"/>
            </w:pPr>
            <w:r w:rsidRPr="00355E45">
              <w:rPr>
                <w:sz w:val="40"/>
              </w:rPr>
              <w:t>ECE</w:t>
            </w:r>
            <w:r>
              <w:t>/TRANS/WP.15/AC.2/2024/7</w:t>
            </w:r>
          </w:p>
        </w:tc>
      </w:tr>
      <w:tr w:rsidR="001433FD" w:rsidRPr="00DB58B5" w14:paraId="0D48CC70" w14:textId="77777777" w:rsidTr="00084AC0">
        <w:trPr>
          <w:trHeight w:hRule="exact" w:val="2835"/>
        </w:trPr>
        <w:tc>
          <w:tcPr>
            <w:tcW w:w="1276" w:type="dxa"/>
            <w:tcBorders>
              <w:top w:val="single" w:sz="4" w:space="0" w:color="auto"/>
              <w:bottom w:val="single" w:sz="12" w:space="0" w:color="auto"/>
            </w:tcBorders>
          </w:tcPr>
          <w:p w14:paraId="44FBD508" w14:textId="77777777" w:rsidR="001433FD" w:rsidRPr="00DB58B5" w:rsidRDefault="001433FD" w:rsidP="00084AC0">
            <w:pPr>
              <w:spacing w:before="120"/>
              <w:jc w:val="center"/>
            </w:pPr>
            <w:r>
              <w:rPr>
                <w:noProof/>
                <w:lang w:eastAsia="fr-CH"/>
              </w:rPr>
              <w:drawing>
                <wp:inline distT="0" distB="0" distL="0" distR="0" wp14:anchorId="34F86050" wp14:editId="3793A179">
                  <wp:extent cx="714375" cy="590550"/>
                  <wp:effectExtent l="0" t="0" r="9525" b="0"/>
                  <wp:docPr id="3" name="Picture 3"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0C287E15" w14:textId="77777777" w:rsidR="001433FD" w:rsidRPr="00740562" w:rsidRDefault="001433FD" w:rsidP="00084AC0">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14:paraId="0879ADDF" w14:textId="77777777" w:rsidR="0001207F" w:rsidRDefault="00C7660B" w:rsidP="00C7660B">
            <w:pPr>
              <w:spacing w:before="240" w:line="240" w:lineRule="exact"/>
            </w:pPr>
            <w:r>
              <w:t>Distr. générale</w:t>
            </w:r>
          </w:p>
          <w:p w14:paraId="3F0FE701" w14:textId="76397907" w:rsidR="00C7660B" w:rsidRDefault="00625203" w:rsidP="00C7660B">
            <w:pPr>
              <w:spacing w:line="240" w:lineRule="exact"/>
            </w:pPr>
            <w:r>
              <w:t>3</w:t>
            </w:r>
            <w:r w:rsidR="00C7660B">
              <w:t xml:space="preserve"> novembre 2023</w:t>
            </w:r>
          </w:p>
          <w:p w14:paraId="601DE488" w14:textId="77777777" w:rsidR="00C7660B" w:rsidRDefault="00C7660B" w:rsidP="00C7660B">
            <w:pPr>
              <w:spacing w:line="240" w:lineRule="exact"/>
            </w:pPr>
          </w:p>
          <w:p w14:paraId="75D52712" w14:textId="77777777" w:rsidR="00C7660B" w:rsidRPr="00DB58B5" w:rsidRDefault="00C7660B" w:rsidP="00C7660B">
            <w:pPr>
              <w:spacing w:line="240" w:lineRule="exact"/>
            </w:pPr>
            <w:r>
              <w:t>Original : français</w:t>
            </w:r>
          </w:p>
        </w:tc>
      </w:tr>
    </w:tbl>
    <w:p w14:paraId="2F1F0A28" w14:textId="77777777" w:rsidR="005106D1" w:rsidRDefault="005106D1" w:rsidP="00FD1581">
      <w:pPr>
        <w:spacing w:before="120"/>
        <w:rPr>
          <w:b/>
          <w:sz w:val="28"/>
          <w:szCs w:val="28"/>
        </w:rPr>
      </w:pPr>
      <w:r w:rsidRPr="00883605">
        <w:rPr>
          <w:b/>
          <w:sz w:val="28"/>
          <w:szCs w:val="28"/>
        </w:rPr>
        <w:t>Commission économique pour l’Europe</w:t>
      </w:r>
    </w:p>
    <w:p w14:paraId="54D577AC" w14:textId="77777777" w:rsidR="005106D1" w:rsidRDefault="005106D1" w:rsidP="00FD1581">
      <w:pPr>
        <w:spacing w:before="120"/>
        <w:rPr>
          <w:sz w:val="28"/>
          <w:szCs w:val="28"/>
        </w:rPr>
      </w:pPr>
      <w:r w:rsidRPr="00685843">
        <w:rPr>
          <w:sz w:val="28"/>
          <w:szCs w:val="28"/>
        </w:rPr>
        <w:t>Comité des transports intérieurs</w:t>
      </w:r>
    </w:p>
    <w:p w14:paraId="1C5CE4D7" w14:textId="77777777" w:rsidR="005106D1" w:rsidRPr="009E01B8" w:rsidRDefault="005106D1" w:rsidP="00FD1581">
      <w:pPr>
        <w:spacing w:before="120"/>
        <w:rPr>
          <w:b/>
          <w:sz w:val="24"/>
          <w:szCs w:val="24"/>
        </w:rPr>
      </w:pPr>
      <w:r w:rsidRPr="009E01B8">
        <w:rPr>
          <w:b/>
          <w:sz w:val="24"/>
          <w:szCs w:val="24"/>
        </w:rPr>
        <w:t>Groupe de travail des transports</w:t>
      </w:r>
      <w:r>
        <w:rPr>
          <w:b/>
          <w:sz w:val="24"/>
          <w:szCs w:val="24"/>
        </w:rPr>
        <w:t xml:space="preserve"> </w:t>
      </w:r>
      <w:r w:rsidRPr="009E01B8">
        <w:rPr>
          <w:b/>
          <w:sz w:val="24"/>
          <w:szCs w:val="24"/>
        </w:rPr>
        <w:t>de marchandises dangereuses</w:t>
      </w:r>
    </w:p>
    <w:p w14:paraId="32C3E067" w14:textId="77777777" w:rsidR="005106D1" w:rsidRPr="004812F5" w:rsidRDefault="005106D1" w:rsidP="00FD1581">
      <w:pPr>
        <w:spacing w:before="120"/>
        <w:rPr>
          <w:b/>
        </w:rPr>
      </w:pPr>
      <w:r w:rsidRPr="004812F5">
        <w:rPr>
          <w:b/>
          <w:lang w:val="fr-FR"/>
        </w:rPr>
        <w:t>Réunion commune d’experts sur le Règlement annexé</w:t>
      </w:r>
      <w:r>
        <w:rPr>
          <w:b/>
          <w:lang w:val="fr-FR"/>
        </w:rPr>
        <w:t xml:space="preserve"> </w:t>
      </w:r>
      <w:r>
        <w:rPr>
          <w:b/>
          <w:lang w:val="fr-FR"/>
        </w:rPr>
        <w:br/>
      </w:r>
      <w:r w:rsidRPr="004812F5">
        <w:rPr>
          <w:b/>
          <w:lang w:val="fr-FR"/>
        </w:rPr>
        <w:t>à l’Accord européen</w:t>
      </w:r>
      <w:r>
        <w:rPr>
          <w:b/>
          <w:lang w:val="fr-FR"/>
        </w:rPr>
        <w:t xml:space="preserve"> </w:t>
      </w:r>
      <w:r w:rsidRPr="004812F5">
        <w:rPr>
          <w:b/>
          <w:lang w:val="fr-FR"/>
        </w:rPr>
        <w:t>relatif au transport international</w:t>
      </w:r>
      <w:r>
        <w:rPr>
          <w:b/>
          <w:lang w:val="fr-FR"/>
        </w:rPr>
        <w:t xml:space="preserve"> </w:t>
      </w:r>
      <w:r>
        <w:rPr>
          <w:b/>
          <w:lang w:val="fr-FR"/>
        </w:rPr>
        <w:br/>
      </w:r>
      <w:r w:rsidRPr="004812F5">
        <w:rPr>
          <w:b/>
          <w:lang w:val="fr-FR"/>
        </w:rPr>
        <w:t xml:space="preserve">des marchandises </w:t>
      </w:r>
      <w:r w:rsidRPr="004812F5">
        <w:rPr>
          <w:b/>
          <w:bCs/>
          <w:iCs/>
          <w:lang w:val="fr-FR"/>
        </w:rPr>
        <w:t>dangereuses par voies</w:t>
      </w:r>
      <w:r>
        <w:rPr>
          <w:b/>
          <w:bCs/>
          <w:iCs/>
          <w:lang w:val="fr-FR"/>
        </w:rPr>
        <w:t xml:space="preserve"> </w:t>
      </w:r>
      <w:r w:rsidRPr="004812F5">
        <w:rPr>
          <w:b/>
          <w:bCs/>
          <w:iCs/>
          <w:lang w:val="fr-FR"/>
        </w:rPr>
        <w:t>de navigation</w:t>
      </w:r>
      <w:r>
        <w:rPr>
          <w:b/>
          <w:bCs/>
          <w:iCs/>
          <w:lang w:val="fr-FR"/>
        </w:rPr>
        <w:t xml:space="preserve"> </w:t>
      </w:r>
      <w:r>
        <w:rPr>
          <w:b/>
          <w:bCs/>
          <w:iCs/>
          <w:lang w:val="fr-FR"/>
        </w:rPr>
        <w:br/>
      </w:r>
      <w:r w:rsidRPr="004812F5">
        <w:rPr>
          <w:b/>
          <w:bCs/>
          <w:iCs/>
          <w:lang w:val="fr-FR"/>
        </w:rPr>
        <w:t xml:space="preserve">intérieures (ADN) </w:t>
      </w:r>
      <w:r w:rsidRPr="004812F5">
        <w:rPr>
          <w:b/>
          <w:bCs/>
          <w:lang w:val="fr-FR"/>
        </w:rPr>
        <w:t>(Comité de sécurité de l’ADN)</w:t>
      </w:r>
    </w:p>
    <w:p w14:paraId="6FD3102C" w14:textId="77777777" w:rsidR="005F3C77" w:rsidRPr="00234E40" w:rsidRDefault="005F3C77" w:rsidP="005F3C77">
      <w:pPr>
        <w:tabs>
          <w:tab w:val="left" w:pos="4030"/>
        </w:tabs>
        <w:spacing w:before="120"/>
        <w:rPr>
          <w:b/>
        </w:rPr>
      </w:pPr>
      <w:bookmarkStart w:id="0" w:name="_Hlk148721657"/>
      <w:r>
        <w:rPr>
          <w:b/>
          <w:lang w:val="fr-FR"/>
        </w:rPr>
        <w:t>Q</w:t>
      </w:r>
      <w:r w:rsidRPr="0082526B">
        <w:rPr>
          <w:b/>
          <w:lang w:val="fr-FR"/>
        </w:rPr>
        <w:t>uarante-</w:t>
      </w:r>
      <w:r>
        <w:rPr>
          <w:b/>
          <w:lang w:val="fr-FR"/>
        </w:rPr>
        <w:t>troisième</w:t>
      </w:r>
      <w:r w:rsidRPr="00B336E0">
        <w:rPr>
          <w:b/>
        </w:rPr>
        <w:t xml:space="preserve"> </w:t>
      </w:r>
      <w:bookmarkEnd w:id="0"/>
      <w:r w:rsidRPr="00D36F25">
        <w:rPr>
          <w:b/>
        </w:rPr>
        <w:t>session</w:t>
      </w:r>
    </w:p>
    <w:p w14:paraId="0F205648" w14:textId="77777777" w:rsidR="005F3C77" w:rsidRDefault="005F3C77" w:rsidP="005F3C77">
      <w:pPr>
        <w:rPr>
          <w:bCs/>
          <w:lang w:val="fr-FR"/>
        </w:rPr>
      </w:pPr>
      <w:r>
        <w:t xml:space="preserve">Genève, </w:t>
      </w:r>
      <w:r>
        <w:rPr>
          <w:bCs/>
          <w:lang w:val="fr-FR"/>
        </w:rPr>
        <w:t>22-26 janvier 2024</w:t>
      </w:r>
    </w:p>
    <w:p w14:paraId="669ACA04" w14:textId="77777777" w:rsidR="005F3C77" w:rsidRDefault="005F3C77" w:rsidP="005F3C77">
      <w:r w:rsidRPr="00B93E72">
        <w:t xml:space="preserve">Point </w:t>
      </w:r>
      <w:r>
        <w:t xml:space="preserve">5 c) </w:t>
      </w:r>
      <w:r w:rsidRPr="00B93E72">
        <w:t>de l’ordre du jour provisoire</w:t>
      </w:r>
    </w:p>
    <w:p w14:paraId="5B44EEB1" w14:textId="77777777" w:rsidR="005F3C77" w:rsidRPr="009A0A47" w:rsidRDefault="005F3C77" w:rsidP="005F3C77">
      <w:pPr>
        <w:rPr>
          <w:b/>
          <w:bCs/>
          <w:lang w:val="fr-FR"/>
        </w:rPr>
      </w:pPr>
      <w:r w:rsidRPr="009A0A47">
        <w:rPr>
          <w:b/>
          <w:bCs/>
        </w:rPr>
        <w:t>Propositions</w:t>
      </w:r>
      <w:r w:rsidRPr="009A0A47">
        <w:rPr>
          <w:b/>
          <w:bCs/>
          <w:lang w:val="fr-FR"/>
        </w:rPr>
        <w:t xml:space="preserve"> d’amendements au Règlement annexé à l’ADN :</w:t>
      </w:r>
    </w:p>
    <w:p w14:paraId="7E85E413" w14:textId="77777777" w:rsidR="005F3C77" w:rsidRPr="009A0A47" w:rsidRDefault="005F3C77" w:rsidP="005F3C77">
      <w:pPr>
        <w:rPr>
          <w:b/>
          <w:bCs/>
        </w:rPr>
      </w:pPr>
      <w:r w:rsidRPr="009A0A47">
        <w:rPr>
          <w:b/>
          <w:bCs/>
          <w:lang w:val="fr-FR"/>
        </w:rPr>
        <w:t>autres propositions</w:t>
      </w:r>
    </w:p>
    <w:p w14:paraId="45C351C8" w14:textId="3551F9A0" w:rsidR="00FE09D3" w:rsidRPr="00D937D1" w:rsidRDefault="005A5169" w:rsidP="005A5169">
      <w:pPr>
        <w:pStyle w:val="HChG"/>
        <w:rPr>
          <w:lang w:val="fr-FR"/>
        </w:rPr>
      </w:pPr>
      <w:r>
        <w:rPr>
          <w:lang w:val="fr-FR"/>
        </w:rPr>
        <w:tab/>
      </w:r>
      <w:r>
        <w:rPr>
          <w:lang w:val="fr-FR"/>
        </w:rPr>
        <w:tab/>
      </w:r>
      <w:r w:rsidR="00FE09D3" w:rsidRPr="00D937D1">
        <w:rPr>
          <w:lang w:val="fr-FR"/>
        </w:rPr>
        <w:t>7.2.4.22 de l’ADN : Ouverture d’orifices</w:t>
      </w:r>
    </w:p>
    <w:p w14:paraId="712548DC" w14:textId="77777777" w:rsidR="00FE09D3" w:rsidRPr="00D937D1" w:rsidRDefault="00FE09D3" w:rsidP="005A5169">
      <w:pPr>
        <w:pStyle w:val="H1G"/>
        <w:rPr>
          <w:rFonts w:eastAsia="Calibri"/>
          <w:lang w:val="fr-FR"/>
        </w:rPr>
      </w:pPr>
      <w:r w:rsidRPr="00D937D1">
        <w:rPr>
          <w:rFonts w:eastAsia="Calibri"/>
          <w:lang w:val="fr-FR"/>
        </w:rPr>
        <w:tab/>
      </w:r>
      <w:r w:rsidRPr="00D937D1">
        <w:rPr>
          <w:rFonts w:eastAsia="Calibri"/>
          <w:lang w:val="fr-FR"/>
        </w:rPr>
        <w:tab/>
        <w:t>Communication du Gouvernement de l’Allemagne</w:t>
      </w:r>
      <w:r w:rsidRPr="00D937D1">
        <w:rPr>
          <w:rFonts w:eastAsia="Calibri"/>
          <w:lang w:val="fr-FR"/>
        </w:rPr>
        <w:footnoteReference w:customMarkFollows="1" w:id="2"/>
        <w:t>*</w:t>
      </w:r>
      <w:r w:rsidRPr="00D937D1">
        <w:rPr>
          <w:rFonts w:eastAsia="Calibri"/>
          <w:vertAlign w:val="superscript"/>
          <w:lang w:val="fr-FR"/>
        </w:rPr>
        <w:t xml:space="preserve">, </w:t>
      </w:r>
      <w:r w:rsidRPr="00D937D1">
        <w:rPr>
          <w:rFonts w:eastAsia="Calibri"/>
          <w:lang w:val="fr-FR"/>
        </w:rPr>
        <w:footnoteReference w:customMarkFollows="1" w:id="3"/>
        <w:t>**</w:t>
      </w:r>
    </w:p>
    <w:p w14:paraId="3E690CA5" w14:textId="2A2620E5" w:rsidR="00FE09D3" w:rsidRPr="00D937D1" w:rsidRDefault="00FE09D3" w:rsidP="00F33E6B">
      <w:pPr>
        <w:pStyle w:val="HChG"/>
        <w:rPr>
          <w:lang w:val="fr-FR"/>
        </w:rPr>
      </w:pPr>
      <w:r w:rsidRPr="00D937D1">
        <w:rPr>
          <w:lang w:val="fr-FR"/>
        </w:rPr>
        <w:tab/>
      </w:r>
      <w:r w:rsidR="00F33E6B">
        <w:rPr>
          <w:lang w:val="fr-FR"/>
        </w:rPr>
        <w:tab/>
      </w:r>
      <w:r w:rsidR="00F33E6B">
        <w:rPr>
          <w:lang w:val="fr-FR"/>
        </w:rPr>
        <w:tab/>
      </w:r>
      <w:r w:rsidRPr="00D937D1">
        <w:rPr>
          <w:lang w:val="fr-FR"/>
        </w:rPr>
        <w:t>Introduction</w:t>
      </w:r>
    </w:p>
    <w:p w14:paraId="0B75BA4D" w14:textId="15DE1899" w:rsidR="00FE09D3" w:rsidRPr="00D937D1" w:rsidRDefault="00FE09D3" w:rsidP="00F33E6B">
      <w:pPr>
        <w:pStyle w:val="SingleTxtG"/>
        <w:rPr>
          <w:lang w:val="fr-FR"/>
        </w:rPr>
      </w:pPr>
      <w:r w:rsidRPr="00D937D1">
        <w:rPr>
          <w:lang w:val="fr-FR"/>
        </w:rPr>
        <w:t>1.</w:t>
      </w:r>
      <w:r w:rsidRPr="00D937D1">
        <w:rPr>
          <w:lang w:val="fr-FR"/>
        </w:rPr>
        <w:tab/>
        <w:t xml:space="preserve">Au cours de sa </w:t>
      </w:r>
      <w:r w:rsidR="00A10EB1" w:rsidRPr="00A10EB1">
        <w:t xml:space="preserve"> </w:t>
      </w:r>
      <w:r w:rsidR="00A10EB1">
        <w:rPr>
          <w:lang w:val="fr-FR"/>
        </w:rPr>
        <w:t>q</w:t>
      </w:r>
      <w:r w:rsidR="00A10EB1" w:rsidRPr="007C3574">
        <w:rPr>
          <w:lang w:val="fr-FR"/>
        </w:rPr>
        <w:t>uarante-</w:t>
      </w:r>
      <w:r w:rsidR="00A10EB1">
        <w:rPr>
          <w:lang w:val="fr-FR"/>
        </w:rPr>
        <w:t>deu</w:t>
      </w:r>
      <w:r w:rsidR="0010746F">
        <w:rPr>
          <w:lang w:val="fr-FR"/>
        </w:rPr>
        <w:t>x</w:t>
      </w:r>
      <w:r w:rsidR="00A10EB1" w:rsidRPr="007C3574">
        <w:rPr>
          <w:lang w:val="fr-FR"/>
        </w:rPr>
        <w:t>ième</w:t>
      </w:r>
      <w:r w:rsidRPr="00D937D1">
        <w:rPr>
          <w:lang w:val="fr-FR"/>
        </w:rPr>
        <w:t xml:space="preserve"> session, le Comité de sécurité a déjà examiné une demande de l'Allemagne concernant une actualisation exhaustive des dispositions relatives à « l'ouverture d'orifices », sous-section 7.2.4.22 (</w:t>
      </w:r>
      <w:r w:rsidR="00D87D48">
        <w:rPr>
          <w:lang w:val="fr-FR"/>
        </w:rPr>
        <w:t>d</w:t>
      </w:r>
      <w:r w:rsidRPr="00D937D1">
        <w:rPr>
          <w:lang w:val="fr-FR"/>
        </w:rPr>
        <w:t xml:space="preserve">ocument </w:t>
      </w:r>
      <w:r w:rsidR="0010746F">
        <w:rPr>
          <w:lang w:val="fr-FR"/>
        </w:rPr>
        <w:t>ECE/TRANS</w:t>
      </w:r>
      <w:r w:rsidRPr="00D937D1">
        <w:rPr>
          <w:lang w:val="fr-FR"/>
        </w:rPr>
        <w:t xml:space="preserve">/WP.15/AC.2/2023/47). Il a approuvé le concept présenté et a validé sans réserves certaines propositions de modification. Pour certaines autres propositions de détail - </w:t>
      </w:r>
      <w:r w:rsidRPr="00D937D1">
        <w:rPr>
          <w:b/>
          <w:lang w:val="fr-FR"/>
        </w:rPr>
        <w:t xml:space="preserve">7.2.4.22.1, 7.2.4.22.6, 7.2.4.22.8, 7.2.4.22.10, 7.2.4.23.1.1, 7.2.4.23.2.3, 7.2.4.23.2.4 et 7.2.4.23.2.6 - </w:t>
      </w:r>
      <w:r w:rsidRPr="00D937D1">
        <w:rPr>
          <w:lang w:val="fr-FR"/>
        </w:rPr>
        <w:t>l'Allemagne a été invitée à procéder à une nouvelle révision en tenant compte des indications et observations formulées par d'autres délégations au cours de la réunion. L'Allemagne a volontiers donné suite à cette demande.</w:t>
      </w:r>
    </w:p>
    <w:p w14:paraId="3C05FD16" w14:textId="710CF27A" w:rsidR="00FE09D3" w:rsidRPr="00D937D1" w:rsidRDefault="00FE09D3" w:rsidP="00F33E6B">
      <w:pPr>
        <w:pStyle w:val="SingleTxtG"/>
        <w:rPr>
          <w:lang w:val="fr-FR"/>
        </w:rPr>
      </w:pPr>
      <w:r w:rsidRPr="00D937D1">
        <w:rPr>
          <w:lang w:val="fr-FR"/>
        </w:rPr>
        <w:t>3.</w:t>
      </w:r>
      <w:r w:rsidRPr="00D937D1">
        <w:rPr>
          <w:lang w:val="fr-FR"/>
        </w:rPr>
        <w:tab/>
        <w:t xml:space="preserve">Afin d'éviter les répétitions, nous renvoyons au document </w:t>
      </w:r>
      <w:r w:rsidR="004076E8">
        <w:rPr>
          <w:lang w:val="fr-FR"/>
        </w:rPr>
        <w:t>ECE/TRANS</w:t>
      </w:r>
      <w:r w:rsidR="004076E8" w:rsidRPr="00D937D1">
        <w:rPr>
          <w:lang w:val="fr-FR"/>
        </w:rPr>
        <w:t>/WP.15/AC.2/</w:t>
      </w:r>
      <w:r w:rsidRPr="00D937D1">
        <w:rPr>
          <w:lang w:val="fr-FR"/>
        </w:rPr>
        <w:t>2023/47 contenant l'exposé des motifs de cette initiative et la justification de ces modifications fondamentales. Ci-après ne sont exposés que les motifs des dernières révisions.</w:t>
      </w:r>
    </w:p>
    <w:p w14:paraId="2624461F" w14:textId="77777777" w:rsidR="00FE09D3" w:rsidRPr="00D937D1" w:rsidRDefault="00FE09D3" w:rsidP="00F33E6B">
      <w:pPr>
        <w:pStyle w:val="SingleTxtG"/>
        <w:rPr>
          <w:lang w:val="fr-FR"/>
        </w:rPr>
      </w:pPr>
      <w:r w:rsidRPr="00D937D1">
        <w:rPr>
          <w:lang w:val="fr-FR"/>
        </w:rPr>
        <w:lastRenderedPageBreak/>
        <w:t>4.</w:t>
      </w:r>
      <w:r w:rsidRPr="00D937D1">
        <w:rPr>
          <w:lang w:val="fr-FR"/>
        </w:rPr>
        <w:tab/>
        <w:t>La suppression de certaines propositions d’amendements permet de renoncer à un nouveau 7.2.4.23.</w:t>
      </w:r>
    </w:p>
    <w:p w14:paraId="59073E7E" w14:textId="5307C024" w:rsidR="00FE09D3" w:rsidRPr="00D937D1" w:rsidRDefault="00F33E6B" w:rsidP="00F33E6B">
      <w:pPr>
        <w:pStyle w:val="HChG"/>
        <w:rPr>
          <w:lang w:val="fr-FR"/>
        </w:rPr>
      </w:pPr>
      <w:r>
        <w:rPr>
          <w:lang w:val="fr-FR"/>
        </w:rPr>
        <w:tab/>
      </w:r>
      <w:r w:rsidR="00FE09D3" w:rsidRPr="00D937D1">
        <w:rPr>
          <w:lang w:val="fr-FR"/>
        </w:rPr>
        <w:t>I.</w:t>
      </w:r>
      <w:r w:rsidR="00FE09D3" w:rsidRPr="00D937D1">
        <w:rPr>
          <w:lang w:val="fr-FR"/>
        </w:rPr>
        <w:tab/>
        <w:t>Proposition</w:t>
      </w:r>
    </w:p>
    <w:p w14:paraId="2C7B7A5D" w14:textId="77777777" w:rsidR="00FE09D3" w:rsidRDefault="00FE09D3" w:rsidP="00FE09D3">
      <w:pPr>
        <w:tabs>
          <w:tab w:val="left" w:pos="1701"/>
        </w:tabs>
        <w:ind w:left="1134" w:right="566"/>
        <w:jc w:val="both"/>
        <w:rPr>
          <w:lang w:val="fr-FR"/>
        </w:rPr>
      </w:pPr>
      <w:r w:rsidRPr="00D937D1">
        <w:rPr>
          <w:lang w:val="fr-FR"/>
        </w:rPr>
        <w:t>5.</w:t>
      </w:r>
      <w:r w:rsidRPr="00D937D1">
        <w:rPr>
          <w:lang w:val="fr-FR"/>
        </w:rPr>
        <w:tab/>
        <w:t>L’Allemagne invite le Comité de sécurité à approuver les propositions d’amendements ci-après.</w:t>
      </w:r>
    </w:p>
    <w:p w14:paraId="08E5E45F" w14:textId="15CAE8DD" w:rsidR="00FE09D3" w:rsidRPr="00D937D1" w:rsidRDefault="00730321" w:rsidP="00730321">
      <w:pPr>
        <w:pStyle w:val="H23G"/>
        <w:rPr>
          <w:lang w:val="fr-FR"/>
        </w:rPr>
      </w:pPr>
      <w:r>
        <w:rPr>
          <w:lang w:val="fr-FR"/>
        </w:rPr>
        <w:tab/>
      </w:r>
      <w:r>
        <w:rPr>
          <w:lang w:val="fr-FR"/>
        </w:rPr>
        <w:tab/>
      </w:r>
      <w:r w:rsidR="00FE09D3" w:rsidRPr="00D937D1">
        <w:rPr>
          <w:lang w:val="fr-FR"/>
        </w:rPr>
        <w:t>1.2.1 Définitions</w:t>
      </w:r>
    </w:p>
    <w:p w14:paraId="7676C196" w14:textId="77777777" w:rsidR="00FE09D3" w:rsidRPr="00D937D1" w:rsidRDefault="00FE09D3" w:rsidP="00730321">
      <w:pPr>
        <w:pStyle w:val="SingleTxtG"/>
        <w:rPr>
          <w:rFonts w:eastAsia="Calibri"/>
          <w:lang w:val="fr-FR"/>
        </w:rPr>
      </w:pPr>
      <w:r w:rsidRPr="00D937D1">
        <w:rPr>
          <w:lang w:val="fr-FR"/>
        </w:rPr>
        <w:t>6.</w:t>
      </w:r>
      <w:r w:rsidRPr="00D937D1">
        <w:rPr>
          <w:lang w:val="fr-FR"/>
        </w:rPr>
        <w:tab/>
      </w:r>
      <w:r w:rsidRPr="00D937D1">
        <w:rPr>
          <w:rFonts w:eastAsia="Calibri"/>
          <w:lang w:val="fr-FR"/>
        </w:rPr>
        <w:t>À la fin de la définition de l’expression « orifice de prise d’échantillons » au 1.2.1, ajouter la phrase suivante :</w:t>
      </w:r>
    </w:p>
    <w:p w14:paraId="44ED96B8" w14:textId="77777777" w:rsidR="00FE09D3" w:rsidRPr="00D937D1" w:rsidRDefault="00FE09D3" w:rsidP="00730321">
      <w:pPr>
        <w:pStyle w:val="SingleTxtG"/>
        <w:ind w:left="1701"/>
        <w:rPr>
          <w:rFonts w:eastAsia="Calibri"/>
          <w:lang w:val="fr-FR"/>
        </w:rPr>
      </w:pPr>
      <w:r w:rsidRPr="00D937D1">
        <w:rPr>
          <w:rFonts w:eastAsia="Calibri"/>
          <w:lang w:val="fr-FR"/>
        </w:rPr>
        <w:t>« Les autres orifices d’une citerne à cargaison, à l’exception des écoutilles, sont considérés comme un orifice de prise d’échantillons s’ils sont conformes aux prescriptions susmentionnées. ».</w:t>
      </w:r>
    </w:p>
    <w:p w14:paraId="69BBFB2A" w14:textId="136C657C" w:rsidR="00FE09D3" w:rsidRPr="00D937D1" w:rsidRDefault="00BE1095" w:rsidP="00BE1095">
      <w:pPr>
        <w:pStyle w:val="H23G"/>
        <w:rPr>
          <w:lang w:val="fr-FR"/>
        </w:rPr>
      </w:pPr>
      <w:r>
        <w:rPr>
          <w:lang w:val="fr-FR"/>
        </w:rPr>
        <w:tab/>
      </w:r>
      <w:r>
        <w:rPr>
          <w:lang w:val="fr-FR"/>
        </w:rPr>
        <w:tab/>
      </w:r>
      <w:r w:rsidR="00FE09D3" w:rsidRPr="00D937D1">
        <w:rPr>
          <w:lang w:val="fr-FR"/>
        </w:rPr>
        <w:t>7.2.3.7.1.3 Dégazage des citernes à cargaison dans l'atmosphère</w:t>
      </w:r>
    </w:p>
    <w:p w14:paraId="6B9F70CB" w14:textId="77777777" w:rsidR="00FE09D3" w:rsidRPr="00D937D1" w:rsidRDefault="00FE09D3" w:rsidP="00BE1095">
      <w:pPr>
        <w:pStyle w:val="SingleTxtG"/>
        <w:rPr>
          <w:rFonts w:eastAsia="Calibri"/>
          <w:lang w:val="fr-FR"/>
        </w:rPr>
      </w:pPr>
      <w:r w:rsidRPr="00D937D1">
        <w:rPr>
          <w:lang w:val="fr-FR"/>
        </w:rPr>
        <w:t>7.</w:t>
      </w:r>
      <w:r w:rsidRPr="00D937D1">
        <w:rPr>
          <w:lang w:val="fr-FR"/>
        </w:rPr>
        <w:tab/>
      </w:r>
      <w:r w:rsidRPr="00D937D1">
        <w:rPr>
          <w:rFonts w:eastAsia="Calibri"/>
          <w:lang w:val="fr-FR"/>
        </w:rPr>
        <w:t>Après la première phrase du 7.2.3.7.1.3, insérer les phrases suivantes :</w:t>
      </w:r>
    </w:p>
    <w:p w14:paraId="5EB70338" w14:textId="77777777" w:rsidR="00FE09D3" w:rsidRPr="00D937D1" w:rsidRDefault="00FE09D3" w:rsidP="00F26FB2">
      <w:pPr>
        <w:pStyle w:val="SingleTxtG"/>
        <w:ind w:left="1701"/>
        <w:rPr>
          <w:lang w:val="fr-FR"/>
        </w:rPr>
      </w:pPr>
      <w:r w:rsidRPr="00D937D1">
        <w:rPr>
          <w:lang w:val="fr-FR"/>
        </w:rPr>
        <w:t>« Le mélange gaz/air provenant des citernes à cargaison ne peut être évacué dans l’atmosphère que</w:t>
      </w:r>
    </w:p>
    <w:p w14:paraId="2E0375B4" w14:textId="046257F0" w:rsidR="00FE09D3" w:rsidRPr="00D937D1" w:rsidRDefault="00FE09D3" w:rsidP="00F26FB2">
      <w:pPr>
        <w:pStyle w:val="SingleTxtG"/>
        <w:ind w:left="1701"/>
        <w:rPr>
          <w:lang w:val="fr-FR"/>
        </w:rPr>
      </w:pPr>
      <w:r w:rsidRPr="00D937D1">
        <w:rPr>
          <w:lang w:val="fr-FR"/>
        </w:rPr>
        <w:t>a)</w:t>
      </w:r>
      <w:r w:rsidRPr="00D937D1">
        <w:rPr>
          <w:lang w:val="fr-FR"/>
        </w:rPr>
        <w:tab/>
        <w:t>par le dispositif de décompression en toute sécurité des citernes à cargaison (voir les 9.3.2.22.4 a), 9.3.2.22.4 b), 9.3.3.22.4 a), 9.3.3.22.4 b)</w:t>
      </w:r>
      <w:r w:rsidR="000A310E">
        <w:rPr>
          <w:lang w:val="fr-FR"/>
        </w:rPr>
        <w:t>)</w:t>
      </w:r>
      <w:r w:rsidRPr="00D937D1">
        <w:rPr>
          <w:lang w:val="fr-FR"/>
        </w:rPr>
        <w:t>, ou</w:t>
      </w:r>
    </w:p>
    <w:p w14:paraId="55C7459E" w14:textId="4BD44810" w:rsidR="00FE09D3" w:rsidRPr="00D937D1" w:rsidRDefault="00FE09D3" w:rsidP="00F26FB2">
      <w:pPr>
        <w:pStyle w:val="SingleTxtG"/>
        <w:ind w:left="1701"/>
        <w:rPr>
          <w:lang w:val="fr-FR"/>
        </w:rPr>
      </w:pPr>
      <w:r w:rsidRPr="00D937D1">
        <w:rPr>
          <w:lang w:val="fr-FR"/>
        </w:rPr>
        <w:t>b)</w:t>
      </w:r>
      <w:r w:rsidRPr="00D937D1">
        <w:rPr>
          <w:lang w:val="fr-FR"/>
        </w:rPr>
        <w:tab/>
        <w:t>par l'orifice de prise d'échantillons</w:t>
      </w:r>
      <w:r>
        <w:rPr>
          <w:lang w:val="fr-FR"/>
        </w:rPr>
        <w:t xml:space="preserve"> </w:t>
      </w:r>
      <w:r w:rsidRPr="00D937D1">
        <w:rPr>
          <w:lang w:val="fr-FR"/>
        </w:rPr>
        <w:t>(voir les 9.3.2.21.1 g), 9.3.3.21.1 g)), ou</w:t>
      </w:r>
    </w:p>
    <w:p w14:paraId="58C6A653" w14:textId="29DD584B" w:rsidR="00FE09D3" w:rsidRPr="00D937D1" w:rsidRDefault="00FE09D3" w:rsidP="00F26FB2">
      <w:pPr>
        <w:pStyle w:val="SingleTxtG"/>
        <w:ind w:left="1701"/>
        <w:rPr>
          <w:lang w:val="fr-FR"/>
        </w:rPr>
      </w:pPr>
      <w:r w:rsidRPr="00D937D1">
        <w:rPr>
          <w:lang w:val="fr-FR"/>
        </w:rPr>
        <w:t>c)</w:t>
      </w:r>
      <w:r w:rsidRPr="00D937D1">
        <w:rPr>
          <w:lang w:val="fr-FR"/>
        </w:rPr>
        <w:tab/>
        <w:t>par le carter ouvert du coupe-flammes au point de raccordement de la citerne à cargaison à la conduite d'évacuation de gaz (voir les 9.3.2.22.4 b), 9.3.3.22.4 d</w:t>
      </w:r>
      <w:r>
        <w:rPr>
          <w:lang w:val="fr-FR"/>
        </w:rPr>
        <w:t>)</w:t>
      </w:r>
      <w:r w:rsidRPr="00D937D1">
        <w:rPr>
          <w:lang w:val="fr-FR"/>
        </w:rPr>
        <w:t>), ou</w:t>
      </w:r>
    </w:p>
    <w:p w14:paraId="57E79585" w14:textId="2B90FDDA" w:rsidR="00FE09D3" w:rsidRPr="00D937D1" w:rsidRDefault="00FE09D3" w:rsidP="00F26FB2">
      <w:pPr>
        <w:pStyle w:val="SingleTxtG"/>
        <w:ind w:left="1701"/>
        <w:rPr>
          <w:lang w:val="fr-FR"/>
        </w:rPr>
      </w:pPr>
      <w:r w:rsidRPr="00D937D1">
        <w:rPr>
          <w:lang w:val="fr-FR"/>
        </w:rPr>
        <w:t>d)</w:t>
      </w:r>
      <w:r w:rsidRPr="00D937D1">
        <w:rPr>
          <w:lang w:val="fr-FR"/>
        </w:rPr>
        <w:tab/>
        <w:t>par un tuyau adapté, qui est raccordé à la conduite d'évacuation de gaz et précédé d'un coupe-flammes (groupe/sous-groupe d'explosion conformément à la colonne (16) du tableau C du chapitre 3.2.). »</w:t>
      </w:r>
    </w:p>
    <w:p w14:paraId="6A5FE136" w14:textId="6C58D822" w:rsidR="00FE09D3" w:rsidRPr="00D937D1" w:rsidRDefault="00496BB5" w:rsidP="00E01332">
      <w:pPr>
        <w:pStyle w:val="H23G"/>
        <w:rPr>
          <w:lang w:val="fr-FR"/>
        </w:rPr>
      </w:pPr>
      <w:r>
        <w:rPr>
          <w:lang w:val="fr-FR"/>
        </w:rPr>
        <w:tab/>
      </w:r>
      <w:r>
        <w:rPr>
          <w:lang w:val="fr-FR"/>
        </w:rPr>
        <w:tab/>
      </w:r>
      <w:r w:rsidR="00FE09D3" w:rsidRPr="00D937D1">
        <w:rPr>
          <w:lang w:val="fr-FR"/>
        </w:rPr>
        <w:t>7.2.4.22 Ouverture d’orifices</w:t>
      </w:r>
    </w:p>
    <w:p w14:paraId="7B4FC2E9" w14:textId="77777777" w:rsidR="00FE09D3" w:rsidRPr="00D937D1" w:rsidRDefault="00FE09D3" w:rsidP="00FA6780">
      <w:pPr>
        <w:pStyle w:val="SingleTxtG"/>
        <w:rPr>
          <w:lang w:val="fr-FR"/>
        </w:rPr>
      </w:pPr>
      <w:r w:rsidRPr="00D937D1">
        <w:rPr>
          <w:lang w:val="fr-FR"/>
        </w:rPr>
        <w:t>8.</w:t>
      </w:r>
      <w:r w:rsidRPr="00D937D1">
        <w:rPr>
          <w:lang w:val="fr-FR"/>
        </w:rPr>
        <w:tab/>
        <w:t>Modifier le 7.2.4.22 (« Ouverture d’orifices des citernes à cargaison ») comme suit :</w:t>
      </w:r>
    </w:p>
    <w:p w14:paraId="3DF54CDF" w14:textId="77777777" w:rsidR="00FE09D3" w:rsidRPr="00D937D1" w:rsidRDefault="00FE09D3" w:rsidP="00F26FB2">
      <w:pPr>
        <w:pStyle w:val="SingleTxtG"/>
        <w:ind w:left="1701"/>
        <w:rPr>
          <w:lang w:val="fr-FR"/>
        </w:rPr>
      </w:pPr>
      <w:r w:rsidRPr="00D937D1">
        <w:rPr>
          <w:lang w:val="fr-FR"/>
        </w:rPr>
        <w:t>« 7.2.4.22</w:t>
      </w:r>
      <w:r w:rsidRPr="00D937D1">
        <w:rPr>
          <w:lang w:val="fr-FR"/>
        </w:rPr>
        <w:tab/>
        <w:t>Ouverture d’orifices des citernes à cargaison (généralités)</w:t>
      </w:r>
    </w:p>
    <w:p w14:paraId="0692D3F8" w14:textId="731561C7" w:rsidR="00FE09D3" w:rsidRPr="00D937D1" w:rsidRDefault="00FE09D3" w:rsidP="00F26FB2">
      <w:pPr>
        <w:pStyle w:val="SingleTxtG"/>
        <w:ind w:left="1701"/>
        <w:rPr>
          <w:lang w:val="fr-FR"/>
        </w:rPr>
      </w:pPr>
      <w:r w:rsidRPr="00D937D1">
        <w:rPr>
          <w:lang w:val="fr-FR"/>
        </w:rPr>
        <w:t>7.2.4.22.1</w:t>
      </w:r>
      <w:r w:rsidRPr="00D937D1">
        <w:rPr>
          <w:lang w:val="fr-FR"/>
        </w:rPr>
        <w:tab/>
        <w:t>Le 7.2.4.22 ne s’appliquent qu’aux bateaux-citernes de types N et C.</w:t>
      </w:r>
    </w:p>
    <w:p w14:paraId="49DA731C" w14:textId="2DA56B48" w:rsidR="00FE09D3" w:rsidRDefault="00FE09D3" w:rsidP="00F26FB2">
      <w:pPr>
        <w:pStyle w:val="SingleTxtG"/>
        <w:ind w:left="1701"/>
        <w:rPr>
          <w:lang w:val="fr-FR"/>
        </w:rPr>
      </w:pPr>
      <w:r w:rsidRPr="00D937D1">
        <w:rPr>
          <w:lang w:val="fr-FR"/>
        </w:rPr>
        <w:t xml:space="preserve">Par dérogation au 7.2.3.22 et sous réserve que cela ne soit pas interdit en vertu d’autres prescriptions légales, l'ouverture d'orifices de citernes à cargaison, y compris lorsque ces dernières n'ont pas été déchargées, dégazées ou ne sont pas exemptes de gaz, </w:t>
      </w:r>
    </w:p>
    <w:p w14:paraId="5C7EE4D8" w14:textId="77777777" w:rsidR="00FE09D3" w:rsidRPr="00226071" w:rsidRDefault="00FE09D3" w:rsidP="009C2C18">
      <w:pPr>
        <w:pStyle w:val="Paragraphedeliste"/>
        <w:numPr>
          <w:ilvl w:val="0"/>
          <w:numId w:val="14"/>
        </w:numPr>
        <w:spacing w:before="60"/>
        <w:ind w:left="2268" w:right="1134" w:firstLine="0"/>
        <w:contextualSpacing w:val="0"/>
        <w:jc w:val="both"/>
        <w:rPr>
          <w:lang w:val="fr-FR"/>
        </w:rPr>
      </w:pPr>
      <w:r w:rsidRPr="00226071">
        <w:rPr>
          <w:lang w:val="fr-FR"/>
        </w:rPr>
        <w:t>pour le nettoyage et</w:t>
      </w:r>
      <w:r>
        <w:rPr>
          <w:lang w:val="fr-FR"/>
        </w:rPr>
        <w:t>/ou</w:t>
      </w:r>
      <w:r w:rsidRPr="00226071">
        <w:rPr>
          <w:lang w:val="fr-FR"/>
        </w:rPr>
        <w:t xml:space="preserve"> le remplacement de l'élément coupe-flammes,</w:t>
      </w:r>
    </w:p>
    <w:p w14:paraId="0B1E0CFC" w14:textId="77777777" w:rsidR="00FE09D3" w:rsidRPr="00D937D1" w:rsidRDefault="00FE09D3" w:rsidP="007C3574">
      <w:pPr>
        <w:pStyle w:val="Paragraphedeliste"/>
        <w:numPr>
          <w:ilvl w:val="0"/>
          <w:numId w:val="14"/>
        </w:numPr>
        <w:spacing w:before="60"/>
        <w:ind w:left="2268" w:right="1134" w:firstLine="0"/>
        <w:contextualSpacing w:val="0"/>
        <w:jc w:val="both"/>
        <w:rPr>
          <w:lang w:val="fr-FR"/>
        </w:rPr>
      </w:pPr>
      <w:r w:rsidRPr="00D937D1">
        <w:rPr>
          <w:lang w:val="fr-FR"/>
        </w:rPr>
        <w:t>pour le contrôle visuel depuis le pont,</w:t>
      </w:r>
    </w:p>
    <w:p w14:paraId="1AE4E336" w14:textId="77777777" w:rsidR="00FE09D3" w:rsidRPr="00D937D1" w:rsidRDefault="00FE09D3" w:rsidP="007C3574">
      <w:pPr>
        <w:pStyle w:val="Paragraphedeliste"/>
        <w:numPr>
          <w:ilvl w:val="0"/>
          <w:numId w:val="14"/>
        </w:numPr>
        <w:spacing w:before="60"/>
        <w:ind w:left="2268" w:right="1134" w:firstLine="0"/>
        <w:contextualSpacing w:val="0"/>
        <w:jc w:val="both"/>
        <w:rPr>
          <w:lang w:val="fr-FR"/>
        </w:rPr>
      </w:pPr>
      <w:r w:rsidRPr="00D937D1">
        <w:rPr>
          <w:lang w:val="fr-FR"/>
        </w:rPr>
        <w:t>pour la prise d'échantillons,</w:t>
      </w:r>
    </w:p>
    <w:p w14:paraId="59ED42EA" w14:textId="77777777" w:rsidR="00FE09D3" w:rsidRPr="00D937D1" w:rsidRDefault="00FE09D3" w:rsidP="007C3574">
      <w:pPr>
        <w:pStyle w:val="Paragraphedeliste"/>
        <w:numPr>
          <w:ilvl w:val="0"/>
          <w:numId w:val="14"/>
        </w:numPr>
        <w:spacing w:before="60"/>
        <w:ind w:left="2268" w:right="1134" w:firstLine="0"/>
        <w:contextualSpacing w:val="0"/>
        <w:jc w:val="both"/>
        <w:rPr>
          <w:lang w:val="fr-FR"/>
        </w:rPr>
      </w:pPr>
      <w:r w:rsidRPr="00D937D1">
        <w:rPr>
          <w:lang w:val="fr-FR"/>
        </w:rPr>
        <w:t>pour le raccordement d'une installation de lavage des citernes,</w:t>
      </w:r>
    </w:p>
    <w:p w14:paraId="7E2D02F7" w14:textId="77777777" w:rsidR="00FE09D3" w:rsidRPr="00D937D1" w:rsidRDefault="00FE09D3" w:rsidP="007C3574">
      <w:pPr>
        <w:pStyle w:val="Paragraphedeliste"/>
        <w:numPr>
          <w:ilvl w:val="0"/>
          <w:numId w:val="14"/>
        </w:numPr>
        <w:spacing w:before="60"/>
        <w:ind w:left="2268" w:right="1134" w:firstLine="0"/>
        <w:contextualSpacing w:val="0"/>
        <w:jc w:val="both"/>
        <w:rPr>
          <w:lang w:val="fr-FR"/>
        </w:rPr>
      </w:pPr>
      <w:r w:rsidRPr="00D937D1">
        <w:rPr>
          <w:lang w:val="fr-FR"/>
        </w:rPr>
        <w:t>pour la mesure des gaz,</w:t>
      </w:r>
    </w:p>
    <w:p w14:paraId="1FD7B684" w14:textId="77777777" w:rsidR="00FE09D3" w:rsidRPr="00D937D1" w:rsidRDefault="00FE09D3" w:rsidP="007C3574">
      <w:pPr>
        <w:pStyle w:val="Paragraphedeliste"/>
        <w:numPr>
          <w:ilvl w:val="0"/>
          <w:numId w:val="14"/>
        </w:numPr>
        <w:spacing w:before="60"/>
        <w:ind w:left="2835" w:right="1134" w:hanging="567"/>
        <w:contextualSpacing w:val="0"/>
        <w:jc w:val="both"/>
        <w:rPr>
          <w:lang w:val="fr-FR"/>
        </w:rPr>
      </w:pPr>
      <w:r w:rsidRPr="00D937D1">
        <w:rPr>
          <w:lang w:val="fr-FR"/>
        </w:rPr>
        <w:t>pour la détermination du niveau de remplissage de la citerne à cargaison dans des cas exceptionnels, et</w:t>
      </w:r>
    </w:p>
    <w:p w14:paraId="3181B84D" w14:textId="5809AF44" w:rsidR="00FE09D3" w:rsidRDefault="00FE09D3" w:rsidP="007C3574">
      <w:pPr>
        <w:pStyle w:val="Paragraphedeliste"/>
        <w:numPr>
          <w:ilvl w:val="0"/>
          <w:numId w:val="14"/>
        </w:numPr>
        <w:spacing w:before="60"/>
        <w:ind w:left="2268" w:right="1134" w:firstLine="0"/>
        <w:contextualSpacing w:val="0"/>
        <w:jc w:val="both"/>
        <w:rPr>
          <w:lang w:val="fr-FR"/>
        </w:rPr>
      </w:pPr>
      <w:r w:rsidRPr="00D937D1">
        <w:rPr>
          <w:lang w:val="fr-FR"/>
        </w:rPr>
        <w:t xml:space="preserve">pour l'ajout </w:t>
      </w:r>
      <w:r>
        <w:rPr>
          <w:lang w:val="fr-FR"/>
        </w:rPr>
        <w:t xml:space="preserve">ultérieur </w:t>
      </w:r>
      <w:r w:rsidRPr="00D937D1">
        <w:rPr>
          <w:lang w:val="fr-FR"/>
        </w:rPr>
        <w:t>de stabilisateur dans des cas exceptionnels</w:t>
      </w:r>
      <w:r w:rsidR="00EA4780">
        <w:rPr>
          <w:lang w:val="fr-FR"/>
        </w:rPr>
        <w:t>.</w:t>
      </w:r>
    </w:p>
    <w:p w14:paraId="7B40A531" w14:textId="674B33C7" w:rsidR="00FE09D3" w:rsidRPr="00D937D1" w:rsidDel="00EA4780" w:rsidRDefault="00FE09D3" w:rsidP="007C3574">
      <w:pPr>
        <w:pStyle w:val="SingleTxtG"/>
        <w:spacing w:before="120"/>
        <w:ind w:left="1701"/>
        <w:rPr>
          <w:lang w:val="fr-FR"/>
        </w:rPr>
      </w:pPr>
      <w:r w:rsidRPr="00D937D1" w:rsidDel="0088564C">
        <w:rPr>
          <w:lang w:val="fr-FR"/>
        </w:rPr>
        <w:t xml:space="preserve">est autorisée aux </w:t>
      </w:r>
      <w:r w:rsidDel="0088564C">
        <w:rPr>
          <w:lang w:val="fr-FR"/>
        </w:rPr>
        <w:t>conditions</w:t>
      </w:r>
      <w:r w:rsidRPr="00D937D1" w:rsidDel="0088564C">
        <w:rPr>
          <w:lang w:val="fr-FR"/>
        </w:rPr>
        <w:t xml:space="preserve"> </w:t>
      </w:r>
      <w:r w:rsidDel="0088564C">
        <w:rPr>
          <w:lang w:val="fr-FR"/>
        </w:rPr>
        <w:t>suivantes</w:t>
      </w:r>
      <w:r w:rsidDel="00EA4780">
        <w:rPr>
          <w:lang w:val="fr-FR"/>
        </w:rPr>
        <w:t>.</w:t>
      </w:r>
      <w:r w:rsidRPr="00D937D1" w:rsidDel="00EA4780">
        <w:rPr>
          <w:lang w:val="fr-FR"/>
        </w:rPr>
        <w:t xml:space="preserve"> </w:t>
      </w:r>
    </w:p>
    <w:p w14:paraId="0F786F88" w14:textId="77777777" w:rsidR="00FE09D3" w:rsidRPr="00D937D1" w:rsidRDefault="00FE09D3" w:rsidP="007C3574">
      <w:pPr>
        <w:pStyle w:val="SingleTxtG"/>
        <w:spacing w:before="120"/>
        <w:ind w:left="1701"/>
        <w:rPr>
          <w:lang w:val="fr-FR"/>
        </w:rPr>
      </w:pPr>
      <w:r>
        <w:rPr>
          <w:lang w:val="fr-FR"/>
        </w:rPr>
        <w:t>7</w:t>
      </w:r>
      <w:r w:rsidRPr="00D937D1">
        <w:rPr>
          <w:lang w:val="fr-FR"/>
        </w:rPr>
        <w:t>.2.4.22.2</w:t>
      </w:r>
      <w:r w:rsidRPr="00D937D1">
        <w:rPr>
          <w:lang w:val="fr-FR"/>
        </w:rPr>
        <w:tab/>
        <w:t>L'ouverture des citernes à cargaison n'est autorisée que si le bateau n'est pas relié à l'installation à terre ou si les dispositifs de vannage du bateau et de l'installation à terre sont fermés.</w:t>
      </w:r>
    </w:p>
    <w:p w14:paraId="41B2837F" w14:textId="06959EAB" w:rsidR="00FE09D3" w:rsidRPr="00F54D91" w:rsidRDefault="00FE09D3" w:rsidP="007C3574">
      <w:pPr>
        <w:pStyle w:val="SingleTxtG"/>
        <w:tabs>
          <w:tab w:val="clear" w:pos="1701"/>
        </w:tabs>
        <w:ind w:left="1701"/>
        <w:rPr>
          <w:lang w:val="en-US"/>
        </w:rPr>
      </w:pPr>
      <w:r w:rsidRPr="00D937D1">
        <w:rPr>
          <w:lang w:val="fr-FR"/>
        </w:rPr>
        <w:t>L'ouverture d'orifices [« </w:t>
      </w:r>
      <w:proofErr w:type="spellStart"/>
      <w:r w:rsidRPr="00D937D1">
        <w:rPr>
          <w:lang w:val="fr-FR"/>
        </w:rPr>
        <w:t>openings</w:t>
      </w:r>
      <w:proofErr w:type="spellEnd"/>
      <w:r w:rsidRPr="00D937D1">
        <w:rPr>
          <w:lang w:val="fr-FR"/>
        </w:rPr>
        <w:t xml:space="preserve"> » en anglais] de citernes à cargaison n'est autorisée qu'après décompression des citernes à cargaison correspondantes au moyen des </w:t>
      </w:r>
      <w:r w:rsidRPr="00D937D1">
        <w:rPr>
          <w:lang w:val="fr-FR"/>
        </w:rPr>
        <w:lastRenderedPageBreak/>
        <w:t xml:space="preserve">dispositifs prescrits à cet effet aux 9.3.2.22.4 a) et 9.3.2.22.4 b) ou 9.3.3.22.4 a) et 9.3.3.22.4 b). </w:t>
      </w:r>
      <w:r w:rsidRPr="00F54D91">
        <w:rPr>
          <w:lang w:val="en-US"/>
        </w:rPr>
        <w:t>[</w:t>
      </w:r>
      <w:proofErr w:type="spellStart"/>
      <w:r w:rsidRPr="00F54D91">
        <w:rPr>
          <w:lang w:val="en-US"/>
        </w:rPr>
        <w:t>en</w:t>
      </w:r>
      <w:proofErr w:type="spellEnd"/>
      <w:r w:rsidRPr="00F54D91">
        <w:rPr>
          <w:lang w:val="en-US"/>
        </w:rPr>
        <w:t xml:space="preserve"> </w:t>
      </w:r>
      <w:proofErr w:type="spellStart"/>
      <w:r w:rsidRPr="00F54D91">
        <w:rPr>
          <w:lang w:val="en-US"/>
        </w:rPr>
        <w:t>anglais</w:t>
      </w:r>
      <w:proofErr w:type="spellEnd"/>
      <w:r w:rsidRPr="00F54D91">
        <w:rPr>
          <w:lang w:val="en-US"/>
        </w:rPr>
        <w:t xml:space="preserve"> « Device for the safe depressurization of cargo tanks »</w:t>
      </w:r>
      <w:r w:rsidR="000C5108">
        <w:rPr>
          <w:lang w:val="en-US"/>
        </w:rPr>
        <w:t>]</w:t>
      </w:r>
    </w:p>
    <w:p w14:paraId="786B6BA3" w14:textId="34F4CD3B" w:rsidR="00FE09D3" w:rsidRPr="00D937D1" w:rsidRDefault="00FE09D3" w:rsidP="00F26FB2">
      <w:pPr>
        <w:pStyle w:val="SingleTxtG"/>
        <w:ind w:left="1701"/>
        <w:rPr>
          <w:rFonts w:eastAsia="Calibri"/>
          <w:lang w:val="fr-FR"/>
        </w:rPr>
      </w:pPr>
      <w:r w:rsidRPr="00D937D1">
        <w:rPr>
          <w:rFonts w:eastAsia="Calibri"/>
          <w:lang w:val="fr-FR"/>
        </w:rPr>
        <w:t>Lorsqu’en vertu de la colonne (17) du tableau C du chapitre 3.2 une protection contre les explosions est exigée, l’ouverture des écoutilles des citernes à cargaison n’est autorisée que si les citernes à cargaison correspondantes ont été déchargées et que la concentration de gaz inflammables dans la citerne à cargaison est inférieure à 10 % de la LIE de la cargaison/cargaison précédente. Les résultats des mesures doivent être consignés par écrit. L’entrée dans ces citernes à cargaison à des fins de mesure n’est pas autorisée.</w:t>
      </w:r>
    </w:p>
    <w:p w14:paraId="4C0D3783" w14:textId="77777777" w:rsidR="00FE09D3" w:rsidRPr="00D937D1" w:rsidRDefault="00FE09D3" w:rsidP="00F26FB2">
      <w:pPr>
        <w:pStyle w:val="SingleTxtG"/>
        <w:ind w:left="1701"/>
        <w:rPr>
          <w:rFonts w:eastAsia="Calibri"/>
          <w:lang w:val="fr-FR"/>
        </w:rPr>
      </w:pPr>
      <w:r w:rsidRPr="00D937D1">
        <w:rPr>
          <w:rFonts w:eastAsia="Calibri"/>
          <w:lang w:val="fr-FR"/>
        </w:rPr>
        <w:t>7.2.4.22.3</w:t>
      </w:r>
      <w:r w:rsidRPr="00D937D1">
        <w:rPr>
          <w:rFonts w:eastAsia="Calibri"/>
          <w:lang w:val="fr-FR"/>
        </w:rPr>
        <w:tab/>
        <w:t>L’ouverture d’orifices de citernes à cargaison chargées de matières pour lesquelles une signalisation avec un ou deux cônes ou feux bleus est prescrite à la colonne (19) du tableau C du chapitre 3.2 n’est autorisée que lorsque le chargement a été interrompu depuis au moins 10 minutes.</w:t>
      </w:r>
    </w:p>
    <w:p w14:paraId="32177AA0" w14:textId="77777777" w:rsidR="00FE09D3" w:rsidRPr="00D937D1" w:rsidRDefault="00FE09D3" w:rsidP="00F26FB2">
      <w:pPr>
        <w:pStyle w:val="SingleTxtG"/>
        <w:ind w:left="1701"/>
        <w:rPr>
          <w:rFonts w:eastAsia="Calibri"/>
          <w:lang w:val="fr-FR"/>
        </w:rPr>
      </w:pPr>
      <w:r w:rsidRPr="00D937D1">
        <w:rPr>
          <w:rFonts w:eastAsia="Calibri"/>
          <w:lang w:val="fr-FR"/>
        </w:rPr>
        <w:t>7.2.4.22.4</w:t>
      </w:r>
      <w:r w:rsidRPr="00D937D1">
        <w:rPr>
          <w:rFonts w:eastAsia="Calibri"/>
          <w:lang w:val="fr-FR"/>
        </w:rPr>
        <w:tab/>
        <w:t>En ce qui concerne le nettoyage de l’élément coupe-flammes ou son remplacement par un élément coupe-flammes de même conception, les conditions ci-après doivent être remplies :</w:t>
      </w:r>
    </w:p>
    <w:p w14:paraId="49C82464" w14:textId="4A0F8019" w:rsidR="00FE09D3" w:rsidRPr="00D937D1" w:rsidRDefault="00FE09D3" w:rsidP="00F26FB2">
      <w:pPr>
        <w:pStyle w:val="SingleTxtG"/>
        <w:ind w:left="1701"/>
        <w:rPr>
          <w:rFonts w:eastAsia="Calibri"/>
          <w:lang w:val="fr-FR"/>
        </w:rPr>
      </w:pPr>
      <w:r w:rsidRPr="00D937D1">
        <w:rPr>
          <w:rFonts w:eastAsia="Calibri"/>
          <w:lang w:val="fr-FR"/>
        </w:rPr>
        <w:t>a)</w:t>
      </w:r>
      <w:r w:rsidRPr="00D937D1">
        <w:rPr>
          <w:rFonts w:eastAsia="Calibri"/>
          <w:lang w:val="fr-FR"/>
        </w:rPr>
        <w:tab/>
        <w:t>Le nettoyage et le remplacement de l’élément coupe-flammes ne peuvent être effectués que par du personnel formé et qualifié ;</w:t>
      </w:r>
    </w:p>
    <w:p w14:paraId="1E28E91F" w14:textId="4FB21C11" w:rsidR="00FE09D3" w:rsidRPr="00D937D1" w:rsidRDefault="00FE09D3" w:rsidP="00F26FB2">
      <w:pPr>
        <w:pStyle w:val="SingleTxtG"/>
        <w:ind w:left="1701"/>
        <w:rPr>
          <w:rFonts w:eastAsia="Calibri"/>
          <w:lang w:val="fr-FR"/>
        </w:rPr>
      </w:pPr>
      <w:r w:rsidRPr="00D937D1">
        <w:rPr>
          <w:rFonts w:eastAsia="Calibri"/>
          <w:lang w:val="fr-FR"/>
        </w:rPr>
        <w:t>b)</w:t>
      </w:r>
      <w:r w:rsidRPr="00D937D1">
        <w:rPr>
          <w:rFonts w:eastAsia="Calibri"/>
          <w:lang w:val="fr-FR"/>
        </w:rPr>
        <w:tab/>
        <w:t>L’ouverture n’est autorisée que si les citernes à cargaison correspondantes ont été déchargées et que la concentration de gaz inflammables dans la citerne à cargaison est inférieure à 10 % de la LIE de la cargaison/cargaison précédente ;</w:t>
      </w:r>
    </w:p>
    <w:p w14:paraId="2284071B" w14:textId="7EEBA1F9" w:rsidR="00FE09D3" w:rsidRPr="00D937D1" w:rsidRDefault="00FE09D3" w:rsidP="00F26FB2">
      <w:pPr>
        <w:pStyle w:val="SingleTxtG"/>
        <w:ind w:left="1701"/>
        <w:rPr>
          <w:rFonts w:eastAsia="Calibri"/>
          <w:lang w:val="fr-FR"/>
        </w:rPr>
      </w:pPr>
      <w:r w:rsidRPr="00D937D1">
        <w:rPr>
          <w:rFonts w:eastAsia="Calibri"/>
          <w:lang w:val="fr-FR"/>
        </w:rPr>
        <w:t>c)</w:t>
      </w:r>
      <w:r w:rsidRPr="00D937D1">
        <w:rPr>
          <w:rFonts w:eastAsia="Calibri"/>
          <w:lang w:val="fr-FR"/>
        </w:rPr>
        <w:tab/>
        <w:t>Les résultats des mesures doivent être consignés par écrit.</w:t>
      </w:r>
    </w:p>
    <w:p w14:paraId="3E115D2B" w14:textId="77777777" w:rsidR="00FE09D3" w:rsidRPr="00D937D1" w:rsidRDefault="00FE09D3" w:rsidP="00F26FB2">
      <w:pPr>
        <w:pStyle w:val="SingleTxtG"/>
        <w:ind w:left="1701"/>
        <w:rPr>
          <w:rFonts w:eastAsia="Calibri"/>
          <w:lang w:val="fr-FR"/>
        </w:rPr>
      </w:pPr>
      <w:r w:rsidRPr="00D937D1">
        <w:rPr>
          <w:rFonts w:eastAsia="Calibri"/>
          <w:lang w:val="fr-FR"/>
        </w:rPr>
        <w:t>7.2.4.22.5</w:t>
      </w:r>
      <w:r w:rsidRPr="00D937D1">
        <w:rPr>
          <w:rFonts w:eastAsia="Calibri"/>
          <w:lang w:val="fr-FR"/>
        </w:rPr>
        <w:tab/>
        <w:t>En ce qui concerne la réparation du carter du coupe-flammes, les dispositions du 8.1.7.3 s’appliquent.</w:t>
      </w:r>
    </w:p>
    <w:p w14:paraId="3B30039A" w14:textId="77777777" w:rsidR="00FE09D3" w:rsidRPr="00D937D1" w:rsidRDefault="00FE09D3" w:rsidP="00F26FB2">
      <w:pPr>
        <w:pStyle w:val="SingleTxtG"/>
        <w:ind w:left="1701"/>
        <w:rPr>
          <w:lang w:val="fr-FR"/>
        </w:rPr>
      </w:pPr>
      <w:bookmarkStart w:id="1" w:name="_Hlk128402405"/>
      <w:r w:rsidRPr="00D937D1">
        <w:rPr>
          <w:lang w:val="fr-FR"/>
        </w:rPr>
        <w:t>7.2.4.22.6</w:t>
      </w:r>
      <w:r w:rsidRPr="00D937D1">
        <w:rPr>
          <w:lang w:val="fr-FR"/>
        </w:rPr>
        <w:tab/>
        <w:t>Le contrôle visuel de la citerne à cargaison depuis le pont, la détermination du niveau de remplissage de la citerne à cargaison ou l'ajout ultérieur de stabilisateur ne sont autorisés que via l'orifice de prise d'échantillons.</w:t>
      </w:r>
    </w:p>
    <w:bookmarkEnd w:id="1"/>
    <w:p w14:paraId="73D6AA1F" w14:textId="77777777" w:rsidR="00FE09D3" w:rsidRPr="00D937D1" w:rsidRDefault="00FE09D3" w:rsidP="00F26FB2">
      <w:pPr>
        <w:pStyle w:val="SingleTxtG"/>
        <w:ind w:left="1701"/>
        <w:rPr>
          <w:rFonts w:eastAsia="ArialMT"/>
          <w:lang w:val="fr-FR"/>
        </w:rPr>
      </w:pPr>
      <w:r w:rsidRPr="00D937D1">
        <w:rPr>
          <w:lang w:val="fr-FR"/>
        </w:rPr>
        <w:t>7.2.4.22.7</w:t>
      </w:r>
      <w:r w:rsidRPr="00D937D1">
        <w:rPr>
          <w:lang w:val="fr-FR"/>
        </w:rPr>
        <w:tab/>
      </w:r>
      <w:r w:rsidRPr="00D937D1">
        <w:rPr>
          <w:rFonts w:eastAsia="ArialMT"/>
          <w:lang w:val="fr-FR"/>
        </w:rPr>
        <w:t>La prise d'échantillons n'est autorisée que via le dispositif de prise d’échantillons prescrit à la colonne (13) du tableau C du chapitre 3.2 ou via un dispositif de prise d’échantillons présentant un niveau de sécurité supérieur.</w:t>
      </w:r>
    </w:p>
    <w:p w14:paraId="51333315" w14:textId="77777777" w:rsidR="00FE09D3" w:rsidRPr="00D937D1" w:rsidRDefault="00FE09D3" w:rsidP="00F26FB2">
      <w:pPr>
        <w:pStyle w:val="SingleTxtG"/>
        <w:ind w:left="1701"/>
        <w:rPr>
          <w:b/>
          <w:lang w:val="fr-FR"/>
        </w:rPr>
      </w:pPr>
      <w:r w:rsidRPr="00D937D1">
        <w:rPr>
          <w:lang w:val="fr-FR"/>
        </w:rPr>
        <w:t>7.2.4.22.8</w:t>
      </w:r>
      <w:r w:rsidRPr="00D937D1">
        <w:rPr>
          <w:lang w:val="fr-FR"/>
        </w:rPr>
        <w:tab/>
        <w:t>En cas de défaillance avérée et inattendue du raccord du dispositif de prise d’échantillons fermé ou partiellement fermé (voir le 9.3.x.21.1 g)), à laquelle il est impossible de remédier immédiatement, la prise d’échantillons est autorisée via l'orifice de prise d'échantillons ouvert. La survenance d'une défaillance et l'utilisation de l'orifice de prise d’échantillons doivent être consignées [par écrit] par le conducteur et confirmées par écrit par la personne mandatée par le remplisseur ou le déchargeur.</w:t>
      </w:r>
    </w:p>
    <w:p w14:paraId="6E7C6EE8" w14:textId="77777777" w:rsidR="00FE09D3" w:rsidRPr="00D937D1" w:rsidRDefault="00FE09D3" w:rsidP="00F26FB2">
      <w:pPr>
        <w:pStyle w:val="SingleTxtG"/>
        <w:ind w:left="1701"/>
        <w:rPr>
          <w:rFonts w:eastAsia="Calibri"/>
          <w:lang w:val="fr-FR"/>
        </w:rPr>
      </w:pPr>
      <w:r w:rsidRPr="00D937D1">
        <w:rPr>
          <w:rFonts w:eastAsia="Calibri"/>
          <w:lang w:val="fr-FR"/>
        </w:rPr>
        <w:t>7.2.4.22.9</w:t>
      </w:r>
      <w:r w:rsidRPr="00D937D1">
        <w:rPr>
          <w:rFonts w:eastAsia="Calibri"/>
          <w:lang w:val="fr-FR"/>
        </w:rPr>
        <w:tab/>
        <w:t>Les opérations d’ouverture d’orifices ne peuvent être effectuées qu’au moyen d’outils à main appropriés produisant peu d’étincelles.</w:t>
      </w:r>
    </w:p>
    <w:p w14:paraId="3C8C117E" w14:textId="152978B7" w:rsidR="00FE09D3" w:rsidRPr="00D937D1" w:rsidRDefault="00FE09D3" w:rsidP="00F26FB2">
      <w:pPr>
        <w:pStyle w:val="SingleTxtG"/>
        <w:ind w:left="1701"/>
        <w:rPr>
          <w:lang w:val="fr-FR"/>
        </w:rPr>
      </w:pPr>
      <w:r w:rsidRPr="00D937D1">
        <w:rPr>
          <w:i/>
          <w:iCs/>
          <w:lang w:val="fr-FR"/>
        </w:rPr>
        <w:t xml:space="preserve">[Dans les versions anglaise et française devrait être conservée l'expression « hand </w:t>
      </w:r>
      <w:proofErr w:type="spellStart"/>
      <w:r w:rsidRPr="00D937D1">
        <w:rPr>
          <w:i/>
          <w:iCs/>
          <w:lang w:val="fr-FR"/>
        </w:rPr>
        <w:t>tools</w:t>
      </w:r>
      <w:proofErr w:type="spellEnd"/>
      <w:r w:rsidRPr="00D937D1">
        <w:rPr>
          <w:i/>
          <w:iCs/>
          <w:lang w:val="fr-FR"/>
        </w:rPr>
        <w:t> » / « outils à main ».]</w:t>
      </w:r>
      <w:r w:rsidRPr="00D937D1">
        <w:rPr>
          <w:lang w:val="fr-FR"/>
        </w:rPr>
        <w:t>À bord de bateaux auxquels s'applique le classement en zones au sens de la définition de la section 1.2.1, tous les appareils et dispositifs électriques et non électriques utilisés pour des activités sur des citernes à cargaison ouvertes doivent satisfaire aux exigences pour une utilisation dans la zone 0.</w:t>
      </w:r>
    </w:p>
    <w:p w14:paraId="6487EE3B" w14:textId="77777777" w:rsidR="00FE09D3" w:rsidRPr="00D937D1" w:rsidRDefault="00FE09D3" w:rsidP="00F26FB2">
      <w:pPr>
        <w:pStyle w:val="SingleTxtG"/>
        <w:ind w:left="1701"/>
        <w:rPr>
          <w:rFonts w:eastAsia="Calibri"/>
          <w:lang w:val="fr-FR"/>
        </w:rPr>
      </w:pPr>
      <w:r w:rsidRPr="00D937D1">
        <w:rPr>
          <w:rFonts w:eastAsia="Calibri"/>
          <w:lang w:val="fr-FR"/>
        </w:rPr>
        <w:t>7.2.4.22.10</w:t>
      </w:r>
      <w:r w:rsidRPr="00D937D1">
        <w:rPr>
          <w:rFonts w:eastAsia="Calibri"/>
          <w:lang w:val="fr-FR"/>
        </w:rPr>
        <w:tab/>
        <w:t>La durée d'ouverture doit être limitée au temps strictement nécessaire pour les activités énumérées au 7.2.4.22.1. L’ouverture d’une citerne à cargaison immédiatement avant ou après un orage est interdite.</w:t>
      </w:r>
    </w:p>
    <w:p w14:paraId="4DCB3702" w14:textId="77777777" w:rsidR="00FE09D3" w:rsidRPr="00D937D1" w:rsidRDefault="00FE09D3" w:rsidP="00F26FB2">
      <w:pPr>
        <w:pStyle w:val="SingleTxtG"/>
        <w:ind w:left="1701"/>
        <w:rPr>
          <w:rFonts w:eastAsia="Calibri"/>
          <w:lang w:val="fr-FR"/>
        </w:rPr>
      </w:pPr>
      <w:r w:rsidRPr="00D937D1">
        <w:rPr>
          <w:rFonts w:eastAsia="Calibri"/>
          <w:lang w:val="fr-FR"/>
        </w:rPr>
        <w:t>7.2.4.22.11</w:t>
      </w:r>
      <w:r w:rsidRPr="00D937D1">
        <w:rPr>
          <w:rFonts w:eastAsia="Calibri"/>
          <w:lang w:val="fr-FR"/>
        </w:rPr>
        <w:tab/>
        <w:t>Les instructions de travail concernant la protection contre les explosions, telles que visées au 1.3.2.5, doivent être disponibles et appliquées à bord.</w:t>
      </w:r>
    </w:p>
    <w:p w14:paraId="080A1EF2" w14:textId="77777777" w:rsidR="00FE09D3" w:rsidRPr="00D937D1" w:rsidRDefault="00FE09D3" w:rsidP="00F26FB2">
      <w:pPr>
        <w:pStyle w:val="SingleTxtG"/>
        <w:ind w:left="1701"/>
        <w:rPr>
          <w:lang w:val="fr-FR"/>
        </w:rPr>
      </w:pPr>
      <w:r w:rsidRPr="00D937D1">
        <w:rPr>
          <w:lang w:val="fr-FR"/>
        </w:rPr>
        <w:t>7.2.4.22.12</w:t>
      </w:r>
      <w:r w:rsidRPr="00D937D1">
        <w:rPr>
          <w:lang w:val="fr-FR"/>
        </w:rPr>
        <w:tab/>
        <w:t>Les personnes qui ouvrent des orifices ou qui se trouvent à proximité immédiate d'un orifice sont tenues d'utiliser l'équipement prescrit à la colonne (18) du tableau C du chapitre 3.2.</w:t>
      </w:r>
    </w:p>
    <w:p w14:paraId="0751EDE1" w14:textId="77777777" w:rsidR="00FE09D3" w:rsidRPr="00D937D1" w:rsidRDefault="00FE09D3" w:rsidP="00F26FB2">
      <w:pPr>
        <w:pStyle w:val="SingleTxtG"/>
        <w:ind w:left="1701"/>
        <w:rPr>
          <w:rFonts w:eastAsia="Calibri"/>
          <w:lang w:val="fr-FR"/>
        </w:rPr>
      </w:pPr>
      <w:r w:rsidRPr="00D937D1">
        <w:rPr>
          <w:rFonts w:eastAsia="Calibri"/>
          <w:lang w:val="fr-FR"/>
        </w:rPr>
        <w:lastRenderedPageBreak/>
        <w:t>7.2.4.22.13</w:t>
      </w:r>
      <w:r w:rsidRPr="00D937D1">
        <w:rPr>
          <w:rFonts w:eastAsia="Calibri"/>
          <w:lang w:val="fr-FR"/>
        </w:rPr>
        <w:tab/>
        <w:t>Les prescriptions du 7.2.4.16.8 s’appliquent par analogie aux opérations de contrôle visuel, de détermination du niveau de remplissage, de mesure de gaz ou d’ajout de stabilisateur après le chargement.</w:t>
      </w:r>
    </w:p>
    <w:p w14:paraId="6D1F7A8C" w14:textId="77777777" w:rsidR="00FE09D3" w:rsidRPr="00D937D1" w:rsidRDefault="00FE09D3" w:rsidP="00F26FB2">
      <w:pPr>
        <w:pStyle w:val="SingleTxtG"/>
        <w:ind w:left="1701"/>
        <w:rPr>
          <w:rFonts w:eastAsia="Calibri"/>
          <w:lang w:val="fr-FR"/>
        </w:rPr>
      </w:pPr>
      <w:r w:rsidRPr="00D937D1">
        <w:rPr>
          <w:rFonts w:eastAsia="Calibri"/>
          <w:lang w:val="fr-FR"/>
        </w:rPr>
        <w:t>7.2.4.22.14</w:t>
      </w:r>
      <w:r w:rsidRPr="00D937D1">
        <w:rPr>
          <w:rFonts w:eastAsia="Calibri"/>
          <w:lang w:val="fr-FR"/>
        </w:rPr>
        <w:tab/>
        <w:t>Si le volume de la cargaison tel que mesuré par le remplisseur diffère du volume mesuré à bord au moyen d’instruments de mesure, le niveau de remplissage de la citerne à cargaison peut être déterminé manuellement par l’orifice de prise d’échantillons à l’aide d’un mètre à ruban et d’un thermomètre.</w:t>
      </w:r>
    </w:p>
    <w:p w14:paraId="6BAD3455" w14:textId="77777777" w:rsidR="00FE09D3" w:rsidRPr="00D937D1" w:rsidRDefault="00FE09D3" w:rsidP="00F26FB2">
      <w:pPr>
        <w:pStyle w:val="SingleTxtG"/>
        <w:ind w:left="1701"/>
        <w:rPr>
          <w:rFonts w:eastAsia="Calibri"/>
          <w:lang w:val="fr-FR"/>
        </w:rPr>
      </w:pPr>
      <w:r w:rsidRPr="00D937D1">
        <w:rPr>
          <w:rFonts w:eastAsia="Calibri"/>
          <w:lang w:val="fr-FR"/>
        </w:rPr>
        <w:t>Les instruments de mesure utilisés pour déterminer le niveau de remplissage des citernes à cargaison doivent être en un matériau électrostatiquement conducteur et être électriquement reliés à la coque du bateau pendant les opérations de mesure. Les instruments de mesure doivent être adaptés à une utilisation en zone 0.</w:t>
      </w:r>
    </w:p>
    <w:p w14:paraId="6EBD9B3C" w14:textId="77777777" w:rsidR="00FE09D3" w:rsidRPr="00D937D1" w:rsidRDefault="00FE09D3" w:rsidP="00F26FB2">
      <w:pPr>
        <w:pStyle w:val="SingleTxtG"/>
        <w:ind w:left="1701"/>
        <w:rPr>
          <w:rFonts w:eastAsia="Calibri"/>
          <w:lang w:val="fr-FR"/>
        </w:rPr>
      </w:pPr>
      <w:r w:rsidRPr="00D937D1">
        <w:rPr>
          <w:rFonts w:eastAsia="Calibri"/>
          <w:lang w:val="fr-FR"/>
        </w:rPr>
        <w:t>7.2.4.22.15</w:t>
      </w:r>
      <w:r w:rsidRPr="00D937D1">
        <w:rPr>
          <w:rFonts w:eastAsia="Calibri"/>
          <w:lang w:val="fr-FR"/>
        </w:rPr>
        <w:tab/>
        <w:t>Si une prolongation imprévue de la durée de navigation nécessite d'ajouter du stabilisateur supplémentaire dans une ou plusieurs citernes de cargaison pendant le voyage, cela n'est autorisé que via l'orifice de prise d'échantillon. Toute charge électrostatique doit être évitée.</w:t>
      </w:r>
    </w:p>
    <w:p w14:paraId="7AF93E76" w14:textId="77777777" w:rsidR="00FE09D3" w:rsidRPr="00D937D1" w:rsidRDefault="00FE09D3" w:rsidP="00F26FB2">
      <w:pPr>
        <w:pStyle w:val="SingleTxtG"/>
        <w:ind w:left="1701"/>
        <w:rPr>
          <w:rFonts w:eastAsia="Calibri"/>
          <w:lang w:val="fr-FR"/>
        </w:rPr>
      </w:pPr>
      <w:r w:rsidRPr="00D937D1">
        <w:rPr>
          <w:rFonts w:eastAsia="Calibri"/>
          <w:lang w:val="fr-FR"/>
        </w:rPr>
        <w:t>7.2.4.22.16</w:t>
      </w:r>
      <w:r w:rsidRPr="00D937D1">
        <w:rPr>
          <w:rFonts w:eastAsia="Calibri"/>
          <w:lang w:val="fr-FR"/>
        </w:rPr>
        <w:tab/>
        <w:t>Les prescriptions du 7.2.3.1.4 s’appliquent également aux opérations de mesure de gaz. ».</w:t>
      </w:r>
    </w:p>
    <w:p w14:paraId="46DE23D6" w14:textId="77777777" w:rsidR="00FE09D3" w:rsidRPr="00D937D1" w:rsidRDefault="00FE09D3" w:rsidP="00F26FB2">
      <w:pPr>
        <w:pStyle w:val="SingleTxtG"/>
        <w:ind w:left="1701"/>
        <w:rPr>
          <w:rFonts w:eastAsia="Calibri"/>
          <w:lang w:val="fr-FR"/>
        </w:rPr>
      </w:pPr>
      <w:r w:rsidRPr="00D937D1">
        <w:rPr>
          <w:rFonts w:eastAsia="Calibri"/>
          <w:lang w:val="fr-FR"/>
        </w:rPr>
        <w:t>7.2.4.22.17</w:t>
      </w:r>
      <w:r w:rsidRPr="00D937D1">
        <w:rPr>
          <w:rFonts w:eastAsia="Calibri"/>
          <w:lang w:val="fr-FR"/>
        </w:rPr>
        <w:tab/>
        <w:t>Les récipients destinés au prélèvement d’échantillons, y compris tous les accessoires, tels que cordes, etc., doivent être en un matériau électrostatiquement conducteur et être électriquement reliés à la coque du bateau.</w:t>
      </w:r>
    </w:p>
    <w:p w14:paraId="5311A308" w14:textId="77777777" w:rsidR="00FE09D3" w:rsidRPr="00D937D1" w:rsidRDefault="00FE09D3" w:rsidP="00F26FB2">
      <w:pPr>
        <w:pStyle w:val="SingleTxtG"/>
        <w:ind w:left="1701"/>
        <w:rPr>
          <w:lang w:val="fr-FR"/>
        </w:rPr>
      </w:pPr>
      <w:r w:rsidRPr="00D937D1">
        <w:rPr>
          <w:lang w:val="fr-FR"/>
        </w:rPr>
        <w:t>7.2.4.22.18</w:t>
      </w:r>
      <w:r w:rsidRPr="00D937D1">
        <w:rPr>
          <w:lang w:val="fr-FR"/>
        </w:rPr>
        <w:tab/>
        <w:t>Lors de la fermeture de l'orifice de prise d'échantillons ou du carter de du coupe-flammes, il convient de vérifier que le coupe-flammes n'est pas endommagé ou encrassé et qu'il est correctement installé et, le cas échéant, de le réparer avant de poursuivre le voyage.</w:t>
      </w:r>
    </w:p>
    <w:p w14:paraId="5F86B034" w14:textId="77777777" w:rsidR="00FE09D3" w:rsidRPr="00D937D1" w:rsidRDefault="00FE09D3" w:rsidP="00F26FB2">
      <w:pPr>
        <w:pStyle w:val="SingleTxtG"/>
        <w:ind w:left="1701"/>
        <w:rPr>
          <w:lang w:val="fr-FR"/>
        </w:rPr>
      </w:pPr>
      <w:r w:rsidRPr="00D937D1">
        <w:rPr>
          <w:lang w:val="fr-FR"/>
        </w:rPr>
        <w:t>7.2.4.22.19</w:t>
      </w:r>
      <w:r w:rsidRPr="00D937D1">
        <w:rPr>
          <w:lang w:val="fr-FR"/>
        </w:rPr>
        <w:tab/>
        <w:t>Les prescriptions des 7.2.4.22.1 à 7.2.4.22.11 et du 7.2.4.23 ne s'appliquent pas aux bateaux déshuileurs ni aux bateaux avitailleurs.</w:t>
      </w:r>
    </w:p>
    <w:p w14:paraId="4709098E" w14:textId="066B7BF0" w:rsidR="00FE09D3" w:rsidRPr="00D937D1" w:rsidRDefault="00FE09D3" w:rsidP="00F26FB2">
      <w:pPr>
        <w:pStyle w:val="SingleTxtG"/>
        <w:ind w:left="1701"/>
        <w:rPr>
          <w:lang w:val="fr-FR"/>
        </w:rPr>
      </w:pPr>
      <w:r w:rsidRPr="00D937D1">
        <w:rPr>
          <w:lang w:val="fr-FR"/>
        </w:rPr>
        <w:t>7.2.4.22.20</w:t>
      </w:r>
      <w:r w:rsidRPr="00D937D1">
        <w:rPr>
          <w:lang w:val="fr-FR"/>
        </w:rPr>
        <w:tab/>
        <w:t>Pour le lavage des citernes à cargaison ne doit être utilisé que l'orifice spécial de raccordement des machines de lavage des citernes prévu à cet effet sur la citerne à cargaison.</w:t>
      </w:r>
      <w:r w:rsidR="00F26FB2">
        <w:rPr>
          <w:lang w:val="fr-FR"/>
        </w:rPr>
        <w:t> »</w:t>
      </w:r>
    </w:p>
    <w:p w14:paraId="328A79B9" w14:textId="59ADB427" w:rsidR="00FE09D3" w:rsidRPr="00D937D1" w:rsidRDefault="004E720B" w:rsidP="004E720B">
      <w:pPr>
        <w:pStyle w:val="H23G"/>
        <w:rPr>
          <w:lang w:val="fr-FR"/>
        </w:rPr>
      </w:pPr>
      <w:r>
        <w:rPr>
          <w:lang w:val="fr-FR"/>
        </w:rPr>
        <w:tab/>
      </w:r>
      <w:r>
        <w:rPr>
          <w:lang w:val="fr-FR"/>
        </w:rPr>
        <w:tab/>
      </w:r>
      <w:r w:rsidR="00FE09D3" w:rsidRPr="00D937D1">
        <w:rPr>
          <w:lang w:val="fr-FR"/>
        </w:rPr>
        <w:t>8.6.4 Liste de contrôle pour le dégazage dans une station de réception</w:t>
      </w:r>
    </w:p>
    <w:p w14:paraId="056C8C2C" w14:textId="77777777" w:rsidR="00FE09D3" w:rsidRPr="00D937D1" w:rsidRDefault="00FE09D3" w:rsidP="00C16642">
      <w:pPr>
        <w:pStyle w:val="SingleTxtG"/>
        <w:rPr>
          <w:rFonts w:eastAsia="Calibri"/>
          <w:lang w:val="fr-FR"/>
        </w:rPr>
      </w:pPr>
      <w:r>
        <w:rPr>
          <w:rFonts w:eastAsia="Calibri"/>
          <w:lang w:val="fr-FR"/>
        </w:rPr>
        <w:t>9</w:t>
      </w:r>
      <w:r w:rsidRPr="00D937D1">
        <w:rPr>
          <w:rFonts w:eastAsia="Calibri"/>
          <w:lang w:val="fr-FR"/>
        </w:rPr>
        <w:t>.</w:t>
      </w:r>
      <w:r w:rsidRPr="00D937D1">
        <w:rPr>
          <w:rFonts w:eastAsia="Calibri"/>
          <w:lang w:val="fr-FR"/>
        </w:rPr>
        <w:tab/>
        <w:t>Au 8.6.4 (« </w:t>
      </w:r>
      <w:bookmarkStart w:id="2" w:name="_Hlk133319234"/>
      <w:r w:rsidRPr="00D937D1">
        <w:rPr>
          <w:rFonts w:eastAsia="Calibri"/>
          <w:lang w:val="fr-FR"/>
        </w:rPr>
        <w:t>Liste de contrôle pour le dégazage dans une station de réception </w:t>
      </w:r>
      <w:bookmarkEnd w:id="2"/>
      <w:r w:rsidRPr="00D937D1">
        <w:rPr>
          <w:rFonts w:eastAsia="Calibri"/>
          <w:lang w:val="fr-FR"/>
        </w:rPr>
        <w:t>»), modifier la question n</w:t>
      </w:r>
      <w:r w:rsidRPr="00D937D1">
        <w:rPr>
          <w:rFonts w:eastAsia="Calibri"/>
          <w:vertAlign w:val="superscript"/>
          <w:lang w:val="fr-FR"/>
        </w:rPr>
        <w:t>o</w:t>
      </w:r>
      <w:r w:rsidRPr="00D937D1">
        <w:rPr>
          <w:rFonts w:eastAsia="Calibri"/>
          <w:lang w:val="fr-FR"/>
        </w:rPr>
        <w:t> 10 comme suit :</w:t>
      </w:r>
    </w:p>
    <w:p w14:paraId="304A1EEB" w14:textId="77777777" w:rsidR="00FE09D3" w:rsidRPr="00D937D1" w:rsidRDefault="00FE09D3" w:rsidP="00C16642">
      <w:pPr>
        <w:pStyle w:val="SingleTxtG"/>
        <w:ind w:left="1701"/>
        <w:rPr>
          <w:rFonts w:eastAsia="Calibri"/>
          <w:lang w:val="fr-FR"/>
        </w:rPr>
      </w:pPr>
      <w:r w:rsidRPr="00D937D1">
        <w:rPr>
          <w:rFonts w:eastAsia="Calibri"/>
          <w:lang w:val="fr-FR"/>
        </w:rPr>
        <w:t>« Toutes les écoutilles des citernes à cargaison et tous leurs autres orifices sont-ils fermés ou, le cas échéant, protégés par des coupe-flammes en bon état ? ».</w:t>
      </w:r>
    </w:p>
    <w:p w14:paraId="3CD79192" w14:textId="7BD3F772" w:rsidR="00FE09D3" w:rsidRDefault="00FE09D3" w:rsidP="00F06ED4">
      <w:r>
        <w:br w:type="page"/>
      </w:r>
    </w:p>
    <w:p w14:paraId="083A3A50" w14:textId="515AAA40" w:rsidR="0066457D" w:rsidRPr="00D937D1" w:rsidRDefault="008F77C7" w:rsidP="008F77C7">
      <w:pPr>
        <w:pStyle w:val="HChG"/>
        <w:rPr>
          <w:lang w:val="fr-FR"/>
        </w:rPr>
      </w:pPr>
      <w:r>
        <w:rPr>
          <w:lang w:val="fr-FR"/>
        </w:rPr>
        <w:lastRenderedPageBreak/>
        <w:tab/>
      </w:r>
      <w:r w:rsidR="0066457D" w:rsidRPr="00D937D1">
        <w:rPr>
          <w:lang w:val="fr-FR"/>
        </w:rPr>
        <w:t>II.</w:t>
      </w:r>
      <w:r w:rsidR="0066457D" w:rsidRPr="00D937D1">
        <w:rPr>
          <w:lang w:val="fr-FR"/>
        </w:rPr>
        <w:tab/>
        <w:t>Justification</w:t>
      </w:r>
    </w:p>
    <w:p w14:paraId="53D1B02D" w14:textId="3EC7EDE2" w:rsidR="0066457D" w:rsidRPr="00A87E31" w:rsidRDefault="00A87E31" w:rsidP="00A87E31">
      <w:pPr>
        <w:pStyle w:val="H4G"/>
        <w:rPr>
          <w:u w:val="single"/>
          <w:lang w:val="fr-FR"/>
        </w:rPr>
      </w:pPr>
      <w:r>
        <w:rPr>
          <w:lang w:val="fr-FR"/>
        </w:rPr>
        <w:tab/>
      </w:r>
      <w:r>
        <w:rPr>
          <w:lang w:val="fr-FR"/>
        </w:rPr>
        <w:tab/>
      </w:r>
      <w:r w:rsidR="0066457D" w:rsidRPr="00A87E31">
        <w:rPr>
          <w:u w:val="single"/>
          <w:lang w:val="fr-FR"/>
        </w:rPr>
        <w:t>Ad 7.2.3.7.1.3</w:t>
      </w:r>
    </w:p>
    <w:p w14:paraId="4B9FA537" w14:textId="11401085" w:rsidR="0066457D" w:rsidRPr="00D937D1" w:rsidRDefault="0066457D" w:rsidP="00A87E31">
      <w:pPr>
        <w:pStyle w:val="SingleTxtG"/>
        <w:rPr>
          <w:lang w:val="fr-FR"/>
        </w:rPr>
      </w:pPr>
      <w:r w:rsidRPr="00D937D1">
        <w:rPr>
          <w:lang w:val="fr-FR"/>
        </w:rPr>
        <w:t>1</w:t>
      </w:r>
      <w:r>
        <w:rPr>
          <w:lang w:val="fr-FR"/>
        </w:rPr>
        <w:t>0</w:t>
      </w:r>
      <w:r w:rsidRPr="00D937D1">
        <w:rPr>
          <w:lang w:val="fr-FR"/>
        </w:rPr>
        <w:t>.</w:t>
      </w:r>
      <w:r w:rsidRPr="00D937D1">
        <w:rPr>
          <w:lang w:val="fr-FR"/>
        </w:rPr>
        <w:tab/>
        <w:t>Comme convenu lors de la</w:t>
      </w:r>
      <w:r w:rsidR="00FC2822" w:rsidRPr="00FC2822">
        <w:rPr>
          <w:lang w:val="fr-FR"/>
        </w:rPr>
        <w:t xml:space="preserve"> </w:t>
      </w:r>
      <w:r w:rsidR="00FC2822">
        <w:rPr>
          <w:lang w:val="fr-FR"/>
        </w:rPr>
        <w:t>q</w:t>
      </w:r>
      <w:r w:rsidR="00FC2822" w:rsidRPr="00D61266">
        <w:rPr>
          <w:lang w:val="fr-FR"/>
        </w:rPr>
        <w:t>uarante-</w:t>
      </w:r>
      <w:r w:rsidR="00FC2822">
        <w:rPr>
          <w:lang w:val="fr-FR"/>
        </w:rPr>
        <w:t>deux</w:t>
      </w:r>
      <w:r w:rsidR="00FC2822" w:rsidRPr="00D61266">
        <w:rPr>
          <w:lang w:val="fr-FR"/>
        </w:rPr>
        <w:t>ième</w:t>
      </w:r>
      <w:r w:rsidR="00FC2822" w:rsidRPr="00D937D1">
        <w:rPr>
          <w:lang w:val="fr-FR"/>
        </w:rPr>
        <w:t xml:space="preserve"> session</w:t>
      </w:r>
      <w:r w:rsidRPr="00D937D1">
        <w:rPr>
          <w:lang w:val="fr-FR"/>
        </w:rPr>
        <w:t>, les crochets ont été supprimés par rapport à la proposition précédente.</w:t>
      </w:r>
    </w:p>
    <w:p w14:paraId="08054D01" w14:textId="13EADE47" w:rsidR="0066457D" w:rsidRPr="00A87E31" w:rsidRDefault="00A87E31" w:rsidP="00A87E31">
      <w:pPr>
        <w:pStyle w:val="H4G"/>
        <w:rPr>
          <w:u w:val="single"/>
          <w:lang w:val="fr-FR"/>
        </w:rPr>
      </w:pPr>
      <w:r w:rsidRPr="00A87E31">
        <w:rPr>
          <w:lang w:val="fr-FR"/>
        </w:rPr>
        <w:tab/>
      </w:r>
      <w:r w:rsidRPr="00A87E31">
        <w:rPr>
          <w:lang w:val="fr-FR"/>
        </w:rPr>
        <w:tab/>
      </w:r>
      <w:r w:rsidR="0066457D" w:rsidRPr="00A87E31">
        <w:rPr>
          <w:u w:val="single"/>
          <w:lang w:val="fr-FR"/>
        </w:rPr>
        <w:t>Ad 7.2.4.22.1</w:t>
      </w:r>
    </w:p>
    <w:p w14:paraId="01974231" w14:textId="77777777" w:rsidR="0066457D" w:rsidRPr="00D937D1" w:rsidRDefault="0066457D" w:rsidP="00A87E31">
      <w:pPr>
        <w:pStyle w:val="SingleTxtG"/>
        <w:rPr>
          <w:lang w:val="fr-FR"/>
        </w:rPr>
      </w:pPr>
      <w:bookmarkStart w:id="3" w:name="_Hlk128401202"/>
      <w:r w:rsidRPr="00D937D1">
        <w:rPr>
          <w:lang w:val="fr-FR"/>
        </w:rPr>
        <w:t>1</w:t>
      </w:r>
      <w:r>
        <w:rPr>
          <w:lang w:val="fr-FR"/>
        </w:rPr>
        <w:t>1</w:t>
      </w:r>
      <w:r w:rsidRPr="00D937D1">
        <w:rPr>
          <w:lang w:val="fr-FR"/>
        </w:rPr>
        <w:t>.</w:t>
      </w:r>
      <w:r w:rsidRPr="00D937D1">
        <w:rPr>
          <w:lang w:val="fr-FR"/>
        </w:rPr>
        <w:tab/>
        <w:t>Le texte a fait l'objet d'adaptations rédactionnelles afin de permettre dans toutes les versions linguistiques une distinction claire entre les « objectifs de l'ouverture » et les « conditions » énoncées par la suite.</w:t>
      </w:r>
    </w:p>
    <w:p w14:paraId="16ABED61" w14:textId="2E8E294B" w:rsidR="0066457D" w:rsidRPr="00D937D1" w:rsidRDefault="00FC2822" w:rsidP="00A87E31">
      <w:pPr>
        <w:pStyle w:val="SingleTxtG"/>
        <w:rPr>
          <w:lang w:val="fr-FR"/>
        </w:rPr>
      </w:pPr>
      <w:r>
        <w:rPr>
          <w:lang w:val="fr-FR"/>
        </w:rPr>
        <w:t>12.</w:t>
      </w:r>
      <w:r>
        <w:rPr>
          <w:lang w:val="fr-FR"/>
        </w:rPr>
        <w:tab/>
      </w:r>
      <w:r w:rsidR="0066457D" w:rsidRPr="00D937D1">
        <w:rPr>
          <w:lang w:val="fr-FR"/>
        </w:rPr>
        <w:t>En outre a été ajouté à des fins de clarification que l'ouverture aux fins mentionnées doit être possible aussi lorsqu'il s'agit de citernes à cargaison qui ne sont pas encore déchargées, ne sont pas vides et ne sont pas dégazées.</w:t>
      </w:r>
    </w:p>
    <w:bookmarkEnd w:id="3"/>
    <w:p w14:paraId="0F7ED17A" w14:textId="3EB269BE" w:rsidR="0066457D" w:rsidRPr="00D937D1" w:rsidRDefault="00514C22" w:rsidP="00514C22">
      <w:pPr>
        <w:pStyle w:val="H4G"/>
        <w:rPr>
          <w:i w:val="0"/>
          <w:iCs/>
          <w:u w:val="single"/>
          <w:lang w:val="fr-FR"/>
        </w:rPr>
      </w:pPr>
      <w:r w:rsidRPr="00514C22">
        <w:rPr>
          <w:iCs/>
          <w:lang w:val="fr-FR"/>
        </w:rPr>
        <w:tab/>
      </w:r>
      <w:r w:rsidRPr="00514C22">
        <w:rPr>
          <w:iCs/>
          <w:lang w:val="fr-FR"/>
        </w:rPr>
        <w:tab/>
      </w:r>
      <w:r w:rsidR="0066457D" w:rsidRPr="00D937D1">
        <w:rPr>
          <w:iCs/>
          <w:u w:val="single"/>
          <w:lang w:val="fr-FR"/>
        </w:rPr>
        <w:t>Ad 7.2.4.22.6 et 7.2.4.22.7</w:t>
      </w:r>
    </w:p>
    <w:p w14:paraId="479956C6" w14:textId="409A11A8" w:rsidR="0066457D" w:rsidRPr="00D937D1" w:rsidRDefault="00FC2822" w:rsidP="00514C22">
      <w:pPr>
        <w:pStyle w:val="SingleTxtG"/>
        <w:rPr>
          <w:lang w:val="fr-FR"/>
        </w:rPr>
      </w:pPr>
      <w:r>
        <w:rPr>
          <w:lang w:val="fr-FR"/>
        </w:rPr>
        <w:t>13</w:t>
      </w:r>
      <w:r w:rsidR="0066457D" w:rsidRPr="00D937D1">
        <w:rPr>
          <w:lang w:val="fr-FR"/>
        </w:rPr>
        <w:t>.</w:t>
      </w:r>
      <w:r w:rsidR="0066457D" w:rsidRPr="00D937D1">
        <w:rPr>
          <w:lang w:val="fr-FR"/>
        </w:rPr>
        <w:tab/>
        <w:t>Comme il existe deux paragraphes indépendants pour la prise d'échantillons par le biais de l'orifice de prise d'échantillons ouvert, il a été possible de supprimer au début de l'énumération figurant au 7.2.4.22.6</w:t>
      </w:r>
      <w:r w:rsidR="0066457D">
        <w:rPr>
          <w:lang w:val="fr-FR"/>
        </w:rPr>
        <w:t>.</w:t>
      </w:r>
      <w:r w:rsidR="0066457D" w:rsidRPr="00D937D1">
        <w:rPr>
          <w:lang w:val="fr-FR"/>
        </w:rPr>
        <w:t xml:space="preserve"> Le 7.2.4.22.7 est identique au 7.2.4.23.2.2 de la proposition précédente.</w:t>
      </w:r>
    </w:p>
    <w:p w14:paraId="5FEC8659" w14:textId="031036A3" w:rsidR="0066457D" w:rsidRPr="00514C22" w:rsidRDefault="00514C22" w:rsidP="00514C22">
      <w:pPr>
        <w:pStyle w:val="H4G"/>
        <w:rPr>
          <w:iCs/>
          <w:u w:val="single"/>
          <w:lang w:val="fr-FR"/>
        </w:rPr>
      </w:pPr>
      <w:r w:rsidRPr="00514C22">
        <w:rPr>
          <w:iCs/>
          <w:lang w:val="fr-FR"/>
        </w:rPr>
        <w:tab/>
      </w:r>
      <w:r w:rsidRPr="00514C22">
        <w:rPr>
          <w:iCs/>
          <w:lang w:val="fr-FR"/>
        </w:rPr>
        <w:tab/>
      </w:r>
      <w:r w:rsidR="0066457D" w:rsidRPr="00D937D1">
        <w:rPr>
          <w:iCs/>
          <w:u w:val="single"/>
          <w:lang w:val="fr-FR"/>
        </w:rPr>
        <w:t>Ad 7.2.4.22.8</w:t>
      </w:r>
    </w:p>
    <w:p w14:paraId="42DB12D1" w14:textId="45C82844" w:rsidR="0066457D" w:rsidRPr="00D937D1" w:rsidRDefault="00FC2822" w:rsidP="00514C22">
      <w:pPr>
        <w:pStyle w:val="SingleTxtG"/>
        <w:rPr>
          <w:lang w:val="fr-FR"/>
        </w:rPr>
      </w:pPr>
      <w:r>
        <w:rPr>
          <w:lang w:val="fr-FR"/>
        </w:rPr>
        <w:t>14</w:t>
      </w:r>
      <w:r w:rsidR="0066457D" w:rsidRPr="00D937D1">
        <w:rPr>
          <w:lang w:val="fr-FR"/>
        </w:rPr>
        <w:t>.</w:t>
      </w:r>
      <w:r w:rsidR="0066457D" w:rsidRPr="00D937D1">
        <w:rPr>
          <w:lang w:val="fr-FR"/>
        </w:rPr>
        <w:tab/>
        <w:t>Ce paragraphe tient compte de certaines préoccupations exprimées par d'autres délégations, selon lesquelles cette possibilité pourrait faire l'objet d'un usage excessif et abusif. Il est précisé qu'elle ne s'applique qu'en cas de défaillance des éléments de raccordement des dispositifs de prise d'échantillons fixés à demeure sur les citernes à cargaison. Il n'est pas possible d'y effectuer des réparations lorsque les citernes à cargaison sont pleines. En revanche, en cas de défaillance du dispositif mobile de prise d'échantillons (qui est soit apporté à bord du bateau par le transporteur ou par la personne mandatée par le remplisseur pour prendre des échantillons) il peut être exigé que celui-ci soit remplacé par un dispositif en état de marche avant de procéder à la prise d'échantillons.</w:t>
      </w:r>
    </w:p>
    <w:p w14:paraId="3113CFAD" w14:textId="09D87482" w:rsidR="0066457D" w:rsidRPr="00514C22" w:rsidRDefault="00514C22" w:rsidP="00514C22">
      <w:pPr>
        <w:pStyle w:val="H4G"/>
        <w:rPr>
          <w:iCs/>
          <w:u w:val="single"/>
          <w:lang w:val="fr-FR"/>
        </w:rPr>
      </w:pPr>
      <w:r w:rsidRPr="00514C22">
        <w:rPr>
          <w:iCs/>
          <w:lang w:val="fr-FR"/>
        </w:rPr>
        <w:tab/>
      </w:r>
      <w:r w:rsidRPr="00514C22">
        <w:rPr>
          <w:iCs/>
          <w:lang w:val="fr-FR"/>
        </w:rPr>
        <w:tab/>
      </w:r>
      <w:r w:rsidR="0066457D" w:rsidRPr="00D937D1">
        <w:rPr>
          <w:iCs/>
          <w:u w:val="single"/>
          <w:lang w:val="fr-FR"/>
        </w:rPr>
        <w:t>Ad 7.2.4.22.10</w:t>
      </w:r>
    </w:p>
    <w:p w14:paraId="53F03BE0" w14:textId="46EDA1AF" w:rsidR="0066457D" w:rsidRPr="00D937D1" w:rsidRDefault="00FC2822" w:rsidP="00514C22">
      <w:pPr>
        <w:pStyle w:val="SingleTxtG"/>
        <w:rPr>
          <w:lang w:val="fr-FR"/>
        </w:rPr>
      </w:pPr>
      <w:r>
        <w:rPr>
          <w:lang w:val="fr-FR"/>
        </w:rPr>
        <w:t>15</w:t>
      </w:r>
      <w:r w:rsidR="0066457D" w:rsidRPr="00D937D1">
        <w:rPr>
          <w:lang w:val="fr-FR"/>
        </w:rPr>
        <w:t>.</w:t>
      </w:r>
      <w:r w:rsidR="0066457D" w:rsidRPr="00D937D1">
        <w:rPr>
          <w:lang w:val="fr-FR"/>
        </w:rPr>
        <w:tab/>
        <w:t xml:space="preserve">Afin de répondre aux préoccupations de certaines délégations concernant le fait que des orifices restent ouverts inutilement, y compris lorsque les citernes à cargaison ne sont pas encore déchargées, la rédaction de ce paragraphe a été légèrement modifié : la durée d'ouverture doit être limitée au « temps strictement nécessaire ». </w:t>
      </w:r>
    </w:p>
    <w:p w14:paraId="666DCB03" w14:textId="504D1881" w:rsidR="0066457D" w:rsidRPr="00D937D1" w:rsidRDefault="0014481A" w:rsidP="00514C22">
      <w:pPr>
        <w:pStyle w:val="SingleTxtG"/>
        <w:rPr>
          <w:lang w:val="fr-FR"/>
        </w:rPr>
      </w:pPr>
      <w:r>
        <w:rPr>
          <w:lang w:val="fr-FR"/>
        </w:rPr>
        <w:t>16</w:t>
      </w:r>
      <w:r w:rsidR="0066457D" w:rsidRPr="00D937D1">
        <w:rPr>
          <w:lang w:val="fr-FR"/>
        </w:rPr>
        <w:t>.</w:t>
      </w:r>
      <w:r w:rsidR="0066457D" w:rsidRPr="00D937D1">
        <w:rPr>
          <w:lang w:val="fr-FR"/>
        </w:rPr>
        <w:tab/>
        <w:t xml:space="preserve">Par rapport à la version originale en langue allemande de la proposition </w:t>
      </w:r>
      <w:r w:rsidR="0060015E">
        <w:rPr>
          <w:lang w:val="fr-FR"/>
        </w:rPr>
        <w:t>ECE/TRANS</w:t>
      </w:r>
      <w:r w:rsidR="0066457D" w:rsidRPr="00D937D1">
        <w:rPr>
          <w:lang w:val="fr-FR"/>
        </w:rPr>
        <w:t>/WP.15/AC.2/2023/47, les traductions en français, en anglais et en russe contenaient une faute de frappe. L'indication « colonne (16)</w:t>
      </w:r>
      <w:r w:rsidR="0066457D">
        <w:rPr>
          <w:lang w:val="fr-FR"/>
        </w:rPr>
        <w:t> »</w:t>
      </w:r>
      <w:r w:rsidR="0066457D" w:rsidRPr="00D937D1">
        <w:rPr>
          <w:lang w:val="fr-FR"/>
        </w:rPr>
        <w:t xml:space="preserve"> doit être remplacée par « colonne (18) ».</w:t>
      </w:r>
    </w:p>
    <w:p w14:paraId="58B6B740" w14:textId="19E8B9F8" w:rsidR="0066457D" w:rsidRPr="00514C22" w:rsidRDefault="00514C22" w:rsidP="00514C22">
      <w:pPr>
        <w:pStyle w:val="H4G"/>
        <w:rPr>
          <w:iCs/>
          <w:u w:val="single"/>
          <w:lang w:val="fr-FR"/>
        </w:rPr>
      </w:pPr>
      <w:r w:rsidRPr="00514C22">
        <w:rPr>
          <w:iCs/>
          <w:lang w:val="fr-FR"/>
        </w:rPr>
        <w:tab/>
      </w:r>
      <w:r w:rsidRPr="00514C22">
        <w:rPr>
          <w:iCs/>
          <w:lang w:val="fr-FR"/>
        </w:rPr>
        <w:tab/>
      </w:r>
      <w:r w:rsidR="0066457D" w:rsidRPr="00D937D1">
        <w:rPr>
          <w:iCs/>
          <w:u w:val="single"/>
          <w:lang w:val="fr-FR"/>
        </w:rPr>
        <w:t>Ad 7.2.4.22.15</w:t>
      </w:r>
    </w:p>
    <w:p w14:paraId="60F4CD54" w14:textId="1EB2591F" w:rsidR="0066457D" w:rsidRPr="00D937D1" w:rsidRDefault="0014481A" w:rsidP="00514C22">
      <w:pPr>
        <w:pStyle w:val="SingleTxtG"/>
        <w:rPr>
          <w:lang w:val="fr-FR"/>
        </w:rPr>
      </w:pPr>
      <w:r>
        <w:rPr>
          <w:lang w:val="fr-FR"/>
        </w:rPr>
        <w:t>17</w:t>
      </w:r>
      <w:r w:rsidR="0066457D" w:rsidRPr="00D937D1">
        <w:rPr>
          <w:lang w:val="fr-FR"/>
        </w:rPr>
        <w:t>.</w:t>
      </w:r>
      <w:r w:rsidR="0066457D" w:rsidRPr="00D937D1">
        <w:rPr>
          <w:lang w:val="fr-FR"/>
        </w:rPr>
        <w:tab/>
        <w:t>Le fabricant, l'expéditeur ou le remplisseur sont responsables de l'ajout de stabilisateurs à la cargaison. (Voir par exemple la remarque 33 n) dans la colonne (20) du tableau C). Il peut cependant arriver que, par exemple en cas de durée de navigation plus longue que prévu (écluse fermée, etc.), l'effet diminue et rend nécessaire d'ajouter encore du stabilisateur.</w:t>
      </w:r>
      <w:r>
        <w:rPr>
          <w:lang w:val="fr-FR"/>
        </w:rPr>
        <w:t xml:space="preserve"> </w:t>
      </w:r>
      <w:r w:rsidR="0066457D" w:rsidRPr="00D937D1">
        <w:rPr>
          <w:lang w:val="fr-FR"/>
        </w:rPr>
        <w:t>Un bateau-citerne n'emporte pas de réserves de stabilisateur, faute de citerne supplémentaire adaptée à cet effet, et ne comporte pas de système de conduites permettant d'introduire du stabilisateur dans les citernes remplies.</w:t>
      </w:r>
    </w:p>
    <w:p w14:paraId="12133314" w14:textId="2C7085C0" w:rsidR="000D0EDD" w:rsidRDefault="0014481A" w:rsidP="00514C22">
      <w:pPr>
        <w:pStyle w:val="SingleTxtG"/>
        <w:rPr>
          <w:lang w:val="fr-FR"/>
        </w:rPr>
      </w:pPr>
      <w:r>
        <w:rPr>
          <w:lang w:val="fr-FR"/>
        </w:rPr>
        <w:t>18.</w:t>
      </w:r>
      <w:r>
        <w:rPr>
          <w:lang w:val="fr-FR"/>
        </w:rPr>
        <w:tab/>
      </w:r>
      <w:r w:rsidR="000D0EDD" w:rsidRPr="00D937D1">
        <w:rPr>
          <w:lang w:val="fr-FR"/>
        </w:rPr>
        <w:t>Dans ce cas, le conducteur ou le transporteur doit informer le fabricant, l'expéditeur ou le remplisseur de la nécessité d'apporter à bord du stabilisateur supplémentaire. L'ajout de ce stabilisateur au contenu de la citerne n'est alors possible que via l'orifice de prise d'échantillons (ou un orifice équivalent).</w:t>
      </w:r>
    </w:p>
    <w:p w14:paraId="2EAFA372" w14:textId="3B11BF32" w:rsidR="000D0EDD" w:rsidRPr="00D937D1" w:rsidRDefault="00514C22" w:rsidP="007C3574">
      <w:pPr>
        <w:pStyle w:val="H1G"/>
        <w:rPr>
          <w:lang w:val="fr-FR"/>
        </w:rPr>
      </w:pPr>
      <w:r>
        <w:rPr>
          <w:lang w:val="fr-FR"/>
        </w:rPr>
        <w:lastRenderedPageBreak/>
        <w:tab/>
      </w:r>
      <w:r w:rsidR="000D0EDD" w:rsidRPr="00D937D1">
        <w:rPr>
          <w:lang w:val="fr-FR"/>
        </w:rPr>
        <w:tab/>
        <w:t>Sécurité</w:t>
      </w:r>
      <w:r w:rsidR="00C17632">
        <w:rPr>
          <w:lang w:val="fr-FR"/>
        </w:rPr>
        <w:t> :</w:t>
      </w:r>
    </w:p>
    <w:p w14:paraId="5746B66E" w14:textId="1CB4817B" w:rsidR="000D0EDD" w:rsidRPr="00D937D1" w:rsidRDefault="0014481A" w:rsidP="00514C22">
      <w:pPr>
        <w:pStyle w:val="SingleTxtG"/>
        <w:rPr>
          <w:lang w:val="fr-FR"/>
        </w:rPr>
      </w:pPr>
      <w:r>
        <w:rPr>
          <w:lang w:val="fr-FR"/>
        </w:rPr>
        <w:t>1</w:t>
      </w:r>
      <w:r w:rsidR="00500F46">
        <w:rPr>
          <w:lang w:val="fr-FR"/>
        </w:rPr>
        <w:t>9</w:t>
      </w:r>
      <w:r w:rsidR="000D0EDD" w:rsidRPr="00D937D1">
        <w:rPr>
          <w:lang w:val="fr-FR"/>
        </w:rPr>
        <w:t>.</w:t>
      </w:r>
      <w:r w:rsidR="000D0EDD" w:rsidRPr="00D937D1">
        <w:rPr>
          <w:lang w:val="fr-FR"/>
        </w:rPr>
        <w:tab/>
        <w:t>Les améliorations apportées aux demandes de modifications, telles qu'elles sont exposées ci-avant, sont sans impact sur le plan de la sécurité ou apportent de légères améliorations aux mesures de sécurité.</w:t>
      </w:r>
    </w:p>
    <w:p w14:paraId="56065D9E" w14:textId="5C7D4789" w:rsidR="000D0EDD" w:rsidRPr="00D937D1" w:rsidRDefault="00514C22" w:rsidP="007C3574">
      <w:pPr>
        <w:pStyle w:val="H1G"/>
        <w:rPr>
          <w:lang w:val="fr-FR"/>
        </w:rPr>
      </w:pPr>
      <w:r>
        <w:rPr>
          <w:lang w:val="fr-FR"/>
        </w:rPr>
        <w:tab/>
      </w:r>
      <w:r w:rsidR="000D0EDD" w:rsidRPr="00D937D1">
        <w:rPr>
          <w:lang w:val="fr-FR"/>
        </w:rPr>
        <w:tab/>
        <w:t>Faisabilité</w:t>
      </w:r>
      <w:r w:rsidR="00C17632">
        <w:rPr>
          <w:lang w:val="fr-FR"/>
        </w:rPr>
        <w:t> :</w:t>
      </w:r>
    </w:p>
    <w:p w14:paraId="02B6F53A" w14:textId="00DC5E0E" w:rsidR="000D0EDD" w:rsidRPr="00D937D1" w:rsidRDefault="00500F46" w:rsidP="00514C22">
      <w:pPr>
        <w:pStyle w:val="SingleTxtG"/>
        <w:rPr>
          <w:lang w:val="fr-FR"/>
        </w:rPr>
      </w:pPr>
      <w:r>
        <w:rPr>
          <w:lang w:val="fr-FR"/>
        </w:rPr>
        <w:t>20</w:t>
      </w:r>
      <w:r w:rsidR="000D0EDD" w:rsidRPr="00D937D1">
        <w:rPr>
          <w:lang w:val="fr-FR"/>
        </w:rPr>
        <w:t>.</w:t>
      </w:r>
      <w:r w:rsidR="000D0EDD" w:rsidRPr="00D937D1">
        <w:rPr>
          <w:lang w:val="fr-FR"/>
        </w:rPr>
        <w:tab/>
        <w:t>Aucune mesure déraisonnable ou irréalisable n'est exigée.</w:t>
      </w:r>
    </w:p>
    <w:p w14:paraId="2B1C5598" w14:textId="2110DD95" w:rsidR="000D0EDD" w:rsidRPr="00D937D1" w:rsidRDefault="00514C22" w:rsidP="007C3574">
      <w:pPr>
        <w:pStyle w:val="H1G"/>
        <w:rPr>
          <w:lang w:val="fr-FR"/>
        </w:rPr>
      </w:pPr>
      <w:r>
        <w:rPr>
          <w:lang w:val="fr-FR"/>
        </w:rPr>
        <w:tab/>
      </w:r>
      <w:r w:rsidR="000D0EDD" w:rsidRPr="00D937D1">
        <w:rPr>
          <w:lang w:val="fr-FR"/>
        </w:rPr>
        <w:tab/>
        <w:t>Durabilité</w:t>
      </w:r>
      <w:r w:rsidR="00C17632">
        <w:rPr>
          <w:lang w:val="fr-FR"/>
        </w:rPr>
        <w:t> :</w:t>
      </w:r>
    </w:p>
    <w:p w14:paraId="6BFB1841" w14:textId="4BF3FBC9" w:rsidR="000D0EDD" w:rsidRPr="00D937D1" w:rsidRDefault="0014481A" w:rsidP="00514C22">
      <w:pPr>
        <w:pStyle w:val="SingleTxtG"/>
        <w:rPr>
          <w:lang w:val="fr-FR"/>
        </w:rPr>
      </w:pPr>
      <w:r>
        <w:rPr>
          <w:lang w:val="fr-FR"/>
        </w:rPr>
        <w:t>2</w:t>
      </w:r>
      <w:r w:rsidR="00500F46">
        <w:rPr>
          <w:lang w:val="fr-FR"/>
        </w:rPr>
        <w:t>1</w:t>
      </w:r>
      <w:r w:rsidR="000D0EDD" w:rsidRPr="00D937D1">
        <w:rPr>
          <w:lang w:val="fr-FR"/>
        </w:rPr>
        <w:t>.</w:t>
      </w:r>
      <w:r w:rsidR="000D0EDD" w:rsidRPr="00D937D1">
        <w:rPr>
          <w:lang w:val="fr-FR"/>
        </w:rPr>
        <w:tab/>
        <w:t xml:space="preserve">Nous renvoyons aux précisions figurant dans la demande initiale </w:t>
      </w:r>
      <w:r w:rsidR="00D63102">
        <w:rPr>
          <w:lang w:val="fr-FR"/>
        </w:rPr>
        <w:t>ECE/TRANS/</w:t>
      </w:r>
      <w:r w:rsidR="000D0EDD" w:rsidRPr="00D937D1">
        <w:rPr>
          <w:lang w:val="fr-FR"/>
        </w:rPr>
        <w:t>WP.15/AC.2/2023/47.</w:t>
      </w:r>
    </w:p>
    <w:p w14:paraId="1ADE61E3" w14:textId="70A8EC2C" w:rsidR="000D0EDD" w:rsidRPr="00514C22" w:rsidRDefault="00514C22" w:rsidP="00514C22">
      <w:pPr>
        <w:spacing w:before="240"/>
        <w:jc w:val="center"/>
        <w:rPr>
          <w:u w:val="single"/>
          <w:lang w:val="fr-FR"/>
        </w:rPr>
      </w:pPr>
      <w:r>
        <w:rPr>
          <w:u w:val="single"/>
          <w:lang w:val="fr-FR"/>
        </w:rPr>
        <w:tab/>
      </w:r>
      <w:r>
        <w:rPr>
          <w:u w:val="single"/>
          <w:lang w:val="fr-FR"/>
        </w:rPr>
        <w:tab/>
      </w:r>
      <w:r>
        <w:rPr>
          <w:u w:val="single"/>
          <w:lang w:val="fr-FR"/>
        </w:rPr>
        <w:tab/>
      </w:r>
    </w:p>
    <w:p w14:paraId="0DC8C7C7" w14:textId="77777777" w:rsidR="00C1626B" w:rsidRPr="00C7660B" w:rsidRDefault="00C1626B" w:rsidP="00F06ED4"/>
    <w:sectPr w:rsidR="00C1626B" w:rsidRPr="00C7660B" w:rsidSect="00C7660B">
      <w:headerReference w:type="even" r:id="rId11"/>
      <w:headerReference w:type="default" r:id="rId12"/>
      <w:footerReference w:type="even" r:id="rId13"/>
      <w:footerReference w:type="default" r:id="rId14"/>
      <w:footerReference w:type="first" r:id="rId15"/>
      <w:endnotePr>
        <w:numFmt w:val="decimal"/>
      </w:endnotePr>
      <w:pgSz w:w="11906" w:h="16838" w:code="9"/>
      <w:pgMar w:top="1418" w:right="1134" w:bottom="1134" w:left="1134"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24678" w14:textId="77777777" w:rsidR="00336EA1" w:rsidRDefault="00336EA1" w:rsidP="00F95C08">
      <w:pPr>
        <w:spacing w:line="240" w:lineRule="auto"/>
      </w:pPr>
    </w:p>
  </w:endnote>
  <w:endnote w:type="continuationSeparator" w:id="0">
    <w:p w14:paraId="3F62AF23" w14:textId="77777777" w:rsidR="00336EA1" w:rsidRPr="00AC3823" w:rsidRDefault="00336EA1" w:rsidP="00AC3823">
      <w:pPr>
        <w:pStyle w:val="Pieddepage"/>
      </w:pPr>
    </w:p>
  </w:endnote>
  <w:endnote w:type="continuationNotice" w:id="1">
    <w:p w14:paraId="50C25A75" w14:textId="77777777" w:rsidR="00336EA1" w:rsidRDefault="00336EA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9A905" w14:textId="77777777" w:rsidR="00C7660B" w:rsidRPr="00C7660B" w:rsidRDefault="00C7660B" w:rsidP="00C7660B">
    <w:pPr>
      <w:pStyle w:val="Pieddepage"/>
      <w:tabs>
        <w:tab w:val="right" w:pos="9638"/>
      </w:tabs>
      <w:rPr>
        <w:sz w:val="18"/>
      </w:rPr>
    </w:pPr>
    <w:r w:rsidRPr="00C7660B">
      <w:rPr>
        <w:b/>
        <w:sz w:val="18"/>
      </w:rPr>
      <w:fldChar w:fldCharType="begin"/>
    </w:r>
    <w:r w:rsidRPr="00C7660B">
      <w:rPr>
        <w:b/>
        <w:sz w:val="18"/>
      </w:rPr>
      <w:instrText xml:space="preserve"> PAGE  \* MERGEFORMAT </w:instrText>
    </w:r>
    <w:r w:rsidRPr="00C7660B">
      <w:rPr>
        <w:b/>
        <w:sz w:val="18"/>
      </w:rPr>
      <w:fldChar w:fldCharType="separate"/>
    </w:r>
    <w:r w:rsidRPr="00C7660B">
      <w:rPr>
        <w:b/>
        <w:noProof/>
        <w:sz w:val="18"/>
      </w:rPr>
      <w:t>2</w:t>
    </w:r>
    <w:r w:rsidRPr="00C7660B">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59381" w14:textId="77777777" w:rsidR="00C7660B" w:rsidRPr="00C7660B" w:rsidRDefault="00C7660B" w:rsidP="00C7660B">
    <w:pPr>
      <w:pStyle w:val="Pieddepage"/>
      <w:tabs>
        <w:tab w:val="right" w:pos="9638"/>
      </w:tabs>
      <w:rPr>
        <w:b/>
        <w:sz w:val="18"/>
      </w:rPr>
    </w:pPr>
    <w:r>
      <w:tab/>
    </w:r>
    <w:r w:rsidRPr="00C7660B">
      <w:rPr>
        <w:b/>
        <w:sz w:val="18"/>
      </w:rPr>
      <w:fldChar w:fldCharType="begin"/>
    </w:r>
    <w:r w:rsidRPr="00C7660B">
      <w:rPr>
        <w:b/>
        <w:sz w:val="18"/>
      </w:rPr>
      <w:instrText xml:space="preserve"> PAGE  \* MERGEFORMAT </w:instrText>
    </w:r>
    <w:r w:rsidRPr="00C7660B">
      <w:rPr>
        <w:b/>
        <w:sz w:val="18"/>
      </w:rPr>
      <w:fldChar w:fldCharType="separate"/>
    </w:r>
    <w:r w:rsidRPr="00C7660B">
      <w:rPr>
        <w:b/>
        <w:noProof/>
        <w:sz w:val="18"/>
      </w:rPr>
      <w:t>3</w:t>
    </w:r>
    <w:r w:rsidRPr="00C7660B">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C1FD9" w14:textId="6893E938" w:rsidR="000D3EE9" w:rsidRPr="00355E45" w:rsidRDefault="00355E45" w:rsidP="00355E45">
    <w:pPr>
      <w:pStyle w:val="Pieddepage"/>
      <w:tabs>
        <w:tab w:val="left" w:pos="6520"/>
        <w:tab w:val="right" w:pos="9638"/>
      </w:tabs>
      <w:spacing w:before="120"/>
      <w:rPr>
        <w:sz w:val="20"/>
      </w:rPr>
    </w:pPr>
    <w:r>
      <w:rPr>
        <w:sz w:val="20"/>
      </w:rPr>
      <w:t>GE.23-21353  (F)</w:t>
    </w:r>
    <w:bookmarkStart w:id="4" w:name="_GoBack"/>
    <w:bookmarkEnd w:id="4"/>
    <w:r>
      <w:rPr>
        <w:sz w:val="20"/>
      </w:rPr>
      <w:tab/>
    </w:r>
    <w:r w:rsidRPr="00355E45">
      <w:rPr>
        <w:noProof/>
        <w:sz w:val="20"/>
        <w:lang w:eastAsia="fr-CH"/>
      </w:rPr>
      <w:drawing>
        <wp:inline distT="0" distB="0" distL="0" distR="0" wp14:anchorId="340EB830" wp14:editId="33BCD5CA">
          <wp:extent cx="1105200" cy="234000"/>
          <wp:effectExtent l="0" t="0" r="0" b="0"/>
          <wp:docPr id="1" name="Image 3"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inline>
      </w:drawing>
    </w:r>
    <w:r>
      <w:rPr>
        <w:sz w:val="20"/>
      </w:rPr>
      <w:tab/>
    </w:r>
    <w:r>
      <w:rPr>
        <w:noProof/>
        <w:sz w:val="20"/>
      </w:rPr>
      <w:drawing>
        <wp:inline distT="0" distB="0" distL="0" distR="0" wp14:anchorId="4049BF90" wp14:editId="24ACFC72">
          <wp:extent cx="638810" cy="638810"/>
          <wp:effectExtent l="0" t="0" r="8890" b="889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810" cy="63881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4FFB2" w14:textId="77777777" w:rsidR="00336EA1" w:rsidRPr="00AC3823" w:rsidRDefault="00336EA1" w:rsidP="00AC3823">
      <w:pPr>
        <w:pStyle w:val="Pieddepage"/>
        <w:tabs>
          <w:tab w:val="right" w:pos="2155"/>
        </w:tabs>
        <w:spacing w:after="80" w:line="240" w:lineRule="atLeast"/>
        <w:ind w:left="680"/>
        <w:rPr>
          <w:u w:val="single"/>
        </w:rPr>
      </w:pPr>
      <w:r>
        <w:rPr>
          <w:u w:val="single"/>
        </w:rPr>
        <w:tab/>
      </w:r>
    </w:p>
  </w:footnote>
  <w:footnote w:type="continuationSeparator" w:id="0">
    <w:p w14:paraId="2E5BDACC" w14:textId="77777777" w:rsidR="00336EA1" w:rsidRPr="00AC3823" w:rsidRDefault="00336EA1" w:rsidP="00AC3823">
      <w:pPr>
        <w:pStyle w:val="Pieddepage"/>
        <w:tabs>
          <w:tab w:val="right" w:pos="2155"/>
        </w:tabs>
        <w:spacing w:after="80" w:line="240" w:lineRule="atLeast"/>
        <w:ind w:left="680"/>
        <w:rPr>
          <w:u w:val="single"/>
        </w:rPr>
      </w:pPr>
      <w:r>
        <w:rPr>
          <w:u w:val="single"/>
        </w:rPr>
        <w:tab/>
      </w:r>
    </w:p>
  </w:footnote>
  <w:footnote w:type="continuationNotice" w:id="1">
    <w:p w14:paraId="45FADB31" w14:textId="77777777" w:rsidR="00336EA1" w:rsidRPr="00AC3823" w:rsidRDefault="00336EA1">
      <w:pPr>
        <w:spacing w:line="240" w:lineRule="auto"/>
        <w:rPr>
          <w:sz w:val="2"/>
          <w:szCs w:val="2"/>
        </w:rPr>
      </w:pPr>
    </w:p>
  </w:footnote>
  <w:footnote w:id="2">
    <w:p w14:paraId="2690FA49" w14:textId="64789D92" w:rsidR="00FE09D3" w:rsidRPr="009A1680" w:rsidRDefault="00FE09D3" w:rsidP="00FE09D3">
      <w:pPr>
        <w:pStyle w:val="Notedebasdepage"/>
        <w:rPr>
          <w:sz w:val="16"/>
          <w:szCs w:val="16"/>
          <w:lang w:val="fr-FR"/>
        </w:rPr>
      </w:pPr>
      <w:r w:rsidRPr="009A1680">
        <w:rPr>
          <w:rStyle w:val="Appelnotedebasdep"/>
          <w:lang w:val="fr-FR"/>
        </w:rPr>
        <w:tab/>
        <w:t>*</w:t>
      </w:r>
      <w:r w:rsidRPr="009A1680">
        <w:rPr>
          <w:rStyle w:val="Appelnotedebasdep"/>
          <w:lang w:val="fr-FR"/>
        </w:rPr>
        <w:tab/>
      </w:r>
      <w:r w:rsidRPr="009A1680">
        <w:rPr>
          <w:sz w:val="16"/>
          <w:szCs w:val="16"/>
          <w:lang w:val="fr-FR"/>
        </w:rPr>
        <w:t>Diffusée en langue allemande par la Commission centrale pour la navigation du Rhin sous la cote CCNR-ZKR/ADN/WP.15/AC.2/202</w:t>
      </w:r>
      <w:r w:rsidR="00F94BF2">
        <w:rPr>
          <w:sz w:val="16"/>
          <w:szCs w:val="16"/>
          <w:lang w:val="fr-FR"/>
        </w:rPr>
        <w:t>4</w:t>
      </w:r>
      <w:r w:rsidRPr="009A1680">
        <w:rPr>
          <w:sz w:val="16"/>
          <w:szCs w:val="16"/>
          <w:lang w:val="fr-FR"/>
        </w:rPr>
        <w:t>/</w:t>
      </w:r>
      <w:r w:rsidR="007860C8">
        <w:rPr>
          <w:sz w:val="16"/>
          <w:szCs w:val="16"/>
          <w:lang w:val="fr-FR"/>
        </w:rPr>
        <w:t>7</w:t>
      </w:r>
    </w:p>
  </w:footnote>
  <w:footnote w:id="3">
    <w:p w14:paraId="22DE7EFD" w14:textId="226D4BAA" w:rsidR="00FE09D3" w:rsidRPr="009A1680" w:rsidRDefault="00FE09D3" w:rsidP="00FE09D3">
      <w:pPr>
        <w:pStyle w:val="Notedebasdepage"/>
        <w:rPr>
          <w:sz w:val="16"/>
          <w:szCs w:val="16"/>
        </w:rPr>
      </w:pPr>
      <w:r w:rsidRPr="009A1680">
        <w:rPr>
          <w:rStyle w:val="Appelnotedebasdep"/>
          <w:lang w:val="fr-FR"/>
        </w:rPr>
        <w:tab/>
      </w:r>
      <w:r w:rsidRPr="009A1680">
        <w:rPr>
          <w:rStyle w:val="Appelnotedebasdep"/>
          <w:lang w:val="de-DE"/>
        </w:rPr>
        <w:t>**</w:t>
      </w:r>
      <w:r w:rsidRPr="009A1680">
        <w:rPr>
          <w:rStyle w:val="Appelnotedebasdep"/>
          <w:lang w:val="de-DE"/>
        </w:rPr>
        <w:tab/>
      </w:r>
      <w:r w:rsidR="007E1532">
        <w:rPr>
          <w:lang w:val="de-DE"/>
        </w:rPr>
        <w:t>A</w:t>
      </w:r>
      <w:r w:rsidR="0019147E" w:rsidRPr="0019147E">
        <w:rPr>
          <w:sz w:val="16"/>
          <w:szCs w:val="16"/>
        </w:rPr>
        <w:t>/78/6 (Sect. 20), table</w:t>
      </w:r>
      <w:r w:rsidR="0019147E">
        <w:rPr>
          <w:sz w:val="16"/>
          <w:szCs w:val="16"/>
        </w:rPr>
        <w:t>au</w:t>
      </w:r>
      <w:r w:rsidR="0019147E" w:rsidRPr="0019147E">
        <w:rPr>
          <w:sz w:val="16"/>
          <w:szCs w:val="16"/>
        </w:rPr>
        <w:t xml:space="preserve"> 20.5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14B1F" w14:textId="77777777" w:rsidR="00C7660B" w:rsidRPr="00C7660B" w:rsidRDefault="0003676D">
    <w:pPr>
      <w:pStyle w:val="En-tte"/>
    </w:pPr>
    <w:r>
      <w:fldChar w:fldCharType="begin"/>
    </w:r>
    <w:r>
      <w:instrText xml:space="preserve"> TITLE  \* MERGEFORMAT </w:instrText>
    </w:r>
    <w:r>
      <w:fldChar w:fldCharType="separate"/>
    </w:r>
    <w:r w:rsidR="00C7660B">
      <w:t>ECE/TRANS/WP.15/AC.2/2024/7</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D8E80" w14:textId="77777777" w:rsidR="00C7660B" w:rsidRPr="00C7660B" w:rsidRDefault="0003676D" w:rsidP="00C7660B">
    <w:pPr>
      <w:pStyle w:val="En-tte"/>
      <w:jc w:val="right"/>
    </w:pPr>
    <w:r>
      <w:fldChar w:fldCharType="begin"/>
    </w:r>
    <w:r>
      <w:instrText xml:space="preserve"> TITLE  \* MERGEFORMAT </w:instrText>
    </w:r>
    <w:r>
      <w:fldChar w:fldCharType="separate"/>
    </w:r>
    <w:r w:rsidR="00C7660B">
      <w:t>ECE/TRANS/WP.15/AC.2/2024/7</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40106491"/>
    <w:multiLevelType w:val="hybridMultilevel"/>
    <w:tmpl w:val="9B520A44"/>
    <w:lvl w:ilvl="0" w:tplc="37E4B0C4">
      <w:numFmt w:val="bullet"/>
      <w:lvlText w:val="-"/>
      <w:lvlJc w:val="left"/>
      <w:pPr>
        <w:ind w:left="2628" w:hanging="360"/>
      </w:pPr>
      <w:rPr>
        <w:rFonts w:ascii="Times New Roman" w:eastAsia="Times New Roman" w:hAnsi="Times New Roman" w:cs="Times New Roman" w:hint="default"/>
      </w:rPr>
    </w:lvl>
    <w:lvl w:ilvl="1" w:tplc="04070003" w:tentative="1">
      <w:start w:val="1"/>
      <w:numFmt w:val="bullet"/>
      <w:lvlText w:val="o"/>
      <w:lvlJc w:val="left"/>
      <w:pPr>
        <w:ind w:left="3348" w:hanging="360"/>
      </w:pPr>
      <w:rPr>
        <w:rFonts w:ascii="Courier New" w:hAnsi="Courier New" w:cs="Courier New" w:hint="default"/>
      </w:rPr>
    </w:lvl>
    <w:lvl w:ilvl="2" w:tplc="04070005" w:tentative="1">
      <w:start w:val="1"/>
      <w:numFmt w:val="bullet"/>
      <w:lvlText w:val=""/>
      <w:lvlJc w:val="left"/>
      <w:pPr>
        <w:ind w:left="4068" w:hanging="360"/>
      </w:pPr>
      <w:rPr>
        <w:rFonts w:ascii="Wingdings" w:hAnsi="Wingdings" w:hint="default"/>
      </w:rPr>
    </w:lvl>
    <w:lvl w:ilvl="3" w:tplc="04070001" w:tentative="1">
      <w:start w:val="1"/>
      <w:numFmt w:val="bullet"/>
      <w:lvlText w:val=""/>
      <w:lvlJc w:val="left"/>
      <w:pPr>
        <w:ind w:left="4788" w:hanging="360"/>
      </w:pPr>
      <w:rPr>
        <w:rFonts w:ascii="Symbol" w:hAnsi="Symbol" w:hint="default"/>
      </w:rPr>
    </w:lvl>
    <w:lvl w:ilvl="4" w:tplc="04070003" w:tentative="1">
      <w:start w:val="1"/>
      <w:numFmt w:val="bullet"/>
      <w:lvlText w:val="o"/>
      <w:lvlJc w:val="left"/>
      <w:pPr>
        <w:ind w:left="5508" w:hanging="360"/>
      </w:pPr>
      <w:rPr>
        <w:rFonts w:ascii="Courier New" w:hAnsi="Courier New" w:cs="Courier New" w:hint="default"/>
      </w:rPr>
    </w:lvl>
    <w:lvl w:ilvl="5" w:tplc="04070005" w:tentative="1">
      <w:start w:val="1"/>
      <w:numFmt w:val="bullet"/>
      <w:lvlText w:val=""/>
      <w:lvlJc w:val="left"/>
      <w:pPr>
        <w:ind w:left="6228" w:hanging="360"/>
      </w:pPr>
      <w:rPr>
        <w:rFonts w:ascii="Wingdings" w:hAnsi="Wingdings" w:hint="default"/>
      </w:rPr>
    </w:lvl>
    <w:lvl w:ilvl="6" w:tplc="04070001" w:tentative="1">
      <w:start w:val="1"/>
      <w:numFmt w:val="bullet"/>
      <w:lvlText w:val=""/>
      <w:lvlJc w:val="left"/>
      <w:pPr>
        <w:ind w:left="6948" w:hanging="360"/>
      </w:pPr>
      <w:rPr>
        <w:rFonts w:ascii="Symbol" w:hAnsi="Symbol" w:hint="default"/>
      </w:rPr>
    </w:lvl>
    <w:lvl w:ilvl="7" w:tplc="04070003" w:tentative="1">
      <w:start w:val="1"/>
      <w:numFmt w:val="bullet"/>
      <w:lvlText w:val="o"/>
      <w:lvlJc w:val="left"/>
      <w:pPr>
        <w:ind w:left="7668" w:hanging="360"/>
      </w:pPr>
      <w:rPr>
        <w:rFonts w:ascii="Courier New" w:hAnsi="Courier New" w:cs="Courier New" w:hint="default"/>
      </w:rPr>
    </w:lvl>
    <w:lvl w:ilvl="8" w:tplc="04070005" w:tentative="1">
      <w:start w:val="1"/>
      <w:numFmt w:val="bullet"/>
      <w:lvlText w:val=""/>
      <w:lvlJc w:val="left"/>
      <w:pPr>
        <w:ind w:left="8388" w:hanging="360"/>
      </w:pPr>
      <w:rPr>
        <w:rFonts w:ascii="Wingdings" w:hAnsi="Wingdings" w:hint="default"/>
      </w:rPr>
    </w:lvl>
  </w:abstractNum>
  <w:abstractNum w:abstractNumId="13"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16cid:durableId="1632982405">
    <w:abstractNumId w:val="13"/>
  </w:num>
  <w:num w:numId="2" w16cid:durableId="1100221295">
    <w:abstractNumId w:val="11"/>
  </w:num>
  <w:num w:numId="3" w16cid:durableId="818305402">
    <w:abstractNumId w:val="10"/>
  </w:num>
  <w:num w:numId="4" w16cid:durableId="1560240700">
    <w:abstractNumId w:val="8"/>
  </w:num>
  <w:num w:numId="5" w16cid:durableId="875702537">
    <w:abstractNumId w:val="3"/>
  </w:num>
  <w:num w:numId="6" w16cid:durableId="572814801">
    <w:abstractNumId w:val="2"/>
  </w:num>
  <w:num w:numId="7" w16cid:durableId="1712421401">
    <w:abstractNumId w:val="1"/>
  </w:num>
  <w:num w:numId="8" w16cid:durableId="204486685">
    <w:abstractNumId w:val="0"/>
  </w:num>
  <w:num w:numId="9" w16cid:durableId="1927766906">
    <w:abstractNumId w:val="9"/>
  </w:num>
  <w:num w:numId="10" w16cid:durableId="1506283207">
    <w:abstractNumId w:val="7"/>
  </w:num>
  <w:num w:numId="11" w16cid:durableId="909072396">
    <w:abstractNumId w:val="6"/>
  </w:num>
  <w:num w:numId="12" w16cid:durableId="1603101367">
    <w:abstractNumId w:val="5"/>
  </w:num>
  <w:num w:numId="13" w16cid:durableId="300155561">
    <w:abstractNumId w:val="4"/>
  </w:num>
  <w:num w:numId="14" w16cid:durableId="100736289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F2324AE-7E1B-46E0-BE39-6171A5137F5D}"/>
    <w:docVar w:name="dgnword-eventsink" w:val="646185176"/>
  </w:docVars>
  <w:rsids>
    <w:rsidRoot w:val="00C7660B"/>
    <w:rsid w:val="0001207F"/>
    <w:rsid w:val="00017F94"/>
    <w:rsid w:val="00023842"/>
    <w:rsid w:val="000334F9"/>
    <w:rsid w:val="0003676D"/>
    <w:rsid w:val="0004639C"/>
    <w:rsid w:val="0007796D"/>
    <w:rsid w:val="00084AC0"/>
    <w:rsid w:val="000942EE"/>
    <w:rsid w:val="000A178C"/>
    <w:rsid w:val="000A310E"/>
    <w:rsid w:val="000A52BF"/>
    <w:rsid w:val="000B7790"/>
    <w:rsid w:val="000C5108"/>
    <w:rsid w:val="000D0EDD"/>
    <w:rsid w:val="000D3EE9"/>
    <w:rsid w:val="000D62F3"/>
    <w:rsid w:val="0010746F"/>
    <w:rsid w:val="00111F2F"/>
    <w:rsid w:val="001258E5"/>
    <w:rsid w:val="001433FD"/>
    <w:rsid w:val="0014365E"/>
    <w:rsid w:val="0014481A"/>
    <w:rsid w:val="001541D3"/>
    <w:rsid w:val="00156B77"/>
    <w:rsid w:val="00176178"/>
    <w:rsid w:val="00177140"/>
    <w:rsid w:val="0018701C"/>
    <w:rsid w:val="0019147E"/>
    <w:rsid w:val="001D400F"/>
    <w:rsid w:val="001F525A"/>
    <w:rsid w:val="00223272"/>
    <w:rsid w:val="00240333"/>
    <w:rsid w:val="0024779E"/>
    <w:rsid w:val="002701DC"/>
    <w:rsid w:val="002832AC"/>
    <w:rsid w:val="00292273"/>
    <w:rsid w:val="002D7C93"/>
    <w:rsid w:val="00336EA1"/>
    <w:rsid w:val="00355E45"/>
    <w:rsid w:val="0037241C"/>
    <w:rsid w:val="003819FF"/>
    <w:rsid w:val="003D22A7"/>
    <w:rsid w:val="00403A6E"/>
    <w:rsid w:val="004076E8"/>
    <w:rsid w:val="00430197"/>
    <w:rsid w:val="00441C3B"/>
    <w:rsid w:val="00446B0A"/>
    <w:rsid w:val="00446FE5"/>
    <w:rsid w:val="00452396"/>
    <w:rsid w:val="00471288"/>
    <w:rsid w:val="0049687C"/>
    <w:rsid w:val="00496BB5"/>
    <w:rsid w:val="00497019"/>
    <w:rsid w:val="004A7D61"/>
    <w:rsid w:val="004E468C"/>
    <w:rsid w:val="004E720B"/>
    <w:rsid w:val="00500F46"/>
    <w:rsid w:val="005106D1"/>
    <w:rsid w:val="00514C22"/>
    <w:rsid w:val="005316B0"/>
    <w:rsid w:val="00534CC1"/>
    <w:rsid w:val="00537D2A"/>
    <w:rsid w:val="005505B7"/>
    <w:rsid w:val="00573BE5"/>
    <w:rsid w:val="00586ED3"/>
    <w:rsid w:val="00596AA9"/>
    <w:rsid w:val="005A5169"/>
    <w:rsid w:val="005B4D0F"/>
    <w:rsid w:val="005D48C2"/>
    <w:rsid w:val="005F3C77"/>
    <w:rsid w:val="0060015E"/>
    <w:rsid w:val="00604DDF"/>
    <w:rsid w:val="00625203"/>
    <w:rsid w:val="0066457D"/>
    <w:rsid w:val="006A0AA9"/>
    <w:rsid w:val="00703D0F"/>
    <w:rsid w:val="00706363"/>
    <w:rsid w:val="007158BB"/>
    <w:rsid w:val="0071601D"/>
    <w:rsid w:val="00730321"/>
    <w:rsid w:val="00753DE2"/>
    <w:rsid w:val="0075410D"/>
    <w:rsid w:val="007860C8"/>
    <w:rsid w:val="00787D0A"/>
    <w:rsid w:val="007A62E6"/>
    <w:rsid w:val="007C3574"/>
    <w:rsid w:val="007E1532"/>
    <w:rsid w:val="0080529A"/>
    <w:rsid w:val="0080684C"/>
    <w:rsid w:val="008204DA"/>
    <w:rsid w:val="008535AD"/>
    <w:rsid w:val="00871C75"/>
    <w:rsid w:val="008767E8"/>
    <w:rsid w:val="008776DC"/>
    <w:rsid w:val="00883605"/>
    <w:rsid w:val="0088564C"/>
    <w:rsid w:val="0089255B"/>
    <w:rsid w:val="008B711A"/>
    <w:rsid w:val="008E6043"/>
    <w:rsid w:val="008F77C7"/>
    <w:rsid w:val="00961E7B"/>
    <w:rsid w:val="009705C8"/>
    <w:rsid w:val="00991B8B"/>
    <w:rsid w:val="009C1B55"/>
    <w:rsid w:val="009C1CF4"/>
    <w:rsid w:val="009C2C18"/>
    <w:rsid w:val="009F02C9"/>
    <w:rsid w:val="009F7005"/>
    <w:rsid w:val="00A10EB1"/>
    <w:rsid w:val="00A120BB"/>
    <w:rsid w:val="00A30353"/>
    <w:rsid w:val="00A62D91"/>
    <w:rsid w:val="00A87E31"/>
    <w:rsid w:val="00A90D54"/>
    <w:rsid w:val="00AA113A"/>
    <w:rsid w:val="00AC3823"/>
    <w:rsid w:val="00AC3C20"/>
    <w:rsid w:val="00AE323C"/>
    <w:rsid w:val="00AF774C"/>
    <w:rsid w:val="00B00181"/>
    <w:rsid w:val="00B00B0D"/>
    <w:rsid w:val="00B247C1"/>
    <w:rsid w:val="00B40927"/>
    <w:rsid w:val="00B4506D"/>
    <w:rsid w:val="00B50E25"/>
    <w:rsid w:val="00B630A3"/>
    <w:rsid w:val="00B64918"/>
    <w:rsid w:val="00B765F7"/>
    <w:rsid w:val="00BA0CA9"/>
    <w:rsid w:val="00BE1095"/>
    <w:rsid w:val="00C02897"/>
    <w:rsid w:val="00C1626B"/>
    <w:rsid w:val="00C16642"/>
    <w:rsid w:val="00C17632"/>
    <w:rsid w:val="00C66A47"/>
    <w:rsid w:val="00C7616F"/>
    <w:rsid w:val="00C7660B"/>
    <w:rsid w:val="00CB16B5"/>
    <w:rsid w:val="00CD7D27"/>
    <w:rsid w:val="00CE0608"/>
    <w:rsid w:val="00D3439C"/>
    <w:rsid w:val="00D44CF3"/>
    <w:rsid w:val="00D46C8C"/>
    <w:rsid w:val="00D63102"/>
    <w:rsid w:val="00D678ED"/>
    <w:rsid w:val="00D750CD"/>
    <w:rsid w:val="00D87D48"/>
    <w:rsid w:val="00DB1831"/>
    <w:rsid w:val="00DD3BFD"/>
    <w:rsid w:val="00DE239D"/>
    <w:rsid w:val="00DF431C"/>
    <w:rsid w:val="00DF6678"/>
    <w:rsid w:val="00E01332"/>
    <w:rsid w:val="00E17B78"/>
    <w:rsid w:val="00E368F7"/>
    <w:rsid w:val="00E428C8"/>
    <w:rsid w:val="00E622E4"/>
    <w:rsid w:val="00E72968"/>
    <w:rsid w:val="00EA4780"/>
    <w:rsid w:val="00EC031B"/>
    <w:rsid w:val="00EE4B8B"/>
    <w:rsid w:val="00EF2E22"/>
    <w:rsid w:val="00F0592C"/>
    <w:rsid w:val="00F06ED4"/>
    <w:rsid w:val="00F16557"/>
    <w:rsid w:val="00F26FB2"/>
    <w:rsid w:val="00F33E6B"/>
    <w:rsid w:val="00F43289"/>
    <w:rsid w:val="00F47BA1"/>
    <w:rsid w:val="00F5789E"/>
    <w:rsid w:val="00F660DF"/>
    <w:rsid w:val="00F94BF2"/>
    <w:rsid w:val="00F95C08"/>
    <w:rsid w:val="00FA6780"/>
    <w:rsid w:val="00FC2822"/>
    <w:rsid w:val="00FD1581"/>
    <w:rsid w:val="00FE09D3"/>
    <w:rsid w:val="00FE2E93"/>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409E04"/>
  <w15:docId w15:val="{63DA14EC-46E5-4F81-AC80-89B4B45B9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zh-CN"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8F7"/>
  </w:style>
  <w:style w:type="paragraph" w:styleId="Titre1">
    <w:name w:val="heading 1"/>
    <w:aliases w:val="Table_G"/>
    <w:basedOn w:val="SingleTxtG"/>
    <w:next w:val="SingleTxtG"/>
    <w:link w:val="Titre1Car"/>
    <w:qFormat/>
    <w:rsid w:val="0080684C"/>
    <w:pPr>
      <w:keepNext/>
      <w:keepLines/>
      <w:spacing w:after="0" w:line="240" w:lineRule="auto"/>
      <w:ind w:right="0"/>
      <w:jc w:val="left"/>
      <w:outlineLvl w:val="0"/>
    </w:pPr>
  </w:style>
  <w:style w:type="paragraph" w:styleId="Titre2">
    <w:name w:val="heading 2"/>
    <w:basedOn w:val="Normal"/>
    <w:next w:val="Normal"/>
    <w:link w:val="Titre2Car"/>
    <w:semiHidden/>
    <w:qFormat/>
    <w:rsid w:val="00023842"/>
    <w:pPr>
      <w:outlineLvl w:val="1"/>
    </w:pPr>
  </w:style>
  <w:style w:type="paragraph" w:styleId="Titre3">
    <w:name w:val="heading 3"/>
    <w:basedOn w:val="Normal"/>
    <w:next w:val="Normal"/>
    <w:link w:val="Titre3Car"/>
    <w:semiHidden/>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semiHidden/>
    <w:qFormat/>
    <w:rsid w:val="00023842"/>
    <w:pPr>
      <w:outlineLvl w:val="5"/>
    </w:pPr>
  </w:style>
  <w:style w:type="paragraph" w:styleId="Titre7">
    <w:name w:val="heading 7"/>
    <w:basedOn w:val="Normal"/>
    <w:next w:val="Normal"/>
    <w:link w:val="Titre7Car"/>
    <w:semiHidden/>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80684C"/>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80684C"/>
    <w:rPr>
      <w:rFonts w:ascii="Times New Roman" w:eastAsia="Times New Roman" w:hAnsi="Times New Roman" w:cs="Times New Roman"/>
      <w:b/>
      <w:sz w:val="18"/>
      <w:szCs w:val="20"/>
      <w:lang w:eastAsia="en-US"/>
    </w:rPr>
  </w:style>
  <w:style w:type="paragraph" w:styleId="Pieddepage">
    <w:name w:val="footer"/>
    <w:aliases w:val="3_G"/>
    <w:basedOn w:val="Normal"/>
    <w:next w:val="Normal"/>
    <w:link w:val="PieddepageCar"/>
    <w:qFormat/>
    <w:rsid w:val="0080684C"/>
    <w:pPr>
      <w:spacing w:line="240" w:lineRule="auto"/>
    </w:pPr>
    <w:rPr>
      <w:sz w:val="16"/>
    </w:rPr>
  </w:style>
  <w:style w:type="character" w:customStyle="1" w:styleId="PieddepageCar">
    <w:name w:val="Pied de page Car"/>
    <w:aliases w:val="3_G Car"/>
    <w:basedOn w:val="Policepardfaut"/>
    <w:link w:val="Pieddepage"/>
    <w:rsid w:val="0080684C"/>
    <w:rPr>
      <w:rFonts w:ascii="Times New Roman" w:eastAsia="Times New Roman" w:hAnsi="Times New Roman" w:cs="Times New Roman"/>
      <w:sz w:val="16"/>
      <w:szCs w:val="20"/>
      <w:lang w:eastAsia="en-US"/>
    </w:rPr>
  </w:style>
  <w:style w:type="paragraph" w:customStyle="1" w:styleId="HMG">
    <w:name w:val="_ H __M_G"/>
    <w:basedOn w:val="Normal"/>
    <w:next w:val="Normal"/>
    <w:qFormat/>
    <w:rsid w:val="0080684C"/>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80684C"/>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80684C"/>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80684C"/>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80684C"/>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871C75"/>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80684C"/>
    <w:pPr>
      <w:tabs>
        <w:tab w:val="left" w:pos="1701"/>
        <w:tab w:val="left" w:pos="2268"/>
        <w:tab w:val="left" w:pos="2835"/>
      </w:tabs>
      <w:spacing w:after="120"/>
      <w:ind w:left="1134" w:right="1134"/>
      <w:jc w:val="both"/>
    </w:pPr>
  </w:style>
  <w:style w:type="paragraph" w:customStyle="1" w:styleId="SLG">
    <w:name w:val="__S_L_G"/>
    <w:basedOn w:val="Normal"/>
    <w:next w:val="Normal"/>
    <w:rsid w:val="0080684C"/>
    <w:pPr>
      <w:keepNext/>
      <w:keepLines/>
      <w:spacing w:before="240" w:after="240" w:line="580" w:lineRule="exact"/>
      <w:ind w:left="1134" w:right="1134"/>
    </w:pPr>
    <w:rPr>
      <w:b/>
      <w:sz w:val="56"/>
    </w:rPr>
  </w:style>
  <w:style w:type="paragraph" w:customStyle="1" w:styleId="SMG">
    <w:name w:val="__S_M_G"/>
    <w:basedOn w:val="Normal"/>
    <w:next w:val="Normal"/>
    <w:rsid w:val="0080684C"/>
    <w:pPr>
      <w:keepNext/>
      <w:keepLines/>
      <w:spacing w:before="240" w:after="240" w:line="420" w:lineRule="exact"/>
      <w:ind w:left="1134" w:right="1134"/>
    </w:pPr>
    <w:rPr>
      <w:b/>
      <w:sz w:val="40"/>
    </w:rPr>
  </w:style>
  <w:style w:type="paragraph" w:customStyle="1" w:styleId="SSG">
    <w:name w:val="__S_S_G"/>
    <w:basedOn w:val="Normal"/>
    <w:next w:val="Normal"/>
    <w:rsid w:val="0080684C"/>
    <w:pPr>
      <w:keepNext/>
      <w:keepLines/>
      <w:spacing w:before="240" w:after="240" w:line="300" w:lineRule="exact"/>
      <w:ind w:left="1134" w:right="1134"/>
    </w:pPr>
    <w:rPr>
      <w:b/>
      <w:sz w:val="28"/>
    </w:rPr>
  </w:style>
  <w:style w:type="paragraph" w:customStyle="1" w:styleId="XLargeG">
    <w:name w:val="__XLarge_G"/>
    <w:basedOn w:val="Normal"/>
    <w:next w:val="Normal"/>
    <w:rsid w:val="00871C75"/>
    <w:pPr>
      <w:keepNext/>
      <w:keepLines/>
      <w:spacing w:before="240" w:after="240" w:line="420" w:lineRule="exact"/>
      <w:ind w:left="1134" w:right="1134"/>
    </w:pPr>
    <w:rPr>
      <w:b/>
      <w:sz w:val="40"/>
    </w:rPr>
  </w:style>
  <w:style w:type="paragraph" w:customStyle="1" w:styleId="Bullet1G">
    <w:name w:val="_Bullet 1_G"/>
    <w:basedOn w:val="Normal"/>
    <w:qFormat/>
    <w:rsid w:val="0080684C"/>
    <w:pPr>
      <w:numPr>
        <w:numId w:val="1"/>
      </w:numPr>
      <w:spacing w:after="120"/>
      <w:ind w:right="1134"/>
      <w:jc w:val="both"/>
    </w:pPr>
  </w:style>
  <w:style w:type="paragraph" w:customStyle="1" w:styleId="Bullet2G">
    <w:name w:val="_Bullet 2_G"/>
    <w:basedOn w:val="Normal"/>
    <w:qFormat/>
    <w:rsid w:val="0080684C"/>
    <w:pPr>
      <w:numPr>
        <w:numId w:val="2"/>
      </w:numPr>
      <w:spacing w:after="120"/>
      <w:ind w:right="1134"/>
      <w:jc w:val="both"/>
    </w:pPr>
  </w:style>
  <w:style w:type="paragraph" w:customStyle="1" w:styleId="ParNoG">
    <w:name w:val="_ParNo_G"/>
    <w:basedOn w:val="Normal"/>
    <w:qFormat/>
    <w:rsid w:val="00DF6678"/>
    <w:pPr>
      <w:numPr>
        <w:numId w:val="3"/>
      </w:numPr>
      <w:tabs>
        <w:tab w:val="left" w:pos="1701"/>
        <w:tab w:val="left" w:pos="2268"/>
        <w:tab w:val="left" w:pos="2835"/>
      </w:tabs>
      <w:spacing w:after="120"/>
      <w:ind w:right="1134"/>
      <w:jc w:val="both"/>
    </w:pPr>
  </w:style>
  <w:style w:type="character" w:styleId="Appelnotedebasdep">
    <w:name w:val="footnote reference"/>
    <w:aliases w:val="4_G,Footnote Reference/"/>
    <w:basedOn w:val="Policepardfaut"/>
    <w:qFormat/>
    <w:rsid w:val="00023842"/>
    <w:rPr>
      <w:rFonts w:ascii="Times New Roman" w:hAnsi="Times New Roman"/>
      <w:sz w:val="18"/>
      <w:vertAlign w:val="superscript"/>
      <w:lang w:val="fr-CH"/>
    </w:rPr>
  </w:style>
  <w:style w:type="character" w:styleId="Appeldenotedefin">
    <w:name w:val="endnote reference"/>
    <w:aliases w:val="1_G"/>
    <w:basedOn w:val="Appelnotedebasdep"/>
    <w:qFormat/>
    <w:rsid w:val="00023842"/>
    <w:rPr>
      <w:rFonts w:ascii="Times New Roman" w:hAnsi="Times New Roman"/>
      <w:sz w:val="18"/>
      <w:vertAlign w:val="superscript"/>
      <w:lang w:val="fr-CH"/>
    </w:rPr>
  </w:style>
  <w:style w:type="table" w:styleId="Grilledutableau">
    <w:name w:val="Table Grid"/>
    <w:basedOn w:val="TableauNormal"/>
    <w:rsid w:val="00023842"/>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706363"/>
    <w:rPr>
      <w:color w:val="0000FF"/>
      <w:u w:val="none"/>
    </w:rPr>
  </w:style>
  <w:style w:type="character" w:styleId="Lienhypertextesuivivisit">
    <w:name w:val="FollowedHyperlink"/>
    <w:basedOn w:val="Policepardfaut"/>
    <w:unhideWhenUsed/>
    <w:rsid w:val="00706363"/>
    <w:rPr>
      <w:color w:val="0000FF"/>
      <w:u w:val="none"/>
    </w:rPr>
  </w:style>
  <w:style w:type="paragraph" w:styleId="Notedebasdepage">
    <w:name w:val="footnote text"/>
    <w:aliases w:val="5_G"/>
    <w:basedOn w:val="Normal"/>
    <w:link w:val="NotedebasdepageCar"/>
    <w:qFormat/>
    <w:rsid w:val="0080684C"/>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80684C"/>
    <w:rPr>
      <w:rFonts w:ascii="Times New Roman" w:eastAsia="Times New Roman" w:hAnsi="Times New Roman" w:cs="Times New Roman"/>
      <w:sz w:val="18"/>
      <w:szCs w:val="20"/>
      <w:lang w:eastAsia="en-US"/>
    </w:rPr>
  </w:style>
  <w:style w:type="paragraph" w:styleId="Notedefin">
    <w:name w:val="endnote text"/>
    <w:aliases w:val="2_G"/>
    <w:basedOn w:val="Notedebasdepage"/>
    <w:link w:val="NotedefinCar"/>
    <w:qFormat/>
    <w:rsid w:val="0080684C"/>
  </w:style>
  <w:style w:type="character" w:customStyle="1" w:styleId="NotedefinCar">
    <w:name w:val="Note de fin Car"/>
    <w:aliases w:val="2_G Car"/>
    <w:basedOn w:val="Policepardfaut"/>
    <w:link w:val="Notedefin"/>
    <w:rsid w:val="0080684C"/>
    <w:rPr>
      <w:rFonts w:ascii="Times New Roman" w:eastAsia="Times New Roman" w:hAnsi="Times New Roman" w:cs="Times New Roman"/>
      <w:sz w:val="18"/>
      <w:szCs w:val="20"/>
      <w:lang w:eastAsia="en-US"/>
    </w:rPr>
  </w:style>
  <w:style w:type="character" w:styleId="Numrodepage">
    <w:name w:val="page number"/>
    <w:aliases w:val="7_G"/>
    <w:basedOn w:val="Policepardfaut"/>
    <w:qFormat/>
    <w:rsid w:val="00023842"/>
    <w:rPr>
      <w:rFonts w:ascii="Times New Roman" w:hAnsi="Times New Roman"/>
      <w:b/>
      <w:sz w:val="18"/>
      <w:lang w:val="fr-CH"/>
    </w:rPr>
  </w:style>
  <w:style w:type="character" w:customStyle="1" w:styleId="Titre1Car">
    <w:name w:val="Titre 1 Car"/>
    <w:aliases w:val="Table_G Car"/>
    <w:basedOn w:val="Policepardfaut"/>
    <w:link w:val="Titre1"/>
    <w:rsid w:val="0080684C"/>
    <w:rPr>
      <w:rFonts w:ascii="Times New Roman" w:eastAsia="Times New Roman"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1433FD"/>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433FD"/>
    <w:rPr>
      <w:rFonts w:ascii="Tahoma" w:hAnsi="Tahoma" w:cs="Tahoma"/>
      <w:sz w:val="16"/>
      <w:szCs w:val="16"/>
      <w:lang w:eastAsia="en-US"/>
    </w:rPr>
  </w:style>
  <w:style w:type="character" w:customStyle="1" w:styleId="SingleTxtGChar">
    <w:name w:val="_ Single Txt_G Char"/>
    <w:link w:val="SingleTxtG"/>
    <w:rsid w:val="0001207F"/>
  </w:style>
  <w:style w:type="character" w:customStyle="1" w:styleId="HChGChar">
    <w:name w:val="_ H _Ch_G Char"/>
    <w:link w:val="HChG"/>
    <w:rsid w:val="0001207F"/>
    <w:rPr>
      <w:b/>
      <w:sz w:val="28"/>
    </w:rPr>
  </w:style>
  <w:style w:type="paragraph" w:customStyle="1" w:styleId="ADN11">
    <w:name w:val="ADN_1_1"/>
    <w:basedOn w:val="Normal"/>
    <w:rsid w:val="00FE09D3"/>
    <w:pPr>
      <w:widowControl w:val="0"/>
      <w:overflowPunct w:val="0"/>
      <w:autoSpaceDE w:val="0"/>
      <w:autoSpaceDN w:val="0"/>
      <w:adjustRightInd w:val="0"/>
      <w:ind w:left="1134" w:hanging="1134"/>
      <w:jc w:val="both"/>
      <w:textAlignment w:val="baseline"/>
    </w:pPr>
    <w:rPr>
      <w:rFonts w:ascii="Arial" w:hAnsi="Arial"/>
      <w:b/>
      <w:sz w:val="18"/>
      <w:szCs w:val="18"/>
      <w:lang w:val="de-DE" w:eastAsia="fr-FR"/>
    </w:rPr>
  </w:style>
  <w:style w:type="paragraph" w:styleId="Paragraphedeliste">
    <w:name w:val="List Paragraph"/>
    <w:basedOn w:val="Normal"/>
    <w:uiPriority w:val="34"/>
    <w:qFormat/>
    <w:rsid w:val="00FE09D3"/>
    <w:pPr>
      <w:suppressAutoHyphens/>
      <w:ind w:left="720"/>
      <w:contextualSpacing/>
    </w:pPr>
    <w:rPr>
      <w:snapToGrid w:val="0"/>
      <w:lang w:val="de-DE" w:eastAsia="fr-FR"/>
    </w:rPr>
  </w:style>
  <w:style w:type="character" w:styleId="Marquedecommentaire">
    <w:name w:val="annotation reference"/>
    <w:basedOn w:val="Policepardfaut"/>
    <w:uiPriority w:val="99"/>
    <w:semiHidden/>
    <w:unhideWhenUsed/>
    <w:rsid w:val="00C16642"/>
    <w:rPr>
      <w:sz w:val="16"/>
      <w:szCs w:val="16"/>
    </w:rPr>
  </w:style>
  <w:style w:type="paragraph" w:styleId="Commentaire">
    <w:name w:val="annotation text"/>
    <w:basedOn w:val="Normal"/>
    <w:link w:val="CommentaireCar"/>
    <w:uiPriority w:val="99"/>
    <w:unhideWhenUsed/>
    <w:rsid w:val="00C16642"/>
    <w:pPr>
      <w:spacing w:line="240" w:lineRule="auto"/>
    </w:pPr>
  </w:style>
  <w:style w:type="character" w:customStyle="1" w:styleId="CommentaireCar">
    <w:name w:val="Commentaire Car"/>
    <w:basedOn w:val="Policepardfaut"/>
    <w:link w:val="Commentaire"/>
    <w:uiPriority w:val="99"/>
    <w:rsid w:val="00C16642"/>
  </w:style>
  <w:style w:type="paragraph" w:styleId="Objetducommentaire">
    <w:name w:val="annotation subject"/>
    <w:basedOn w:val="Commentaire"/>
    <w:next w:val="Commentaire"/>
    <w:link w:val="ObjetducommentaireCar"/>
    <w:uiPriority w:val="99"/>
    <w:semiHidden/>
    <w:unhideWhenUsed/>
    <w:rsid w:val="00C16642"/>
    <w:rPr>
      <w:b/>
      <w:bCs/>
    </w:rPr>
  </w:style>
  <w:style w:type="character" w:customStyle="1" w:styleId="ObjetducommentaireCar">
    <w:name w:val="Objet du commentaire Car"/>
    <w:basedOn w:val="CommentaireCar"/>
    <w:link w:val="Objetducommentaire"/>
    <w:uiPriority w:val="99"/>
    <w:semiHidden/>
    <w:rsid w:val="00C16642"/>
    <w:rPr>
      <w:b/>
      <w:bCs/>
    </w:rPr>
  </w:style>
  <w:style w:type="paragraph" w:styleId="Rvision">
    <w:name w:val="Revision"/>
    <w:hidden/>
    <w:uiPriority w:val="99"/>
    <w:semiHidden/>
    <w:rsid w:val="00A10EB1"/>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341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zyubynska\United%20Nations\UNOG_DCM-Macros%20-%20UNECE\Templates\TRANS\TRANS_WP1_24_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8" ma:contentTypeDescription="Create a new document." ma:contentTypeScope="" ma:versionID="e62f3c52afbfb087cbf0486b24bccade">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0897c4342d1b21160e8184e77b1557a4"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SharedWithUsers xmlns="4b4a1c0d-4a69-4996-a84a-fc699b9f49de">
      <UserInfo>
        <DisplayName>Alibech Mireles Diaz</DisplayName>
        <AccountId>46</AccountId>
        <AccountType/>
      </UserInfo>
      <UserInfo>
        <DisplayName>Romain Hubert</DisplayName>
        <AccountId>40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7715BF-0A81-4C57-9E03-A034CD557D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C14563-ACB7-44AD-B0EF-E55148CFDD3D}">
  <ds:schemaRefs>
    <ds:schemaRef ds:uri="http://schemas.microsoft.com/office/2006/metadata/properties"/>
    <ds:schemaRef ds:uri="http://schemas.microsoft.com/office/infopath/2007/PartnerControls"/>
    <ds:schemaRef ds:uri="acccb6d4-dbe5-46d2-b4d3-5733603d8cc6"/>
    <ds:schemaRef ds:uri="985ec44e-1bab-4c0b-9df0-6ba128686fc9"/>
    <ds:schemaRef ds:uri="4b4a1c0d-4a69-4996-a84a-fc699b9f49de"/>
  </ds:schemaRefs>
</ds:datastoreItem>
</file>

<file path=customXml/itemProps3.xml><?xml version="1.0" encoding="utf-8"?>
<ds:datastoreItem xmlns:ds="http://schemas.openxmlformats.org/officeDocument/2006/customXml" ds:itemID="{81307320-C528-4032-AB5A-73B861CDA1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TRANS_WP1_24_F.dotm</Template>
  <TotalTime>0</TotalTime>
  <Pages>6</Pages>
  <Words>2198</Words>
  <Characters>12403</Characters>
  <Application>Microsoft Office Word</Application>
  <DocSecurity>0</DocSecurity>
  <Lines>225</Lines>
  <Paragraphs>114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ECE/EX/22</vt:lpstr>
      <vt:lpstr>ECE/EX/22</vt:lpstr>
    </vt:vector>
  </TitlesOfParts>
  <Company>DCM</Company>
  <LinksUpToDate>false</LinksUpToDate>
  <CharactersWithSpaces>14487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ECE/TRANS/WP.15/AC.2/2024/7</dc:title>
  <dc:subject>FINAL</dc:subject>
  <dc:creator>Editorial</dc:creator>
  <cp:keywords/>
  <dc:description/>
  <cp:lastModifiedBy>Sandrine Clere</cp:lastModifiedBy>
  <cp:revision>2</cp:revision>
  <cp:lastPrinted>2014-05-14T01:59:00Z</cp:lastPrinted>
  <dcterms:created xsi:type="dcterms:W3CDTF">2023-11-03T09:14:00Z</dcterms:created>
  <dcterms:modified xsi:type="dcterms:W3CDTF">2023-11-03T09:14:00Z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