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5D54E92D" w14:textId="77777777" w:rsidTr="000D1B89">
        <w:trPr>
          <w:cantSplit/>
          <w:trHeight w:hRule="exact" w:val="851"/>
        </w:trPr>
        <w:tc>
          <w:tcPr>
            <w:tcW w:w="1276" w:type="dxa"/>
            <w:tcBorders>
              <w:bottom w:val="single" w:sz="4" w:space="0" w:color="auto"/>
            </w:tcBorders>
            <w:vAlign w:val="bottom"/>
          </w:tcPr>
          <w:p w14:paraId="65DEB9A3" w14:textId="77777777" w:rsidR="00717266" w:rsidRDefault="00717266" w:rsidP="000D1B89">
            <w:pPr>
              <w:spacing w:after="80"/>
            </w:pPr>
          </w:p>
        </w:tc>
        <w:tc>
          <w:tcPr>
            <w:tcW w:w="2268" w:type="dxa"/>
            <w:tcBorders>
              <w:bottom w:val="single" w:sz="4" w:space="0" w:color="auto"/>
            </w:tcBorders>
            <w:vAlign w:val="bottom"/>
          </w:tcPr>
          <w:p w14:paraId="2C849C0D"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6635F88" w14:textId="77777777" w:rsidR="00717266" w:rsidRPr="00D47EEA" w:rsidRDefault="00B62592" w:rsidP="00B62592">
            <w:pPr>
              <w:suppressAutoHyphens w:val="0"/>
              <w:spacing w:after="20"/>
              <w:jc w:val="right"/>
            </w:pPr>
            <w:r w:rsidRPr="00B62592">
              <w:rPr>
                <w:sz w:val="40"/>
              </w:rPr>
              <w:t>ECE</w:t>
            </w:r>
            <w:r>
              <w:t>/TRANS/WP.15/AC.2/2024/5</w:t>
            </w:r>
          </w:p>
        </w:tc>
      </w:tr>
      <w:tr w:rsidR="00717266" w14:paraId="62E8829F" w14:textId="77777777" w:rsidTr="000D1B89">
        <w:trPr>
          <w:cantSplit/>
          <w:trHeight w:hRule="exact" w:val="2835"/>
        </w:trPr>
        <w:tc>
          <w:tcPr>
            <w:tcW w:w="1276" w:type="dxa"/>
            <w:tcBorders>
              <w:top w:val="single" w:sz="4" w:space="0" w:color="auto"/>
              <w:bottom w:val="single" w:sz="12" w:space="0" w:color="auto"/>
            </w:tcBorders>
          </w:tcPr>
          <w:p w14:paraId="1D825E75" w14:textId="77777777" w:rsidR="00717266" w:rsidRDefault="00717266" w:rsidP="000D1B89">
            <w:pPr>
              <w:spacing w:before="120"/>
            </w:pPr>
            <w:r>
              <w:rPr>
                <w:noProof/>
                <w:lang w:val="fr-CH" w:eastAsia="fr-CH"/>
              </w:rPr>
              <w:drawing>
                <wp:inline distT="0" distB="0" distL="0" distR="0" wp14:anchorId="2E6B5A6A" wp14:editId="677852FF">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D6E72B1"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F6D18BC" w14:textId="77777777" w:rsidR="00B62592" w:rsidRPr="00AA62E9" w:rsidRDefault="00B62592" w:rsidP="00B62592">
            <w:pPr>
              <w:spacing w:before="240" w:line="240" w:lineRule="exact"/>
            </w:pPr>
            <w:r>
              <w:t>Distr.: General</w:t>
            </w:r>
          </w:p>
          <w:p w14:paraId="475AC4E1" w14:textId="77777777" w:rsidR="00B62592" w:rsidRPr="00AA62E9" w:rsidRDefault="00B62592" w:rsidP="00B62592">
            <w:pPr>
              <w:spacing w:line="240" w:lineRule="exact"/>
            </w:pPr>
            <w:r>
              <w:t>3 November 2023</w:t>
            </w:r>
          </w:p>
          <w:p w14:paraId="2A54C763" w14:textId="77777777" w:rsidR="00B62592" w:rsidRDefault="00B62592" w:rsidP="00B62592">
            <w:pPr>
              <w:spacing w:line="240" w:lineRule="exact"/>
            </w:pPr>
            <w:r>
              <w:t>English</w:t>
            </w:r>
          </w:p>
          <w:p w14:paraId="2BD9F068" w14:textId="1171E66E" w:rsidR="00B62592" w:rsidRDefault="00B62592" w:rsidP="00B62592">
            <w:pPr>
              <w:suppressAutoHyphens w:val="0"/>
            </w:pPr>
            <w:r>
              <w:t>Original: French</w:t>
            </w:r>
          </w:p>
        </w:tc>
      </w:tr>
    </w:tbl>
    <w:p w14:paraId="6861AD72" w14:textId="77777777" w:rsidR="00B62592" w:rsidRPr="00B62592" w:rsidRDefault="00B62592" w:rsidP="00B62592">
      <w:pPr>
        <w:spacing w:before="120"/>
        <w:rPr>
          <w:b/>
          <w:bCs/>
          <w:sz w:val="28"/>
          <w:szCs w:val="28"/>
        </w:rPr>
      </w:pPr>
      <w:r w:rsidRPr="00B62592">
        <w:rPr>
          <w:b/>
          <w:bCs/>
          <w:sz w:val="28"/>
          <w:szCs w:val="28"/>
        </w:rPr>
        <w:t>Economic Commission for Europe</w:t>
      </w:r>
    </w:p>
    <w:p w14:paraId="0647CEC7" w14:textId="77777777" w:rsidR="00B62592" w:rsidRPr="00B62592" w:rsidRDefault="00B62592" w:rsidP="00B62592">
      <w:pPr>
        <w:spacing w:before="120"/>
        <w:rPr>
          <w:sz w:val="40"/>
          <w:szCs w:val="40"/>
        </w:rPr>
      </w:pPr>
      <w:r w:rsidRPr="00B62592">
        <w:rPr>
          <w:sz w:val="28"/>
          <w:szCs w:val="28"/>
        </w:rPr>
        <w:t>Inland Transport Committee</w:t>
      </w:r>
    </w:p>
    <w:p w14:paraId="0BD44C0A" w14:textId="77777777" w:rsidR="00B62592" w:rsidRPr="007D66C7" w:rsidRDefault="00B62592" w:rsidP="00B62592">
      <w:pPr>
        <w:spacing w:before="120"/>
        <w:rPr>
          <w:b/>
          <w:bCs/>
          <w:sz w:val="32"/>
          <w:szCs w:val="32"/>
        </w:rPr>
      </w:pPr>
      <w:r w:rsidRPr="007D66C7">
        <w:rPr>
          <w:b/>
          <w:bCs/>
          <w:sz w:val="24"/>
          <w:szCs w:val="24"/>
        </w:rPr>
        <w:t>Working Party on the Transport of Dangerous Goods</w:t>
      </w:r>
    </w:p>
    <w:p w14:paraId="6A75C165" w14:textId="1CE8AB04" w:rsidR="00B62592" w:rsidRPr="00825AFB" w:rsidRDefault="00B62592" w:rsidP="00B62592">
      <w:pPr>
        <w:spacing w:before="120"/>
        <w:rPr>
          <w:b/>
        </w:rPr>
      </w:pPr>
      <w:r>
        <w:rPr>
          <w:b/>
          <w:bCs/>
        </w:rPr>
        <w:t xml:space="preserve">Joint Meeting of Experts on the Regulations annexed </w:t>
      </w:r>
      <w:r w:rsidR="001704D7">
        <w:rPr>
          <w:b/>
          <w:bCs/>
        </w:rPr>
        <w:t>to the</w:t>
      </w:r>
      <w:r>
        <w:rPr>
          <w:b/>
          <w:bCs/>
        </w:rPr>
        <w:br/>
      </w:r>
      <w:r>
        <w:rPr>
          <w:b/>
          <w:bCs/>
        </w:rPr>
        <w:t xml:space="preserve">European Agreement concerning the International Carriage </w:t>
      </w:r>
      <w:r w:rsidR="00634619">
        <w:rPr>
          <w:b/>
          <w:bCs/>
        </w:rPr>
        <w:br/>
      </w:r>
      <w:r>
        <w:rPr>
          <w:b/>
          <w:bCs/>
        </w:rPr>
        <w:t xml:space="preserve">of Dangerous Goods by Inland Waterways (ADN) </w:t>
      </w:r>
      <w:r w:rsidR="00634619">
        <w:rPr>
          <w:b/>
          <w:bCs/>
        </w:rPr>
        <w:br/>
      </w:r>
      <w:r>
        <w:rPr>
          <w:b/>
          <w:bCs/>
        </w:rPr>
        <w:t>(ADN Safety Committee)</w:t>
      </w:r>
    </w:p>
    <w:p w14:paraId="42892E83" w14:textId="77777777" w:rsidR="00B62592" w:rsidRPr="00825AFB" w:rsidRDefault="00B62592" w:rsidP="00B62592">
      <w:pPr>
        <w:tabs>
          <w:tab w:val="left" w:pos="4030"/>
        </w:tabs>
        <w:spacing w:before="120"/>
        <w:rPr>
          <w:b/>
        </w:rPr>
      </w:pPr>
      <w:bookmarkStart w:id="0" w:name="_Hlk148721657"/>
      <w:r>
        <w:rPr>
          <w:b/>
          <w:bCs/>
        </w:rPr>
        <w:t>Forty-third session</w:t>
      </w:r>
      <w:bookmarkEnd w:id="0"/>
    </w:p>
    <w:p w14:paraId="23CA23DE" w14:textId="62490111" w:rsidR="00B62592" w:rsidRPr="00825AFB" w:rsidRDefault="00B62592" w:rsidP="00B62592">
      <w:pPr>
        <w:rPr>
          <w:bCs/>
        </w:rPr>
      </w:pPr>
      <w:r>
        <w:t>Geneva, 22</w:t>
      </w:r>
      <w:r w:rsidR="006102DB">
        <w:t>–</w:t>
      </w:r>
      <w:r>
        <w:t>26 January 2024</w:t>
      </w:r>
    </w:p>
    <w:p w14:paraId="1CCED20B" w14:textId="77777777" w:rsidR="00B62592" w:rsidRPr="00825AFB" w:rsidRDefault="00B62592" w:rsidP="00B62592">
      <w:r>
        <w:t>Item 5 (b) of the provisional agenda</w:t>
      </w:r>
    </w:p>
    <w:p w14:paraId="455CB408" w14:textId="77777777" w:rsidR="00B62592" w:rsidRPr="00825AFB" w:rsidRDefault="00B62592" w:rsidP="00B62592">
      <w:pPr>
        <w:rPr>
          <w:b/>
          <w:bCs/>
        </w:rPr>
      </w:pPr>
      <w:r>
        <w:rPr>
          <w:b/>
          <w:bCs/>
        </w:rPr>
        <w:t>Proposals for amendments to the Regulations annexed to ADN:</w:t>
      </w:r>
    </w:p>
    <w:p w14:paraId="10736E0D" w14:textId="77777777" w:rsidR="00B62592" w:rsidRPr="00825AFB" w:rsidRDefault="00B62592" w:rsidP="00B62592">
      <w:pPr>
        <w:rPr>
          <w:b/>
          <w:bCs/>
        </w:rPr>
      </w:pPr>
      <w:r>
        <w:rPr>
          <w:b/>
          <w:bCs/>
        </w:rPr>
        <w:t>Other proposals</w:t>
      </w:r>
    </w:p>
    <w:p w14:paraId="3751A5B7" w14:textId="1233591B" w:rsidR="00B62592" w:rsidRPr="00825AFB" w:rsidRDefault="00B62592" w:rsidP="00B62592">
      <w:pPr>
        <w:pStyle w:val="H1G"/>
      </w:pPr>
      <w:r>
        <w:t xml:space="preserve"> </w:t>
      </w:r>
      <w:r>
        <w:tab/>
      </w:r>
      <w:r>
        <w:tab/>
      </w:r>
      <w:r>
        <w:rPr>
          <w:bCs/>
        </w:rPr>
        <w:t xml:space="preserve">1.16.1.2.1 of ADN: Form and content of the certificate of approval </w:t>
      </w:r>
      <w:r w:rsidR="00C00DF6">
        <w:rPr>
          <w:bCs/>
        </w:rPr>
        <w:t>–</w:t>
      </w:r>
      <w:r>
        <w:rPr>
          <w:bCs/>
        </w:rPr>
        <w:t xml:space="preserve"> exhaustive information</w:t>
      </w:r>
    </w:p>
    <w:p w14:paraId="524F31C6" w14:textId="2A758622" w:rsidR="00B62592" w:rsidRPr="00825AFB" w:rsidRDefault="00B62592" w:rsidP="00B62592">
      <w:pPr>
        <w:pStyle w:val="H1G"/>
        <w:rPr>
          <w:rFonts w:eastAsia="Calibri"/>
        </w:rPr>
      </w:pPr>
      <w:r>
        <w:tab/>
      </w:r>
      <w:r>
        <w:tab/>
      </w:r>
      <w:r>
        <w:rPr>
          <w:bCs/>
        </w:rPr>
        <w:t>Transmitted by the Government of Germany</w:t>
      </w:r>
      <w:r w:rsidRPr="003C7965">
        <w:rPr>
          <w:rStyle w:val="FootnoteReference"/>
          <w:rFonts w:eastAsia="Calibri"/>
          <w:b w:val="0"/>
          <w:bCs/>
          <w:sz w:val="20"/>
          <w:szCs w:val="22"/>
          <w:vertAlign w:val="baseline"/>
        </w:rPr>
        <w:footnoteReference w:customMarkFollows="1" w:id="1"/>
        <w:t>*</w:t>
      </w:r>
      <w:r w:rsidRPr="003C7965">
        <w:rPr>
          <w:rStyle w:val="FootnoteReference"/>
          <w:b w:val="0"/>
          <w:bCs/>
          <w:position w:val="8"/>
          <w:sz w:val="20"/>
          <w:szCs w:val="22"/>
          <w:vertAlign w:val="baseline"/>
        </w:rPr>
        <w:t>,</w:t>
      </w:r>
      <w:r w:rsidR="003C7965" w:rsidRPr="003C7965">
        <w:rPr>
          <w:b w:val="0"/>
          <w:bCs/>
          <w:position w:val="8"/>
          <w:sz w:val="20"/>
          <w:szCs w:val="22"/>
        </w:rPr>
        <w:t xml:space="preserve"> </w:t>
      </w:r>
      <w:r w:rsidRPr="003C7965">
        <w:rPr>
          <w:rStyle w:val="FootnoteReference"/>
          <w:rFonts w:eastAsia="Calibri"/>
          <w:b w:val="0"/>
          <w:bCs/>
          <w:sz w:val="20"/>
          <w:szCs w:val="22"/>
          <w:vertAlign w:val="baseline"/>
        </w:rPr>
        <w:footnoteReference w:customMarkFollows="1" w:id="2"/>
        <w:t>**</w:t>
      </w:r>
      <w:r w:rsidRPr="003C7965">
        <w:rPr>
          <w:rStyle w:val="FootnoteReference"/>
          <w:b w:val="0"/>
          <w:bCs/>
          <w:sz w:val="20"/>
          <w:szCs w:val="22"/>
          <w:vertAlign w:val="baseline"/>
        </w:rPr>
        <w:t xml:space="preserve"> </w:t>
      </w:r>
    </w:p>
    <w:p w14:paraId="43356008" w14:textId="77777777" w:rsidR="00B62592" w:rsidRPr="00825AFB" w:rsidRDefault="00B62592" w:rsidP="00B62592">
      <w:pPr>
        <w:pStyle w:val="HChG"/>
      </w:pPr>
      <w:r>
        <w:tab/>
      </w:r>
      <w:r>
        <w:tab/>
      </w:r>
      <w:r>
        <w:tab/>
      </w:r>
      <w:r>
        <w:rPr>
          <w:bCs/>
        </w:rPr>
        <w:t>Introduction</w:t>
      </w:r>
    </w:p>
    <w:p w14:paraId="71B1EA58" w14:textId="5F23C8A6" w:rsidR="00B62592" w:rsidRPr="00825AFB" w:rsidRDefault="00B62592" w:rsidP="00B62592">
      <w:pPr>
        <w:pStyle w:val="SingleTxtG"/>
      </w:pPr>
      <w:r>
        <w:t>1.</w:t>
      </w:r>
      <w:r>
        <w:tab/>
        <w:t xml:space="preserve">Section 1.16.1.2.1 of ADN 2023 has slight, but legally significant, differences in the various language versions. The last phrase of the first sentence, </w:t>
      </w:r>
      <w:r w:rsidR="003C7965">
        <w:t>“</w:t>
      </w:r>
      <w:proofErr w:type="spellStart"/>
      <w:r w:rsidRPr="00B963BB">
        <w:rPr>
          <w:i/>
          <w:iCs/>
        </w:rPr>
        <w:t>soweit</w:t>
      </w:r>
      <w:proofErr w:type="spellEnd"/>
      <w:r w:rsidRPr="00B963BB">
        <w:rPr>
          <w:i/>
          <w:iCs/>
        </w:rPr>
        <w:t xml:space="preserve"> </w:t>
      </w:r>
      <w:proofErr w:type="spellStart"/>
      <w:r w:rsidRPr="00B963BB">
        <w:rPr>
          <w:i/>
          <w:iCs/>
        </w:rPr>
        <w:t>zutreffend</w:t>
      </w:r>
      <w:proofErr w:type="spellEnd"/>
      <w:r>
        <w:t>/as appropriate/</w:t>
      </w:r>
      <w:proofErr w:type="spellStart"/>
      <w:r w:rsidRPr="00B963BB">
        <w:rPr>
          <w:i/>
          <w:iCs/>
        </w:rPr>
        <w:t>comme</w:t>
      </w:r>
      <w:proofErr w:type="spellEnd"/>
      <w:r w:rsidRPr="00B963BB">
        <w:rPr>
          <w:i/>
          <w:iCs/>
        </w:rPr>
        <w:t xml:space="preserve"> il </w:t>
      </w:r>
      <w:proofErr w:type="spellStart"/>
      <w:r w:rsidRPr="00B963BB">
        <w:rPr>
          <w:i/>
          <w:iCs/>
        </w:rPr>
        <w:t>convient</w:t>
      </w:r>
      <w:proofErr w:type="spellEnd"/>
      <w:r>
        <w:t>/[</w:t>
      </w:r>
      <w:r>
        <w:rPr>
          <w:i/>
          <w:iCs/>
        </w:rPr>
        <w:t>Russian</w:t>
      </w:r>
      <w:r>
        <w:t>]</w:t>
      </w:r>
      <w:r w:rsidR="003C7965">
        <w:t>”</w:t>
      </w:r>
      <w:r>
        <w:t>, does not appear in the German version.</w:t>
      </w:r>
    </w:p>
    <w:p w14:paraId="51783132" w14:textId="77777777" w:rsidR="00B62592" w:rsidRPr="00825AFB" w:rsidRDefault="00B62592" w:rsidP="00B62592">
      <w:pPr>
        <w:pStyle w:val="HChG"/>
      </w:pPr>
      <w:r>
        <w:tab/>
      </w:r>
      <w:r>
        <w:tab/>
      </w:r>
      <w:r>
        <w:rPr>
          <w:bCs/>
        </w:rPr>
        <w:t>Proposal</w:t>
      </w:r>
    </w:p>
    <w:p w14:paraId="0B04357E" w14:textId="439CF946" w:rsidR="00B62592" w:rsidRPr="00825AFB" w:rsidRDefault="00B62592" w:rsidP="00B62592">
      <w:pPr>
        <w:pStyle w:val="SingleTxtG"/>
      </w:pPr>
      <w:r>
        <w:t>2.</w:t>
      </w:r>
      <w:r>
        <w:tab/>
        <w:t xml:space="preserve">In 1.16.1.2.1, at the end of the first sentence, delete </w:t>
      </w:r>
      <w:r w:rsidR="003C7965">
        <w:t>“</w:t>
      </w:r>
      <w:r>
        <w:t>, as appropriate</w:t>
      </w:r>
      <w:r w:rsidR="003C7965">
        <w:t>”</w:t>
      </w:r>
      <w:r>
        <w:t>.</w:t>
      </w:r>
    </w:p>
    <w:p w14:paraId="3B84CC96" w14:textId="77777777" w:rsidR="00B62592" w:rsidRPr="00825AFB" w:rsidRDefault="00B62592" w:rsidP="00B62592">
      <w:pPr>
        <w:pStyle w:val="HChG"/>
      </w:pPr>
      <w:r>
        <w:tab/>
      </w:r>
      <w:r>
        <w:tab/>
      </w:r>
      <w:r>
        <w:rPr>
          <w:bCs/>
        </w:rPr>
        <w:t>Justification</w:t>
      </w:r>
    </w:p>
    <w:p w14:paraId="70A9579A" w14:textId="0DFF239B" w:rsidR="00B62592" w:rsidRPr="00825AFB" w:rsidRDefault="00B62592" w:rsidP="00B62592">
      <w:pPr>
        <w:pStyle w:val="SingleTxtG"/>
      </w:pPr>
      <w:r>
        <w:t>3.</w:t>
      </w:r>
      <w:r>
        <w:tab/>
        <w:t>In the past, the German authorities have on several occasions noted that certificates of approval issued by other contracting parties did not contain the information required under certain headings of the model. This gave rise to questions and verifications concerning any particularities in the construction of the vessels concerned and their compliance with all ADN</w:t>
      </w:r>
      <w:r w:rsidR="0018466A">
        <w:t> </w:t>
      </w:r>
      <w:r>
        <w:t>requirements on such points.</w:t>
      </w:r>
    </w:p>
    <w:p w14:paraId="2B92A93B" w14:textId="1B891F4B" w:rsidR="00B62592" w:rsidRPr="00825AFB" w:rsidRDefault="00B62592" w:rsidP="00B62592">
      <w:pPr>
        <w:pStyle w:val="SingleTxtG"/>
      </w:pPr>
      <w:r>
        <w:t>4.</w:t>
      </w:r>
      <w:r>
        <w:tab/>
        <w:t xml:space="preserve">This is due to the fact that, as mentioned above, the wording of 1.16.1.2.1 concerning the form and content of the certificate of approval differs in the various language versions. </w:t>
      </w:r>
      <w:r>
        <w:lastRenderedPageBreak/>
        <w:t xml:space="preserve">Unfortunately, it is no longer possible to trace the reasons for this divergence. The clarification, </w:t>
      </w:r>
      <w:r w:rsidR="003C7965">
        <w:t>“</w:t>
      </w:r>
      <w:r>
        <w:t>as appropriate</w:t>
      </w:r>
      <w:r w:rsidR="003C7965">
        <w:t>”</w:t>
      </w:r>
      <w:r>
        <w:t xml:space="preserve">, did not appear in any of the language versions of the regulations that preceded ADN, including ADNR, the </w:t>
      </w:r>
      <w:r w:rsidRPr="00FB20BA">
        <w:t>Regulations for the Carriage of Dangerous Goods on the Rhine,</w:t>
      </w:r>
      <w:r>
        <w:t xml:space="preserve"> of the Central Commission for Navigation of the Rhine.</w:t>
      </w:r>
    </w:p>
    <w:p w14:paraId="347300B2" w14:textId="598D790D" w:rsidR="00B62592" w:rsidRDefault="00B62592" w:rsidP="00B62592">
      <w:pPr>
        <w:pStyle w:val="SingleTxtG"/>
      </w:pPr>
      <w:r w:rsidRPr="00FA32EE">
        <w:t>5.</w:t>
      </w:r>
      <w:r w:rsidRPr="00FA32EE">
        <w:tab/>
        <w:t xml:space="preserve">The model itself already includes footnotes with the instruction to </w:t>
      </w:r>
      <w:r w:rsidR="003C7965">
        <w:t>“</w:t>
      </w:r>
      <w:r>
        <w:t>D</w:t>
      </w:r>
      <w:r w:rsidRPr="00FA32EE">
        <w:t>elete as appropriate</w:t>
      </w:r>
      <w:r w:rsidR="003C7965">
        <w:t>”</w:t>
      </w:r>
      <w:r w:rsidRPr="00FA32EE">
        <w:t>, thus ensuring the transparency and exhaustive nature of the certificate of approval.</w:t>
      </w:r>
    </w:p>
    <w:p w14:paraId="3B74A32D" w14:textId="77777777" w:rsidR="00E93675" w:rsidRDefault="00E93675" w:rsidP="00F9741F">
      <w:pPr>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E93675"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E808" w14:textId="77777777" w:rsidR="00BD6F06" w:rsidRPr="00FB1744" w:rsidRDefault="00BD6F06" w:rsidP="00FB1744">
      <w:pPr>
        <w:pStyle w:val="Footer"/>
      </w:pPr>
    </w:p>
  </w:endnote>
  <w:endnote w:type="continuationSeparator" w:id="0">
    <w:p w14:paraId="700260F0" w14:textId="77777777" w:rsidR="00BD6F06" w:rsidRPr="00FB1744" w:rsidRDefault="00BD6F06"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4A15" w14:textId="77777777" w:rsidR="00B62592" w:rsidRDefault="00B62592" w:rsidP="00B62592">
    <w:pPr>
      <w:pStyle w:val="Footer"/>
      <w:tabs>
        <w:tab w:val="right" w:pos="9638"/>
      </w:tabs>
    </w:pPr>
    <w:r w:rsidRPr="00B62592">
      <w:rPr>
        <w:b/>
        <w:bCs/>
        <w:sz w:val="18"/>
      </w:rPr>
      <w:fldChar w:fldCharType="begin"/>
    </w:r>
    <w:r w:rsidRPr="00B62592">
      <w:rPr>
        <w:b/>
        <w:bCs/>
        <w:sz w:val="18"/>
      </w:rPr>
      <w:instrText xml:space="preserve"> PAGE  \* MERGEFORMAT </w:instrText>
    </w:r>
    <w:r w:rsidRPr="00B62592">
      <w:rPr>
        <w:b/>
        <w:bCs/>
        <w:sz w:val="18"/>
      </w:rPr>
      <w:fldChar w:fldCharType="separate"/>
    </w:r>
    <w:r w:rsidRPr="00B62592">
      <w:rPr>
        <w:b/>
        <w:bCs/>
        <w:noProof/>
        <w:sz w:val="18"/>
      </w:rPr>
      <w:t>2</w:t>
    </w:r>
    <w:r w:rsidRPr="00B62592">
      <w:rPr>
        <w:b/>
        <w:bCs/>
        <w:sz w:val="18"/>
      </w:rPr>
      <w:fldChar w:fldCharType="end"/>
    </w:r>
    <w:r>
      <w:tab/>
      <w:t>GE.23-21342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01AD" w14:textId="77777777" w:rsidR="00B62592" w:rsidRDefault="00B62592" w:rsidP="00B62592">
    <w:pPr>
      <w:pStyle w:val="Footer"/>
      <w:tabs>
        <w:tab w:val="right" w:pos="9638"/>
      </w:tabs>
    </w:pPr>
    <w:r>
      <w:t>GE.23-21342</w:t>
    </w:r>
    <w:r>
      <w:tab/>
    </w:r>
    <w:r w:rsidRPr="00B62592">
      <w:rPr>
        <w:b/>
        <w:bCs/>
        <w:sz w:val="18"/>
      </w:rPr>
      <w:fldChar w:fldCharType="begin"/>
    </w:r>
    <w:r w:rsidRPr="00B62592">
      <w:rPr>
        <w:b/>
        <w:bCs/>
        <w:sz w:val="18"/>
      </w:rPr>
      <w:instrText xml:space="preserve"> PAGE  \* MERGEFORMAT </w:instrText>
    </w:r>
    <w:r w:rsidRPr="00B62592">
      <w:rPr>
        <w:b/>
        <w:bCs/>
        <w:sz w:val="18"/>
      </w:rPr>
      <w:fldChar w:fldCharType="separate"/>
    </w:r>
    <w:r w:rsidRPr="00B62592">
      <w:rPr>
        <w:b/>
        <w:bCs/>
        <w:noProof/>
        <w:sz w:val="18"/>
      </w:rPr>
      <w:t>3</w:t>
    </w:r>
    <w:r w:rsidRPr="00B6259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E699" w14:textId="77777777" w:rsidR="00C448F7" w:rsidRDefault="00B62592">
    <w:pPr>
      <w:pStyle w:val="Footer"/>
      <w:rPr>
        <w:sz w:val="20"/>
      </w:rPr>
    </w:pPr>
    <w:r w:rsidRPr="0027112F">
      <w:rPr>
        <w:noProof/>
        <w:lang w:val="en-US"/>
      </w:rPr>
      <w:drawing>
        <wp:anchor distT="0" distB="0" distL="114300" distR="114300" simplePos="0" relativeHeight="251659264" behindDoc="0" locked="1" layoutInCell="1" allowOverlap="1" wp14:anchorId="267B4B8A" wp14:editId="630DC4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E64B62" w14:textId="46CC0096" w:rsidR="00B62592" w:rsidRPr="00B62592" w:rsidRDefault="00B62592" w:rsidP="00B62592">
    <w:pPr>
      <w:pStyle w:val="Footer"/>
      <w:tabs>
        <w:tab w:val="right" w:pos="7370"/>
      </w:tabs>
      <w:rPr>
        <w:sz w:val="20"/>
      </w:rPr>
    </w:pPr>
    <w:r>
      <w:rPr>
        <w:sz w:val="20"/>
      </w:rPr>
      <w:t>GE.23-21342  (E)</w:t>
    </w:r>
    <w:r>
      <w:rPr>
        <w:noProof/>
        <w:sz w:val="20"/>
      </w:rPr>
      <w:drawing>
        <wp:anchor distT="0" distB="0" distL="114300" distR="114300" simplePos="0" relativeHeight="251660288" behindDoc="0" locked="0" layoutInCell="1" allowOverlap="1" wp14:anchorId="22355487" wp14:editId="72F88B18">
          <wp:simplePos x="0" y="0"/>
          <wp:positionH relativeFrom="margin">
            <wp:posOffset>5583555</wp:posOffset>
          </wp:positionH>
          <wp:positionV relativeFrom="margin">
            <wp:posOffset>8981440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75">
      <w:rPr>
        <w:sz w:val="20"/>
      </w:rPr>
      <w:t xml:space="preserve">    141123    141123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0D84" w14:textId="77777777" w:rsidR="00BD6F06" w:rsidRPr="00FB1744" w:rsidRDefault="00BD6F06" w:rsidP="00FB1744">
      <w:pPr>
        <w:tabs>
          <w:tab w:val="right" w:pos="2155"/>
        </w:tabs>
        <w:spacing w:after="80" w:line="240" w:lineRule="auto"/>
        <w:ind w:left="680"/>
      </w:pPr>
      <w:r>
        <w:rPr>
          <w:u w:val="single"/>
        </w:rPr>
        <w:tab/>
      </w:r>
    </w:p>
  </w:footnote>
  <w:footnote w:type="continuationSeparator" w:id="0">
    <w:p w14:paraId="7FE04D9F" w14:textId="77777777" w:rsidR="00BD6F06" w:rsidRPr="00FB1744" w:rsidRDefault="00BD6F06" w:rsidP="00FB1744">
      <w:pPr>
        <w:tabs>
          <w:tab w:val="right" w:pos="2155"/>
        </w:tabs>
        <w:spacing w:after="80" w:line="240" w:lineRule="auto"/>
        <w:ind w:left="680"/>
      </w:pPr>
      <w:r>
        <w:rPr>
          <w:u w:val="single"/>
        </w:rPr>
        <w:tab/>
      </w:r>
    </w:p>
  </w:footnote>
  <w:footnote w:id="1">
    <w:p w14:paraId="68A59752" w14:textId="77777777" w:rsidR="00B62592" w:rsidRPr="00FD6243" w:rsidRDefault="00B62592" w:rsidP="00B62592">
      <w:pPr>
        <w:pStyle w:val="FootnoteText"/>
        <w:rPr>
          <w:sz w:val="16"/>
          <w:szCs w:val="16"/>
        </w:rPr>
      </w:pPr>
      <w:r w:rsidRPr="00717A06">
        <w:rPr>
          <w:rStyle w:val="FootnoteReference"/>
          <w:sz w:val="20"/>
          <w:szCs w:val="22"/>
          <w:vertAlign w:val="baseline"/>
        </w:rPr>
        <w:tab/>
        <w:t>*</w:t>
      </w:r>
      <w:r w:rsidRPr="00717A06">
        <w:rPr>
          <w:rStyle w:val="FootnoteReference"/>
          <w:sz w:val="20"/>
          <w:szCs w:val="22"/>
          <w:vertAlign w:val="baseline"/>
        </w:rPr>
        <w:tab/>
      </w:r>
      <w:r>
        <w:t>Distributed in German by the Central Commission for the Navigation of the Rhine under the symbol CCNR-ZKR/ADN/WP.15/AC.2/2024/5.</w:t>
      </w:r>
    </w:p>
  </w:footnote>
  <w:footnote w:id="2">
    <w:p w14:paraId="33AB2092" w14:textId="77777777" w:rsidR="00B62592" w:rsidRPr="00A67BFB" w:rsidRDefault="00B62592" w:rsidP="00B62592">
      <w:pPr>
        <w:pStyle w:val="FootnoteText"/>
        <w:rPr>
          <w:sz w:val="16"/>
          <w:szCs w:val="16"/>
        </w:rPr>
      </w:pPr>
      <w:r w:rsidRPr="00717A06">
        <w:rPr>
          <w:sz w:val="20"/>
          <w:szCs w:val="22"/>
        </w:rPr>
        <w:tab/>
        <w:t>**</w:t>
      </w:r>
      <w:r w:rsidRPr="00717A06">
        <w:rPr>
          <w:sz w:val="20"/>
          <w:szCs w:val="22"/>
        </w:rPr>
        <w:tab/>
      </w:r>
      <w: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5D0C" w14:textId="77777777" w:rsidR="00B62592" w:rsidRDefault="00B62592" w:rsidP="00B62592">
    <w:pPr>
      <w:pStyle w:val="Header"/>
    </w:pPr>
    <w:r>
      <w:t>ECE/TRANS/WP.15/AC.2/2024/5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0120" w14:textId="77777777" w:rsidR="00B62592" w:rsidRDefault="00B62592" w:rsidP="00B62592">
    <w:pPr>
      <w:pStyle w:val="Header"/>
      <w:jc w:val="right"/>
    </w:pPr>
    <w:r>
      <w:t>ECE/TRANS/WP.15/AC.2/2024/5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5405118">
    <w:abstractNumId w:val="3"/>
  </w:num>
  <w:num w:numId="2" w16cid:durableId="1599871648">
    <w:abstractNumId w:val="2"/>
  </w:num>
  <w:num w:numId="3" w16cid:durableId="428240536">
    <w:abstractNumId w:val="0"/>
  </w:num>
  <w:num w:numId="4" w16cid:durableId="303704310">
    <w:abstractNumId w:val="4"/>
  </w:num>
  <w:num w:numId="5" w16cid:durableId="1298337553">
    <w:abstractNumId w:val="5"/>
  </w:num>
  <w:num w:numId="6" w16cid:durableId="893542001">
    <w:abstractNumId w:val="6"/>
  </w:num>
  <w:num w:numId="7" w16cid:durableId="1983149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BD6F06"/>
    <w:rsid w:val="00046E92"/>
    <w:rsid w:val="000C665E"/>
    <w:rsid w:val="000D1B89"/>
    <w:rsid w:val="000F6E29"/>
    <w:rsid w:val="001170DC"/>
    <w:rsid w:val="0013624F"/>
    <w:rsid w:val="001704D7"/>
    <w:rsid w:val="0018466A"/>
    <w:rsid w:val="00247E2C"/>
    <w:rsid w:val="002D6C53"/>
    <w:rsid w:val="002F5595"/>
    <w:rsid w:val="00334F6A"/>
    <w:rsid w:val="00342AC8"/>
    <w:rsid w:val="003B4550"/>
    <w:rsid w:val="003C7965"/>
    <w:rsid w:val="003E7082"/>
    <w:rsid w:val="00425B97"/>
    <w:rsid w:val="0043448D"/>
    <w:rsid w:val="00461253"/>
    <w:rsid w:val="005042C2"/>
    <w:rsid w:val="00506C12"/>
    <w:rsid w:val="0056599A"/>
    <w:rsid w:val="00585AE1"/>
    <w:rsid w:val="00587690"/>
    <w:rsid w:val="006102DB"/>
    <w:rsid w:val="00634619"/>
    <w:rsid w:val="00671529"/>
    <w:rsid w:val="006A5598"/>
    <w:rsid w:val="00711D80"/>
    <w:rsid w:val="00717266"/>
    <w:rsid w:val="00717A06"/>
    <w:rsid w:val="007268F9"/>
    <w:rsid w:val="00730FAE"/>
    <w:rsid w:val="007C52B0"/>
    <w:rsid w:val="007D66C7"/>
    <w:rsid w:val="007F740B"/>
    <w:rsid w:val="009411B4"/>
    <w:rsid w:val="009D0139"/>
    <w:rsid w:val="009F5CDC"/>
    <w:rsid w:val="00A429CD"/>
    <w:rsid w:val="00A775CF"/>
    <w:rsid w:val="00AB3C7E"/>
    <w:rsid w:val="00B06045"/>
    <w:rsid w:val="00B62592"/>
    <w:rsid w:val="00BD6F06"/>
    <w:rsid w:val="00C00DF6"/>
    <w:rsid w:val="00C35A27"/>
    <w:rsid w:val="00C448F7"/>
    <w:rsid w:val="00E02C2B"/>
    <w:rsid w:val="00E665C4"/>
    <w:rsid w:val="00E929D6"/>
    <w:rsid w:val="00E93675"/>
    <w:rsid w:val="00ED6C48"/>
    <w:rsid w:val="00EF76C5"/>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5496"/>
  <w15:docId w15:val="{2730C1D8-794B-4920-B2B2-D3900894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customStyle="1" w:styleId="HChGChar">
    <w:name w:val="_ H _Ch_G Char"/>
    <w:link w:val="HChG"/>
    <w:rsid w:val="00B62592"/>
    <w:rPr>
      <w:rFonts w:ascii="Times New Roman" w:eastAsia="Times New Roman"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1269E403-AE90-4102-B510-3C7F64A6DC53}"/>
</file>

<file path=customXml/itemProps3.xml><?xml version="1.0" encoding="utf-8"?>
<ds:datastoreItem xmlns:ds="http://schemas.openxmlformats.org/officeDocument/2006/customXml" ds:itemID="{72BCA8A6-96BF-43DC-8F25-67647D25CA19}"/>
</file>

<file path=docProps/app.xml><?xml version="1.0" encoding="utf-8"?>
<Properties xmlns="http://schemas.openxmlformats.org/officeDocument/2006/extended-properties" xmlns:vt="http://schemas.openxmlformats.org/officeDocument/2006/docPropsVTypes">
  <Template>CESCR.dotm</Template>
  <TotalTime>0</TotalTime>
  <Pages>2</Pages>
  <Words>325</Words>
  <Characters>1873</Characters>
  <Application>Microsoft Office Word</Application>
  <DocSecurity>0</DocSecurity>
  <Lines>46</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ECE/TRANS/WP.15/AC.2/2024/5</vt:lpstr>
      <vt:lpstr>        1.16.1.2.1 of ADN: Form and content of the certificate of approval - exhausti</vt:lpstr>
      <vt:lpstr>        Transmitted by the Government of Germany*,** </vt:lpstr>
      <vt:lpstr>    Introduction</vt:lpstr>
      <vt:lpstr>    Proposal</vt:lpstr>
      <vt:lpstr>    Justification</vt:lpstr>
    </vt:vector>
  </TitlesOfParts>
  <Company>DCM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ECE/TRANS/WP.15/AC.2/2024/5</dc:title>
  <dc:subject>2321342</dc:subject>
  <dc:creator>cg</dc:creator>
  <cp:keywords/>
  <dc:description/>
  <cp:lastModifiedBy>Maria Rosario Corazon Gatmaytan</cp:lastModifiedBy>
  <cp:revision>2</cp:revision>
  <dcterms:created xsi:type="dcterms:W3CDTF">2023-11-14T10:04:00Z</dcterms:created>
  <dcterms:modified xsi:type="dcterms:W3CDTF">2023-11-14T10:04:00Z</dcterms:modified>
</cp:coreProperties>
</file>