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C43D36E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9321302" w14:textId="77777777" w:rsidR="002D5AAC" w:rsidRDefault="002D5AAC" w:rsidP="003A59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10FF30B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BEBB321" w14:textId="37717CE6" w:rsidR="002D5AAC" w:rsidRDefault="003A599C" w:rsidP="003A599C">
            <w:pPr>
              <w:jc w:val="right"/>
            </w:pPr>
            <w:r w:rsidRPr="003A599C">
              <w:rPr>
                <w:sz w:val="40"/>
              </w:rPr>
              <w:t>ECE</w:t>
            </w:r>
            <w:r>
              <w:t>/TRANS/WP.15/AC.2/2024/2</w:t>
            </w:r>
          </w:p>
        </w:tc>
      </w:tr>
      <w:tr w:rsidR="002D5AAC" w:rsidRPr="008025B8" w14:paraId="670D74BA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112DFA7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E53B613" wp14:editId="3C7CBA57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C1AE875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961A0B6" w14:textId="77777777" w:rsidR="002D5AAC" w:rsidRDefault="003A599C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6ADBED5" w14:textId="77777777" w:rsidR="003A599C" w:rsidRDefault="003A599C" w:rsidP="003A599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 November 2023</w:t>
            </w:r>
          </w:p>
          <w:p w14:paraId="1A1840CE" w14:textId="77777777" w:rsidR="003A599C" w:rsidRDefault="003A599C" w:rsidP="003A599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F547B5C" w14:textId="19838EF7" w:rsidR="003A599C" w:rsidRPr="008D53B6" w:rsidRDefault="003A599C" w:rsidP="003A599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French</w:t>
            </w:r>
          </w:p>
        </w:tc>
      </w:tr>
    </w:tbl>
    <w:p w14:paraId="0A43EA9A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493E1A75" w14:textId="77777777" w:rsidR="003A599C" w:rsidRPr="003A599C" w:rsidRDefault="003A599C" w:rsidP="003A599C">
      <w:pPr>
        <w:spacing w:before="120"/>
        <w:rPr>
          <w:sz w:val="28"/>
          <w:szCs w:val="28"/>
        </w:rPr>
      </w:pPr>
      <w:r w:rsidRPr="003A599C">
        <w:rPr>
          <w:sz w:val="28"/>
          <w:szCs w:val="28"/>
        </w:rPr>
        <w:t>Комитет по внутреннему транспорту</w:t>
      </w:r>
    </w:p>
    <w:p w14:paraId="6E89C74E" w14:textId="77777777" w:rsidR="003A599C" w:rsidRPr="003A599C" w:rsidRDefault="003A599C" w:rsidP="003A599C">
      <w:pPr>
        <w:spacing w:before="120"/>
        <w:rPr>
          <w:b/>
          <w:sz w:val="24"/>
          <w:szCs w:val="24"/>
        </w:rPr>
      </w:pPr>
      <w:r w:rsidRPr="003A599C">
        <w:rPr>
          <w:b/>
          <w:bCs/>
          <w:sz w:val="24"/>
          <w:szCs w:val="24"/>
        </w:rPr>
        <w:t>Рабочая группа по перевозкам опасных грузов</w:t>
      </w:r>
    </w:p>
    <w:p w14:paraId="36AFDC25" w14:textId="362A5F25" w:rsidR="003A599C" w:rsidRPr="003A599C" w:rsidRDefault="003A599C" w:rsidP="003A599C">
      <w:pPr>
        <w:spacing w:before="120"/>
        <w:rPr>
          <w:b/>
          <w:bCs/>
        </w:rPr>
      </w:pPr>
      <w:r w:rsidRPr="003A599C">
        <w:rPr>
          <w:b/>
          <w:bCs/>
        </w:rPr>
        <w:t>Совместное совещание экспертов по Правилам, прилагаемым</w:t>
      </w:r>
      <w:r w:rsidRPr="003A599C">
        <w:rPr>
          <w:b/>
          <w:bCs/>
        </w:rPr>
        <w:br/>
        <w:t xml:space="preserve">к Европейскому соглашению о международной перевозке </w:t>
      </w:r>
      <w:r w:rsidRPr="003A599C">
        <w:rPr>
          <w:b/>
          <w:bCs/>
        </w:rPr>
        <w:br/>
        <w:t>опасных грузов по внутренним водным путям (ВОПОГ)</w:t>
      </w:r>
      <w:r w:rsidRPr="003A599C">
        <w:rPr>
          <w:b/>
          <w:bCs/>
        </w:rPr>
        <w:br/>
        <w:t>(Комитет по вопросам безопасности ВОПОГ)</w:t>
      </w:r>
    </w:p>
    <w:p w14:paraId="139D44FF" w14:textId="77777777" w:rsidR="003A599C" w:rsidRPr="0084171F" w:rsidRDefault="003A599C" w:rsidP="003A599C">
      <w:pPr>
        <w:tabs>
          <w:tab w:val="left" w:pos="4030"/>
        </w:tabs>
        <w:spacing w:before="120"/>
        <w:rPr>
          <w:b/>
        </w:rPr>
      </w:pPr>
      <w:r>
        <w:rPr>
          <w:b/>
          <w:bCs/>
        </w:rPr>
        <w:t>Сорок третья сессия</w:t>
      </w:r>
    </w:p>
    <w:p w14:paraId="136C9E0A" w14:textId="77777777" w:rsidR="003A599C" w:rsidRPr="0084171F" w:rsidRDefault="003A599C" w:rsidP="003A599C">
      <w:pPr>
        <w:rPr>
          <w:bCs/>
        </w:rPr>
      </w:pPr>
      <w:r>
        <w:t>Женева, 22–26 января 2024 года</w:t>
      </w:r>
    </w:p>
    <w:p w14:paraId="48F7B056" w14:textId="77777777" w:rsidR="003A599C" w:rsidRPr="0084171F" w:rsidRDefault="003A599C" w:rsidP="003A599C">
      <w:r>
        <w:t>Пункт 5 b) предварительной повестки дня</w:t>
      </w:r>
    </w:p>
    <w:p w14:paraId="3D6DA9F7" w14:textId="2EDD075F" w:rsidR="003A599C" w:rsidRPr="0084171F" w:rsidRDefault="003A599C" w:rsidP="003A599C">
      <w:pPr>
        <w:rPr>
          <w:b/>
          <w:bCs/>
        </w:rPr>
      </w:pPr>
      <w:r>
        <w:rPr>
          <w:b/>
          <w:bCs/>
        </w:rPr>
        <w:t xml:space="preserve">Предложения о внесении поправок в Правила, </w:t>
      </w:r>
      <w:r>
        <w:rPr>
          <w:b/>
          <w:bCs/>
        </w:rPr>
        <w:br/>
        <w:t>прилагаемые к ВОПОГ:</w:t>
      </w:r>
      <w:r w:rsidRPr="003A599C">
        <w:rPr>
          <w:b/>
          <w:bCs/>
        </w:rPr>
        <w:t xml:space="preserve"> </w:t>
      </w:r>
      <w:r>
        <w:rPr>
          <w:b/>
          <w:bCs/>
        </w:rPr>
        <w:t>другие предложения</w:t>
      </w:r>
    </w:p>
    <w:p w14:paraId="331E3801" w14:textId="6823466D" w:rsidR="003A599C" w:rsidRPr="0084171F" w:rsidRDefault="003A599C" w:rsidP="003A599C">
      <w:pPr>
        <w:pStyle w:val="HChG"/>
      </w:pPr>
      <w:r>
        <w:tab/>
      </w:r>
      <w:r>
        <w:tab/>
      </w:r>
      <w:r>
        <w:rPr>
          <w:bCs/>
        </w:rPr>
        <w:t>Противоречие между подразделами 9.3.x.51</w:t>
      </w:r>
      <w:r>
        <w:rPr>
          <w:bCs/>
        </w:rPr>
        <w:br/>
        <w:t>и пунктом 7.2.3.51.4</w:t>
      </w:r>
    </w:p>
    <w:p w14:paraId="29575EF3" w14:textId="55BD9912" w:rsidR="003A599C" w:rsidRPr="006E3CAE" w:rsidRDefault="003A599C" w:rsidP="003A599C">
      <w:pPr>
        <w:pStyle w:val="H1G"/>
        <w:rPr>
          <w:rFonts w:eastAsia="Calibri"/>
        </w:rPr>
      </w:pPr>
      <w:r>
        <w:tab/>
      </w:r>
      <w:r>
        <w:tab/>
      </w:r>
      <w:r>
        <w:tab/>
      </w:r>
      <w:r>
        <w:rPr>
          <w:bCs/>
        </w:rPr>
        <w:t>Передано правительством Австрии</w:t>
      </w:r>
      <w:r w:rsidRPr="003A599C">
        <w:rPr>
          <w:rFonts w:eastAsia="Calibri"/>
          <w:b w:val="0"/>
          <w:bCs/>
          <w:sz w:val="18"/>
          <w:szCs w:val="18"/>
        </w:rPr>
        <w:footnoteReference w:customMarkFollows="1" w:id="1"/>
        <w:t>*</w:t>
      </w:r>
      <w:r w:rsidRPr="003A599C">
        <w:rPr>
          <w:b w:val="0"/>
          <w:bCs/>
          <w:sz w:val="18"/>
          <w:szCs w:val="18"/>
          <w:lang w:val="en-US"/>
        </w:rPr>
        <w:t xml:space="preserve"> </w:t>
      </w:r>
      <w:r w:rsidRPr="003A599C">
        <w:rPr>
          <w:rFonts w:eastAsia="Calibri"/>
          <w:b w:val="0"/>
          <w:bCs/>
          <w:sz w:val="18"/>
          <w:szCs w:val="18"/>
        </w:rPr>
        <w:footnoteReference w:customMarkFollows="1" w:id="2"/>
        <w:t>**</w:t>
      </w:r>
      <w:r>
        <w:t xml:space="preserve"> </w:t>
      </w:r>
    </w:p>
    <w:tbl>
      <w:tblPr>
        <w:tblStyle w:val="ac"/>
        <w:tblW w:w="0" w:type="auto"/>
        <w:jc w:val="center"/>
        <w:tblBorders>
          <w:insideH w:val="none" w:sz="0" w:space="0" w:color="auto"/>
        </w:tblBorders>
        <w:tblLayout w:type="fixed"/>
        <w:tblLook w:val="05E0" w:firstRow="1" w:lastRow="1" w:firstColumn="1" w:lastColumn="1" w:noHBand="0" w:noVBand="1"/>
      </w:tblPr>
      <w:tblGrid>
        <w:gridCol w:w="9637"/>
      </w:tblGrid>
      <w:tr w:rsidR="003A599C" w14:paraId="5F146BDC" w14:textId="77777777" w:rsidTr="000C6505">
        <w:trPr>
          <w:jc w:val="center"/>
        </w:trPr>
        <w:tc>
          <w:tcPr>
            <w:tcW w:w="9637" w:type="dxa"/>
            <w:shd w:val="clear" w:color="auto" w:fill="auto"/>
          </w:tcPr>
          <w:p w14:paraId="17E248ED" w14:textId="77777777" w:rsidR="003A599C" w:rsidRPr="003A599C" w:rsidRDefault="003A599C" w:rsidP="000C6505">
            <w:pPr>
              <w:spacing w:before="240" w:after="120"/>
              <w:ind w:left="255"/>
              <w:rPr>
                <w:i/>
                <w:sz w:val="28"/>
                <w:szCs w:val="28"/>
              </w:rPr>
            </w:pPr>
            <w:r w:rsidRPr="003A599C">
              <w:rPr>
                <w:i/>
                <w:iCs/>
                <w:sz w:val="28"/>
                <w:szCs w:val="28"/>
              </w:rPr>
              <w:t>Резюме</w:t>
            </w:r>
            <w:r w:rsidRPr="003A599C">
              <w:rPr>
                <w:sz w:val="28"/>
                <w:szCs w:val="28"/>
              </w:rPr>
              <w:t xml:space="preserve"> </w:t>
            </w:r>
          </w:p>
        </w:tc>
      </w:tr>
      <w:tr w:rsidR="003A599C" w14:paraId="3554733A" w14:textId="77777777" w:rsidTr="000C6505">
        <w:trPr>
          <w:jc w:val="center"/>
        </w:trPr>
        <w:tc>
          <w:tcPr>
            <w:tcW w:w="9637" w:type="dxa"/>
            <w:shd w:val="clear" w:color="auto" w:fill="auto"/>
          </w:tcPr>
          <w:p w14:paraId="2D7AC6DE" w14:textId="10BDD9A6" w:rsidR="003A599C" w:rsidRPr="0084171F" w:rsidRDefault="003A599C" w:rsidP="003A599C">
            <w:pPr>
              <w:pStyle w:val="SingleTxtG"/>
              <w:ind w:left="3544" w:hanging="2410"/>
            </w:pPr>
            <w:r w:rsidRPr="003A599C">
              <w:rPr>
                <w:b/>
                <w:bCs/>
              </w:rPr>
              <w:t>Существо предложения:</w:t>
            </w:r>
            <w:r>
              <w:tab/>
              <w:t>Существует противоречие между подразделами 9.3.x.51 и пунктом 7.2.3.51.4 в отношении положений по взрывозащите: согласно подразделам 9.3.x.51, требование, указанное в подпункте c), должно выполняться во всех случаях. Отступление допускается только в отношении требований, указанных в подпунктах</w:t>
            </w:r>
            <w:r w:rsidR="00AE3AA2" w:rsidRPr="00D560E7">
              <w:rPr>
                <w:lang w:val="en-US"/>
              </w:rPr>
              <w:t> </w:t>
            </w:r>
            <w:r>
              <w:t>a) и b), т. е. соответствующие установки и оборудование могут на месте иметь маркировку красного цвета и могут быть остановлены. Однако в пункте 7.2.3.51.4 также упоминаются установки и оборудование, не отвечающие требованиям пункта 9.3.x.51 c) с маркировкой красного цвета. Это вносит определенную путаницу и должно быть исправлено.</w:t>
            </w:r>
          </w:p>
          <w:p w14:paraId="5A2BF45C" w14:textId="77777777" w:rsidR="003A599C" w:rsidRPr="0084171F" w:rsidRDefault="003A599C" w:rsidP="003A599C">
            <w:pPr>
              <w:pStyle w:val="SingleTxtG"/>
              <w:ind w:left="3544" w:hanging="2410"/>
            </w:pPr>
            <w:r>
              <w:rPr>
                <w:b/>
                <w:bCs/>
              </w:rPr>
              <w:t>Предлагаемое решение:</w:t>
            </w:r>
            <w:r>
              <w:tab/>
              <w:t>В пункте 7.2.3.51.4 исключить ссылку на пункт 9.3.x.51 c).</w:t>
            </w:r>
          </w:p>
          <w:p w14:paraId="634A52B9" w14:textId="0B39D9DD" w:rsidR="003A599C" w:rsidRDefault="003A599C" w:rsidP="003A599C">
            <w:pPr>
              <w:pStyle w:val="SingleTxtG"/>
              <w:ind w:left="3544" w:hanging="2410"/>
            </w:pPr>
            <w:r>
              <w:rPr>
                <w:b/>
                <w:bCs/>
              </w:rPr>
              <w:t>Справочные документы</w:t>
            </w:r>
            <w:r w:rsidRPr="003A599C">
              <w:rPr>
                <w:b/>
                <w:bCs/>
              </w:rPr>
              <w:t>:</w:t>
            </w:r>
            <w:r>
              <w:t xml:space="preserve"> </w:t>
            </w:r>
            <w:r>
              <w:tab/>
              <w:t>Отсутствуют.</w:t>
            </w:r>
          </w:p>
        </w:tc>
      </w:tr>
      <w:tr w:rsidR="003A599C" w14:paraId="2721E6EF" w14:textId="77777777" w:rsidTr="000C6505">
        <w:trPr>
          <w:jc w:val="center"/>
        </w:trPr>
        <w:tc>
          <w:tcPr>
            <w:tcW w:w="9637" w:type="dxa"/>
            <w:shd w:val="clear" w:color="auto" w:fill="auto"/>
          </w:tcPr>
          <w:p w14:paraId="03D540C1" w14:textId="77777777" w:rsidR="003A599C" w:rsidRDefault="003A599C" w:rsidP="000C6505"/>
        </w:tc>
      </w:tr>
    </w:tbl>
    <w:p w14:paraId="5AA528DA" w14:textId="77777777" w:rsidR="003A599C" w:rsidRDefault="003A599C" w:rsidP="003A599C">
      <w:r>
        <w:br w:type="page"/>
      </w:r>
    </w:p>
    <w:p w14:paraId="0D1D1EB9" w14:textId="77777777" w:rsidR="003A599C" w:rsidRPr="006E3CAE" w:rsidRDefault="003A599C" w:rsidP="003A599C">
      <w:pPr>
        <w:pStyle w:val="HChG"/>
      </w:pPr>
      <w:r>
        <w:lastRenderedPageBreak/>
        <w:tab/>
      </w:r>
      <w:r>
        <w:tab/>
      </w:r>
      <w:r>
        <w:rPr>
          <w:bCs/>
        </w:rPr>
        <w:t>Введение</w:t>
      </w:r>
    </w:p>
    <w:p w14:paraId="3130456C" w14:textId="77777777" w:rsidR="003A599C" w:rsidRPr="0084171F" w:rsidRDefault="003A599C" w:rsidP="003A599C">
      <w:pPr>
        <w:pStyle w:val="SingleTxtG"/>
      </w:pPr>
      <w:r>
        <w:t>1.</w:t>
      </w:r>
      <w:r>
        <w:tab/>
        <w:t>Подразделы 9.3.x.51 содержат конструктивные требования, касающиеся температуры поверхности установок и оборудования. Подпункт 9.3.x.51 d) гласит, что температура поверхности, предписанная пунктами 9.3.x.51 a) и b), может быть превышена, если соответствующие установки и оборудование могут быть отключены и имеют маркировку красного цвета.</w:t>
      </w:r>
    </w:p>
    <w:p w14:paraId="23E40C24" w14:textId="77777777" w:rsidR="003A599C" w:rsidRPr="0084171F" w:rsidRDefault="003A599C" w:rsidP="003A599C">
      <w:pPr>
        <w:pStyle w:val="SingleTxtG"/>
      </w:pPr>
      <w:r>
        <w:t>2.</w:t>
      </w:r>
      <w:r>
        <w:tab/>
        <w:t>Для температурных классов T4, T5 и T6 в пункте 9.3.x.51 c) не предусмотрено отступление от более жестких требований к температуре поверхности.</w:t>
      </w:r>
    </w:p>
    <w:p w14:paraId="7EB274A0" w14:textId="01F98AE1" w:rsidR="003A599C" w:rsidRPr="0084171F" w:rsidRDefault="003A599C" w:rsidP="003A599C">
      <w:pPr>
        <w:pStyle w:val="SingleTxtG"/>
      </w:pPr>
      <w:r>
        <w:t>3.</w:t>
      </w:r>
      <w:r>
        <w:tab/>
        <w:t>Это означает, что возможность отключения установок и оборудования, имеющих маркировку красного цвета, распространяется только на суда, в допущенных к перевозке перечне веществ которых отсутствуют вещества температурных классов</w:t>
      </w:r>
      <w:r w:rsidR="00AE3AA2" w:rsidRPr="00D560E7">
        <w:rPr>
          <w:lang w:val="en-US"/>
        </w:rPr>
        <w:t> </w:t>
      </w:r>
      <w:r>
        <w:t>T4, T5 или T6.</w:t>
      </w:r>
    </w:p>
    <w:p w14:paraId="1F311D21" w14:textId="77777777" w:rsidR="003A599C" w:rsidRPr="0084171F" w:rsidRDefault="003A599C" w:rsidP="003A599C">
      <w:pPr>
        <w:pStyle w:val="SingleTxtG"/>
      </w:pPr>
      <w:r>
        <w:t>4.</w:t>
      </w:r>
      <w:r>
        <w:tab/>
        <w:t xml:space="preserve">Отступления от пунктов 9.3.x.51 a) и b) правильно указаны в ряде других мест. </w:t>
      </w:r>
    </w:p>
    <w:p w14:paraId="3A375055" w14:textId="77777777" w:rsidR="003A599C" w:rsidRPr="0084171F" w:rsidRDefault="003A599C" w:rsidP="003A599C">
      <w:pPr>
        <w:pStyle w:val="SingleTxtG"/>
      </w:pPr>
      <w:r>
        <w:t>5.</w:t>
      </w:r>
      <w:r>
        <w:tab/>
        <w:t xml:space="preserve">Однако в пункте 7.2.3.51.4 указано, что установки и оборудование, не соответствующие пункту 9.3.x.51 c) и имеющие маркировку красного цвета, также должны быть отключены. Это требование к обслуживанию создает путаницу, поскольку требования пункта 9.3.x.51 c) должны выполняться на борту каждого судна. Кроме того, для пункта 9.3.x.51 c) отсутствует переходное положение. </w:t>
      </w:r>
    </w:p>
    <w:p w14:paraId="7711A272" w14:textId="77777777" w:rsidR="003A599C" w:rsidRPr="0084171F" w:rsidRDefault="003A599C" w:rsidP="003A599C">
      <w:pPr>
        <w:pStyle w:val="HChG"/>
      </w:pPr>
      <w:r>
        <w:tab/>
      </w:r>
      <w:r>
        <w:tab/>
      </w:r>
      <w:r>
        <w:rPr>
          <w:bCs/>
        </w:rPr>
        <w:t>Предложение</w:t>
      </w:r>
    </w:p>
    <w:p w14:paraId="7A91D9E2" w14:textId="77777777" w:rsidR="003A599C" w:rsidRPr="0084171F" w:rsidRDefault="003A599C" w:rsidP="003A599C">
      <w:pPr>
        <w:pStyle w:val="SingleTxtG"/>
      </w:pPr>
      <w:r>
        <w:t>6.</w:t>
      </w:r>
      <w:r>
        <w:tab/>
        <w:t>В пункте 7.2.3.51.4 исключить "9.3.x.51 c)".</w:t>
      </w:r>
    </w:p>
    <w:p w14:paraId="4860B7A6" w14:textId="77777777" w:rsidR="003A599C" w:rsidRPr="0084171F" w:rsidRDefault="003A599C" w:rsidP="003A599C">
      <w:pPr>
        <w:pStyle w:val="HChG"/>
      </w:pPr>
      <w:r>
        <w:tab/>
      </w:r>
      <w:r>
        <w:tab/>
      </w:r>
      <w:r>
        <w:rPr>
          <w:bCs/>
        </w:rPr>
        <w:t>Обоснование</w:t>
      </w:r>
    </w:p>
    <w:p w14:paraId="41724195" w14:textId="77777777" w:rsidR="003A599C" w:rsidRPr="0084171F" w:rsidRDefault="003A599C" w:rsidP="003A599C">
      <w:pPr>
        <w:pStyle w:val="H1G"/>
      </w:pPr>
      <w:bookmarkStart w:id="0" w:name="_Hlk146890147"/>
      <w:r>
        <w:tab/>
      </w:r>
      <w:r>
        <w:tab/>
      </w:r>
      <w:r>
        <w:rPr>
          <w:bCs/>
        </w:rPr>
        <w:t>Безопасность</w:t>
      </w:r>
    </w:p>
    <w:bookmarkEnd w:id="0"/>
    <w:p w14:paraId="574AC8A5" w14:textId="77777777" w:rsidR="003A599C" w:rsidRPr="0084171F" w:rsidRDefault="003A599C" w:rsidP="003A599C">
      <w:pPr>
        <w:pStyle w:val="SingleTxtG"/>
      </w:pPr>
      <w:r>
        <w:t>7.</w:t>
      </w:r>
      <w:r>
        <w:tab/>
        <w:t>Исключение этого ненужного требования к обслуживанию не повлияет на безопасность. Это позволит снизить риск неправильного толкования.</w:t>
      </w:r>
    </w:p>
    <w:p w14:paraId="6B0041C6" w14:textId="77777777" w:rsidR="003A599C" w:rsidRPr="0084171F" w:rsidRDefault="003A599C" w:rsidP="003A599C">
      <w:pPr>
        <w:pStyle w:val="H1G"/>
      </w:pPr>
      <w:r>
        <w:tab/>
      </w:r>
      <w:r>
        <w:tab/>
      </w:r>
      <w:r>
        <w:rPr>
          <w:bCs/>
        </w:rPr>
        <w:t>Переходный период</w:t>
      </w:r>
    </w:p>
    <w:p w14:paraId="03E82EFC" w14:textId="77777777" w:rsidR="003A599C" w:rsidRPr="0084171F" w:rsidRDefault="003A599C" w:rsidP="003A599C">
      <w:pPr>
        <w:pStyle w:val="SingleTxtG"/>
      </w:pPr>
      <w:r>
        <w:t>8.</w:t>
      </w:r>
      <w:r>
        <w:tab/>
        <w:t>Переходный период не требуется.</w:t>
      </w:r>
    </w:p>
    <w:p w14:paraId="7D5F3C4E" w14:textId="77777777" w:rsidR="003A599C" w:rsidRPr="0084171F" w:rsidRDefault="003A599C" w:rsidP="003A599C">
      <w:pPr>
        <w:pStyle w:val="H1G"/>
      </w:pPr>
      <w:r>
        <w:tab/>
      </w:r>
      <w:r>
        <w:tab/>
      </w:r>
      <w:r>
        <w:rPr>
          <w:bCs/>
        </w:rPr>
        <w:t>Применение</w:t>
      </w:r>
    </w:p>
    <w:p w14:paraId="49997678" w14:textId="77777777" w:rsidR="003A599C" w:rsidRPr="0084171F" w:rsidRDefault="003A599C" w:rsidP="003A599C">
      <w:pPr>
        <w:pStyle w:val="SingleTxtG"/>
      </w:pPr>
      <w:r>
        <w:t>9.</w:t>
      </w:r>
      <w:r>
        <w:tab/>
        <w:t>Исключение этого требования также сделает текст более понятным для контролирующих органов.</w:t>
      </w:r>
    </w:p>
    <w:p w14:paraId="1F62B66F" w14:textId="77777777" w:rsidR="003A599C" w:rsidRPr="0084171F" w:rsidRDefault="003A599C" w:rsidP="003A599C">
      <w:pPr>
        <w:spacing w:before="240"/>
        <w:jc w:val="center"/>
        <w:rPr>
          <w:u w:val="single"/>
        </w:rPr>
      </w:pPr>
      <w:r w:rsidRPr="0084171F">
        <w:rPr>
          <w:u w:val="single"/>
        </w:rPr>
        <w:tab/>
      </w:r>
      <w:r w:rsidRPr="0084171F">
        <w:rPr>
          <w:u w:val="single"/>
        </w:rPr>
        <w:tab/>
      </w:r>
      <w:r w:rsidRPr="0084171F">
        <w:rPr>
          <w:u w:val="single"/>
        </w:rPr>
        <w:tab/>
      </w:r>
    </w:p>
    <w:sectPr w:rsidR="003A599C" w:rsidRPr="0084171F" w:rsidSect="003A599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97E1" w14:textId="77777777" w:rsidR="001A3CED" w:rsidRPr="00A312BC" w:rsidRDefault="001A3CED" w:rsidP="00A312BC"/>
  </w:endnote>
  <w:endnote w:type="continuationSeparator" w:id="0">
    <w:p w14:paraId="7648F6FB" w14:textId="77777777" w:rsidR="001A3CED" w:rsidRPr="00A312BC" w:rsidRDefault="001A3CED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DCBC" w14:textId="59017C95" w:rsidR="003A599C" w:rsidRPr="003A599C" w:rsidRDefault="003A599C">
    <w:pPr>
      <w:pStyle w:val="a8"/>
    </w:pPr>
    <w:r w:rsidRPr="003A599C">
      <w:rPr>
        <w:b/>
        <w:sz w:val="18"/>
      </w:rPr>
      <w:fldChar w:fldCharType="begin"/>
    </w:r>
    <w:r w:rsidRPr="003A599C">
      <w:rPr>
        <w:b/>
        <w:sz w:val="18"/>
      </w:rPr>
      <w:instrText xml:space="preserve"> PAGE  \* MERGEFORMAT </w:instrText>
    </w:r>
    <w:r w:rsidRPr="003A599C">
      <w:rPr>
        <w:b/>
        <w:sz w:val="18"/>
      </w:rPr>
      <w:fldChar w:fldCharType="separate"/>
    </w:r>
    <w:r w:rsidRPr="003A599C">
      <w:rPr>
        <w:b/>
        <w:noProof/>
        <w:sz w:val="18"/>
      </w:rPr>
      <w:t>2</w:t>
    </w:r>
    <w:r w:rsidRPr="003A599C">
      <w:rPr>
        <w:b/>
        <w:sz w:val="18"/>
      </w:rPr>
      <w:fldChar w:fldCharType="end"/>
    </w:r>
    <w:r>
      <w:rPr>
        <w:b/>
        <w:sz w:val="18"/>
      </w:rPr>
      <w:tab/>
    </w:r>
    <w:r>
      <w:t>GE.23-21330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FAA7" w14:textId="1F212BB0" w:rsidR="003A599C" w:rsidRPr="003A599C" w:rsidRDefault="003A599C" w:rsidP="003A599C">
    <w:pPr>
      <w:pStyle w:val="a8"/>
      <w:tabs>
        <w:tab w:val="clear" w:pos="9639"/>
        <w:tab w:val="right" w:pos="9638"/>
      </w:tabs>
      <w:rPr>
        <w:b/>
        <w:sz w:val="18"/>
      </w:rPr>
    </w:pPr>
    <w:r>
      <w:t>GE.23-21330</w:t>
    </w:r>
    <w:r>
      <w:tab/>
    </w:r>
    <w:r w:rsidRPr="003A599C">
      <w:rPr>
        <w:b/>
        <w:sz w:val="18"/>
      </w:rPr>
      <w:fldChar w:fldCharType="begin"/>
    </w:r>
    <w:r w:rsidRPr="003A599C">
      <w:rPr>
        <w:b/>
        <w:sz w:val="18"/>
      </w:rPr>
      <w:instrText xml:space="preserve"> PAGE  \* MERGEFORMAT </w:instrText>
    </w:r>
    <w:r w:rsidRPr="003A599C">
      <w:rPr>
        <w:b/>
        <w:sz w:val="18"/>
      </w:rPr>
      <w:fldChar w:fldCharType="separate"/>
    </w:r>
    <w:r w:rsidRPr="003A599C">
      <w:rPr>
        <w:b/>
        <w:noProof/>
        <w:sz w:val="18"/>
      </w:rPr>
      <w:t>3</w:t>
    </w:r>
    <w:r w:rsidRPr="003A599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3F4D" w14:textId="24415C3F" w:rsidR="00042B72" w:rsidRPr="003A599C" w:rsidRDefault="003A599C" w:rsidP="003A599C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5F501CC" wp14:editId="493A4E30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23-21330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8026DBA" wp14:editId="6478168E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031123  061123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615E" w14:textId="77777777" w:rsidR="001A3CED" w:rsidRPr="001075E9" w:rsidRDefault="001A3CED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22A12B0" w14:textId="77777777" w:rsidR="001A3CED" w:rsidRDefault="001A3CED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8FD75D3" w14:textId="77777777" w:rsidR="003A599C" w:rsidRPr="0084171F" w:rsidRDefault="003A599C" w:rsidP="003A599C">
      <w:pPr>
        <w:pStyle w:val="ad"/>
        <w:rPr>
          <w:sz w:val="16"/>
          <w:szCs w:val="16"/>
        </w:rPr>
      </w:pPr>
      <w:r>
        <w:tab/>
      </w:r>
      <w:r w:rsidRPr="003A599C">
        <w:t>*</w:t>
      </w:r>
      <w:r>
        <w:tab/>
        <w:t>Распространено на немецком языке Центральной комиссией судоходства по Рейну под условным обозначением CCNR-ZKR/ADN/WP.15/AC.2/2024/2.</w:t>
      </w:r>
    </w:p>
  </w:footnote>
  <w:footnote w:id="2">
    <w:p w14:paraId="1E9DEDA8" w14:textId="720777ED" w:rsidR="003A599C" w:rsidRPr="00AE3AA2" w:rsidRDefault="003A599C" w:rsidP="003A599C">
      <w:pPr>
        <w:pStyle w:val="ad"/>
        <w:rPr>
          <w:sz w:val="16"/>
          <w:szCs w:val="16"/>
          <w:lang w:val="en-US"/>
        </w:rPr>
      </w:pPr>
      <w:r>
        <w:tab/>
      </w:r>
      <w:r w:rsidRPr="003A599C">
        <w:t>**</w:t>
      </w:r>
      <w:r>
        <w:tab/>
        <w:t>A/78/6 (разд. 20), таблица 20.5</w:t>
      </w:r>
      <w:r w:rsidR="00AE3AA2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014F" w14:textId="2F741AAF" w:rsidR="003A599C" w:rsidRPr="003A599C" w:rsidRDefault="008025B8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ECE/TRANS/WP.15/AC.2/2024/2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E0B5" w14:textId="2433286A" w:rsidR="003A599C" w:rsidRPr="003A599C" w:rsidRDefault="008025B8" w:rsidP="003A599C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ECE/TRANS/WP.15/AC.2/2024/2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ED"/>
    <w:rsid w:val="00033EE1"/>
    <w:rsid w:val="0004193E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A3CED"/>
    <w:rsid w:val="001B3EF6"/>
    <w:rsid w:val="001C7A89"/>
    <w:rsid w:val="00255343"/>
    <w:rsid w:val="0027151D"/>
    <w:rsid w:val="002A2EFC"/>
    <w:rsid w:val="002B0106"/>
    <w:rsid w:val="002B74B1"/>
    <w:rsid w:val="002C0E18"/>
    <w:rsid w:val="002D2CC6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A599C"/>
    <w:rsid w:val="003B00E5"/>
    <w:rsid w:val="003E0B46"/>
    <w:rsid w:val="00407B78"/>
    <w:rsid w:val="00424203"/>
    <w:rsid w:val="00452493"/>
    <w:rsid w:val="00453318"/>
    <w:rsid w:val="004535CF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64400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25B8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AE3AA2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117AF"/>
  <w15:docId w15:val="{1FC61376-EB6C-44D0-A614-0890BC39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3A599C"/>
    <w:rPr>
      <w:lang w:val="ru-RU" w:eastAsia="en-US"/>
    </w:rPr>
  </w:style>
  <w:style w:type="character" w:customStyle="1" w:styleId="HChGChar">
    <w:name w:val="_ H _Ch_G Char"/>
    <w:link w:val="HChG"/>
    <w:rsid w:val="003A599C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71873-9D76-4DAD-95DB-1C496CF78653}"/>
</file>

<file path=customXml/itemProps2.xml><?xml version="1.0" encoding="utf-8"?>
<ds:datastoreItem xmlns:ds="http://schemas.openxmlformats.org/officeDocument/2006/customXml" ds:itemID="{A8717C43-A875-4681-9973-34628DBFF06E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395</Words>
  <Characters>2728</Characters>
  <Application>Microsoft Office Word</Application>
  <DocSecurity>0</DocSecurity>
  <Lines>90</Lines>
  <Paragraphs>49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ECE/TRANS/WP.15/AC.2/2024/2</vt:lpstr>
      <vt:lpstr>A/</vt:lpstr>
      <vt:lpstr>A/</vt:lpstr>
    </vt:vector>
  </TitlesOfParts>
  <Company>DCM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ECE/TRANS/WP.15/AC.2/2024/2</dc:title>
  <dc:subject/>
  <dc:creator>Tatiana CHVETS</dc:creator>
  <cp:keywords/>
  <cp:lastModifiedBy>Tatiana Chvets</cp:lastModifiedBy>
  <cp:revision>3</cp:revision>
  <cp:lastPrinted>2023-11-06T07:28:00Z</cp:lastPrinted>
  <dcterms:created xsi:type="dcterms:W3CDTF">2023-11-06T07:28:00Z</dcterms:created>
  <dcterms:modified xsi:type="dcterms:W3CDTF">2023-11-06T07:29:00Z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