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433FD" w:rsidRPr="00DB58B5" w14:paraId="4669EC24" w14:textId="77777777" w:rsidTr="005316B0">
        <w:trPr>
          <w:trHeight w:hRule="exact" w:val="851"/>
        </w:trPr>
        <w:tc>
          <w:tcPr>
            <w:tcW w:w="1276" w:type="dxa"/>
            <w:tcBorders>
              <w:bottom w:val="single" w:sz="4" w:space="0" w:color="auto"/>
            </w:tcBorders>
          </w:tcPr>
          <w:p w14:paraId="173F6D6D" w14:textId="77777777" w:rsidR="001433FD" w:rsidRPr="00DB58B5" w:rsidRDefault="001433FD" w:rsidP="0001207F"/>
        </w:tc>
        <w:tc>
          <w:tcPr>
            <w:tcW w:w="2268" w:type="dxa"/>
            <w:tcBorders>
              <w:bottom w:val="single" w:sz="4" w:space="0" w:color="auto"/>
            </w:tcBorders>
            <w:vAlign w:val="bottom"/>
          </w:tcPr>
          <w:p w14:paraId="7755B88D" w14:textId="77777777" w:rsidR="001433FD" w:rsidRPr="00DB58B5" w:rsidRDefault="001433FD" w:rsidP="007D3236">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2E95DDC7" w14:textId="23B46653" w:rsidR="001433FD" w:rsidRPr="002C655B" w:rsidRDefault="002C655B" w:rsidP="002C655B">
            <w:pPr>
              <w:jc w:val="right"/>
            </w:pPr>
            <w:r w:rsidRPr="002C655B">
              <w:rPr>
                <w:sz w:val="40"/>
              </w:rPr>
              <w:t>ECE</w:t>
            </w:r>
            <w:r>
              <w:t>/TRANS/WP.15/AC.2/2024/2</w:t>
            </w:r>
          </w:p>
        </w:tc>
      </w:tr>
      <w:tr w:rsidR="001433FD" w:rsidRPr="00DB58B5" w14:paraId="26EDB86D" w14:textId="77777777" w:rsidTr="007D3236">
        <w:trPr>
          <w:trHeight w:hRule="exact" w:val="2835"/>
        </w:trPr>
        <w:tc>
          <w:tcPr>
            <w:tcW w:w="1276" w:type="dxa"/>
            <w:tcBorders>
              <w:top w:val="single" w:sz="4" w:space="0" w:color="auto"/>
              <w:bottom w:val="single" w:sz="12" w:space="0" w:color="auto"/>
            </w:tcBorders>
          </w:tcPr>
          <w:p w14:paraId="6894FA8A" w14:textId="77777777" w:rsidR="001433FD" w:rsidRPr="00DB58B5" w:rsidRDefault="001433FD" w:rsidP="007D3236">
            <w:pPr>
              <w:spacing w:before="120"/>
              <w:jc w:val="center"/>
            </w:pPr>
            <w:r>
              <w:rPr>
                <w:noProof/>
                <w:lang w:eastAsia="fr-CH"/>
              </w:rPr>
              <w:drawing>
                <wp:inline distT="0" distB="0" distL="0" distR="0" wp14:anchorId="1E555D3B" wp14:editId="4BE6630B">
                  <wp:extent cx="714375" cy="590550"/>
                  <wp:effectExtent l="0" t="0" r="9525" b="0"/>
                  <wp:docPr id="3"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65C7BB1" w14:textId="77777777" w:rsidR="001433FD" w:rsidRPr="00740562" w:rsidRDefault="001433FD" w:rsidP="007D3236">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1501FCEF" w14:textId="77777777" w:rsidR="0001207F" w:rsidRDefault="003927FD" w:rsidP="003927FD">
            <w:pPr>
              <w:spacing w:before="240" w:line="240" w:lineRule="exact"/>
            </w:pPr>
            <w:r>
              <w:t>Distr. générale</w:t>
            </w:r>
          </w:p>
          <w:p w14:paraId="0851292E" w14:textId="39F41DA3" w:rsidR="003927FD" w:rsidRDefault="006611B0" w:rsidP="003927FD">
            <w:pPr>
              <w:spacing w:line="240" w:lineRule="exact"/>
            </w:pPr>
            <w:r>
              <w:t>2</w:t>
            </w:r>
            <w:r w:rsidR="003927FD">
              <w:t xml:space="preserve"> </w:t>
            </w:r>
            <w:r>
              <w:t>novem</w:t>
            </w:r>
            <w:r w:rsidR="00025453">
              <w:t>b</w:t>
            </w:r>
            <w:r w:rsidR="003927FD">
              <w:t>re 2023</w:t>
            </w:r>
          </w:p>
          <w:p w14:paraId="2CA580B6" w14:textId="77777777" w:rsidR="003927FD" w:rsidRDefault="003927FD" w:rsidP="003927FD">
            <w:pPr>
              <w:spacing w:line="240" w:lineRule="exact"/>
            </w:pPr>
          </w:p>
          <w:p w14:paraId="64478607" w14:textId="77777777" w:rsidR="003927FD" w:rsidRPr="00DB58B5" w:rsidRDefault="003927FD" w:rsidP="003927FD">
            <w:pPr>
              <w:spacing w:line="240" w:lineRule="exact"/>
            </w:pPr>
            <w:r>
              <w:t>Original : français</w:t>
            </w:r>
          </w:p>
        </w:tc>
      </w:tr>
    </w:tbl>
    <w:p w14:paraId="10AB701F" w14:textId="77777777" w:rsidR="003927FD" w:rsidRDefault="003927FD" w:rsidP="00FD1581">
      <w:pPr>
        <w:spacing w:before="120"/>
        <w:rPr>
          <w:b/>
          <w:sz w:val="28"/>
          <w:szCs w:val="28"/>
        </w:rPr>
      </w:pPr>
      <w:r w:rsidRPr="00883605">
        <w:rPr>
          <w:b/>
          <w:sz w:val="28"/>
          <w:szCs w:val="28"/>
        </w:rPr>
        <w:t>Commission économique pour l’Europe</w:t>
      </w:r>
    </w:p>
    <w:p w14:paraId="1BF92104" w14:textId="77777777" w:rsidR="003927FD" w:rsidRDefault="003927FD" w:rsidP="00FD1581">
      <w:pPr>
        <w:spacing w:before="120"/>
        <w:rPr>
          <w:sz w:val="28"/>
          <w:szCs w:val="28"/>
        </w:rPr>
      </w:pPr>
      <w:r w:rsidRPr="00685843">
        <w:rPr>
          <w:sz w:val="28"/>
          <w:szCs w:val="28"/>
        </w:rPr>
        <w:t>Comité des transports intérieurs</w:t>
      </w:r>
    </w:p>
    <w:p w14:paraId="3F74626E" w14:textId="77777777" w:rsidR="003927FD" w:rsidRPr="009E01B8" w:rsidRDefault="003927FD" w:rsidP="00FD1581">
      <w:pPr>
        <w:spacing w:before="120"/>
        <w:rPr>
          <w:b/>
          <w:sz w:val="24"/>
          <w:szCs w:val="24"/>
        </w:rPr>
      </w:pPr>
      <w:r w:rsidRPr="009E01B8">
        <w:rPr>
          <w:b/>
          <w:sz w:val="24"/>
          <w:szCs w:val="24"/>
        </w:rPr>
        <w:t>Groupe de travail des transports</w:t>
      </w:r>
      <w:r>
        <w:rPr>
          <w:b/>
          <w:sz w:val="24"/>
          <w:szCs w:val="24"/>
        </w:rPr>
        <w:t xml:space="preserve"> </w:t>
      </w:r>
      <w:r w:rsidRPr="009E01B8">
        <w:rPr>
          <w:b/>
          <w:sz w:val="24"/>
          <w:szCs w:val="24"/>
        </w:rPr>
        <w:t>de marchandises dangereuses</w:t>
      </w:r>
    </w:p>
    <w:p w14:paraId="6EF0F6D7" w14:textId="77777777" w:rsidR="003927FD" w:rsidRPr="004812F5" w:rsidRDefault="003927FD" w:rsidP="00FD1581">
      <w:pPr>
        <w:spacing w:before="120"/>
        <w:rPr>
          <w:b/>
        </w:rPr>
      </w:pPr>
      <w:r w:rsidRPr="004812F5">
        <w:rPr>
          <w:b/>
          <w:lang w:val="fr-FR"/>
        </w:rPr>
        <w:t>Réunion commune d’experts sur le Règlement annexé</w:t>
      </w:r>
      <w:r>
        <w:rPr>
          <w:b/>
          <w:lang w:val="fr-FR"/>
        </w:rPr>
        <w:t xml:space="preserve"> </w:t>
      </w:r>
      <w:r>
        <w:rPr>
          <w:b/>
          <w:lang w:val="fr-FR"/>
        </w:rPr>
        <w:br/>
      </w:r>
      <w:r w:rsidRPr="004812F5">
        <w:rPr>
          <w:b/>
          <w:lang w:val="fr-FR"/>
        </w:rPr>
        <w:t>à l’Accord européen</w:t>
      </w:r>
      <w:r>
        <w:rPr>
          <w:b/>
          <w:lang w:val="fr-FR"/>
        </w:rPr>
        <w:t xml:space="preserve"> </w:t>
      </w:r>
      <w:r w:rsidRPr="004812F5">
        <w:rPr>
          <w:b/>
          <w:lang w:val="fr-FR"/>
        </w:rPr>
        <w:t>relatif au transport international</w:t>
      </w:r>
      <w:r>
        <w:rPr>
          <w:b/>
          <w:lang w:val="fr-FR"/>
        </w:rPr>
        <w:t xml:space="preserve"> </w:t>
      </w:r>
      <w:r>
        <w:rPr>
          <w:b/>
          <w:lang w:val="fr-FR"/>
        </w:rPr>
        <w:br/>
      </w:r>
      <w:r w:rsidRPr="004812F5">
        <w:rPr>
          <w:b/>
          <w:lang w:val="fr-FR"/>
        </w:rPr>
        <w:t xml:space="preserve">des marchandises </w:t>
      </w:r>
      <w:r w:rsidRPr="004812F5">
        <w:rPr>
          <w:b/>
          <w:bCs/>
          <w:iCs/>
          <w:lang w:val="fr-FR"/>
        </w:rPr>
        <w:t>dangereuses par voies</w:t>
      </w:r>
      <w:r>
        <w:rPr>
          <w:b/>
          <w:bCs/>
          <w:iCs/>
          <w:lang w:val="fr-FR"/>
        </w:rPr>
        <w:t xml:space="preserve"> </w:t>
      </w:r>
      <w:r w:rsidRPr="004812F5">
        <w:rPr>
          <w:b/>
          <w:bCs/>
          <w:iCs/>
          <w:lang w:val="fr-FR"/>
        </w:rPr>
        <w:t>de navigation</w:t>
      </w:r>
      <w:r>
        <w:rPr>
          <w:b/>
          <w:bCs/>
          <w:iCs/>
          <w:lang w:val="fr-FR"/>
        </w:rPr>
        <w:t xml:space="preserve"> </w:t>
      </w:r>
      <w:r>
        <w:rPr>
          <w:b/>
          <w:bCs/>
          <w:iCs/>
          <w:lang w:val="fr-FR"/>
        </w:rPr>
        <w:br/>
      </w:r>
      <w:r w:rsidRPr="004812F5">
        <w:rPr>
          <w:b/>
          <w:bCs/>
          <w:iCs/>
          <w:lang w:val="fr-FR"/>
        </w:rPr>
        <w:t xml:space="preserve">intérieures (ADN) </w:t>
      </w:r>
      <w:r w:rsidRPr="004812F5">
        <w:rPr>
          <w:b/>
          <w:bCs/>
          <w:lang w:val="fr-FR"/>
        </w:rPr>
        <w:t>(Comité de sécurité de l’ADN)</w:t>
      </w:r>
    </w:p>
    <w:p w14:paraId="2B9E018E" w14:textId="77777777" w:rsidR="007E6E5D" w:rsidRPr="00234E40" w:rsidRDefault="007E6E5D" w:rsidP="007E6E5D">
      <w:pPr>
        <w:tabs>
          <w:tab w:val="left" w:pos="4030"/>
        </w:tabs>
        <w:spacing w:before="120"/>
        <w:rPr>
          <w:b/>
        </w:rPr>
      </w:pPr>
      <w:r>
        <w:rPr>
          <w:b/>
          <w:lang w:val="fr-FR"/>
        </w:rPr>
        <w:t>Q</w:t>
      </w:r>
      <w:r w:rsidRPr="0082526B">
        <w:rPr>
          <w:b/>
          <w:lang w:val="fr-FR"/>
        </w:rPr>
        <w:t>uarante-</w:t>
      </w:r>
      <w:r>
        <w:rPr>
          <w:b/>
          <w:lang w:val="fr-FR"/>
        </w:rPr>
        <w:t>troisième</w:t>
      </w:r>
      <w:r w:rsidRPr="00B336E0">
        <w:rPr>
          <w:b/>
        </w:rPr>
        <w:t xml:space="preserve"> </w:t>
      </w:r>
      <w:r w:rsidRPr="00D36F25">
        <w:rPr>
          <w:b/>
        </w:rPr>
        <w:t>session</w:t>
      </w:r>
    </w:p>
    <w:p w14:paraId="67AE73DC" w14:textId="77777777" w:rsidR="007E6E5D" w:rsidRDefault="007E6E5D" w:rsidP="007E6E5D">
      <w:pPr>
        <w:rPr>
          <w:bCs/>
          <w:lang w:val="fr-FR"/>
        </w:rPr>
      </w:pPr>
      <w:r>
        <w:t xml:space="preserve">Genève, </w:t>
      </w:r>
      <w:r>
        <w:rPr>
          <w:bCs/>
          <w:lang w:val="fr-FR"/>
        </w:rPr>
        <w:t>22-26 janvier 2024</w:t>
      </w:r>
    </w:p>
    <w:p w14:paraId="2A9FB682" w14:textId="22DD560E" w:rsidR="007E6E5D" w:rsidRDefault="007E6E5D" w:rsidP="007E6E5D">
      <w:r w:rsidRPr="00B93E72">
        <w:t xml:space="preserve">Point </w:t>
      </w:r>
      <w:r>
        <w:t xml:space="preserve">5 </w:t>
      </w:r>
      <w:r w:rsidR="00985A7F">
        <w:t>b</w:t>
      </w:r>
      <w:r>
        <w:t xml:space="preserve">) </w:t>
      </w:r>
      <w:r w:rsidRPr="00B93E72">
        <w:t>de l’ordre du jour provisoire</w:t>
      </w:r>
    </w:p>
    <w:p w14:paraId="4C296F2B" w14:textId="77777777" w:rsidR="007E6E5D" w:rsidRPr="009A0A47" w:rsidRDefault="007E6E5D" w:rsidP="007E6E5D">
      <w:pPr>
        <w:rPr>
          <w:b/>
          <w:bCs/>
          <w:lang w:val="fr-FR"/>
        </w:rPr>
      </w:pPr>
      <w:r w:rsidRPr="009A0A47">
        <w:rPr>
          <w:b/>
          <w:bCs/>
        </w:rPr>
        <w:t>Propositions</w:t>
      </w:r>
      <w:r w:rsidRPr="009A0A47">
        <w:rPr>
          <w:b/>
          <w:bCs/>
          <w:lang w:val="fr-FR"/>
        </w:rPr>
        <w:t xml:space="preserve"> d’amendements au Règlement annexé à l’ADN :</w:t>
      </w:r>
    </w:p>
    <w:p w14:paraId="6C9AAB92" w14:textId="77777777" w:rsidR="007E6E5D" w:rsidRPr="009A0A47" w:rsidRDefault="007E6E5D" w:rsidP="007E6E5D">
      <w:pPr>
        <w:rPr>
          <w:b/>
          <w:bCs/>
        </w:rPr>
      </w:pPr>
      <w:r w:rsidRPr="009A0A47">
        <w:rPr>
          <w:b/>
          <w:bCs/>
          <w:lang w:val="fr-FR"/>
        </w:rPr>
        <w:t>autres propositions</w:t>
      </w:r>
    </w:p>
    <w:p w14:paraId="02BF7A7C" w14:textId="2E19F132" w:rsidR="000124E3" w:rsidRPr="006E3CAE" w:rsidRDefault="000124E3" w:rsidP="000124E3">
      <w:pPr>
        <w:pStyle w:val="HChG"/>
        <w:rPr>
          <w:lang w:val="fr-FR"/>
        </w:rPr>
      </w:pPr>
      <w:r>
        <w:rPr>
          <w:lang w:val="fr-FR"/>
        </w:rPr>
        <w:tab/>
      </w:r>
      <w:r>
        <w:rPr>
          <w:lang w:val="fr-FR"/>
        </w:rPr>
        <w:tab/>
      </w:r>
      <w:r w:rsidRPr="006E3CAE">
        <w:rPr>
          <w:lang w:val="fr-FR"/>
        </w:rPr>
        <w:t>Contradiction entre 9.3.x.51 et 7.2.3.51.4</w:t>
      </w:r>
    </w:p>
    <w:p w14:paraId="06CA974E" w14:textId="4CE9CA03" w:rsidR="000124E3" w:rsidRPr="006E3CAE" w:rsidRDefault="000124E3" w:rsidP="000124E3">
      <w:pPr>
        <w:pStyle w:val="H1G"/>
        <w:rPr>
          <w:rFonts w:eastAsia="Calibri"/>
          <w:lang w:val="fr-FR"/>
        </w:rPr>
      </w:pPr>
      <w:r w:rsidRPr="006E3CAE">
        <w:rPr>
          <w:rFonts w:eastAsia="Calibri"/>
          <w:lang w:val="fr-FR"/>
        </w:rPr>
        <w:tab/>
      </w:r>
      <w:r w:rsidRPr="006E3CAE">
        <w:rPr>
          <w:rFonts w:eastAsia="Calibri"/>
          <w:lang w:val="fr-FR"/>
        </w:rPr>
        <w:tab/>
      </w:r>
      <w:r>
        <w:rPr>
          <w:rFonts w:eastAsia="Calibri"/>
          <w:lang w:val="fr-FR"/>
        </w:rPr>
        <w:tab/>
      </w:r>
      <w:r w:rsidRPr="006E3CAE">
        <w:rPr>
          <w:rFonts w:eastAsia="Calibri"/>
          <w:lang w:val="fr-FR"/>
        </w:rPr>
        <w:t>Communication du Gouvernement de l’Autriche</w:t>
      </w:r>
      <w:r w:rsidRPr="006E3CAE">
        <w:rPr>
          <w:rFonts w:eastAsia="Calibri"/>
          <w:lang w:val="fr-FR"/>
        </w:rPr>
        <w:footnoteReference w:customMarkFollows="1" w:id="2"/>
        <w:t>*</w:t>
      </w:r>
      <w:r w:rsidRPr="006E3CAE">
        <w:rPr>
          <w:rFonts w:eastAsia="Calibri"/>
          <w:vertAlign w:val="superscript"/>
          <w:lang w:val="fr-FR"/>
        </w:rPr>
        <w:t xml:space="preserve">, </w:t>
      </w:r>
      <w:r w:rsidRPr="006E3CAE">
        <w:rPr>
          <w:rFonts w:eastAsia="Calibri"/>
          <w:lang w:val="fr-FR"/>
        </w:rPr>
        <w:footnoteReference w:customMarkFollows="1" w:id="3"/>
        <w:t>**</w:t>
      </w:r>
    </w:p>
    <w:tbl>
      <w:tblPr>
        <w:tblStyle w:val="Grilledutableau"/>
        <w:tblW w:w="0" w:type="auto"/>
        <w:jc w:val="center"/>
        <w:tblBorders>
          <w:insideH w:val="none" w:sz="0" w:space="0" w:color="auto"/>
        </w:tblBorders>
        <w:tblLook w:val="05E0" w:firstRow="1" w:lastRow="1" w:firstColumn="1" w:lastColumn="1" w:noHBand="0" w:noVBand="1"/>
      </w:tblPr>
      <w:tblGrid>
        <w:gridCol w:w="9628"/>
      </w:tblGrid>
      <w:tr w:rsidR="007E415A" w14:paraId="1559FF5C" w14:textId="77777777" w:rsidTr="006E5E26">
        <w:trPr>
          <w:jc w:val="center"/>
        </w:trPr>
        <w:tc>
          <w:tcPr>
            <w:tcW w:w="9637" w:type="dxa"/>
            <w:shd w:val="clear" w:color="auto" w:fill="auto"/>
          </w:tcPr>
          <w:p w14:paraId="1728DAAE" w14:textId="77777777" w:rsidR="007E415A" w:rsidRPr="00C6263E" w:rsidRDefault="007E415A" w:rsidP="006E5E26">
            <w:pPr>
              <w:spacing w:before="240" w:after="120"/>
              <w:ind w:left="255"/>
              <w:rPr>
                <w:i/>
                <w:sz w:val="24"/>
              </w:rPr>
            </w:pPr>
            <w:r w:rsidRPr="00C6263E">
              <w:rPr>
                <w:i/>
                <w:sz w:val="24"/>
              </w:rPr>
              <w:t xml:space="preserve">Résumé </w:t>
            </w:r>
          </w:p>
        </w:tc>
      </w:tr>
      <w:tr w:rsidR="007E415A" w14:paraId="57DD8F54" w14:textId="77777777" w:rsidTr="006E5E26">
        <w:trPr>
          <w:jc w:val="center"/>
        </w:trPr>
        <w:tc>
          <w:tcPr>
            <w:tcW w:w="9637" w:type="dxa"/>
            <w:shd w:val="clear" w:color="auto" w:fill="auto"/>
          </w:tcPr>
          <w:p w14:paraId="75244B63" w14:textId="536EAE07" w:rsidR="007E415A" w:rsidRDefault="001035C1" w:rsidP="002403D3">
            <w:pPr>
              <w:pStyle w:val="SingleTxtG"/>
              <w:ind w:left="3402" w:hanging="2268"/>
              <w:rPr>
                <w:lang w:val="fr-FR"/>
              </w:rPr>
            </w:pPr>
            <w:r w:rsidRPr="006E3CAE">
              <w:rPr>
                <w:b/>
                <w:lang w:val="fr-FR"/>
              </w:rPr>
              <w:t>Résumé analytique</w:t>
            </w:r>
            <w:r w:rsidRPr="006E3CAE">
              <w:rPr>
                <w:lang w:val="fr-FR"/>
              </w:rPr>
              <w:t>:</w:t>
            </w:r>
            <w:r w:rsidR="002403D3">
              <w:rPr>
                <w:lang w:val="fr-FR"/>
              </w:rPr>
              <w:tab/>
            </w:r>
            <w:r w:rsidR="002403D3">
              <w:rPr>
                <w:lang w:val="fr-FR"/>
              </w:rPr>
              <w:tab/>
            </w:r>
            <w:r w:rsidR="00B125CD">
              <w:rPr>
                <w:lang w:val="fr-FR"/>
              </w:rPr>
              <w:tab/>
            </w:r>
            <w:r w:rsidR="002403D3" w:rsidRPr="006E3CAE">
              <w:rPr>
                <w:lang w:val="fr-FR"/>
              </w:rPr>
              <w:t>Il existe une contradiction entre le 9.3.x.51 et le 7.2.3.51.4 en ce qui concerne les dispositions relatives à la protection contre les explosions : selon le 9.3.x.51, l'exigence visée à la lettre c) doit toujours être observée. Seules les exigences visées aux lettres a) et b) font l'objet d'une dérogation, à savoir que les installations et équipements concernés peuvent, à la place, être marqués en rouge et arrêtés. Au 7.2.3.51.4 sont toutefois mentionnés également des installations et équipements qui ne satisfont pas aux exigences du 9.3.x.5</w:t>
            </w:r>
            <w:r w:rsidR="00E87FDB">
              <w:rPr>
                <w:lang w:val="fr-FR"/>
              </w:rPr>
              <w:t>1</w:t>
            </w:r>
            <w:r w:rsidR="002403D3" w:rsidRPr="006E3CAE">
              <w:rPr>
                <w:lang w:val="fr-FR"/>
              </w:rPr>
              <w:t xml:space="preserve"> c) et qui sont marqués en rouge. Cela prête à confusion et devrait être corrigé.</w:t>
            </w:r>
          </w:p>
          <w:p w14:paraId="1AB9A4C0" w14:textId="77777777" w:rsidR="0027156F" w:rsidRPr="006E3CAE" w:rsidRDefault="004D7DD3" w:rsidP="0027156F">
            <w:pPr>
              <w:pStyle w:val="SingleTxtG"/>
              <w:ind w:left="3402" w:hanging="2268"/>
              <w:rPr>
                <w:lang w:val="fr-FR"/>
              </w:rPr>
            </w:pPr>
            <w:r w:rsidRPr="006E3CAE">
              <w:rPr>
                <w:b/>
                <w:lang w:val="fr-FR"/>
              </w:rPr>
              <w:t>Mesures à prendre :</w:t>
            </w:r>
            <w:r>
              <w:rPr>
                <w:b/>
                <w:lang w:val="fr-FR"/>
              </w:rPr>
              <w:tab/>
            </w:r>
            <w:r w:rsidR="0027156F" w:rsidRPr="006E3CAE">
              <w:rPr>
                <w:lang w:val="fr-FR"/>
              </w:rPr>
              <w:t>Au 7.2.3.51.4 supprimer la référence au 9.3.x.51 c).</w:t>
            </w:r>
          </w:p>
          <w:p w14:paraId="38A61E1A" w14:textId="314A35D6" w:rsidR="008F5864" w:rsidRDefault="00CD460D" w:rsidP="002403D3">
            <w:pPr>
              <w:pStyle w:val="SingleTxtG"/>
              <w:ind w:left="3402" w:hanging="2268"/>
            </w:pPr>
            <w:r w:rsidRPr="006E3CAE">
              <w:rPr>
                <w:b/>
                <w:lang w:val="fr-FR"/>
              </w:rPr>
              <w:t xml:space="preserve">Documents connexes </w:t>
            </w:r>
            <w:r w:rsidRPr="006E3CAE">
              <w:rPr>
                <w:lang w:val="fr-FR"/>
              </w:rPr>
              <w:t>:</w:t>
            </w:r>
            <w:r>
              <w:rPr>
                <w:lang w:val="fr-FR"/>
              </w:rPr>
              <w:tab/>
            </w:r>
            <w:r w:rsidR="00E31240" w:rsidRPr="006E3CAE">
              <w:rPr>
                <w:lang w:val="fr-FR"/>
              </w:rPr>
              <w:t>aucun</w:t>
            </w:r>
          </w:p>
        </w:tc>
      </w:tr>
      <w:tr w:rsidR="007E415A" w14:paraId="7DC20639" w14:textId="77777777" w:rsidTr="006E5E26">
        <w:trPr>
          <w:jc w:val="center"/>
        </w:trPr>
        <w:tc>
          <w:tcPr>
            <w:tcW w:w="9637" w:type="dxa"/>
            <w:shd w:val="clear" w:color="auto" w:fill="auto"/>
          </w:tcPr>
          <w:p w14:paraId="69D07915" w14:textId="77777777" w:rsidR="007E415A" w:rsidRDefault="007E415A" w:rsidP="006E5E26"/>
        </w:tc>
      </w:tr>
    </w:tbl>
    <w:p w14:paraId="08C8E712" w14:textId="23F17E56" w:rsidR="00E31240" w:rsidRDefault="00E31240" w:rsidP="007E415A">
      <w:r>
        <w:br w:type="page"/>
      </w:r>
    </w:p>
    <w:p w14:paraId="54E32FBD" w14:textId="053A4FDD" w:rsidR="00AE4D6C" w:rsidRPr="006E3CAE" w:rsidRDefault="007A5D7E" w:rsidP="007A5D7E">
      <w:pPr>
        <w:pStyle w:val="HChG"/>
        <w:rPr>
          <w:lang w:val="fr-FR"/>
        </w:rPr>
      </w:pPr>
      <w:r>
        <w:rPr>
          <w:lang w:val="fr-FR"/>
        </w:rPr>
        <w:lastRenderedPageBreak/>
        <w:tab/>
      </w:r>
      <w:r>
        <w:rPr>
          <w:lang w:val="fr-FR"/>
        </w:rPr>
        <w:tab/>
      </w:r>
      <w:r w:rsidR="00AE4D6C" w:rsidRPr="006E3CAE">
        <w:rPr>
          <w:lang w:val="fr-FR"/>
        </w:rPr>
        <w:t>Introduction</w:t>
      </w:r>
    </w:p>
    <w:p w14:paraId="081CF2C0" w14:textId="77777777" w:rsidR="00AE4D6C" w:rsidRPr="006E3CAE" w:rsidRDefault="00AE4D6C" w:rsidP="007A5D7E">
      <w:pPr>
        <w:pStyle w:val="SingleTxtG"/>
        <w:rPr>
          <w:lang w:val="fr-FR"/>
        </w:rPr>
      </w:pPr>
      <w:r w:rsidRPr="006E3CAE">
        <w:rPr>
          <w:lang w:val="fr-FR"/>
        </w:rPr>
        <w:t>1.</w:t>
      </w:r>
      <w:r w:rsidRPr="006E3CAE">
        <w:rPr>
          <w:lang w:val="fr-FR"/>
        </w:rPr>
        <w:tab/>
        <w:t>Le 9.3.x.51 contient des exigences relatives à la construction, concernant les températures de surface des installations et des équipements. Les 9.3.x.51 d) disposent que les températures de surface exigées aux 9.3.x.51 a) et b) peuvent être dépassées si les installations et équipements concernés peuvent être arrêtés et sont marqués en rouge.</w:t>
      </w:r>
    </w:p>
    <w:p w14:paraId="6E7D42D9" w14:textId="77777777" w:rsidR="00AE4D6C" w:rsidRPr="006E3CAE" w:rsidRDefault="00AE4D6C" w:rsidP="007A5D7E">
      <w:pPr>
        <w:pStyle w:val="SingleTxtG"/>
        <w:rPr>
          <w:lang w:val="fr-FR"/>
        </w:rPr>
      </w:pPr>
      <w:r w:rsidRPr="006E3CAE">
        <w:rPr>
          <w:lang w:val="fr-FR"/>
        </w:rPr>
        <w:t>2.</w:t>
      </w:r>
      <w:r w:rsidRPr="006E3CAE">
        <w:rPr>
          <w:lang w:val="fr-FR"/>
        </w:rPr>
        <w:tab/>
        <w:t>Aucune dérogation n'est prévue pour les exigences plus strictes en matière de température de surface pour les classes de température T4, T5 et T6 figurant au 9.3.x.51 c).</w:t>
      </w:r>
    </w:p>
    <w:p w14:paraId="3442EFC6" w14:textId="77777777" w:rsidR="00AE4D6C" w:rsidRPr="006E3CAE" w:rsidRDefault="00AE4D6C" w:rsidP="007A5D7E">
      <w:pPr>
        <w:pStyle w:val="SingleTxtG"/>
        <w:rPr>
          <w:lang w:val="fr-FR"/>
        </w:rPr>
      </w:pPr>
      <w:r w:rsidRPr="006E3CAE">
        <w:rPr>
          <w:lang w:val="fr-FR"/>
        </w:rPr>
        <w:t>3.</w:t>
      </w:r>
      <w:r w:rsidRPr="006E3CAE">
        <w:rPr>
          <w:lang w:val="fr-FR"/>
        </w:rPr>
        <w:tab/>
        <w:t>Cela signifie que la possibilité d'arrêter les installations et équipements marqués en rouge ne s'applique qu'aux bateaux dont la liste des matières ne comporte pas de matières des classes de température T4, T5 ou T6.</w:t>
      </w:r>
    </w:p>
    <w:p w14:paraId="0BE87FED" w14:textId="77777777" w:rsidR="00AE4D6C" w:rsidRPr="006E3CAE" w:rsidRDefault="00AE4D6C" w:rsidP="007A5D7E">
      <w:pPr>
        <w:pStyle w:val="SingleTxtG"/>
        <w:rPr>
          <w:lang w:val="fr-FR"/>
        </w:rPr>
      </w:pPr>
      <w:r w:rsidRPr="006E3CAE">
        <w:rPr>
          <w:lang w:val="fr-FR"/>
        </w:rPr>
        <w:t>4.</w:t>
      </w:r>
      <w:r w:rsidRPr="006E3CAE">
        <w:rPr>
          <w:lang w:val="fr-FR"/>
        </w:rPr>
        <w:tab/>
        <w:t xml:space="preserve">À plusieurs autres endroits sont correctement mentionnées les dérogations aux 9.3.x.51 a) et b). </w:t>
      </w:r>
    </w:p>
    <w:p w14:paraId="633C754A" w14:textId="77777777" w:rsidR="00AE4D6C" w:rsidRPr="006E3CAE" w:rsidRDefault="00AE4D6C" w:rsidP="007A5D7E">
      <w:pPr>
        <w:pStyle w:val="SingleTxtG"/>
        <w:rPr>
          <w:lang w:val="fr-FR"/>
        </w:rPr>
      </w:pPr>
      <w:r w:rsidRPr="006E3CAE">
        <w:rPr>
          <w:lang w:val="fr-FR"/>
        </w:rPr>
        <w:t>5.</w:t>
      </w:r>
      <w:r w:rsidRPr="006E3CAE">
        <w:rPr>
          <w:lang w:val="fr-FR"/>
        </w:rPr>
        <w:tab/>
        <w:t xml:space="preserve">Au 7.2.3.51.4 est cependant mentionné que les installations et équipements non conformes au 9.3.x.51 c) qui sont marqués en rouge doivent également être arrêtés. Cette prescription de service prête à confusion, étant donné que les exigences du 9.3.x.51 c) doivent être respectées à bord de chaque bateau. Il n'existe pas non plus de disposition transitoire pour le 9.3.x.51 c). </w:t>
      </w:r>
    </w:p>
    <w:p w14:paraId="35135973" w14:textId="52D1149A" w:rsidR="00AE4D6C" w:rsidRPr="006E3CAE" w:rsidRDefault="007A5D7E" w:rsidP="007A5D7E">
      <w:pPr>
        <w:pStyle w:val="HChG"/>
        <w:rPr>
          <w:lang w:val="fr-FR"/>
        </w:rPr>
      </w:pPr>
      <w:r>
        <w:rPr>
          <w:lang w:val="fr-FR"/>
        </w:rPr>
        <w:tab/>
      </w:r>
      <w:r w:rsidR="00AE4D6C" w:rsidRPr="006E3CAE">
        <w:rPr>
          <w:lang w:val="fr-FR"/>
        </w:rPr>
        <w:tab/>
        <w:t>Proposition</w:t>
      </w:r>
    </w:p>
    <w:p w14:paraId="488BDBC5" w14:textId="0B342150" w:rsidR="00AE4D6C" w:rsidRPr="006E3CAE" w:rsidRDefault="00AE4D6C" w:rsidP="007A5D7E">
      <w:pPr>
        <w:pStyle w:val="SingleTxtG"/>
        <w:rPr>
          <w:lang w:val="fr-FR"/>
        </w:rPr>
      </w:pPr>
      <w:r w:rsidRPr="006E3CAE">
        <w:rPr>
          <w:lang w:val="fr-FR"/>
        </w:rPr>
        <w:t>6.</w:t>
      </w:r>
      <w:r w:rsidRPr="006E3CAE">
        <w:rPr>
          <w:lang w:val="fr-FR"/>
        </w:rPr>
        <w:tab/>
        <w:t>Au 7.2.3.51.4</w:t>
      </w:r>
      <w:r w:rsidR="00F14065">
        <w:rPr>
          <w:lang w:val="fr-FR"/>
        </w:rPr>
        <w:t xml:space="preserve"> </w:t>
      </w:r>
      <w:r w:rsidRPr="006E3CAE">
        <w:rPr>
          <w:lang w:val="fr-FR"/>
        </w:rPr>
        <w:t>supprimer « , 9.3.x.51 c) ».</w:t>
      </w:r>
    </w:p>
    <w:p w14:paraId="175E69D2" w14:textId="5EE8DFE0" w:rsidR="00AE4D6C" w:rsidRPr="006E3CAE" w:rsidRDefault="007A5D7E" w:rsidP="00713675">
      <w:pPr>
        <w:pStyle w:val="HChG"/>
        <w:rPr>
          <w:lang w:val="fr-FR"/>
        </w:rPr>
      </w:pPr>
      <w:r>
        <w:rPr>
          <w:lang w:val="fr-FR"/>
        </w:rPr>
        <w:tab/>
      </w:r>
      <w:r w:rsidR="00AE4D6C" w:rsidRPr="006E3CAE">
        <w:rPr>
          <w:lang w:val="fr-FR"/>
        </w:rPr>
        <w:tab/>
      </w:r>
      <w:r w:rsidR="00AE4D6C" w:rsidRPr="00713675">
        <w:t>Justification</w:t>
      </w:r>
    </w:p>
    <w:p w14:paraId="6FC99801" w14:textId="5817278C" w:rsidR="00AE4D6C" w:rsidRPr="006E3CAE" w:rsidRDefault="001B1265" w:rsidP="001B1265">
      <w:pPr>
        <w:pStyle w:val="H1G"/>
        <w:rPr>
          <w:lang w:val="fr-FR"/>
        </w:rPr>
      </w:pPr>
      <w:bookmarkStart w:id="0" w:name="_Hlk146890147"/>
      <w:r>
        <w:rPr>
          <w:lang w:val="fr-FR"/>
        </w:rPr>
        <w:tab/>
      </w:r>
      <w:r>
        <w:rPr>
          <w:lang w:val="fr-FR"/>
        </w:rPr>
        <w:tab/>
      </w:r>
      <w:r w:rsidR="00AE4D6C" w:rsidRPr="006E3CAE">
        <w:rPr>
          <w:lang w:val="fr-FR"/>
        </w:rPr>
        <w:t>Sécurité</w:t>
      </w:r>
      <w:r w:rsidR="00C5208B">
        <w:rPr>
          <w:lang w:val="fr-FR"/>
        </w:rPr>
        <w:t> :</w:t>
      </w:r>
    </w:p>
    <w:bookmarkEnd w:id="0"/>
    <w:p w14:paraId="654CEF93" w14:textId="7DC3E014" w:rsidR="00AE4D6C" w:rsidRPr="006E3CAE" w:rsidRDefault="001B1265" w:rsidP="007A5D7E">
      <w:pPr>
        <w:pStyle w:val="SingleTxtG"/>
        <w:rPr>
          <w:lang w:val="fr-FR"/>
        </w:rPr>
      </w:pPr>
      <w:r>
        <w:rPr>
          <w:lang w:val="fr-FR"/>
        </w:rPr>
        <w:t>7.</w:t>
      </w:r>
      <w:r>
        <w:rPr>
          <w:lang w:val="fr-FR"/>
        </w:rPr>
        <w:tab/>
      </w:r>
      <w:r w:rsidR="00AE4D6C" w:rsidRPr="006E3CAE">
        <w:rPr>
          <w:lang w:val="fr-FR"/>
        </w:rPr>
        <w:t>La suppression de cette prescription de service inutile n'affectera pas la sécurité. Le risque d'interprétations erronées s'en trouvera réduit.</w:t>
      </w:r>
    </w:p>
    <w:p w14:paraId="2195AC66" w14:textId="1013512B" w:rsidR="00AE4D6C" w:rsidRPr="006E3CAE" w:rsidRDefault="001B1265" w:rsidP="001B1265">
      <w:pPr>
        <w:pStyle w:val="H1G"/>
        <w:rPr>
          <w:lang w:val="fr-FR"/>
        </w:rPr>
      </w:pPr>
      <w:r>
        <w:rPr>
          <w:lang w:val="fr-FR"/>
        </w:rPr>
        <w:tab/>
      </w:r>
      <w:r w:rsidR="00AC63F4">
        <w:rPr>
          <w:lang w:val="fr-FR"/>
        </w:rPr>
        <w:tab/>
      </w:r>
      <w:r w:rsidR="00AE4D6C" w:rsidRPr="006E3CAE">
        <w:rPr>
          <w:lang w:val="fr-FR"/>
        </w:rPr>
        <w:t>Délai transitoire</w:t>
      </w:r>
      <w:r w:rsidR="00C5208B">
        <w:rPr>
          <w:lang w:val="fr-FR"/>
        </w:rPr>
        <w:t> :</w:t>
      </w:r>
    </w:p>
    <w:p w14:paraId="5266DAB6" w14:textId="2CADEA12" w:rsidR="00AE4D6C" w:rsidRPr="006E3CAE" w:rsidRDefault="00D77AE6" w:rsidP="007A5D7E">
      <w:pPr>
        <w:pStyle w:val="SingleTxtG"/>
        <w:rPr>
          <w:lang w:val="fr-FR"/>
        </w:rPr>
      </w:pPr>
      <w:r>
        <w:rPr>
          <w:lang w:val="fr-FR"/>
        </w:rPr>
        <w:t>8.</w:t>
      </w:r>
      <w:r>
        <w:rPr>
          <w:lang w:val="fr-FR"/>
        </w:rPr>
        <w:tab/>
      </w:r>
      <w:r w:rsidR="00AE4D6C" w:rsidRPr="006E3CAE">
        <w:rPr>
          <w:lang w:val="fr-FR"/>
        </w:rPr>
        <w:t>Aucun délai transitoire n'est nécessaire.</w:t>
      </w:r>
    </w:p>
    <w:p w14:paraId="32A311BC" w14:textId="501D9D1C" w:rsidR="00AE4D6C" w:rsidRPr="006E3CAE" w:rsidRDefault="0067788F" w:rsidP="0067788F">
      <w:pPr>
        <w:pStyle w:val="H1G"/>
        <w:rPr>
          <w:lang w:val="fr-FR"/>
        </w:rPr>
      </w:pPr>
      <w:r>
        <w:rPr>
          <w:lang w:val="fr-FR"/>
        </w:rPr>
        <w:tab/>
      </w:r>
      <w:r>
        <w:rPr>
          <w:lang w:val="fr-FR"/>
        </w:rPr>
        <w:tab/>
      </w:r>
      <w:r w:rsidR="00AE4D6C" w:rsidRPr="006E3CAE">
        <w:rPr>
          <w:lang w:val="fr-FR"/>
        </w:rPr>
        <w:t>Mise en œuvre</w:t>
      </w:r>
      <w:r w:rsidR="00C5208B">
        <w:rPr>
          <w:lang w:val="fr-FR"/>
        </w:rPr>
        <w:t> :</w:t>
      </w:r>
    </w:p>
    <w:p w14:paraId="6311074B" w14:textId="2C0B0821" w:rsidR="00AE4D6C" w:rsidRPr="006E3CAE" w:rsidRDefault="0067788F" w:rsidP="007A5D7E">
      <w:pPr>
        <w:pStyle w:val="SingleTxtG"/>
        <w:rPr>
          <w:lang w:val="fr-FR"/>
        </w:rPr>
      </w:pPr>
      <w:r>
        <w:rPr>
          <w:lang w:val="fr-FR"/>
        </w:rPr>
        <w:t>9.</w:t>
      </w:r>
      <w:r>
        <w:rPr>
          <w:lang w:val="fr-FR"/>
        </w:rPr>
        <w:tab/>
      </w:r>
      <w:r w:rsidR="00AE4D6C" w:rsidRPr="006E3CAE">
        <w:rPr>
          <w:lang w:val="fr-FR"/>
        </w:rPr>
        <w:t>La suppression rendra le texte plus clair également pour les autorités de contrôle.</w:t>
      </w:r>
    </w:p>
    <w:p w14:paraId="02886869" w14:textId="593188D2" w:rsidR="00C1626B" w:rsidRPr="007A5D7E" w:rsidRDefault="007A5D7E" w:rsidP="007A5D7E">
      <w:pPr>
        <w:spacing w:before="240"/>
        <w:jc w:val="center"/>
        <w:rPr>
          <w:u w:val="single"/>
        </w:rPr>
      </w:pPr>
      <w:r>
        <w:rPr>
          <w:u w:val="single"/>
        </w:rPr>
        <w:tab/>
      </w:r>
      <w:r>
        <w:rPr>
          <w:u w:val="single"/>
        </w:rPr>
        <w:tab/>
      </w:r>
      <w:r>
        <w:rPr>
          <w:u w:val="single"/>
        </w:rPr>
        <w:tab/>
      </w:r>
    </w:p>
    <w:sectPr w:rsidR="00C1626B" w:rsidRPr="007A5D7E" w:rsidSect="003927FD">
      <w:headerReference w:type="even" r:id="rId12"/>
      <w:headerReference w:type="default" r:id="rId13"/>
      <w:footerReference w:type="even" r:id="rId14"/>
      <w:footerReference w:type="default" r:id="rId15"/>
      <w:footerReference w:type="first" r:id="rId16"/>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0E029" w14:textId="77777777" w:rsidR="00210F8C" w:rsidRDefault="00210F8C" w:rsidP="00F95C08">
      <w:pPr>
        <w:spacing w:line="240" w:lineRule="auto"/>
      </w:pPr>
    </w:p>
  </w:endnote>
  <w:endnote w:type="continuationSeparator" w:id="0">
    <w:p w14:paraId="05D19E48" w14:textId="77777777" w:rsidR="00210F8C" w:rsidRPr="00AC3823" w:rsidRDefault="00210F8C" w:rsidP="00AC3823">
      <w:pPr>
        <w:pStyle w:val="Pieddepage"/>
      </w:pPr>
    </w:p>
  </w:endnote>
  <w:endnote w:type="continuationNotice" w:id="1">
    <w:p w14:paraId="25F7BE32" w14:textId="77777777" w:rsidR="00210F8C" w:rsidRDefault="00210F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4324" w14:textId="77777777" w:rsidR="003927FD" w:rsidRPr="003927FD" w:rsidRDefault="003927FD" w:rsidP="003927FD">
    <w:pPr>
      <w:pStyle w:val="Pieddepage"/>
      <w:tabs>
        <w:tab w:val="right" w:pos="9638"/>
      </w:tabs>
      <w:rPr>
        <w:sz w:val="18"/>
      </w:rPr>
    </w:pPr>
    <w:r w:rsidRPr="003927FD">
      <w:rPr>
        <w:b/>
        <w:sz w:val="18"/>
      </w:rPr>
      <w:fldChar w:fldCharType="begin"/>
    </w:r>
    <w:r w:rsidRPr="003927FD">
      <w:rPr>
        <w:b/>
        <w:sz w:val="18"/>
      </w:rPr>
      <w:instrText xml:space="preserve"> PAGE  \* MERGEFORMAT </w:instrText>
    </w:r>
    <w:r w:rsidRPr="003927FD">
      <w:rPr>
        <w:b/>
        <w:sz w:val="18"/>
      </w:rPr>
      <w:fldChar w:fldCharType="separate"/>
    </w:r>
    <w:r w:rsidRPr="003927FD">
      <w:rPr>
        <w:b/>
        <w:noProof/>
        <w:sz w:val="18"/>
      </w:rPr>
      <w:t>2</w:t>
    </w:r>
    <w:r w:rsidRPr="003927F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76C5" w14:textId="77777777" w:rsidR="003927FD" w:rsidRPr="003927FD" w:rsidRDefault="003927FD" w:rsidP="003927FD">
    <w:pPr>
      <w:pStyle w:val="Pieddepage"/>
      <w:tabs>
        <w:tab w:val="right" w:pos="9638"/>
      </w:tabs>
      <w:rPr>
        <w:b/>
        <w:sz w:val="18"/>
      </w:rPr>
    </w:pPr>
    <w:r>
      <w:tab/>
    </w:r>
    <w:r w:rsidRPr="003927FD">
      <w:rPr>
        <w:b/>
        <w:sz w:val="18"/>
      </w:rPr>
      <w:fldChar w:fldCharType="begin"/>
    </w:r>
    <w:r w:rsidRPr="003927FD">
      <w:rPr>
        <w:b/>
        <w:sz w:val="18"/>
      </w:rPr>
      <w:instrText xml:space="preserve"> PAGE  \* MERGEFORMAT </w:instrText>
    </w:r>
    <w:r w:rsidRPr="003927FD">
      <w:rPr>
        <w:b/>
        <w:sz w:val="18"/>
      </w:rPr>
      <w:fldChar w:fldCharType="separate"/>
    </w:r>
    <w:r w:rsidRPr="003927FD">
      <w:rPr>
        <w:b/>
        <w:noProof/>
        <w:sz w:val="18"/>
      </w:rPr>
      <w:t>3</w:t>
    </w:r>
    <w:r w:rsidRPr="003927F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4F46" w14:textId="7E2E1628" w:rsidR="000D3EE9" w:rsidRPr="002C655B" w:rsidRDefault="002C655B" w:rsidP="002C655B">
    <w:pPr>
      <w:pStyle w:val="Pieddepage"/>
      <w:tabs>
        <w:tab w:val="left" w:pos="6520"/>
        <w:tab w:val="right" w:pos="9638"/>
      </w:tabs>
      <w:spacing w:before="120"/>
      <w:rPr>
        <w:sz w:val="20"/>
      </w:rPr>
    </w:pPr>
    <w:r>
      <w:rPr>
        <w:sz w:val="20"/>
      </w:rPr>
      <w:t>GE.23-21330  (F)</w:t>
    </w:r>
    <w:bookmarkStart w:id="1" w:name="_GoBack"/>
    <w:bookmarkEnd w:id="1"/>
    <w:r>
      <w:rPr>
        <w:sz w:val="20"/>
      </w:rPr>
      <w:tab/>
    </w:r>
    <w:r w:rsidRPr="002C655B">
      <w:rPr>
        <w:noProof/>
        <w:sz w:val="20"/>
        <w:lang w:eastAsia="fr-CH"/>
      </w:rPr>
      <w:drawing>
        <wp:inline distT="0" distB="0" distL="0" distR="0" wp14:anchorId="054C48BE" wp14:editId="5A8F5AA4">
          <wp:extent cx="1105200" cy="234000"/>
          <wp:effectExtent l="0" t="0" r="0" b="0"/>
          <wp:docPr id="1"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inline>
      </w:drawing>
    </w:r>
    <w:r>
      <w:rPr>
        <w:sz w:val="20"/>
      </w:rPr>
      <w:tab/>
    </w:r>
    <w:r>
      <w:rPr>
        <w:noProof/>
        <w:sz w:val="20"/>
      </w:rPr>
      <w:drawing>
        <wp:inline distT="0" distB="0" distL="0" distR="0" wp14:anchorId="48EF92BA" wp14:editId="4DCAFF9A">
          <wp:extent cx="638810" cy="638810"/>
          <wp:effectExtent l="0" t="0" r="889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810" cy="6388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C9AAE" w14:textId="77777777" w:rsidR="00210F8C" w:rsidRPr="00AC3823" w:rsidRDefault="00210F8C" w:rsidP="00AC3823">
      <w:pPr>
        <w:pStyle w:val="Pieddepage"/>
        <w:tabs>
          <w:tab w:val="right" w:pos="2155"/>
        </w:tabs>
        <w:spacing w:after="80" w:line="240" w:lineRule="atLeast"/>
        <w:ind w:left="680"/>
        <w:rPr>
          <w:u w:val="single"/>
        </w:rPr>
      </w:pPr>
      <w:r>
        <w:rPr>
          <w:u w:val="single"/>
        </w:rPr>
        <w:tab/>
      </w:r>
    </w:p>
  </w:footnote>
  <w:footnote w:type="continuationSeparator" w:id="0">
    <w:p w14:paraId="2B8765F9" w14:textId="77777777" w:rsidR="00210F8C" w:rsidRPr="00AC3823" w:rsidRDefault="00210F8C" w:rsidP="00AC3823">
      <w:pPr>
        <w:pStyle w:val="Pieddepage"/>
        <w:tabs>
          <w:tab w:val="right" w:pos="2155"/>
        </w:tabs>
        <w:spacing w:after="80" w:line="240" w:lineRule="atLeast"/>
        <w:ind w:left="680"/>
        <w:rPr>
          <w:u w:val="single"/>
        </w:rPr>
      </w:pPr>
      <w:r>
        <w:rPr>
          <w:u w:val="single"/>
        </w:rPr>
        <w:tab/>
      </w:r>
    </w:p>
  </w:footnote>
  <w:footnote w:type="continuationNotice" w:id="1">
    <w:p w14:paraId="6B503115" w14:textId="77777777" w:rsidR="00210F8C" w:rsidRPr="00AC3823" w:rsidRDefault="00210F8C">
      <w:pPr>
        <w:spacing w:line="240" w:lineRule="auto"/>
        <w:rPr>
          <w:sz w:val="2"/>
          <w:szCs w:val="2"/>
        </w:rPr>
      </w:pPr>
    </w:p>
  </w:footnote>
  <w:footnote w:id="2">
    <w:p w14:paraId="251B3DEB" w14:textId="61FE856E" w:rsidR="000124E3" w:rsidRPr="006E3CAE" w:rsidRDefault="000124E3" w:rsidP="000124E3">
      <w:pPr>
        <w:pStyle w:val="Notedebasdepage"/>
        <w:rPr>
          <w:sz w:val="16"/>
          <w:szCs w:val="16"/>
          <w:lang w:val="fr-FR"/>
        </w:rPr>
      </w:pPr>
      <w:r w:rsidRPr="006E3CAE">
        <w:rPr>
          <w:rStyle w:val="Appelnotedebasdep"/>
          <w:lang w:val="fr-FR"/>
        </w:rPr>
        <w:tab/>
        <w:t>*</w:t>
      </w:r>
      <w:r w:rsidRPr="006E3CAE">
        <w:rPr>
          <w:rStyle w:val="Appelnotedebasdep"/>
          <w:lang w:val="fr-FR"/>
        </w:rPr>
        <w:tab/>
      </w:r>
      <w:r w:rsidRPr="006E3CAE">
        <w:rPr>
          <w:sz w:val="16"/>
          <w:szCs w:val="16"/>
          <w:lang w:val="fr-FR"/>
        </w:rPr>
        <w:t>Diffusée en langue allemande par la Commission centrale pour la navigation du Rhin sous la cote CCNR-ZKR/ADN/WP.15/AC.2/202</w:t>
      </w:r>
      <w:r w:rsidR="00430F0D">
        <w:rPr>
          <w:sz w:val="16"/>
          <w:szCs w:val="16"/>
          <w:lang w:val="fr-FR"/>
        </w:rPr>
        <w:t>4</w:t>
      </w:r>
      <w:r w:rsidRPr="006E3CAE">
        <w:rPr>
          <w:sz w:val="16"/>
          <w:szCs w:val="16"/>
          <w:lang w:val="fr-FR"/>
        </w:rPr>
        <w:t>/2</w:t>
      </w:r>
    </w:p>
  </w:footnote>
  <w:footnote w:id="3">
    <w:p w14:paraId="21231BC8" w14:textId="6521BED2" w:rsidR="000124E3" w:rsidRPr="006E3CAE" w:rsidRDefault="000124E3" w:rsidP="000124E3">
      <w:pPr>
        <w:pStyle w:val="Notedebasdepage"/>
        <w:rPr>
          <w:sz w:val="16"/>
          <w:szCs w:val="16"/>
        </w:rPr>
      </w:pPr>
      <w:r w:rsidRPr="006E3CAE">
        <w:rPr>
          <w:rStyle w:val="Appelnotedebasdep"/>
          <w:lang w:val="fr-FR"/>
        </w:rPr>
        <w:tab/>
      </w:r>
      <w:r w:rsidRPr="006E3CAE">
        <w:rPr>
          <w:rStyle w:val="Appelnotedebasdep"/>
          <w:lang w:val="de-DE"/>
        </w:rPr>
        <w:t>**</w:t>
      </w:r>
      <w:r w:rsidRPr="006E3CAE">
        <w:rPr>
          <w:rStyle w:val="Appelnotedebasdep"/>
          <w:lang w:val="de-DE"/>
        </w:rPr>
        <w:tab/>
      </w:r>
      <w:r w:rsidR="00430F0D" w:rsidRPr="00430F0D">
        <w:rPr>
          <w:sz w:val="16"/>
          <w:szCs w:val="16"/>
        </w:rPr>
        <w:t xml:space="preserve">A/78/6 (Sect. 20), </w:t>
      </w:r>
      <w:r w:rsidR="009059DC">
        <w:rPr>
          <w:sz w:val="16"/>
          <w:szCs w:val="16"/>
        </w:rPr>
        <w:t>t</w:t>
      </w:r>
      <w:r w:rsidR="00546BB2">
        <w:rPr>
          <w:sz w:val="16"/>
          <w:szCs w:val="16"/>
        </w:rPr>
        <w:t>ableau</w:t>
      </w:r>
      <w:r w:rsidR="00430F0D" w:rsidRPr="00430F0D">
        <w:rPr>
          <w:sz w:val="16"/>
          <w:szCs w:val="16"/>
        </w:rPr>
        <w:t xml:space="preserve">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D2B9" w14:textId="77777777" w:rsidR="003927FD" w:rsidRPr="003927FD" w:rsidRDefault="004F49FC">
    <w:pPr>
      <w:pStyle w:val="En-tte"/>
    </w:pPr>
    <w:r>
      <w:fldChar w:fldCharType="begin"/>
    </w:r>
    <w:r>
      <w:instrText xml:space="preserve"> TITLE  \* MERGEFORMAT </w:instrText>
    </w:r>
    <w:r>
      <w:fldChar w:fldCharType="separate"/>
    </w:r>
    <w:r w:rsidR="003927FD">
      <w:t>ECE/TRANS/WP.15/AC.2/2024/2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D28B" w14:textId="77777777" w:rsidR="003927FD" w:rsidRPr="003927FD" w:rsidRDefault="004F49FC" w:rsidP="003927FD">
    <w:pPr>
      <w:pStyle w:val="En-tte"/>
      <w:jc w:val="right"/>
    </w:pPr>
    <w:r>
      <w:fldChar w:fldCharType="begin"/>
    </w:r>
    <w:r>
      <w:instrText xml:space="preserve"> TITLE  \* MERGEFORMAT </w:instrText>
    </w:r>
    <w:r>
      <w:fldChar w:fldCharType="separate"/>
    </w:r>
    <w:r w:rsidR="003927FD">
      <w:t>ECE/TRANS/WP.15/AC.2/2024/2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720978942">
    <w:abstractNumId w:val="12"/>
  </w:num>
  <w:num w:numId="2" w16cid:durableId="567035163">
    <w:abstractNumId w:val="11"/>
  </w:num>
  <w:num w:numId="3" w16cid:durableId="1827354541">
    <w:abstractNumId w:val="10"/>
  </w:num>
  <w:num w:numId="4" w16cid:durableId="419567135">
    <w:abstractNumId w:val="8"/>
  </w:num>
  <w:num w:numId="5" w16cid:durableId="1553736208">
    <w:abstractNumId w:val="3"/>
  </w:num>
  <w:num w:numId="6" w16cid:durableId="1420909153">
    <w:abstractNumId w:val="2"/>
  </w:num>
  <w:num w:numId="7" w16cid:durableId="1963071017">
    <w:abstractNumId w:val="1"/>
  </w:num>
  <w:num w:numId="8" w16cid:durableId="1005862423">
    <w:abstractNumId w:val="0"/>
  </w:num>
  <w:num w:numId="9" w16cid:durableId="1050036666">
    <w:abstractNumId w:val="9"/>
  </w:num>
  <w:num w:numId="10" w16cid:durableId="1295991253">
    <w:abstractNumId w:val="7"/>
  </w:num>
  <w:num w:numId="11" w16cid:durableId="909536527">
    <w:abstractNumId w:val="6"/>
  </w:num>
  <w:num w:numId="12" w16cid:durableId="182131217">
    <w:abstractNumId w:val="5"/>
  </w:num>
  <w:num w:numId="13" w16cid:durableId="549728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2324AE-7E1B-46E0-BE39-6171A5137F5D}"/>
    <w:docVar w:name="dgnword-eventsink" w:val="646185176"/>
  </w:docVars>
  <w:rsids>
    <w:rsidRoot w:val="003927FD"/>
    <w:rsid w:val="0001207F"/>
    <w:rsid w:val="000124E3"/>
    <w:rsid w:val="00017F94"/>
    <w:rsid w:val="00023842"/>
    <w:rsid w:val="00025453"/>
    <w:rsid w:val="000334F9"/>
    <w:rsid w:val="0004639C"/>
    <w:rsid w:val="0007796D"/>
    <w:rsid w:val="000942EE"/>
    <w:rsid w:val="000A52BF"/>
    <w:rsid w:val="000B7790"/>
    <w:rsid w:val="000D3EE9"/>
    <w:rsid w:val="000D62F3"/>
    <w:rsid w:val="001035C1"/>
    <w:rsid w:val="00111F2F"/>
    <w:rsid w:val="001433FD"/>
    <w:rsid w:val="0014365E"/>
    <w:rsid w:val="001541D3"/>
    <w:rsid w:val="00156B77"/>
    <w:rsid w:val="00176178"/>
    <w:rsid w:val="00177140"/>
    <w:rsid w:val="001B1265"/>
    <w:rsid w:val="001B7764"/>
    <w:rsid w:val="001D400F"/>
    <w:rsid w:val="001F525A"/>
    <w:rsid w:val="00200B9E"/>
    <w:rsid w:val="00210F8C"/>
    <w:rsid w:val="00223272"/>
    <w:rsid w:val="00240333"/>
    <w:rsid w:val="002403D3"/>
    <w:rsid w:val="0024779E"/>
    <w:rsid w:val="0027156F"/>
    <w:rsid w:val="002832AC"/>
    <w:rsid w:val="002A477F"/>
    <w:rsid w:val="002C655B"/>
    <w:rsid w:val="002D7C93"/>
    <w:rsid w:val="00311371"/>
    <w:rsid w:val="0037241C"/>
    <w:rsid w:val="003819FF"/>
    <w:rsid w:val="003927FD"/>
    <w:rsid w:val="003D0C77"/>
    <w:rsid w:val="00430F0D"/>
    <w:rsid w:val="00441C3B"/>
    <w:rsid w:val="00446B0A"/>
    <w:rsid w:val="00446FE5"/>
    <w:rsid w:val="00452396"/>
    <w:rsid w:val="00471288"/>
    <w:rsid w:val="0049687C"/>
    <w:rsid w:val="004D7DD3"/>
    <w:rsid w:val="004E468C"/>
    <w:rsid w:val="005316B0"/>
    <w:rsid w:val="00546BB2"/>
    <w:rsid w:val="005505B7"/>
    <w:rsid w:val="00573BE5"/>
    <w:rsid w:val="00575531"/>
    <w:rsid w:val="00586ED3"/>
    <w:rsid w:val="00596AA9"/>
    <w:rsid w:val="005B091E"/>
    <w:rsid w:val="005B4D0F"/>
    <w:rsid w:val="006611B0"/>
    <w:rsid w:val="0067788F"/>
    <w:rsid w:val="006A3C82"/>
    <w:rsid w:val="006A43B6"/>
    <w:rsid w:val="00703D0F"/>
    <w:rsid w:val="00706363"/>
    <w:rsid w:val="00713675"/>
    <w:rsid w:val="007158BB"/>
    <w:rsid w:val="0071601D"/>
    <w:rsid w:val="0075410D"/>
    <w:rsid w:val="007A5D7E"/>
    <w:rsid w:val="007A62E6"/>
    <w:rsid w:val="007E415A"/>
    <w:rsid w:val="007E6E5D"/>
    <w:rsid w:val="0080684C"/>
    <w:rsid w:val="008204DA"/>
    <w:rsid w:val="008535AD"/>
    <w:rsid w:val="00871C75"/>
    <w:rsid w:val="008767E8"/>
    <w:rsid w:val="008776DC"/>
    <w:rsid w:val="00883605"/>
    <w:rsid w:val="008E6043"/>
    <w:rsid w:val="008F5864"/>
    <w:rsid w:val="009059DC"/>
    <w:rsid w:val="00961E7B"/>
    <w:rsid w:val="009705C8"/>
    <w:rsid w:val="00985A7F"/>
    <w:rsid w:val="009A0ABB"/>
    <w:rsid w:val="009C1CF4"/>
    <w:rsid w:val="009F02C9"/>
    <w:rsid w:val="00A30353"/>
    <w:rsid w:val="00A62D91"/>
    <w:rsid w:val="00A90D54"/>
    <w:rsid w:val="00AA113A"/>
    <w:rsid w:val="00AC3823"/>
    <w:rsid w:val="00AC63F4"/>
    <w:rsid w:val="00AE323C"/>
    <w:rsid w:val="00AE4D6C"/>
    <w:rsid w:val="00AF774C"/>
    <w:rsid w:val="00B00181"/>
    <w:rsid w:val="00B00B0D"/>
    <w:rsid w:val="00B125CD"/>
    <w:rsid w:val="00B247C1"/>
    <w:rsid w:val="00B40927"/>
    <w:rsid w:val="00B50E25"/>
    <w:rsid w:val="00B64918"/>
    <w:rsid w:val="00B765F7"/>
    <w:rsid w:val="00BA0CA9"/>
    <w:rsid w:val="00C02897"/>
    <w:rsid w:val="00C1626B"/>
    <w:rsid w:val="00C5208B"/>
    <w:rsid w:val="00C66A47"/>
    <w:rsid w:val="00C7616F"/>
    <w:rsid w:val="00CB16B5"/>
    <w:rsid w:val="00CD460D"/>
    <w:rsid w:val="00CE0608"/>
    <w:rsid w:val="00D3439C"/>
    <w:rsid w:val="00D44CF3"/>
    <w:rsid w:val="00D46C8C"/>
    <w:rsid w:val="00D77AE6"/>
    <w:rsid w:val="00DB1831"/>
    <w:rsid w:val="00DC1C19"/>
    <w:rsid w:val="00DD3BFD"/>
    <w:rsid w:val="00DE239D"/>
    <w:rsid w:val="00DF431C"/>
    <w:rsid w:val="00DF6678"/>
    <w:rsid w:val="00E31240"/>
    <w:rsid w:val="00E368F7"/>
    <w:rsid w:val="00E428C8"/>
    <w:rsid w:val="00E77130"/>
    <w:rsid w:val="00E87FDB"/>
    <w:rsid w:val="00EC031B"/>
    <w:rsid w:val="00EF2E22"/>
    <w:rsid w:val="00F0592C"/>
    <w:rsid w:val="00F06ED4"/>
    <w:rsid w:val="00F14065"/>
    <w:rsid w:val="00F275D5"/>
    <w:rsid w:val="00F43289"/>
    <w:rsid w:val="00F539A9"/>
    <w:rsid w:val="00F660DF"/>
    <w:rsid w:val="00F9445D"/>
    <w:rsid w:val="00F95C08"/>
    <w:rsid w:val="00FB2BE1"/>
    <w:rsid w:val="00FD158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20397"/>
  <w15:docId w15:val="{5E48B454-4BAB-4758-9B78-B4EBF794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F7"/>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80684C"/>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80684C"/>
    <w:pPr>
      <w:tabs>
        <w:tab w:val="left" w:pos="1701"/>
        <w:tab w:val="left" w:pos="2268"/>
        <w:tab w:val="left" w:pos="2835"/>
      </w:tabs>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Normal"/>
    <w:qFormat/>
    <w:rsid w:val="00DF6678"/>
    <w:pPr>
      <w:numPr>
        <w:numId w:val="3"/>
      </w:numPr>
      <w:tabs>
        <w:tab w:val="left" w:pos="1701"/>
        <w:tab w:val="left" w:pos="2268"/>
        <w:tab w:val="left" w:pos="2835"/>
      </w:tabs>
      <w:spacing w:after="120"/>
      <w:ind w:right="1134"/>
      <w:jc w:val="both"/>
    </w:pPr>
  </w:style>
  <w:style w:type="character" w:styleId="Appelnotedebasdep">
    <w:name w:val="footnote reference"/>
    <w:aliases w:val="4_G,Footnote Reference/"/>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02384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706363"/>
    <w:rPr>
      <w:color w:val="0000FF"/>
      <w:u w:val="none"/>
    </w:rPr>
  </w:style>
  <w:style w:type="character" w:styleId="Lienhypertextesuivivisit">
    <w:name w:val="FollowedHyperlink"/>
    <w:basedOn w:val="Policepardfaut"/>
    <w:unhideWhenUsed/>
    <w:rsid w:val="00706363"/>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433F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3FD"/>
    <w:rPr>
      <w:rFonts w:ascii="Tahoma" w:hAnsi="Tahoma" w:cs="Tahoma"/>
      <w:sz w:val="16"/>
      <w:szCs w:val="16"/>
      <w:lang w:eastAsia="en-US"/>
    </w:rPr>
  </w:style>
  <w:style w:type="character" w:customStyle="1" w:styleId="SingleTxtGChar">
    <w:name w:val="_ Single Txt_G Char"/>
    <w:link w:val="SingleTxtG"/>
    <w:rsid w:val="0001207F"/>
  </w:style>
  <w:style w:type="character" w:customStyle="1" w:styleId="HChGChar">
    <w:name w:val="_ H _Ch_G Char"/>
    <w:link w:val="HChG"/>
    <w:rsid w:val="0001207F"/>
    <w:rPr>
      <w:b/>
      <w:sz w:val="28"/>
    </w:rPr>
  </w:style>
  <w:style w:type="paragraph" w:styleId="Rvision">
    <w:name w:val="Revision"/>
    <w:hidden/>
    <w:uiPriority w:val="99"/>
    <w:semiHidden/>
    <w:rsid w:val="00200B9E"/>
    <w:pPr>
      <w:spacing w:line="240" w:lineRule="auto"/>
    </w:pPr>
  </w:style>
  <w:style w:type="character" w:styleId="Marquedecommentaire">
    <w:name w:val="annotation reference"/>
    <w:basedOn w:val="Policepardfaut"/>
    <w:uiPriority w:val="99"/>
    <w:semiHidden/>
    <w:unhideWhenUsed/>
    <w:rsid w:val="001B7764"/>
    <w:rPr>
      <w:sz w:val="16"/>
      <w:szCs w:val="16"/>
    </w:rPr>
  </w:style>
  <w:style w:type="paragraph" w:styleId="Commentaire">
    <w:name w:val="annotation text"/>
    <w:basedOn w:val="Normal"/>
    <w:link w:val="CommentaireCar"/>
    <w:uiPriority w:val="99"/>
    <w:unhideWhenUsed/>
    <w:rsid w:val="001B7764"/>
    <w:pPr>
      <w:spacing w:line="240" w:lineRule="auto"/>
    </w:pPr>
  </w:style>
  <w:style w:type="character" w:customStyle="1" w:styleId="CommentaireCar">
    <w:name w:val="Commentaire Car"/>
    <w:basedOn w:val="Policepardfaut"/>
    <w:link w:val="Commentaire"/>
    <w:uiPriority w:val="99"/>
    <w:rsid w:val="001B7764"/>
  </w:style>
  <w:style w:type="paragraph" w:styleId="Objetducommentaire">
    <w:name w:val="annotation subject"/>
    <w:basedOn w:val="Commentaire"/>
    <w:next w:val="Commentaire"/>
    <w:link w:val="ObjetducommentaireCar"/>
    <w:uiPriority w:val="99"/>
    <w:semiHidden/>
    <w:unhideWhenUsed/>
    <w:rsid w:val="001B7764"/>
    <w:rPr>
      <w:b/>
      <w:bCs/>
    </w:rPr>
  </w:style>
  <w:style w:type="character" w:customStyle="1" w:styleId="ObjetducommentaireCar">
    <w:name w:val="Objet du commentaire Car"/>
    <w:basedOn w:val="CommentaireCar"/>
    <w:link w:val="Objetducommentaire"/>
    <w:uiPriority w:val="99"/>
    <w:semiHidden/>
    <w:rsid w:val="001B77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4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TRANS_WP1_24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Alibech Mireles Diaz</DisplayName>
        <AccountId>46</AccountId>
        <AccountType/>
      </UserInfo>
      <UserInfo>
        <DisplayName>Romain Hubert</DisplayName>
        <AccountId>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C14563-ACB7-44AD-B0EF-E55148CFDD3D}">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2.xml><?xml version="1.0" encoding="utf-8"?>
<ds:datastoreItem xmlns:ds="http://schemas.openxmlformats.org/officeDocument/2006/customXml" ds:itemID="{0D1B48F8-80E1-409D-9E8C-96728D8E8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50AA66-D5E5-4DB4-B41B-E99BEAF5ABEB}">
  <ds:schemaRefs>
    <ds:schemaRef ds:uri="http://schemas.openxmlformats.org/officeDocument/2006/bibliography"/>
  </ds:schemaRefs>
</ds:datastoreItem>
</file>

<file path=customXml/itemProps4.xml><?xml version="1.0" encoding="utf-8"?>
<ds:datastoreItem xmlns:ds="http://schemas.openxmlformats.org/officeDocument/2006/customXml" ds:itemID="{81307320-C528-4032-AB5A-73B861CDA1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TRANS_WP1_24_F.dotm</Template>
  <TotalTime>0</TotalTime>
  <Pages>2</Pages>
  <Words>473</Words>
  <Characters>2683</Characters>
  <Application>Microsoft Office Word</Application>
  <DocSecurity>0</DocSecurity>
  <Lines>67</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ECE/EX/22</vt:lpstr>
      <vt:lpstr>ECE/EX/22</vt:lpstr>
    </vt:vector>
  </TitlesOfParts>
  <Company>DCM</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ECE/TRANS/WP.15/AC.2/2024/2</dc:title>
  <dc:subject>FINAL</dc:subject>
  <dc:creator>Editorial</dc:creator>
  <cp:keywords/>
  <dc:description/>
  <cp:lastModifiedBy>Sandrine Clere</cp:lastModifiedBy>
  <cp:revision>2</cp:revision>
  <cp:lastPrinted>2014-05-14T10:59:00Z</cp:lastPrinted>
  <dcterms:created xsi:type="dcterms:W3CDTF">2023-11-03T08:45:00Z</dcterms:created>
  <dcterms:modified xsi:type="dcterms:W3CDTF">2023-11-03T08:45:00Z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