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717266" w14:paraId="26DDD09F" w14:textId="77777777" w:rsidTr="000D1B89">
        <w:trPr>
          <w:cantSplit/>
          <w:trHeight w:hRule="exact" w:val="851"/>
        </w:trPr>
        <w:tc>
          <w:tcPr>
            <w:tcW w:w="1276" w:type="dxa"/>
            <w:tcBorders>
              <w:bottom w:val="single" w:sz="4" w:space="0" w:color="auto"/>
            </w:tcBorders>
            <w:vAlign w:val="bottom"/>
          </w:tcPr>
          <w:p w14:paraId="2AF6D5CD" w14:textId="77777777" w:rsidR="00717266" w:rsidRDefault="00717266" w:rsidP="000D1B89">
            <w:pPr>
              <w:spacing w:after="80"/>
            </w:pPr>
          </w:p>
        </w:tc>
        <w:tc>
          <w:tcPr>
            <w:tcW w:w="2268" w:type="dxa"/>
            <w:tcBorders>
              <w:bottom w:val="single" w:sz="4" w:space="0" w:color="auto"/>
            </w:tcBorders>
            <w:vAlign w:val="bottom"/>
          </w:tcPr>
          <w:p w14:paraId="5A74E706" w14:textId="77777777" w:rsidR="00717266" w:rsidRPr="00B97172" w:rsidRDefault="00717266" w:rsidP="000D1B89">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1CFAAF1" w14:textId="77777777" w:rsidR="00717266" w:rsidRPr="00D47EEA" w:rsidRDefault="00BA3C52" w:rsidP="00BA3C52">
            <w:pPr>
              <w:suppressAutoHyphens w:val="0"/>
              <w:spacing w:after="20"/>
              <w:jc w:val="right"/>
            </w:pPr>
            <w:r w:rsidRPr="00BA3C52">
              <w:rPr>
                <w:sz w:val="40"/>
              </w:rPr>
              <w:t>ECE</w:t>
            </w:r>
            <w:r>
              <w:t>/TRANS/WP.15/AC.2/2024/2</w:t>
            </w:r>
          </w:p>
        </w:tc>
      </w:tr>
      <w:tr w:rsidR="00717266" w14:paraId="1151A4C6" w14:textId="77777777" w:rsidTr="000D1B89">
        <w:trPr>
          <w:cantSplit/>
          <w:trHeight w:hRule="exact" w:val="2835"/>
        </w:trPr>
        <w:tc>
          <w:tcPr>
            <w:tcW w:w="1276" w:type="dxa"/>
            <w:tcBorders>
              <w:top w:val="single" w:sz="4" w:space="0" w:color="auto"/>
              <w:bottom w:val="single" w:sz="12" w:space="0" w:color="auto"/>
            </w:tcBorders>
          </w:tcPr>
          <w:p w14:paraId="26991AE9" w14:textId="77777777" w:rsidR="00717266" w:rsidRDefault="00717266" w:rsidP="000D1B89">
            <w:pPr>
              <w:spacing w:before="120"/>
            </w:pPr>
            <w:r>
              <w:rPr>
                <w:noProof/>
                <w:lang w:val="fr-CH" w:eastAsia="fr-CH"/>
              </w:rPr>
              <w:drawing>
                <wp:inline distT="0" distB="0" distL="0" distR="0" wp14:anchorId="1BB3C22E" wp14:editId="5A2D20B9">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AAA2A7E" w14:textId="77777777" w:rsidR="00717266" w:rsidRPr="00D773DF" w:rsidRDefault="00717266" w:rsidP="000D1B89">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D2D1969" w14:textId="77777777" w:rsidR="00717266" w:rsidRDefault="00BA3C52" w:rsidP="00BA3C52">
            <w:pPr>
              <w:spacing w:before="240"/>
            </w:pPr>
            <w:r>
              <w:t>Distr.: General</w:t>
            </w:r>
          </w:p>
          <w:p w14:paraId="5634B1BA" w14:textId="12D08514" w:rsidR="00BA3C52" w:rsidRDefault="00BA3C52" w:rsidP="00BA3C52">
            <w:pPr>
              <w:suppressAutoHyphens w:val="0"/>
            </w:pPr>
            <w:r>
              <w:t>2 November 2023</w:t>
            </w:r>
          </w:p>
          <w:p w14:paraId="3E930B94" w14:textId="7BE53C03" w:rsidR="00BA3C52" w:rsidRDefault="00BA3C52" w:rsidP="00BA3C52">
            <w:pPr>
              <w:suppressAutoHyphens w:val="0"/>
            </w:pPr>
            <w:r>
              <w:t>English</w:t>
            </w:r>
          </w:p>
          <w:p w14:paraId="2A3012E5" w14:textId="77777777" w:rsidR="00BA3C52" w:rsidRDefault="00BA3C52" w:rsidP="00BA3C52">
            <w:pPr>
              <w:suppressAutoHyphens w:val="0"/>
            </w:pPr>
            <w:r>
              <w:t>Original: French</w:t>
            </w:r>
          </w:p>
        </w:tc>
      </w:tr>
    </w:tbl>
    <w:p w14:paraId="20EDA0D1" w14:textId="77777777" w:rsidR="00BA3C52" w:rsidRDefault="00BA3C52">
      <w:pPr>
        <w:spacing w:before="120"/>
        <w:rPr>
          <w:b/>
          <w:sz w:val="28"/>
          <w:szCs w:val="28"/>
        </w:rPr>
      </w:pPr>
      <w:r>
        <w:rPr>
          <w:b/>
          <w:sz w:val="28"/>
          <w:szCs w:val="28"/>
        </w:rPr>
        <w:t>Economic Commission for Europe</w:t>
      </w:r>
    </w:p>
    <w:p w14:paraId="573F2660" w14:textId="77777777" w:rsidR="00BA3C52" w:rsidRDefault="00BA3C52">
      <w:pPr>
        <w:spacing w:before="120"/>
        <w:rPr>
          <w:sz w:val="28"/>
          <w:szCs w:val="28"/>
        </w:rPr>
      </w:pPr>
      <w:r>
        <w:rPr>
          <w:sz w:val="28"/>
          <w:szCs w:val="28"/>
        </w:rPr>
        <w:t>Inland Transport Committee</w:t>
      </w:r>
    </w:p>
    <w:p w14:paraId="2CB01069" w14:textId="34AF6218" w:rsidR="00BA3C52" w:rsidRDefault="00BA3C52">
      <w:pPr>
        <w:spacing w:before="120"/>
        <w:rPr>
          <w:b/>
          <w:sz w:val="24"/>
          <w:szCs w:val="24"/>
        </w:rPr>
      </w:pPr>
      <w:r>
        <w:rPr>
          <w:b/>
          <w:sz w:val="24"/>
          <w:szCs w:val="24"/>
        </w:rPr>
        <w:t xml:space="preserve">Working Party on the Transport of </w:t>
      </w:r>
      <w:r w:rsidR="00FA2F17">
        <w:rPr>
          <w:b/>
          <w:sz w:val="24"/>
          <w:szCs w:val="24"/>
        </w:rPr>
        <w:t>Dangerous Goods</w:t>
      </w:r>
    </w:p>
    <w:p w14:paraId="0A9B8712" w14:textId="4A05CB5D" w:rsidR="00FA2F17" w:rsidRPr="00C52122" w:rsidRDefault="00FA2F17" w:rsidP="00FA2F17">
      <w:pPr>
        <w:spacing w:before="120"/>
        <w:rPr>
          <w:b/>
        </w:rPr>
      </w:pPr>
      <w:r>
        <w:rPr>
          <w:b/>
          <w:bCs/>
        </w:rPr>
        <w:t>Joint Meeting of Experts on the Regulations annexed to the European</w:t>
      </w:r>
      <w:r>
        <w:rPr>
          <w:b/>
          <w:bCs/>
        </w:rPr>
        <w:br/>
      </w:r>
      <w:r>
        <w:rPr>
          <w:b/>
          <w:bCs/>
        </w:rPr>
        <w:t>Agreement concerning the International Carriage of Dangerous Goods</w:t>
      </w:r>
      <w:r>
        <w:rPr>
          <w:b/>
          <w:bCs/>
        </w:rPr>
        <w:br/>
      </w:r>
      <w:r>
        <w:rPr>
          <w:b/>
          <w:bCs/>
        </w:rPr>
        <w:t>by Inland Waterways (ADN) (ADN Safety Committee)</w:t>
      </w:r>
    </w:p>
    <w:p w14:paraId="0B9985EC" w14:textId="77777777" w:rsidR="00FA2F17" w:rsidRPr="00C52122" w:rsidRDefault="00FA2F17" w:rsidP="00FA2F17">
      <w:pPr>
        <w:tabs>
          <w:tab w:val="left" w:pos="4030"/>
        </w:tabs>
        <w:spacing w:before="120"/>
        <w:rPr>
          <w:b/>
        </w:rPr>
      </w:pPr>
      <w:r>
        <w:rPr>
          <w:b/>
          <w:bCs/>
        </w:rPr>
        <w:t>Forty-third session</w:t>
      </w:r>
    </w:p>
    <w:p w14:paraId="1BB3740C" w14:textId="77777777" w:rsidR="00FA2F17" w:rsidRPr="00C52122" w:rsidRDefault="00FA2F17" w:rsidP="00FA2F17">
      <w:pPr>
        <w:rPr>
          <w:bCs/>
        </w:rPr>
      </w:pPr>
      <w:r>
        <w:t>Geneva, 22–26 January 2024</w:t>
      </w:r>
    </w:p>
    <w:p w14:paraId="4E77A482" w14:textId="77777777" w:rsidR="00FA2F17" w:rsidRPr="00C52122" w:rsidRDefault="00FA2F17" w:rsidP="00FA2F17">
      <w:r>
        <w:t>Item 5 (b) of the provisional agenda</w:t>
      </w:r>
    </w:p>
    <w:p w14:paraId="5EEEF940" w14:textId="77777777" w:rsidR="00FA2F17" w:rsidRPr="00C52122" w:rsidRDefault="00FA2F17" w:rsidP="00FA2F17">
      <w:pPr>
        <w:rPr>
          <w:b/>
          <w:bCs/>
        </w:rPr>
      </w:pPr>
      <w:r>
        <w:rPr>
          <w:b/>
          <w:bCs/>
        </w:rPr>
        <w:t>Proposals for amendments to the Regulations annexed to ADN:</w:t>
      </w:r>
    </w:p>
    <w:p w14:paraId="10DCE6EB" w14:textId="4D22C4CB" w:rsidR="00FA2F17" w:rsidRDefault="00FA2F17" w:rsidP="00FA2F17">
      <w:pPr>
        <w:rPr>
          <w:b/>
          <w:bCs/>
        </w:rPr>
      </w:pPr>
      <w:r>
        <w:rPr>
          <w:b/>
          <w:bCs/>
        </w:rPr>
        <w:t>Other proposals</w:t>
      </w:r>
    </w:p>
    <w:p w14:paraId="6D14A8FA" w14:textId="77777777" w:rsidR="00C25014" w:rsidRPr="00C37C75" w:rsidRDefault="00C25014" w:rsidP="00482FE8">
      <w:pPr>
        <w:pStyle w:val="HChG"/>
      </w:pPr>
      <w:r w:rsidRPr="00C37C75">
        <w:tab/>
      </w:r>
      <w:r w:rsidRPr="00C37C75">
        <w:tab/>
        <w:t>Contradiction between 9.3.x.51 and 7.2.3.51.4</w:t>
      </w:r>
    </w:p>
    <w:p w14:paraId="4CA37D13" w14:textId="1F2A963D" w:rsidR="00C25014" w:rsidRDefault="00C25014" w:rsidP="00482FE8">
      <w:pPr>
        <w:pStyle w:val="H1G"/>
        <w:rPr>
          <w:rFonts w:eastAsia="Calibri"/>
          <w:b w:val="0"/>
          <w:bCs/>
          <w:sz w:val="20"/>
        </w:rPr>
      </w:pPr>
      <w:r w:rsidRPr="00C37C75">
        <w:tab/>
      </w:r>
      <w:r w:rsidRPr="00C37C75">
        <w:tab/>
        <w:t>Transmitted by the Government of Austria</w:t>
      </w:r>
      <w:r w:rsidRPr="00482FE8">
        <w:rPr>
          <w:rFonts w:eastAsia="Calibri"/>
          <w:b w:val="0"/>
          <w:bCs/>
          <w:sz w:val="20"/>
        </w:rPr>
        <w:footnoteReference w:customMarkFollows="1" w:id="1"/>
        <w:t>*</w:t>
      </w:r>
      <w:r w:rsidRPr="00482FE8">
        <w:rPr>
          <w:b w:val="0"/>
          <w:bCs/>
          <w:position w:val="8"/>
          <w:sz w:val="20"/>
        </w:rPr>
        <w:t>,</w:t>
      </w:r>
      <w:r w:rsidR="00482FE8">
        <w:rPr>
          <w:b w:val="0"/>
          <w:bCs/>
          <w:position w:val="8"/>
          <w:sz w:val="20"/>
        </w:rPr>
        <w:t xml:space="preserve"> </w:t>
      </w:r>
      <w:r w:rsidRPr="00482FE8">
        <w:rPr>
          <w:rFonts w:eastAsia="Calibri"/>
          <w:b w:val="0"/>
          <w:bCs/>
          <w:sz w:val="20"/>
        </w:rPr>
        <w:footnoteReference w:customMarkFollows="1" w:id="2"/>
        <w:t>**</w:t>
      </w:r>
    </w:p>
    <w:tbl>
      <w:tblPr>
        <w:tblStyle w:val="TableGrid"/>
        <w:tblW w:w="0" w:type="auto"/>
        <w:jc w:val="center"/>
        <w:tblCellMar>
          <w:left w:w="0" w:type="dxa"/>
          <w:right w:w="0" w:type="dxa"/>
        </w:tblCellMar>
        <w:tblLook w:val="05E0" w:firstRow="1" w:lastRow="1" w:firstColumn="1" w:lastColumn="1" w:noHBand="0" w:noVBand="1"/>
      </w:tblPr>
      <w:tblGrid>
        <w:gridCol w:w="9629"/>
      </w:tblGrid>
      <w:tr w:rsidR="00482FE8" w:rsidRPr="0097044D" w14:paraId="1ACF93F4" w14:textId="77777777" w:rsidTr="00730DE4">
        <w:trPr>
          <w:jc w:val="center"/>
        </w:trPr>
        <w:tc>
          <w:tcPr>
            <w:tcW w:w="9637" w:type="dxa"/>
            <w:tcBorders>
              <w:bottom w:val="nil"/>
            </w:tcBorders>
          </w:tcPr>
          <w:p w14:paraId="07FD4869" w14:textId="77777777" w:rsidR="00482FE8" w:rsidRPr="0097044D" w:rsidRDefault="00482FE8" w:rsidP="00730DE4">
            <w:pPr>
              <w:tabs>
                <w:tab w:val="left" w:pos="255"/>
              </w:tabs>
              <w:suppressAutoHyphens w:val="0"/>
              <w:spacing w:before="240" w:after="120"/>
              <w:rPr>
                <w:rFonts w:eastAsia="Calibri"/>
                <w:sz w:val="24"/>
              </w:rPr>
            </w:pPr>
            <w:r w:rsidRPr="0097044D">
              <w:rPr>
                <w:rFonts w:eastAsia="Calibri"/>
              </w:rPr>
              <w:tab/>
            </w:r>
            <w:r w:rsidRPr="0097044D">
              <w:rPr>
                <w:rFonts w:eastAsia="Calibri"/>
                <w:i/>
                <w:sz w:val="24"/>
              </w:rPr>
              <w:t>Summary</w:t>
            </w:r>
          </w:p>
        </w:tc>
      </w:tr>
      <w:tr w:rsidR="00482FE8" w:rsidRPr="0097044D" w14:paraId="44E9B712" w14:textId="77777777" w:rsidTr="00730DE4">
        <w:trPr>
          <w:jc w:val="center"/>
        </w:trPr>
        <w:tc>
          <w:tcPr>
            <w:tcW w:w="9637" w:type="dxa"/>
            <w:tcBorders>
              <w:top w:val="nil"/>
              <w:bottom w:val="nil"/>
            </w:tcBorders>
            <w:shd w:val="clear" w:color="auto" w:fill="auto"/>
          </w:tcPr>
          <w:p w14:paraId="286BA6C6" w14:textId="77777777" w:rsidR="00482FE8" w:rsidRPr="0097044D" w:rsidRDefault="00482FE8" w:rsidP="00730DE4">
            <w:pPr>
              <w:pStyle w:val="SingleTxtG"/>
              <w:ind w:left="2258" w:hanging="1986"/>
              <w:rPr>
                <w:b/>
                <w:bCs/>
              </w:rPr>
            </w:pPr>
            <w:r w:rsidRPr="0097044D">
              <w:rPr>
                <w:b/>
                <w:bCs/>
              </w:rPr>
              <w:t>Executive summary:</w:t>
            </w:r>
            <w:r w:rsidRPr="0097044D">
              <w:rPr>
                <w:b/>
                <w:bCs/>
              </w:rPr>
              <w:tab/>
            </w:r>
            <w:r>
              <w:t>There is a contradiction between 9.3.x.51 and 7.2.3.51.4 with regard to explosion protection provisions: according to 9.3.x.51, the requirement referred to in letter (c) must always be complied with. Only the requirements referred to in letters (a) and (b) are subject to derogation, i.e., the installations and equipment concerned may instead be marked in red and shut down. However, 7.2.3.51.4 also mentions installations and equipment that do not meet the requirements of 9.3.x.51 (c) and are marked in red. This is confusing and should be corrected.</w:t>
            </w:r>
          </w:p>
        </w:tc>
      </w:tr>
      <w:tr w:rsidR="00482FE8" w:rsidRPr="0097044D" w14:paraId="7066D76C" w14:textId="77777777" w:rsidTr="00730DE4">
        <w:trPr>
          <w:jc w:val="center"/>
        </w:trPr>
        <w:tc>
          <w:tcPr>
            <w:tcW w:w="9637" w:type="dxa"/>
            <w:tcBorders>
              <w:top w:val="nil"/>
              <w:bottom w:val="nil"/>
            </w:tcBorders>
            <w:shd w:val="clear" w:color="auto" w:fill="auto"/>
          </w:tcPr>
          <w:p w14:paraId="55210FC5" w14:textId="77777777" w:rsidR="00482FE8" w:rsidRPr="0097044D" w:rsidRDefault="00482FE8" w:rsidP="00730DE4">
            <w:pPr>
              <w:pStyle w:val="SingleTxtG"/>
              <w:ind w:left="2258" w:hanging="1986"/>
              <w:rPr>
                <w:b/>
                <w:bCs/>
              </w:rPr>
            </w:pPr>
            <w:r w:rsidRPr="0097044D">
              <w:rPr>
                <w:b/>
                <w:bCs/>
              </w:rPr>
              <w:t>Action to be taken:</w:t>
            </w:r>
            <w:r w:rsidRPr="0097044D">
              <w:t xml:space="preserve"> </w:t>
            </w:r>
            <w:r w:rsidRPr="0097044D">
              <w:tab/>
            </w:r>
            <w:r>
              <w:t>In 7.2.3.51.4, delete the reference to 9.3.x.51 (c).</w:t>
            </w:r>
          </w:p>
        </w:tc>
      </w:tr>
      <w:tr w:rsidR="00482FE8" w:rsidRPr="0097044D" w14:paraId="5FEC3F47" w14:textId="77777777" w:rsidTr="00730DE4">
        <w:trPr>
          <w:jc w:val="center"/>
        </w:trPr>
        <w:tc>
          <w:tcPr>
            <w:tcW w:w="9637" w:type="dxa"/>
            <w:tcBorders>
              <w:top w:val="nil"/>
              <w:bottom w:val="nil"/>
            </w:tcBorders>
            <w:shd w:val="clear" w:color="auto" w:fill="auto"/>
          </w:tcPr>
          <w:p w14:paraId="346348CA" w14:textId="77777777" w:rsidR="00482FE8" w:rsidRPr="0097044D" w:rsidRDefault="00482FE8" w:rsidP="00730DE4">
            <w:pPr>
              <w:pStyle w:val="SingleTxtG"/>
              <w:ind w:hanging="860"/>
              <w:rPr>
                <w:b/>
                <w:bCs/>
              </w:rPr>
            </w:pPr>
            <w:r w:rsidRPr="0097044D">
              <w:rPr>
                <w:b/>
                <w:bCs/>
              </w:rPr>
              <w:t>Related documents:</w:t>
            </w:r>
            <w:r w:rsidRPr="0097044D">
              <w:rPr>
                <w:b/>
                <w:bCs/>
              </w:rPr>
              <w:tab/>
            </w:r>
            <w:r w:rsidRPr="0097044D">
              <w:t>None</w:t>
            </w:r>
            <w:r>
              <w:t>.</w:t>
            </w:r>
          </w:p>
        </w:tc>
      </w:tr>
      <w:tr w:rsidR="00482FE8" w:rsidRPr="0097044D" w14:paraId="2E4CB538" w14:textId="77777777" w:rsidTr="00730DE4">
        <w:trPr>
          <w:jc w:val="center"/>
        </w:trPr>
        <w:tc>
          <w:tcPr>
            <w:tcW w:w="9637" w:type="dxa"/>
            <w:tcBorders>
              <w:top w:val="nil"/>
            </w:tcBorders>
          </w:tcPr>
          <w:p w14:paraId="05447517" w14:textId="77777777" w:rsidR="00482FE8" w:rsidRPr="0097044D" w:rsidRDefault="00482FE8" w:rsidP="00730DE4">
            <w:pPr>
              <w:suppressAutoHyphens w:val="0"/>
              <w:rPr>
                <w:rFonts w:eastAsia="Calibri"/>
              </w:rPr>
            </w:pPr>
          </w:p>
        </w:tc>
      </w:tr>
    </w:tbl>
    <w:p w14:paraId="312B0C32" w14:textId="77777777" w:rsidR="00C25014" w:rsidRPr="00C37C75" w:rsidRDefault="00C25014" w:rsidP="00C25014">
      <w:r w:rsidRPr="00C37C75">
        <w:br w:type="page"/>
      </w:r>
    </w:p>
    <w:p w14:paraId="5B7F985A" w14:textId="77777777" w:rsidR="00C25014" w:rsidRPr="00C37C75" w:rsidRDefault="00C25014" w:rsidP="009D6DCA">
      <w:pPr>
        <w:pStyle w:val="HChG"/>
      </w:pPr>
      <w:r w:rsidRPr="00C37C75">
        <w:lastRenderedPageBreak/>
        <w:tab/>
      </w:r>
      <w:r w:rsidRPr="00C37C75">
        <w:tab/>
        <w:t>Introduction</w:t>
      </w:r>
    </w:p>
    <w:p w14:paraId="4904ABC2" w14:textId="77777777" w:rsidR="00C25014" w:rsidRPr="00C37C75" w:rsidRDefault="00C25014" w:rsidP="009D6DCA">
      <w:pPr>
        <w:pStyle w:val="SingleTxtG"/>
      </w:pPr>
      <w:r w:rsidRPr="00C37C75">
        <w:t>1.</w:t>
      </w:r>
      <w:r w:rsidRPr="00C37C75">
        <w:tab/>
        <w:t>Section 9.3.x.51 contains construction-related requirements concerning the surface temperatures of installations and equipment. In 9.3.x.51, subparagraph (d) stipulates that the surface temperatures required in 9.3.x.51 (a) and (b) may be exceeded if the installations and equipment concerned can be shut down and are marked in red.</w:t>
      </w:r>
    </w:p>
    <w:p w14:paraId="533DFD01" w14:textId="77777777" w:rsidR="00C25014" w:rsidRPr="00C37C75" w:rsidRDefault="00C25014" w:rsidP="009D6DCA">
      <w:pPr>
        <w:pStyle w:val="SingleTxtG"/>
      </w:pPr>
      <w:r w:rsidRPr="00C37C75">
        <w:t>2.</w:t>
      </w:r>
      <w:r w:rsidRPr="00C37C75">
        <w:tab/>
        <w:t>No derogation is provided for the more stringent surface temperature requirements for temperature classes T4, T5 and T6 listed in 9.3.x.51 (c).</w:t>
      </w:r>
    </w:p>
    <w:p w14:paraId="0C1FECCD" w14:textId="77777777" w:rsidR="00C25014" w:rsidRPr="00C37C75" w:rsidRDefault="00C25014" w:rsidP="009D6DCA">
      <w:pPr>
        <w:pStyle w:val="SingleTxtG"/>
      </w:pPr>
      <w:r w:rsidRPr="00C37C75">
        <w:t>3.</w:t>
      </w:r>
      <w:r w:rsidRPr="00C37C75">
        <w:tab/>
        <w:t>This means that the possibility of shutting down installations and equipment marked in red is applicable only to vessels whose list of substances does not include substances of temperature classes T4, T5 or T6.</w:t>
      </w:r>
    </w:p>
    <w:p w14:paraId="3FCC3B5B" w14:textId="60BF41E5" w:rsidR="00C25014" w:rsidRPr="00C37C75" w:rsidRDefault="00C25014" w:rsidP="009D6DCA">
      <w:pPr>
        <w:pStyle w:val="SingleTxtG"/>
      </w:pPr>
      <w:r w:rsidRPr="00C37C75">
        <w:t>4.</w:t>
      </w:r>
      <w:r w:rsidRPr="00C37C75">
        <w:tab/>
        <w:t>In several other places, derogations to 9.3.x.51 (a) and (b) are correctly mentioned.</w:t>
      </w:r>
    </w:p>
    <w:p w14:paraId="190DE575" w14:textId="77777777" w:rsidR="00C25014" w:rsidRPr="00C37C75" w:rsidRDefault="00C25014" w:rsidP="009D6DCA">
      <w:pPr>
        <w:pStyle w:val="SingleTxtG"/>
      </w:pPr>
      <w:r w:rsidRPr="00C37C75">
        <w:t>5.</w:t>
      </w:r>
      <w:r w:rsidRPr="00C37C75">
        <w:tab/>
        <w:t xml:space="preserve">In 7.2.3.51.4, however, it is stated that installations and equipment that do not comply with 9.3.x.51 (c) and are marked in red must also be shut down. This service requirement is confusing, as the requirements of 9.3.x.51 (c) must be met on board each vessel. Nor is there any transitional provision for 9.3.x.51 (c). </w:t>
      </w:r>
    </w:p>
    <w:p w14:paraId="45287359" w14:textId="77777777" w:rsidR="00C25014" w:rsidRPr="00C37C75" w:rsidRDefault="00C25014" w:rsidP="009D6DCA">
      <w:pPr>
        <w:pStyle w:val="HChG"/>
      </w:pPr>
      <w:r w:rsidRPr="00C37C75">
        <w:tab/>
      </w:r>
      <w:r w:rsidRPr="00C37C75">
        <w:tab/>
        <w:t>Proposal</w:t>
      </w:r>
    </w:p>
    <w:p w14:paraId="3BDDFFDD" w14:textId="2C1C7CD7" w:rsidR="00C25014" w:rsidRPr="00C37C75" w:rsidRDefault="00C25014" w:rsidP="009D6DCA">
      <w:pPr>
        <w:pStyle w:val="SingleTxtG"/>
      </w:pPr>
      <w:r w:rsidRPr="00C37C75">
        <w:t>6.</w:t>
      </w:r>
      <w:r w:rsidRPr="00C37C75">
        <w:tab/>
        <w:t xml:space="preserve">In 7.2.3.51.4, delete </w:t>
      </w:r>
      <w:r w:rsidR="00EC17F2">
        <w:t>“</w:t>
      </w:r>
      <w:r w:rsidRPr="00C37C75">
        <w:t>9.3.x.51 (c)</w:t>
      </w:r>
      <w:r w:rsidR="00EC17F2">
        <w:t>”</w:t>
      </w:r>
      <w:r w:rsidRPr="00C37C75">
        <w:t>.</w:t>
      </w:r>
    </w:p>
    <w:p w14:paraId="4EAD95A7" w14:textId="77777777" w:rsidR="00C25014" w:rsidRPr="00C37C75" w:rsidRDefault="00C25014" w:rsidP="009E4CFA">
      <w:pPr>
        <w:pStyle w:val="HChG"/>
      </w:pPr>
      <w:r w:rsidRPr="00C37C75">
        <w:tab/>
      </w:r>
      <w:r w:rsidRPr="00C37C75">
        <w:tab/>
        <w:t>Justification</w:t>
      </w:r>
    </w:p>
    <w:p w14:paraId="745315BC" w14:textId="77777777" w:rsidR="00C25014" w:rsidRPr="00C37C75" w:rsidRDefault="00C25014" w:rsidP="009E4CFA">
      <w:pPr>
        <w:pStyle w:val="H1G"/>
      </w:pPr>
      <w:bookmarkStart w:id="0" w:name="_Hlk146890147"/>
      <w:r w:rsidRPr="00C37C75">
        <w:tab/>
      </w:r>
      <w:r w:rsidRPr="00C37C75">
        <w:tab/>
        <w:t>Safety:</w:t>
      </w:r>
    </w:p>
    <w:bookmarkEnd w:id="0"/>
    <w:p w14:paraId="3275C6FB" w14:textId="77777777" w:rsidR="00C25014" w:rsidRPr="00C37C75" w:rsidRDefault="00C25014" w:rsidP="009D6DCA">
      <w:pPr>
        <w:pStyle w:val="SingleTxtG"/>
      </w:pPr>
      <w:r w:rsidRPr="00C37C75">
        <w:t>7.</w:t>
      </w:r>
      <w:r w:rsidRPr="00C37C75">
        <w:tab/>
        <w:t>Removing this unnecessary service requirement will not affect safety. There is a reduced risk of misinterpretation.</w:t>
      </w:r>
    </w:p>
    <w:p w14:paraId="6B5F646C" w14:textId="33F5E3E7" w:rsidR="00C25014" w:rsidRPr="00C37C75" w:rsidRDefault="00C25014" w:rsidP="009E4CFA">
      <w:pPr>
        <w:pStyle w:val="H1G"/>
      </w:pPr>
      <w:r w:rsidRPr="00C37C75">
        <w:tab/>
      </w:r>
      <w:r w:rsidRPr="00C37C75">
        <w:tab/>
        <w:t>Transitional period:</w:t>
      </w:r>
    </w:p>
    <w:p w14:paraId="459C69E3" w14:textId="77777777" w:rsidR="00C25014" w:rsidRPr="00C37C75" w:rsidRDefault="00C25014" w:rsidP="009D6DCA">
      <w:pPr>
        <w:pStyle w:val="SingleTxtG"/>
      </w:pPr>
      <w:r w:rsidRPr="00C37C75">
        <w:t>8.</w:t>
      </w:r>
      <w:r w:rsidRPr="00C37C75">
        <w:tab/>
        <w:t>There is no need for a transitional period.</w:t>
      </w:r>
    </w:p>
    <w:p w14:paraId="1C96FD9D" w14:textId="77777777" w:rsidR="00C25014" w:rsidRPr="00C37C75" w:rsidRDefault="00C25014" w:rsidP="009E4CFA">
      <w:pPr>
        <w:pStyle w:val="H1G"/>
      </w:pPr>
      <w:r w:rsidRPr="00C37C75">
        <w:tab/>
      </w:r>
      <w:r w:rsidRPr="00C37C75">
        <w:tab/>
        <w:t>Implementation:</w:t>
      </w:r>
    </w:p>
    <w:p w14:paraId="678C22D6" w14:textId="47252D89" w:rsidR="00C25014" w:rsidRDefault="00C25014" w:rsidP="009D6DCA">
      <w:pPr>
        <w:pStyle w:val="SingleTxtG"/>
      </w:pPr>
      <w:r w:rsidRPr="00C37C75">
        <w:t>9.</w:t>
      </w:r>
      <w:r w:rsidRPr="00C37C75">
        <w:tab/>
        <w:t>The deletion will make the text clearer for the supervisory authorities as well.</w:t>
      </w:r>
    </w:p>
    <w:p w14:paraId="7850C2D9" w14:textId="6D1A37C5" w:rsidR="009E4CFA" w:rsidRPr="00C37C75" w:rsidRDefault="009E4CFA" w:rsidP="00EC17F2">
      <w:pPr>
        <w:spacing w:before="240"/>
        <w:jc w:val="center"/>
      </w:pPr>
      <w:r w:rsidRPr="003E5C6C">
        <w:rPr>
          <w:u w:val="single"/>
          <w:lang w:val="fr-CH"/>
        </w:rPr>
        <w:tab/>
      </w:r>
      <w:r w:rsidRPr="003E5C6C">
        <w:rPr>
          <w:u w:val="single"/>
          <w:lang w:val="fr-CH"/>
        </w:rPr>
        <w:tab/>
      </w:r>
      <w:r w:rsidRPr="003E5C6C">
        <w:rPr>
          <w:u w:val="single"/>
          <w:lang w:val="fr-CH"/>
        </w:rPr>
        <w:tab/>
      </w:r>
    </w:p>
    <w:sectPr w:rsidR="009E4CFA" w:rsidRPr="00C37C75" w:rsidSect="00587690">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BADE" w14:textId="77777777" w:rsidR="00734E3A" w:rsidRPr="00FB1744" w:rsidRDefault="00734E3A" w:rsidP="00FB1744">
      <w:pPr>
        <w:pStyle w:val="Footer"/>
      </w:pPr>
    </w:p>
  </w:endnote>
  <w:endnote w:type="continuationSeparator" w:id="0">
    <w:p w14:paraId="6A5D97FB" w14:textId="77777777" w:rsidR="00734E3A" w:rsidRPr="00FB1744" w:rsidRDefault="00734E3A"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BAA7" w14:textId="77777777" w:rsidR="00BA3C52" w:rsidRDefault="00BA3C52" w:rsidP="00BA3C52">
    <w:pPr>
      <w:pStyle w:val="Footer"/>
      <w:tabs>
        <w:tab w:val="right" w:pos="9638"/>
      </w:tabs>
    </w:pPr>
    <w:r w:rsidRPr="00BA3C52">
      <w:rPr>
        <w:b/>
        <w:bCs/>
        <w:sz w:val="18"/>
      </w:rPr>
      <w:fldChar w:fldCharType="begin"/>
    </w:r>
    <w:r w:rsidRPr="00BA3C52">
      <w:rPr>
        <w:b/>
        <w:bCs/>
        <w:sz w:val="18"/>
      </w:rPr>
      <w:instrText xml:space="preserve"> PAGE  \* MERGEFORMAT </w:instrText>
    </w:r>
    <w:r w:rsidRPr="00BA3C52">
      <w:rPr>
        <w:b/>
        <w:bCs/>
        <w:sz w:val="18"/>
      </w:rPr>
      <w:fldChar w:fldCharType="separate"/>
    </w:r>
    <w:r w:rsidRPr="00BA3C52">
      <w:rPr>
        <w:b/>
        <w:bCs/>
        <w:noProof/>
        <w:sz w:val="18"/>
      </w:rPr>
      <w:t>2</w:t>
    </w:r>
    <w:r w:rsidRPr="00BA3C52">
      <w:rPr>
        <w:b/>
        <w:bCs/>
        <w:sz w:val="18"/>
      </w:rPr>
      <w:fldChar w:fldCharType="end"/>
    </w:r>
    <w:r>
      <w:tab/>
      <w:t>GE.23-21330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96E6" w14:textId="77777777" w:rsidR="00BA3C52" w:rsidRDefault="00BA3C52" w:rsidP="00BA3C52">
    <w:pPr>
      <w:pStyle w:val="Footer"/>
      <w:tabs>
        <w:tab w:val="right" w:pos="9638"/>
      </w:tabs>
    </w:pPr>
    <w:r>
      <w:t>GE.23-21330</w:t>
    </w:r>
    <w:r>
      <w:tab/>
    </w:r>
    <w:r w:rsidRPr="00BA3C52">
      <w:rPr>
        <w:b/>
        <w:bCs/>
        <w:sz w:val="18"/>
      </w:rPr>
      <w:fldChar w:fldCharType="begin"/>
    </w:r>
    <w:r w:rsidRPr="00BA3C52">
      <w:rPr>
        <w:b/>
        <w:bCs/>
        <w:sz w:val="18"/>
      </w:rPr>
      <w:instrText xml:space="preserve"> PAGE  \* MERGEFORMAT </w:instrText>
    </w:r>
    <w:r w:rsidRPr="00BA3C52">
      <w:rPr>
        <w:b/>
        <w:bCs/>
        <w:sz w:val="18"/>
      </w:rPr>
      <w:fldChar w:fldCharType="separate"/>
    </w:r>
    <w:r w:rsidRPr="00BA3C52">
      <w:rPr>
        <w:b/>
        <w:bCs/>
        <w:noProof/>
        <w:sz w:val="18"/>
      </w:rPr>
      <w:t>3</w:t>
    </w:r>
    <w:r w:rsidRPr="00BA3C5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0C8B" w14:textId="13D8927F" w:rsidR="00BA3C52" w:rsidRPr="00BA3C52" w:rsidRDefault="00BA3C52" w:rsidP="00482FE8">
    <w:pPr>
      <w:pStyle w:val="Footer"/>
      <w:rPr>
        <w:sz w:val="20"/>
      </w:rPr>
    </w:pPr>
    <w:r w:rsidRPr="0027112F">
      <w:rPr>
        <w:noProof/>
        <w:lang w:val="en-US"/>
      </w:rPr>
      <w:drawing>
        <wp:anchor distT="0" distB="0" distL="114300" distR="114300" simplePos="0" relativeHeight="251659264" behindDoc="0" locked="1" layoutInCell="1" allowOverlap="1" wp14:anchorId="7D80C15D" wp14:editId="4F870C3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GE.23-21330  (E)</w:t>
    </w:r>
    <w:r>
      <w:rPr>
        <w:noProof/>
        <w:sz w:val="20"/>
      </w:rPr>
      <w:drawing>
        <wp:anchor distT="0" distB="0" distL="114300" distR="114300" simplePos="0" relativeHeight="251660288" behindDoc="0" locked="0" layoutInCell="1" allowOverlap="1" wp14:anchorId="0AED58F4" wp14:editId="4E7A457B">
          <wp:simplePos x="0" y="0"/>
          <wp:positionH relativeFrom="margin">
            <wp:posOffset>5583555</wp:posOffset>
          </wp:positionH>
          <wp:positionV relativeFrom="margin">
            <wp:posOffset>8981440</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2FE8">
      <w:rPr>
        <w:sz w:val="20"/>
      </w:rPr>
      <w:t xml:space="preserve">    </w:t>
    </w:r>
    <w:r w:rsidR="009D6DCA">
      <w:rPr>
        <w:sz w:val="20"/>
      </w:rPr>
      <w:t>131123    131123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2276D" w14:textId="77777777" w:rsidR="00734E3A" w:rsidRPr="00FB1744" w:rsidRDefault="00734E3A" w:rsidP="00FB1744">
      <w:pPr>
        <w:tabs>
          <w:tab w:val="right" w:pos="2155"/>
        </w:tabs>
        <w:spacing w:after="80" w:line="240" w:lineRule="auto"/>
        <w:ind w:left="680"/>
      </w:pPr>
      <w:r>
        <w:rPr>
          <w:u w:val="single"/>
        </w:rPr>
        <w:tab/>
      </w:r>
    </w:p>
  </w:footnote>
  <w:footnote w:type="continuationSeparator" w:id="0">
    <w:p w14:paraId="1D9F0E1E" w14:textId="77777777" w:rsidR="00734E3A" w:rsidRPr="00FB1744" w:rsidRDefault="00734E3A" w:rsidP="00FB1744">
      <w:pPr>
        <w:tabs>
          <w:tab w:val="right" w:pos="2155"/>
        </w:tabs>
        <w:spacing w:after="80" w:line="240" w:lineRule="auto"/>
        <w:ind w:left="680"/>
      </w:pPr>
      <w:r>
        <w:rPr>
          <w:u w:val="single"/>
        </w:rPr>
        <w:tab/>
      </w:r>
    </w:p>
  </w:footnote>
  <w:footnote w:id="1">
    <w:p w14:paraId="22F27356" w14:textId="77777777" w:rsidR="00C25014" w:rsidRPr="00C52122" w:rsidRDefault="00C25014" w:rsidP="00C25014">
      <w:pPr>
        <w:pStyle w:val="FootnoteText"/>
        <w:rPr>
          <w:sz w:val="16"/>
          <w:szCs w:val="16"/>
        </w:rPr>
      </w:pPr>
      <w:r>
        <w:tab/>
      </w:r>
      <w:r w:rsidRPr="00482FE8">
        <w:rPr>
          <w:sz w:val="20"/>
        </w:rPr>
        <w:t>*</w:t>
      </w:r>
      <w:r w:rsidRPr="00482FE8">
        <w:rPr>
          <w:sz w:val="20"/>
        </w:rPr>
        <w:tab/>
      </w:r>
      <w:r>
        <w:t>Distributed in German by the Central Commission for the Navigation of the Rhine under the symbol CCNR-ZKR/ADN/WP.15/AC.2/2024/2.</w:t>
      </w:r>
    </w:p>
  </w:footnote>
  <w:footnote w:id="2">
    <w:p w14:paraId="4A3F6F53" w14:textId="0E25136C" w:rsidR="00C25014" w:rsidRPr="006E3CAE" w:rsidRDefault="00C25014" w:rsidP="00C25014">
      <w:pPr>
        <w:pStyle w:val="FootnoteText"/>
        <w:rPr>
          <w:sz w:val="16"/>
          <w:szCs w:val="16"/>
        </w:rPr>
      </w:pPr>
      <w:r>
        <w:tab/>
      </w:r>
      <w:r w:rsidRPr="00482FE8">
        <w:rPr>
          <w:sz w:val="20"/>
        </w:rPr>
        <w:t>**</w:t>
      </w:r>
      <w:r>
        <w:tab/>
      </w:r>
      <w:hyperlink r:id="rId1" w:history="1">
        <w:r w:rsidR="009D6DCA" w:rsidRPr="009D6DCA">
          <w:rPr>
            <w:rStyle w:val="Hyperlink"/>
            <w:u w:val="none"/>
          </w:rPr>
          <w:t>A/78/6</w:t>
        </w:r>
      </w:hyperlink>
      <w:r w:rsidRPr="009D6DCA">
        <w:rPr>
          <w:rStyle w:val="Hyperlink"/>
          <w:u w:val="none"/>
        </w:rPr>
        <w:t xml:space="preserve"> </w:t>
      </w:r>
      <w:r>
        <w:t>(Sect. 20), table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2BDE" w14:textId="77777777" w:rsidR="00BA3C52" w:rsidRDefault="00BA3C52" w:rsidP="00BA3C52">
    <w:pPr>
      <w:pStyle w:val="Header"/>
    </w:pPr>
    <w:r>
      <w:t>ECE/TRANS/WP.15/AC.2/2024/2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C830" w14:textId="77777777" w:rsidR="00BA3C52" w:rsidRDefault="00BA3C52" w:rsidP="00BA3C52">
    <w:pPr>
      <w:pStyle w:val="Header"/>
      <w:jc w:val="right"/>
    </w:pPr>
    <w:r>
      <w:t>ECE/TRANS/WP.15/AC.2/2024/2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42844473">
    <w:abstractNumId w:val="3"/>
  </w:num>
  <w:num w:numId="2" w16cid:durableId="1460763622">
    <w:abstractNumId w:val="2"/>
  </w:num>
  <w:num w:numId="3" w16cid:durableId="404762780">
    <w:abstractNumId w:val="0"/>
  </w:num>
  <w:num w:numId="4" w16cid:durableId="1808545781">
    <w:abstractNumId w:val="4"/>
  </w:num>
  <w:num w:numId="5" w16cid:durableId="1032651359">
    <w:abstractNumId w:val="5"/>
  </w:num>
  <w:num w:numId="6" w16cid:durableId="356539336">
    <w:abstractNumId w:val="6"/>
  </w:num>
  <w:num w:numId="7" w16cid:durableId="431166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NjcxNzAwMzKwNDFU0lEKTi0uzszPAykwrAUArDjlOiwAAAA="/>
  </w:docVars>
  <w:rsids>
    <w:rsidRoot w:val="00734E3A"/>
    <w:rsid w:val="00046E92"/>
    <w:rsid w:val="000D1B89"/>
    <w:rsid w:val="000F6E29"/>
    <w:rsid w:val="001170DC"/>
    <w:rsid w:val="00247E2C"/>
    <w:rsid w:val="002D6C53"/>
    <w:rsid w:val="002F5595"/>
    <w:rsid w:val="00334F6A"/>
    <w:rsid w:val="00342AC8"/>
    <w:rsid w:val="003B4550"/>
    <w:rsid w:val="0043448D"/>
    <w:rsid w:val="00461253"/>
    <w:rsid w:val="00482FE8"/>
    <w:rsid w:val="005042C2"/>
    <w:rsid w:val="00506C12"/>
    <w:rsid w:val="0056599A"/>
    <w:rsid w:val="00585AE1"/>
    <w:rsid w:val="00587690"/>
    <w:rsid w:val="00671529"/>
    <w:rsid w:val="006A5598"/>
    <w:rsid w:val="00717266"/>
    <w:rsid w:val="007268F9"/>
    <w:rsid w:val="00734E3A"/>
    <w:rsid w:val="007C52B0"/>
    <w:rsid w:val="009411B4"/>
    <w:rsid w:val="009C628C"/>
    <w:rsid w:val="009D0139"/>
    <w:rsid w:val="009D6DCA"/>
    <w:rsid w:val="009E4CFA"/>
    <w:rsid w:val="009F5CDC"/>
    <w:rsid w:val="00A429CD"/>
    <w:rsid w:val="00A775CF"/>
    <w:rsid w:val="00AB3C7E"/>
    <w:rsid w:val="00B06045"/>
    <w:rsid w:val="00BA3C52"/>
    <w:rsid w:val="00C25014"/>
    <w:rsid w:val="00C35A27"/>
    <w:rsid w:val="00C448F7"/>
    <w:rsid w:val="00E02C2B"/>
    <w:rsid w:val="00E665C4"/>
    <w:rsid w:val="00E929D6"/>
    <w:rsid w:val="00EC17F2"/>
    <w:rsid w:val="00ED6C48"/>
    <w:rsid w:val="00EF76C5"/>
    <w:rsid w:val="00F65F5D"/>
    <w:rsid w:val="00F86A3A"/>
    <w:rsid w:val="00FA2F17"/>
    <w:rsid w:val="00FB1744"/>
    <w:rsid w:val="00FC0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39AC2"/>
  <w15:docId w15:val="{8CEFBC7C-D4E9-462B-A328-9D8AE179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9D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rsid w:val="00EF76C5"/>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EF76C5"/>
    <w:rPr>
      <w:rFonts w:ascii="Times New Roman" w:hAnsi="Times New Roman" w:cs="Times New Roman"/>
      <w:sz w:val="20"/>
      <w:szCs w:val="20"/>
    </w:rPr>
  </w:style>
  <w:style w:type="character" w:styleId="Hyperlink">
    <w:name w:val="Hyperlink"/>
    <w:basedOn w:val="DefaultParagraphFont"/>
    <w:uiPriority w:val="99"/>
    <w:unhideWhenUsed/>
    <w:rsid w:val="009D6DCA"/>
    <w:rPr>
      <w:color w:val="0000FF"/>
      <w:u w:val="single"/>
    </w:rPr>
  </w:style>
  <w:style w:type="character" w:styleId="FollowedHyperlink">
    <w:name w:val="FollowedHyperlink"/>
    <w:basedOn w:val="DefaultParagraphFont"/>
    <w:uiPriority w:val="99"/>
    <w:semiHidden/>
    <w:unhideWhenUsed/>
    <w:rsid w:val="009D6DCA"/>
    <w:rPr>
      <w:color w:val="0000FF"/>
      <w:u w:val="single"/>
    </w:rPr>
  </w:style>
  <w:style w:type="character" w:styleId="UnresolvedMention">
    <w:name w:val="Unresolved Mention"/>
    <w:basedOn w:val="DefaultParagraphFont"/>
    <w:uiPriority w:val="99"/>
    <w:semiHidden/>
    <w:unhideWhenUsed/>
    <w:rsid w:val="009D6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undocs.org/en/A/7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ESC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B45D5-B923-4B30-B681-C387A64BFE5C}">
  <ds:schemaRefs>
    <ds:schemaRef ds:uri="http://schemas.openxmlformats.org/officeDocument/2006/bibliography"/>
  </ds:schemaRefs>
</ds:datastoreItem>
</file>

<file path=customXml/itemProps2.xml><?xml version="1.0" encoding="utf-8"?>
<ds:datastoreItem xmlns:ds="http://schemas.openxmlformats.org/officeDocument/2006/customXml" ds:itemID="{F09CD911-C0C4-4191-A627-935C8F93F80A}"/>
</file>

<file path=customXml/itemProps3.xml><?xml version="1.0" encoding="utf-8"?>
<ds:datastoreItem xmlns:ds="http://schemas.openxmlformats.org/officeDocument/2006/customXml" ds:itemID="{0B32D1BF-C94A-42A5-A8FD-964C85A134A2}"/>
</file>

<file path=docProps/app.xml><?xml version="1.0" encoding="utf-8"?>
<Properties xmlns="http://schemas.openxmlformats.org/officeDocument/2006/extended-properties" xmlns:vt="http://schemas.openxmlformats.org/officeDocument/2006/docPropsVTypes">
  <Template>CESCR.dotm</Template>
  <TotalTime>0</TotalTime>
  <Pages>2</Pages>
  <Words>424</Words>
  <Characters>2409</Characters>
  <Application>Microsoft Office Word</Application>
  <DocSecurity>0</DocSecurity>
  <Lines>61</Lines>
  <Paragraphs>37</Paragraphs>
  <ScaleCrop>false</ScaleCrop>
  <HeadingPairs>
    <vt:vector size="2" baseType="variant">
      <vt:variant>
        <vt:lpstr>Title</vt:lpstr>
      </vt:variant>
      <vt:variant>
        <vt:i4>1</vt:i4>
      </vt:variant>
    </vt:vector>
  </HeadingPairs>
  <TitlesOfParts>
    <vt:vector size="1" baseType="lpstr">
      <vt:lpstr>ECE/TRANS/WP.15/AC.2/2024/2</vt:lpstr>
    </vt:vector>
  </TitlesOfParts>
  <Company>DCM</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ECE/TRANS/WP.15/AC.2/2024/2</dc:title>
  <dc:subject>2321330</dc:subject>
  <dc:creator>Giltsoff</dc:creator>
  <cp:keywords/>
  <dc:description/>
  <cp:lastModifiedBy>Una Giltsoff</cp:lastModifiedBy>
  <cp:revision>2</cp:revision>
  <dcterms:created xsi:type="dcterms:W3CDTF">2023-11-13T13:46:00Z</dcterms:created>
  <dcterms:modified xsi:type="dcterms:W3CDTF">2023-11-13T13:46:00Z</dcterms:modified>
</cp:coreProperties>
</file>