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7C6A2EB9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20B95B14" w14:textId="77777777" w:rsidR="002D5AAC" w:rsidRDefault="002D5AAC" w:rsidP="008418C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01E7C1F8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3309074F" w14:textId="33B7A717" w:rsidR="002D5AAC" w:rsidRDefault="008418CE" w:rsidP="008418CE">
            <w:pPr>
              <w:jc w:val="right"/>
            </w:pPr>
            <w:r w:rsidRPr="008418CE">
              <w:rPr>
                <w:sz w:val="40"/>
              </w:rPr>
              <w:t>ECE</w:t>
            </w:r>
            <w:r>
              <w:t>/TRANS/WP.15/AC.2/2024/20</w:t>
            </w:r>
          </w:p>
        </w:tc>
      </w:tr>
      <w:tr w:rsidR="002D5AAC" w:rsidRPr="008418CE" w14:paraId="7AE49671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08F7BED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43DB7941" wp14:editId="55C78901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B91EB5E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74149D77" w14:textId="3E0A2B21" w:rsidR="002D5AAC" w:rsidRDefault="008418CE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 xml:space="preserve">Distr.: </w:t>
            </w:r>
            <w:r w:rsidRPr="008418CE">
              <w:rPr>
                <w:rFonts w:eastAsia="Times New Roman" w:cs="Times New Roman"/>
                <w:szCs w:val="20"/>
                <w:lang w:val="en-GB" w:eastAsia="fr-FR"/>
              </w:rPr>
              <w:t>General</w:t>
            </w:r>
          </w:p>
          <w:p w14:paraId="0757C20A" w14:textId="65CF30A9" w:rsidR="008418CE" w:rsidRDefault="008418CE" w:rsidP="008418CE">
            <w:pPr>
              <w:spacing w:line="240" w:lineRule="exact"/>
              <w:rPr>
                <w:lang w:val="en-US"/>
              </w:rPr>
            </w:pPr>
            <w:r w:rsidRPr="008418CE">
              <w:rPr>
                <w:rFonts w:eastAsia="Times New Roman" w:cs="Times New Roman"/>
                <w:szCs w:val="20"/>
                <w:lang w:val="en-GB" w:eastAsia="fr-FR"/>
              </w:rPr>
              <w:t>10 November 2023</w:t>
            </w:r>
          </w:p>
          <w:p w14:paraId="3C66DF37" w14:textId="77777777" w:rsidR="008418CE" w:rsidRDefault="008418CE" w:rsidP="008418CE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57FF5ECC" w14:textId="2BEC43BA" w:rsidR="008418CE" w:rsidRPr="008D53B6" w:rsidRDefault="008418CE" w:rsidP="008418CE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 xml:space="preserve">Original: </w:t>
            </w:r>
            <w:r w:rsidRPr="008418CE">
              <w:rPr>
                <w:rFonts w:eastAsia="Times New Roman" w:cs="Times New Roman"/>
                <w:szCs w:val="20"/>
                <w:lang w:val="en-GB" w:eastAsia="fr-FR"/>
              </w:rPr>
              <w:t>English</w:t>
            </w:r>
          </w:p>
        </w:tc>
      </w:tr>
    </w:tbl>
    <w:p w14:paraId="2E6C6131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15C06DC7" w14:textId="77777777" w:rsidR="008418CE" w:rsidRPr="008418CE" w:rsidRDefault="008418CE" w:rsidP="008418CE">
      <w:pPr>
        <w:suppressAutoHyphens w:val="0"/>
        <w:spacing w:before="120"/>
        <w:rPr>
          <w:rFonts w:eastAsia="Times New Roman" w:cs="Times New Roman"/>
          <w:sz w:val="28"/>
          <w:szCs w:val="28"/>
          <w:lang w:val="en-GB" w:eastAsia="fr-FR"/>
        </w:rPr>
      </w:pPr>
      <w:r w:rsidRPr="008418CE">
        <w:rPr>
          <w:rFonts w:eastAsia="Times New Roman" w:cs="Times New Roman"/>
          <w:sz w:val="28"/>
          <w:szCs w:val="28"/>
          <w:lang w:eastAsia="fr-FR"/>
        </w:rPr>
        <w:t>Комитет по внутреннему транспорту</w:t>
      </w:r>
    </w:p>
    <w:p w14:paraId="12403819" w14:textId="77777777" w:rsidR="008418CE" w:rsidRPr="008418CE" w:rsidRDefault="008418CE" w:rsidP="008418CE">
      <w:pPr>
        <w:suppressAutoHyphens w:val="0"/>
        <w:spacing w:before="120"/>
        <w:rPr>
          <w:rFonts w:eastAsia="Times New Roman" w:cs="Times New Roman"/>
          <w:b/>
          <w:sz w:val="24"/>
          <w:szCs w:val="24"/>
          <w:lang w:eastAsia="fr-FR"/>
        </w:rPr>
      </w:pPr>
      <w:r w:rsidRPr="008418CE">
        <w:rPr>
          <w:rFonts w:eastAsia="Times New Roman" w:cs="Times New Roman"/>
          <w:b/>
          <w:bCs/>
          <w:sz w:val="24"/>
          <w:szCs w:val="24"/>
          <w:lang w:eastAsia="fr-FR"/>
        </w:rPr>
        <w:t>Рабочая группа по перевозкам опасных грузов</w:t>
      </w:r>
    </w:p>
    <w:p w14:paraId="44B4D187" w14:textId="1D6DF4C0" w:rsidR="008418CE" w:rsidRPr="008418CE" w:rsidRDefault="008418CE" w:rsidP="008418CE">
      <w:pPr>
        <w:suppressAutoHyphens w:val="0"/>
        <w:spacing w:before="120"/>
        <w:rPr>
          <w:rFonts w:eastAsia="Times New Roman" w:cs="Times New Roman"/>
          <w:b/>
          <w:szCs w:val="20"/>
          <w:lang w:eastAsia="fr-FR"/>
        </w:rPr>
      </w:pPr>
      <w:r w:rsidRPr="008418CE">
        <w:rPr>
          <w:rFonts w:eastAsia="Times New Roman" w:cs="Times New Roman"/>
          <w:b/>
          <w:bCs/>
          <w:szCs w:val="20"/>
          <w:lang w:eastAsia="fr-FR"/>
        </w:rPr>
        <w:t>Совместное совещание экспертов по Правилам,</w:t>
      </w:r>
      <w:r>
        <w:rPr>
          <w:rFonts w:eastAsia="Times New Roman" w:cs="Times New Roman"/>
          <w:b/>
          <w:bCs/>
          <w:szCs w:val="20"/>
          <w:lang w:eastAsia="fr-FR"/>
        </w:rPr>
        <w:br/>
      </w:r>
      <w:r w:rsidRPr="008418CE">
        <w:rPr>
          <w:rFonts w:eastAsia="Times New Roman" w:cs="Times New Roman"/>
          <w:b/>
          <w:bCs/>
          <w:szCs w:val="20"/>
          <w:lang w:eastAsia="fr-FR"/>
        </w:rPr>
        <w:t>прилагаемым к Европейскому соглашению</w:t>
      </w:r>
      <w:r>
        <w:rPr>
          <w:rFonts w:eastAsia="Times New Roman" w:cs="Times New Roman"/>
          <w:b/>
          <w:bCs/>
          <w:szCs w:val="20"/>
          <w:lang w:eastAsia="fr-FR"/>
        </w:rPr>
        <w:br/>
      </w:r>
      <w:r w:rsidRPr="008418CE">
        <w:rPr>
          <w:rFonts w:eastAsia="Times New Roman" w:cs="Times New Roman"/>
          <w:b/>
          <w:bCs/>
          <w:szCs w:val="20"/>
          <w:lang w:eastAsia="fr-FR"/>
        </w:rPr>
        <w:t>о международной перевозке опасных грузов</w:t>
      </w:r>
      <w:r>
        <w:rPr>
          <w:rFonts w:eastAsia="Times New Roman" w:cs="Times New Roman"/>
          <w:b/>
          <w:bCs/>
          <w:szCs w:val="20"/>
          <w:lang w:eastAsia="fr-FR"/>
        </w:rPr>
        <w:br/>
      </w:r>
      <w:r w:rsidRPr="008418CE">
        <w:rPr>
          <w:rFonts w:eastAsia="Times New Roman" w:cs="Times New Roman"/>
          <w:b/>
          <w:bCs/>
          <w:szCs w:val="20"/>
          <w:lang w:eastAsia="fr-FR"/>
        </w:rPr>
        <w:t>по внутренним водным путям (ВОПОГ)</w:t>
      </w:r>
      <w:r>
        <w:rPr>
          <w:rFonts w:eastAsia="Times New Roman" w:cs="Times New Roman"/>
          <w:b/>
          <w:bCs/>
          <w:szCs w:val="20"/>
          <w:lang w:eastAsia="fr-FR"/>
        </w:rPr>
        <w:br/>
      </w:r>
      <w:r w:rsidRPr="008418CE">
        <w:rPr>
          <w:rFonts w:eastAsia="Times New Roman" w:cs="Times New Roman"/>
          <w:b/>
          <w:bCs/>
          <w:szCs w:val="20"/>
          <w:lang w:eastAsia="fr-FR"/>
        </w:rPr>
        <w:t>(Комитет по вопросам безопасности ВОПОГ)</w:t>
      </w:r>
    </w:p>
    <w:p w14:paraId="06D4CDB2" w14:textId="1E2981B0" w:rsidR="008418CE" w:rsidRPr="008418CE" w:rsidRDefault="008418CE" w:rsidP="008418CE">
      <w:pPr>
        <w:suppressAutoHyphens w:val="0"/>
        <w:spacing w:before="120"/>
        <w:rPr>
          <w:rFonts w:eastAsia="Times New Roman" w:cs="Times New Roman"/>
          <w:b/>
          <w:bCs/>
          <w:szCs w:val="20"/>
          <w:lang w:eastAsia="fr-FR"/>
        </w:rPr>
      </w:pPr>
      <w:r w:rsidRPr="008418CE">
        <w:rPr>
          <w:rFonts w:eastAsia="Times New Roman" w:cs="Times New Roman"/>
          <w:b/>
          <w:bCs/>
          <w:szCs w:val="20"/>
          <w:lang w:eastAsia="fr-FR"/>
        </w:rPr>
        <w:t>Сорок третья сессия</w:t>
      </w:r>
      <w:r>
        <w:rPr>
          <w:rFonts w:eastAsia="Times New Roman" w:cs="Times New Roman"/>
          <w:b/>
          <w:bCs/>
          <w:szCs w:val="20"/>
          <w:lang w:eastAsia="fr-FR"/>
        </w:rPr>
        <w:br/>
      </w:r>
      <w:r w:rsidRPr="008418CE">
        <w:rPr>
          <w:rFonts w:eastAsia="Times New Roman" w:cs="Times New Roman"/>
          <w:szCs w:val="20"/>
          <w:lang w:eastAsia="fr-FR"/>
        </w:rPr>
        <w:t>Женева, 22–26 января 2024 года</w:t>
      </w:r>
      <w:r>
        <w:rPr>
          <w:rFonts w:eastAsia="Times New Roman" w:cs="Times New Roman"/>
          <w:szCs w:val="20"/>
          <w:lang w:eastAsia="fr-FR"/>
        </w:rPr>
        <w:br/>
      </w:r>
      <w:r w:rsidRPr="008418CE">
        <w:rPr>
          <w:rFonts w:eastAsia="Times New Roman" w:cs="Times New Roman"/>
          <w:szCs w:val="20"/>
          <w:lang w:eastAsia="fr-FR"/>
        </w:rPr>
        <w:t>Пункт 5 b) предварительной повестки дня</w:t>
      </w:r>
      <w:r>
        <w:rPr>
          <w:rFonts w:eastAsia="Times New Roman" w:cs="Times New Roman"/>
          <w:szCs w:val="20"/>
          <w:lang w:eastAsia="fr-FR"/>
        </w:rPr>
        <w:br/>
      </w:r>
      <w:r w:rsidRPr="008418CE">
        <w:rPr>
          <w:rFonts w:eastAsia="Times New Roman" w:cs="Times New Roman"/>
          <w:b/>
          <w:bCs/>
          <w:szCs w:val="20"/>
          <w:lang w:eastAsia="fr-FR"/>
        </w:rPr>
        <w:t>Предложения о внесении поправок в Правила,</w:t>
      </w:r>
      <w:r>
        <w:rPr>
          <w:rFonts w:eastAsia="Times New Roman" w:cs="Times New Roman"/>
          <w:b/>
          <w:bCs/>
          <w:szCs w:val="20"/>
          <w:lang w:eastAsia="fr-FR"/>
        </w:rPr>
        <w:br/>
      </w:r>
      <w:r w:rsidRPr="008418CE">
        <w:rPr>
          <w:rFonts w:eastAsia="Times New Roman" w:cs="Times New Roman"/>
          <w:b/>
          <w:bCs/>
          <w:szCs w:val="20"/>
          <w:lang w:eastAsia="fr-FR"/>
        </w:rPr>
        <w:t>прилагаемые к ВОПОГ:</w:t>
      </w:r>
      <w:r>
        <w:rPr>
          <w:rFonts w:eastAsia="Times New Roman" w:cs="Times New Roman"/>
          <w:b/>
          <w:bCs/>
          <w:szCs w:val="20"/>
          <w:lang w:eastAsia="fr-FR"/>
        </w:rPr>
        <w:br/>
      </w:r>
      <w:r w:rsidRPr="008418CE">
        <w:rPr>
          <w:rFonts w:eastAsia="Times New Roman" w:cs="Times New Roman"/>
          <w:b/>
          <w:bCs/>
          <w:szCs w:val="20"/>
          <w:lang w:eastAsia="fr-FR"/>
        </w:rPr>
        <w:t>другие предложения</w:t>
      </w:r>
    </w:p>
    <w:p w14:paraId="2CE3CE94" w14:textId="120F4085" w:rsidR="008418CE" w:rsidRPr="008418CE" w:rsidRDefault="008418CE" w:rsidP="008418CE">
      <w:pPr>
        <w:pStyle w:val="HChG"/>
      </w:pPr>
      <w:r w:rsidRPr="008418CE">
        <w:tab/>
      </w:r>
      <w:r w:rsidRPr="008418CE">
        <w:tab/>
        <w:t xml:space="preserve">Подраздел 7.2.4.22 </w:t>
      </w:r>
      <w:r w:rsidR="000A6A9F" w:rsidRPr="00B76E19">
        <w:t>‒‒</w:t>
      </w:r>
      <w:r w:rsidR="000A6A9F">
        <w:t xml:space="preserve"> </w:t>
      </w:r>
      <w:r w:rsidRPr="008418CE">
        <w:t>Открытие отверстий и дозирование дополнительных добавок</w:t>
      </w:r>
    </w:p>
    <w:p w14:paraId="3A78BDFC" w14:textId="4CA2EF83" w:rsidR="008418CE" w:rsidRDefault="008418CE" w:rsidP="008418CE">
      <w:pPr>
        <w:pStyle w:val="H1G"/>
        <w:rPr>
          <w:b w:val="0"/>
          <w:bCs/>
          <w:position w:val="4"/>
          <w:sz w:val="20"/>
        </w:rPr>
      </w:pPr>
      <w:r w:rsidRPr="008418CE">
        <w:tab/>
      </w:r>
      <w:r w:rsidRPr="008418CE">
        <w:tab/>
        <w:t>Передано «Фьюэлз-Юроп»</w:t>
      </w:r>
      <w:r w:rsidRPr="008418CE">
        <w:rPr>
          <w:b w:val="0"/>
          <w:bCs/>
          <w:position w:val="4"/>
          <w:sz w:val="20"/>
        </w:rPr>
        <w:footnoteReference w:customMarkFollows="1" w:id="1"/>
        <w:t xml:space="preserve">* </w:t>
      </w:r>
      <w:r w:rsidRPr="008418CE">
        <w:rPr>
          <w:b w:val="0"/>
          <w:bCs/>
          <w:position w:val="4"/>
          <w:sz w:val="20"/>
        </w:rPr>
        <w:footnoteReference w:customMarkFollows="1" w:id="2"/>
        <w:t>**</w:t>
      </w:r>
    </w:p>
    <w:tbl>
      <w:tblPr>
        <w:tblStyle w:val="ac"/>
        <w:tblW w:w="0" w:type="auto"/>
        <w:jc w:val="center"/>
        <w:tblLook w:val="05E0" w:firstRow="1" w:lastRow="1" w:firstColumn="1" w:lastColumn="1" w:noHBand="0" w:noVBand="1"/>
      </w:tblPr>
      <w:tblGrid>
        <w:gridCol w:w="3579"/>
        <w:gridCol w:w="6049"/>
      </w:tblGrid>
      <w:tr w:rsidR="008418CE" w:rsidRPr="008418CE" w14:paraId="6633DCC7" w14:textId="77777777" w:rsidTr="008418CE">
        <w:trPr>
          <w:jc w:val="center"/>
        </w:trPr>
        <w:tc>
          <w:tcPr>
            <w:tcW w:w="9628" w:type="dxa"/>
            <w:gridSpan w:val="2"/>
            <w:tcBorders>
              <w:bottom w:val="nil"/>
            </w:tcBorders>
          </w:tcPr>
          <w:p w14:paraId="587A4848" w14:textId="77777777" w:rsidR="008418CE" w:rsidRPr="008418CE" w:rsidRDefault="008418CE" w:rsidP="00850215">
            <w:pPr>
              <w:tabs>
                <w:tab w:val="left" w:pos="255"/>
              </w:tabs>
              <w:spacing w:before="240" w:after="120"/>
              <w:rPr>
                <w:rFonts w:cs="Times New Roman"/>
                <w:sz w:val="24"/>
              </w:rPr>
            </w:pPr>
            <w:r w:rsidRPr="008418CE">
              <w:rPr>
                <w:rFonts w:cs="Times New Roman"/>
              </w:rPr>
              <w:tab/>
            </w:r>
            <w:r w:rsidRPr="008418CE">
              <w:rPr>
                <w:rFonts w:cs="Times New Roman"/>
                <w:i/>
                <w:sz w:val="24"/>
              </w:rPr>
              <w:t>Резюме</w:t>
            </w:r>
          </w:p>
        </w:tc>
      </w:tr>
      <w:tr w:rsidR="008418CE" w:rsidRPr="008418CE" w14:paraId="3FA9A1B7" w14:textId="77777777" w:rsidTr="008418CE">
        <w:trPr>
          <w:jc w:val="center"/>
        </w:trPr>
        <w:tc>
          <w:tcPr>
            <w:tcW w:w="357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A72E9AA" w14:textId="31D65F3B" w:rsidR="008418CE" w:rsidRPr="008418CE" w:rsidRDefault="008418CE" w:rsidP="008418CE">
            <w:pPr>
              <w:pStyle w:val="SingleTxtG"/>
              <w:ind w:right="0"/>
            </w:pPr>
            <w:r w:rsidRPr="008418CE">
              <w:rPr>
                <w:b/>
                <w:bCs/>
                <w:lang w:eastAsia="fr-FR"/>
              </w:rPr>
              <w:t>Справочные документы: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3E41294" w14:textId="388A23AD" w:rsidR="008418CE" w:rsidRPr="008418CE" w:rsidRDefault="008418CE" w:rsidP="008418CE">
            <w:pPr>
              <w:contextualSpacing/>
            </w:pPr>
            <w:r w:rsidRPr="008418CE">
              <w:rPr>
                <w:rFonts w:eastAsia="Times New Roman" w:cs="Times New Roman"/>
                <w:szCs w:val="20"/>
                <w:lang w:eastAsia="fr-FR"/>
              </w:rPr>
              <w:t>Неофициальный документ INF.19 сорок первой сессии</w:t>
            </w:r>
            <w:r>
              <w:rPr>
                <w:rFonts w:eastAsia="Times New Roman" w:cs="Times New Roman"/>
                <w:szCs w:val="20"/>
                <w:lang w:eastAsia="fr-FR"/>
              </w:rPr>
              <w:br/>
            </w:r>
            <w:r w:rsidRPr="008418CE">
              <w:rPr>
                <w:rFonts w:eastAsia="Times New Roman" w:cs="Times New Roman"/>
                <w:szCs w:val="20"/>
                <w:lang w:eastAsia="fr-FR"/>
              </w:rPr>
              <w:t>ECE/TRANS/WP.15/AC.2/84</w:t>
            </w:r>
            <w:r w:rsidR="000710DC">
              <w:rPr>
                <w:rFonts w:eastAsia="Times New Roman" w:cs="Times New Roman"/>
                <w:szCs w:val="20"/>
                <w:lang w:eastAsia="fr-FR"/>
              </w:rPr>
              <w:t>,</w:t>
            </w:r>
            <w:r w:rsidRPr="008418CE">
              <w:rPr>
                <w:rFonts w:eastAsia="Times New Roman" w:cs="Times New Roman"/>
                <w:szCs w:val="20"/>
                <w:lang w:eastAsia="fr-FR"/>
              </w:rPr>
              <w:t xml:space="preserve"> п. 37 (Доклад о работе</w:t>
            </w:r>
            <w:r>
              <w:rPr>
                <w:rFonts w:eastAsia="Times New Roman" w:cs="Times New Roman"/>
                <w:szCs w:val="20"/>
                <w:lang w:eastAsia="fr-FR"/>
              </w:rPr>
              <w:br/>
            </w:r>
            <w:r w:rsidRPr="008418CE">
              <w:rPr>
                <w:rFonts w:eastAsia="Times New Roman" w:cs="Times New Roman"/>
                <w:szCs w:val="20"/>
                <w:lang w:eastAsia="fr-FR"/>
              </w:rPr>
              <w:t>сорок первой сессии)</w:t>
            </w:r>
            <w:r>
              <w:rPr>
                <w:rFonts w:eastAsia="Times New Roman" w:cs="Times New Roman"/>
                <w:szCs w:val="20"/>
                <w:lang w:eastAsia="fr-FR"/>
              </w:rPr>
              <w:br/>
            </w:r>
            <w:r w:rsidRPr="008418CE">
              <w:rPr>
                <w:rFonts w:eastAsia="Times New Roman" w:cs="Times New Roman"/>
                <w:szCs w:val="20"/>
                <w:lang w:eastAsia="fr-FR"/>
              </w:rPr>
              <w:t>ECE/TRANS/WP.15/AC.2/2023/47</w:t>
            </w:r>
            <w:r>
              <w:rPr>
                <w:rFonts w:eastAsia="Times New Roman" w:cs="Times New Roman"/>
                <w:szCs w:val="20"/>
                <w:lang w:eastAsia="fr-FR"/>
              </w:rPr>
              <w:br/>
            </w:r>
            <w:r w:rsidRPr="008418CE">
              <w:rPr>
                <w:rFonts w:eastAsia="Times New Roman" w:cs="Times New Roman"/>
                <w:szCs w:val="20"/>
                <w:lang w:eastAsia="fr-FR"/>
              </w:rPr>
              <w:t>Неофициальный документ INF. 32 сорок второй сессии</w:t>
            </w:r>
            <w:r>
              <w:rPr>
                <w:rFonts w:eastAsia="Times New Roman" w:cs="Times New Roman"/>
                <w:szCs w:val="20"/>
                <w:lang w:eastAsia="fr-FR"/>
              </w:rPr>
              <w:br/>
            </w:r>
            <w:r w:rsidRPr="008418CE">
              <w:rPr>
                <w:rFonts w:eastAsia="Times New Roman" w:cs="Times New Roman"/>
                <w:szCs w:val="20"/>
                <w:lang w:eastAsia="fr-FR"/>
              </w:rPr>
              <w:t>ECE/TRANS/WP.15/AC.2/86</w:t>
            </w:r>
            <w:r w:rsidR="000710DC">
              <w:rPr>
                <w:rFonts w:eastAsia="Times New Roman" w:cs="Times New Roman"/>
                <w:szCs w:val="20"/>
                <w:lang w:eastAsia="fr-FR"/>
              </w:rPr>
              <w:t>,</w:t>
            </w:r>
            <w:r w:rsidRPr="008418CE">
              <w:rPr>
                <w:rFonts w:eastAsia="Times New Roman" w:cs="Times New Roman"/>
                <w:szCs w:val="20"/>
                <w:lang w:eastAsia="fr-FR"/>
              </w:rPr>
              <w:t xml:space="preserve"> п. 24 (Доклад о работе</w:t>
            </w:r>
            <w:r>
              <w:rPr>
                <w:rFonts w:eastAsia="Times New Roman" w:cs="Times New Roman"/>
                <w:szCs w:val="20"/>
                <w:lang w:eastAsia="fr-FR"/>
              </w:rPr>
              <w:br/>
            </w:r>
            <w:r w:rsidRPr="008418CE">
              <w:rPr>
                <w:rFonts w:eastAsia="Times New Roman" w:cs="Times New Roman"/>
                <w:szCs w:val="20"/>
                <w:lang w:eastAsia="fr-FR"/>
              </w:rPr>
              <w:t>сорок второй сессии)</w:t>
            </w:r>
          </w:p>
        </w:tc>
      </w:tr>
      <w:tr w:rsidR="008418CE" w:rsidRPr="008418CE" w14:paraId="1A16873A" w14:textId="77777777" w:rsidTr="008418CE">
        <w:trPr>
          <w:jc w:val="center"/>
        </w:trPr>
        <w:tc>
          <w:tcPr>
            <w:tcW w:w="357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A9FB5B6" w14:textId="07807DB6" w:rsidR="008418CE" w:rsidRPr="008418CE" w:rsidRDefault="008418CE" w:rsidP="008418CE">
            <w:pPr>
              <w:pStyle w:val="SingleTxtG"/>
              <w:spacing w:before="120" w:after="240"/>
              <w:ind w:right="0"/>
            </w:pPr>
            <w:r w:rsidRPr="008418CE">
              <w:rPr>
                <w:b/>
                <w:lang w:eastAsia="fr-FR"/>
              </w:rPr>
              <w:t>Существо предложения: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93F3D11" w14:textId="1BFD9D01" w:rsidR="008418CE" w:rsidRPr="008418CE" w:rsidRDefault="008418CE" w:rsidP="008418CE">
            <w:pPr>
              <w:spacing w:before="120"/>
              <w:ind w:right="1134"/>
              <w:contextualSpacing/>
              <w:jc w:val="both"/>
            </w:pPr>
            <w:r w:rsidRPr="008418CE">
              <w:rPr>
                <w:bCs/>
              </w:rPr>
              <w:t>Данный документ содержит ряд предложений, направленных на удовлетворение потребности отрасли</w:t>
            </w:r>
            <w:r>
              <w:rPr>
                <w:bCs/>
              </w:rPr>
              <w:br/>
            </w:r>
            <w:r w:rsidRPr="008418CE">
              <w:rPr>
                <w:bCs/>
              </w:rPr>
              <w:t>в разрешении дозирования дополнительных добавок на борту танкеров внутреннего плавания при определенных условиях. Это может потребоваться в том случае, если концентрация добавки в продукте на борту окажется слишком низкой. В предложениях по полному пересмотру подраздела 7.2.4.22 такая возможность предусмотрена только для стабилизаторов, в то время как требования, вытекающие из других нормативных документов, вынуждают отрасль в достаточной степени осуществлять дозирование грузов другими предписанными добавками. Наличие такой возможности означает адекватное ограничение рисков, возникающих при дополнительных разгрузочно-погрузочных работах, а также при дополнительной перевозке, так как груз необходимо будет вернуть на погрузочное сооружение для корректировки количества добавки на берегу.</w:t>
            </w:r>
          </w:p>
        </w:tc>
      </w:tr>
      <w:tr w:rsidR="008418CE" w:rsidRPr="008418CE" w14:paraId="7DF8A298" w14:textId="77777777" w:rsidTr="008418CE">
        <w:trPr>
          <w:jc w:val="center"/>
        </w:trPr>
        <w:tc>
          <w:tcPr>
            <w:tcW w:w="357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BB636F" w14:textId="47DA2DC7" w:rsidR="008418CE" w:rsidRPr="008418CE" w:rsidRDefault="008418CE" w:rsidP="008418CE">
            <w:pPr>
              <w:pStyle w:val="SingleTxtG"/>
              <w:spacing w:before="120"/>
              <w:ind w:right="0"/>
            </w:pPr>
            <w:r w:rsidRPr="008418CE">
              <w:rPr>
                <w:b/>
                <w:bCs/>
                <w:lang w:eastAsia="fr-FR"/>
              </w:rPr>
              <w:t>Предлагаемое решение: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EA9AA56" w14:textId="00A92C50" w:rsidR="008418CE" w:rsidRPr="008418CE" w:rsidRDefault="008418CE" w:rsidP="008418CE">
            <w:pPr>
              <w:spacing w:before="120"/>
              <w:ind w:right="1134"/>
              <w:contextualSpacing/>
              <w:jc w:val="both"/>
              <w:rPr>
                <w:rFonts w:cs="Times New Roman"/>
              </w:rPr>
            </w:pPr>
            <w:r w:rsidRPr="008418CE">
              <w:rPr>
                <w:rFonts w:cs="Times New Roman"/>
                <w:spacing w:val="-2"/>
              </w:rPr>
              <w:t>Предусмотреть возможность добавления дополнительной</w:t>
            </w:r>
            <w:r w:rsidRPr="008418CE">
              <w:rPr>
                <w:rFonts w:cs="Times New Roman"/>
              </w:rPr>
              <w:t xml:space="preserve"> добавки на борту судна при строго описанных обстоятельствах в соответствии с текущими предложениями и иметь возможность продолжать безопасно использовать переносные дозирующие установки на борту судов.</w:t>
            </w:r>
          </w:p>
        </w:tc>
      </w:tr>
      <w:tr w:rsidR="008418CE" w:rsidRPr="008418CE" w14:paraId="1BD0C57C" w14:textId="77777777" w:rsidTr="008418CE">
        <w:trPr>
          <w:jc w:val="center"/>
        </w:trPr>
        <w:tc>
          <w:tcPr>
            <w:tcW w:w="9628" w:type="dxa"/>
            <w:gridSpan w:val="2"/>
            <w:tcBorders>
              <w:top w:val="nil"/>
            </w:tcBorders>
          </w:tcPr>
          <w:p w14:paraId="46829D13" w14:textId="77777777" w:rsidR="008418CE" w:rsidRPr="008418CE" w:rsidRDefault="008418CE" w:rsidP="00850215">
            <w:pPr>
              <w:rPr>
                <w:rFonts w:cs="Times New Roman"/>
              </w:rPr>
            </w:pPr>
          </w:p>
        </w:tc>
      </w:tr>
    </w:tbl>
    <w:p w14:paraId="3043715B" w14:textId="77777777" w:rsidR="008418CE" w:rsidRPr="008418CE" w:rsidRDefault="008418CE" w:rsidP="00346D99">
      <w:pPr>
        <w:pStyle w:val="HChG"/>
      </w:pPr>
      <w:r w:rsidRPr="008418CE">
        <w:tab/>
      </w:r>
      <w:r w:rsidRPr="008418CE">
        <w:tab/>
        <w:t>Введение</w:t>
      </w:r>
    </w:p>
    <w:p w14:paraId="26608567" w14:textId="7C676576" w:rsidR="008418CE" w:rsidRPr="008418CE" w:rsidRDefault="008418CE" w:rsidP="008418CE">
      <w:pPr>
        <w:tabs>
          <w:tab w:val="left" w:pos="1701"/>
          <w:tab w:val="left" w:pos="2268"/>
          <w:tab w:val="left" w:pos="2835"/>
        </w:tabs>
        <w:suppressAutoHyphens w:val="0"/>
        <w:spacing w:after="120"/>
        <w:ind w:left="1134" w:right="1134"/>
        <w:jc w:val="both"/>
        <w:rPr>
          <w:rFonts w:eastAsia="Times New Roman" w:cs="Times New Roman"/>
          <w:szCs w:val="20"/>
          <w:lang w:eastAsia="fr-FR"/>
        </w:rPr>
      </w:pPr>
      <w:r w:rsidRPr="008418CE">
        <w:rPr>
          <w:rFonts w:eastAsia="Times New Roman" w:cs="Times New Roman"/>
          <w:szCs w:val="20"/>
          <w:lang w:eastAsia="fr-FR"/>
        </w:rPr>
        <w:t>1.</w:t>
      </w:r>
      <w:r w:rsidRPr="008418CE">
        <w:rPr>
          <w:rFonts w:eastAsia="Times New Roman" w:cs="Times New Roman"/>
          <w:szCs w:val="20"/>
          <w:lang w:eastAsia="fr-FR"/>
        </w:rPr>
        <w:tab/>
        <w:t>На сессии Комитета по вопросам безопасности ВОПОГ в августе 2023 года представитель Германии предложил рассмотреть дополнительно полученные замечания по теме открытия отверстий для обсуждения на сессии в январе 2024 года. Конкретные позиции для рассмотрения были отражены в докладе ECE/TRANS/</w:t>
      </w:r>
      <w:r w:rsidR="00346D99">
        <w:rPr>
          <w:rFonts w:eastAsia="Times New Roman" w:cs="Times New Roman"/>
          <w:szCs w:val="20"/>
          <w:lang w:eastAsia="fr-FR"/>
        </w:rPr>
        <w:t xml:space="preserve"> </w:t>
      </w:r>
      <w:r w:rsidRPr="008418CE">
        <w:rPr>
          <w:rFonts w:eastAsia="Times New Roman" w:cs="Times New Roman"/>
          <w:szCs w:val="20"/>
          <w:lang w:eastAsia="fr-FR"/>
        </w:rPr>
        <w:t>WP.15/AC.2/86.</w:t>
      </w:r>
    </w:p>
    <w:p w14:paraId="5FEA95FC" w14:textId="6A6784DB" w:rsidR="008418CE" w:rsidRPr="008418CE" w:rsidRDefault="008418CE" w:rsidP="008418CE">
      <w:pPr>
        <w:tabs>
          <w:tab w:val="left" w:pos="1701"/>
          <w:tab w:val="left" w:pos="2268"/>
          <w:tab w:val="left" w:pos="2835"/>
        </w:tabs>
        <w:suppressAutoHyphens w:val="0"/>
        <w:spacing w:after="120"/>
        <w:ind w:left="1134" w:right="1134"/>
        <w:jc w:val="both"/>
        <w:rPr>
          <w:rFonts w:eastAsia="Times New Roman" w:cs="Times New Roman"/>
          <w:szCs w:val="20"/>
          <w:lang w:eastAsia="fr-FR"/>
        </w:rPr>
      </w:pPr>
      <w:r w:rsidRPr="008418CE">
        <w:rPr>
          <w:rFonts w:eastAsia="Times New Roman" w:cs="Times New Roman"/>
          <w:szCs w:val="20"/>
          <w:lang w:eastAsia="fr-FR"/>
        </w:rPr>
        <w:t>2.</w:t>
      </w:r>
      <w:r w:rsidRPr="008418CE">
        <w:rPr>
          <w:rFonts w:eastAsia="Times New Roman" w:cs="Times New Roman"/>
          <w:szCs w:val="20"/>
          <w:lang w:eastAsia="fr-FR"/>
        </w:rPr>
        <w:tab/>
        <w:t>«Фьюэлз-Юроп» приветствует предложения, содержащиеся в документе ECE/</w:t>
      </w:r>
      <w:r w:rsidR="00346D99">
        <w:rPr>
          <w:rFonts w:eastAsia="Times New Roman" w:cs="Times New Roman"/>
          <w:szCs w:val="20"/>
          <w:lang w:eastAsia="fr-FR"/>
        </w:rPr>
        <w:t xml:space="preserve"> </w:t>
      </w:r>
      <w:r w:rsidRPr="008418CE">
        <w:rPr>
          <w:rFonts w:eastAsia="Times New Roman" w:cs="Times New Roman"/>
          <w:szCs w:val="20"/>
          <w:lang w:eastAsia="fr-FR"/>
        </w:rPr>
        <w:t>TRANS/WP.15/AC.2/2023/47. Однако, по признанию представителей отрасли, они не в полной мере учитывают текущие потребности лиц, ответственных за наполнение,</w:t>
      </w:r>
      <w:r w:rsidR="00346D99">
        <w:rPr>
          <w:rFonts w:eastAsia="Times New Roman" w:cs="Times New Roman"/>
          <w:szCs w:val="20"/>
          <w:lang w:eastAsia="fr-FR"/>
        </w:rPr>
        <w:br/>
      </w:r>
      <w:r w:rsidRPr="008418CE">
        <w:rPr>
          <w:rFonts w:eastAsia="Times New Roman" w:cs="Times New Roman"/>
          <w:szCs w:val="20"/>
          <w:lang w:eastAsia="fr-FR"/>
        </w:rPr>
        <w:t>в оперативном процессе перевозки жидких опасных грузов.</w:t>
      </w:r>
    </w:p>
    <w:p w14:paraId="4588CF05" w14:textId="77777777" w:rsidR="008418CE" w:rsidRPr="008418CE" w:rsidRDefault="008418CE" w:rsidP="008418CE">
      <w:pPr>
        <w:tabs>
          <w:tab w:val="left" w:pos="1701"/>
          <w:tab w:val="left" w:pos="2268"/>
          <w:tab w:val="left" w:pos="2835"/>
        </w:tabs>
        <w:suppressAutoHyphens w:val="0"/>
        <w:spacing w:after="120"/>
        <w:ind w:left="1134" w:right="1134"/>
        <w:jc w:val="both"/>
        <w:rPr>
          <w:rFonts w:eastAsia="Times New Roman" w:cs="Times New Roman"/>
          <w:szCs w:val="20"/>
          <w:lang w:eastAsia="fr-FR"/>
        </w:rPr>
      </w:pPr>
      <w:r w:rsidRPr="008418CE">
        <w:rPr>
          <w:rFonts w:eastAsia="Times New Roman" w:cs="Times New Roman"/>
          <w:szCs w:val="20"/>
          <w:lang w:eastAsia="fr-FR"/>
        </w:rPr>
        <w:t>3.</w:t>
      </w:r>
      <w:r w:rsidRPr="008418CE">
        <w:rPr>
          <w:rFonts w:eastAsia="Times New Roman" w:cs="Times New Roman"/>
          <w:szCs w:val="20"/>
          <w:lang w:eastAsia="fr-FR"/>
        </w:rPr>
        <w:tab/>
        <w:t>Эта необходимость касается дополнительного дозирования добавок на борту танкеров внутреннего плавания, и «Фьюэлз-Юроп» представляет предложения в формате документа ECE/TRANS/WP.15/AC.2/2023/47, чтобы облегчить обсуждение и сравнение положений.</w:t>
      </w:r>
    </w:p>
    <w:p w14:paraId="2C7AD0EE" w14:textId="2060B113" w:rsidR="008418CE" w:rsidRPr="008418CE" w:rsidRDefault="008418CE" w:rsidP="008418CE">
      <w:pPr>
        <w:tabs>
          <w:tab w:val="left" w:pos="1701"/>
          <w:tab w:val="left" w:pos="2268"/>
          <w:tab w:val="left" w:pos="2835"/>
        </w:tabs>
        <w:suppressAutoHyphens w:val="0"/>
        <w:spacing w:after="120"/>
        <w:ind w:left="1134" w:right="1134"/>
        <w:jc w:val="both"/>
        <w:rPr>
          <w:rFonts w:eastAsia="Times New Roman" w:cs="Times New Roman"/>
          <w:szCs w:val="20"/>
          <w:lang w:eastAsia="fr-FR"/>
        </w:rPr>
      </w:pPr>
      <w:r w:rsidRPr="008418CE">
        <w:rPr>
          <w:rFonts w:eastAsia="Times New Roman" w:cs="Times New Roman"/>
          <w:szCs w:val="20"/>
          <w:lang w:eastAsia="fr-FR"/>
        </w:rPr>
        <w:t>4.</w:t>
      </w:r>
      <w:r w:rsidRPr="008418CE">
        <w:rPr>
          <w:rFonts w:eastAsia="Times New Roman" w:cs="Times New Roman"/>
          <w:szCs w:val="20"/>
          <w:lang w:eastAsia="fr-FR"/>
        </w:rPr>
        <w:tab/>
        <w:t>Идентично дозированию дополнительных стабилизаторов, описанному в предложениях Германии, дополнительное дозирование других добавок на борту также может быть выполнено безопасным образом.</w:t>
      </w:r>
    </w:p>
    <w:p w14:paraId="7EADF354" w14:textId="77777777" w:rsidR="008418CE" w:rsidRPr="008418CE" w:rsidRDefault="008418CE" w:rsidP="00E36A40">
      <w:pPr>
        <w:tabs>
          <w:tab w:val="left" w:pos="1701"/>
          <w:tab w:val="left" w:pos="2268"/>
          <w:tab w:val="left" w:pos="2835"/>
        </w:tabs>
        <w:suppressAutoHyphens w:val="0"/>
        <w:spacing w:after="240"/>
        <w:ind w:left="1134" w:right="1134"/>
        <w:jc w:val="both"/>
        <w:rPr>
          <w:rFonts w:eastAsia="Times New Roman" w:cs="Times New Roman"/>
          <w:szCs w:val="20"/>
          <w:lang w:eastAsia="fr-FR"/>
        </w:rPr>
      </w:pPr>
      <w:r w:rsidRPr="008418CE">
        <w:rPr>
          <w:rFonts w:eastAsia="Times New Roman" w:cs="Times New Roman"/>
          <w:szCs w:val="20"/>
          <w:lang w:eastAsia="fr-FR"/>
        </w:rPr>
        <w:t>5.</w:t>
      </w:r>
      <w:r w:rsidRPr="008418CE">
        <w:rPr>
          <w:rFonts w:eastAsia="Times New Roman" w:cs="Times New Roman"/>
          <w:szCs w:val="20"/>
          <w:lang w:eastAsia="fr-FR"/>
        </w:rPr>
        <w:tab/>
        <w:t>Предложения полностью соответствуют приведенным ниже принципам ВОПОГ, согласованным между Договаривающимися сторонами:</w:t>
      </w:r>
    </w:p>
    <w:p w14:paraId="1D99BEF9" w14:textId="631742FC" w:rsidR="00346D99" w:rsidRPr="00E36A40" w:rsidRDefault="000A6A9F" w:rsidP="00346D99">
      <w:pPr>
        <w:tabs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uppressAutoHyphens w:val="0"/>
        <w:ind w:left="1134" w:right="1134"/>
        <w:jc w:val="center"/>
        <w:rPr>
          <w:rFonts w:eastAsia="Times New Roman" w:cs="Times New Roman"/>
          <w:b/>
          <w:bCs/>
          <w:szCs w:val="20"/>
          <w:lang w:eastAsia="fr-FR"/>
        </w:rPr>
      </w:pPr>
      <w:r w:rsidRPr="000A6A9F">
        <w:rPr>
          <w:rFonts w:eastAsia="Times New Roman" w:cs="Times New Roman"/>
          <w:szCs w:val="20"/>
          <w:lang w:eastAsia="fr-FR"/>
        </w:rPr>
        <w:t>«</w:t>
      </w:r>
      <w:r w:rsidR="008418CE" w:rsidRPr="008418CE">
        <w:rPr>
          <w:rFonts w:eastAsia="Times New Roman" w:cs="Times New Roman"/>
          <w:b/>
          <w:bCs/>
          <w:szCs w:val="20"/>
          <w:lang w:eastAsia="fr-FR"/>
        </w:rPr>
        <w:t>ЕВРОПЕЙСКОЕ СОГЛАШЕНИЕ О МЕЖДУНАРОДНОЙ</w:t>
      </w:r>
      <w:r w:rsidR="00E36A40">
        <w:rPr>
          <w:rFonts w:eastAsia="Times New Roman" w:cs="Times New Roman"/>
          <w:b/>
          <w:bCs/>
          <w:szCs w:val="20"/>
          <w:lang w:eastAsia="fr-FR"/>
        </w:rPr>
        <w:br/>
      </w:r>
      <w:r w:rsidR="008418CE" w:rsidRPr="008418CE">
        <w:rPr>
          <w:rFonts w:eastAsia="Times New Roman" w:cs="Times New Roman"/>
          <w:b/>
          <w:bCs/>
          <w:szCs w:val="20"/>
          <w:lang w:eastAsia="fr-FR"/>
        </w:rPr>
        <w:t>ПЕРЕВОЗКЕ ОПАСНЫХ ГРУЗОВ ПО ВНУТРЕННИМ</w:t>
      </w:r>
      <w:r w:rsidR="00E36A40">
        <w:rPr>
          <w:rFonts w:eastAsia="Times New Roman" w:cs="Times New Roman"/>
          <w:b/>
          <w:bCs/>
          <w:szCs w:val="20"/>
          <w:lang w:eastAsia="fr-FR"/>
        </w:rPr>
        <w:br/>
      </w:r>
      <w:r w:rsidR="008418CE" w:rsidRPr="008418CE">
        <w:rPr>
          <w:rFonts w:eastAsia="Times New Roman" w:cs="Times New Roman"/>
          <w:b/>
          <w:bCs/>
          <w:szCs w:val="20"/>
          <w:lang w:eastAsia="fr-FR"/>
        </w:rPr>
        <w:t>ВОДНЫМ ПУТЯМ (ВОПОГ)</w:t>
      </w:r>
    </w:p>
    <w:p w14:paraId="6EEC5696" w14:textId="0D16570D" w:rsidR="008418CE" w:rsidRPr="008418CE" w:rsidRDefault="00E36A40" w:rsidP="00E36A40">
      <w:pPr>
        <w:tabs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uppressAutoHyphens w:val="0"/>
        <w:spacing w:before="120" w:after="120"/>
        <w:ind w:left="1134"/>
        <w:rPr>
          <w:rFonts w:eastAsia="Times New Roman" w:cs="Times New Roman"/>
          <w:b/>
          <w:bCs/>
          <w:sz w:val="22"/>
          <w:szCs w:val="20"/>
          <w:lang w:eastAsia="fr-FR"/>
        </w:rPr>
      </w:pPr>
      <w:r>
        <w:rPr>
          <w:rFonts w:eastAsia="Times New Roman" w:cs="Times New Roman"/>
          <w:b/>
          <w:bCs/>
          <w:szCs w:val="20"/>
          <w:lang w:eastAsia="fr-FR"/>
        </w:rPr>
        <w:tab/>
      </w:r>
      <w:r w:rsidR="008418CE" w:rsidRPr="008418CE">
        <w:rPr>
          <w:rFonts w:eastAsia="Times New Roman" w:cs="Times New Roman"/>
          <w:b/>
          <w:bCs/>
          <w:szCs w:val="20"/>
          <w:lang w:eastAsia="fr-FR"/>
        </w:rPr>
        <w:t>ДОГОВАРИВАЮЩИЕСЯ СТОРОНЫ,</w:t>
      </w:r>
    </w:p>
    <w:p w14:paraId="76DB65ED" w14:textId="77777777" w:rsidR="008418CE" w:rsidRPr="008418CE" w:rsidRDefault="008418CE" w:rsidP="00E36A40">
      <w:pPr>
        <w:tabs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uppressAutoHyphens w:val="0"/>
        <w:spacing w:after="240"/>
        <w:ind w:left="1134" w:right="1134"/>
        <w:jc w:val="both"/>
        <w:rPr>
          <w:rFonts w:eastAsia="Times New Roman" w:cs="Times New Roman"/>
          <w:b/>
          <w:sz w:val="22"/>
          <w:szCs w:val="20"/>
          <w:lang w:eastAsia="fr-FR"/>
        </w:rPr>
      </w:pPr>
      <w:r w:rsidRPr="008418CE">
        <w:rPr>
          <w:rFonts w:eastAsia="Times New Roman" w:cs="Times New Roman"/>
          <w:szCs w:val="20"/>
          <w:lang w:eastAsia="fr-FR"/>
        </w:rPr>
        <w:tab/>
      </w:r>
      <w:r w:rsidRPr="008418CE">
        <w:rPr>
          <w:rFonts w:eastAsia="Times New Roman" w:cs="Times New Roman"/>
          <w:b/>
          <w:bCs/>
          <w:szCs w:val="20"/>
          <w:lang w:eastAsia="fr-FR"/>
        </w:rPr>
        <w:t>СТРЕМЯСЬ установить на основе общего согласия единообразные принципы и правила в целях:</w:t>
      </w:r>
    </w:p>
    <w:p w14:paraId="59E237B2" w14:textId="2B0E4CE1" w:rsidR="008418CE" w:rsidRPr="008418CE" w:rsidRDefault="00346D99" w:rsidP="00346D99">
      <w:pPr>
        <w:pStyle w:val="SingleTxtG"/>
        <w:rPr>
          <w:snapToGrid w:val="0"/>
        </w:rPr>
      </w:pPr>
      <w:r>
        <w:rPr>
          <w:snapToGrid w:val="0"/>
        </w:rPr>
        <w:lastRenderedPageBreak/>
        <w:tab/>
      </w:r>
      <w:r w:rsidR="008418CE" w:rsidRPr="008418CE">
        <w:rPr>
          <w:snapToGrid w:val="0"/>
        </w:rPr>
        <w:t>a)</w:t>
      </w:r>
      <w:r w:rsidR="008418CE" w:rsidRPr="008418CE">
        <w:rPr>
          <w:snapToGrid w:val="0"/>
        </w:rPr>
        <w:tab/>
        <w:t>повышения безопасности международных перевозок опасных грузов</w:t>
      </w:r>
      <w:r>
        <w:rPr>
          <w:snapToGrid w:val="0"/>
        </w:rPr>
        <w:br/>
      </w:r>
      <w:r w:rsidR="008418CE" w:rsidRPr="008418CE">
        <w:rPr>
          <w:snapToGrid w:val="0"/>
        </w:rPr>
        <w:t>по внутренним водным путям;</w:t>
      </w:r>
    </w:p>
    <w:p w14:paraId="567F9894" w14:textId="23BCEDFF" w:rsidR="008418CE" w:rsidRPr="008418CE" w:rsidRDefault="00346D99" w:rsidP="00346D99">
      <w:pPr>
        <w:pStyle w:val="SingleTxtG"/>
        <w:rPr>
          <w:snapToGrid w:val="0"/>
        </w:rPr>
      </w:pPr>
      <w:r>
        <w:rPr>
          <w:snapToGrid w:val="0"/>
        </w:rPr>
        <w:tab/>
      </w:r>
      <w:r w:rsidR="008418CE" w:rsidRPr="008418CE">
        <w:rPr>
          <w:snapToGrid w:val="0"/>
        </w:rPr>
        <w:t>b)</w:t>
      </w:r>
      <w:r w:rsidR="008418CE" w:rsidRPr="008418CE">
        <w:rPr>
          <w:snapToGrid w:val="0"/>
        </w:rPr>
        <w:tab/>
        <w:t>эффективного содействия охране окружающей среды посредством предотвращения загрязнения вследствие аварий и происшествий в ходе таких перевозок; и</w:t>
      </w:r>
    </w:p>
    <w:p w14:paraId="780D5BB3" w14:textId="59D86068" w:rsidR="008418CE" w:rsidRPr="008418CE" w:rsidRDefault="00346D99" w:rsidP="00346D99">
      <w:pPr>
        <w:pStyle w:val="SingleTxtG"/>
        <w:rPr>
          <w:snapToGrid w:val="0"/>
        </w:rPr>
      </w:pPr>
      <w:r>
        <w:rPr>
          <w:snapToGrid w:val="0"/>
        </w:rPr>
        <w:tab/>
      </w:r>
      <w:r w:rsidR="008418CE" w:rsidRPr="008418CE">
        <w:rPr>
          <w:snapToGrid w:val="0"/>
        </w:rPr>
        <w:t>c)</w:t>
      </w:r>
      <w:r w:rsidR="008418CE" w:rsidRPr="008418CE">
        <w:rPr>
          <w:snapToGrid w:val="0"/>
        </w:rPr>
        <w:tab/>
        <w:t>облегчения транспортных операций и содействия развитию международной торговли</w:t>
      </w:r>
      <w:r w:rsidR="000A6A9F">
        <w:rPr>
          <w:snapToGrid w:val="0"/>
        </w:rPr>
        <w:t>»</w:t>
      </w:r>
      <w:r w:rsidR="008418CE" w:rsidRPr="008418CE">
        <w:rPr>
          <w:snapToGrid w:val="0"/>
        </w:rPr>
        <w:t>.</w:t>
      </w:r>
    </w:p>
    <w:p w14:paraId="3383DE7C" w14:textId="77777777" w:rsidR="008418CE" w:rsidRPr="008418CE" w:rsidRDefault="008418CE" w:rsidP="00346D99">
      <w:pPr>
        <w:pStyle w:val="HChG"/>
      </w:pPr>
      <w:r w:rsidRPr="008418CE">
        <w:tab/>
        <w:t>I.</w:t>
      </w:r>
      <w:r w:rsidRPr="008418CE">
        <w:tab/>
        <w:t>Наши предложения по разрешению дополнительного дозирования добавок</w:t>
      </w:r>
    </w:p>
    <w:p w14:paraId="64FB09A5" w14:textId="77777777" w:rsidR="008418CE" w:rsidRPr="008418CE" w:rsidRDefault="008418CE" w:rsidP="008418CE">
      <w:pPr>
        <w:tabs>
          <w:tab w:val="left" w:pos="1701"/>
          <w:tab w:val="left" w:pos="2268"/>
          <w:tab w:val="left" w:pos="2835"/>
        </w:tabs>
        <w:suppressAutoHyphens w:val="0"/>
        <w:spacing w:after="120"/>
        <w:ind w:left="1134" w:right="1134"/>
        <w:jc w:val="both"/>
        <w:rPr>
          <w:rFonts w:eastAsia="Times New Roman" w:cs="Times New Roman"/>
          <w:szCs w:val="20"/>
          <w:lang w:eastAsia="fr-FR"/>
        </w:rPr>
      </w:pPr>
      <w:r w:rsidRPr="008418CE">
        <w:rPr>
          <w:rFonts w:eastAsia="Times New Roman" w:cs="Times New Roman"/>
          <w:szCs w:val="20"/>
          <w:lang w:eastAsia="fr-FR"/>
        </w:rPr>
        <w:t>6.</w:t>
      </w:r>
      <w:r w:rsidRPr="008418CE">
        <w:rPr>
          <w:rFonts w:eastAsia="Times New Roman" w:cs="Times New Roman"/>
          <w:szCs w:val="20"/>
          <w:lang w:eastAsia="fr-FR"/>
        </w:rPr>
        <w:tab/>
        <w:t>«Фьюэлз-Юроп» предлагает поправку к пункту 7.2.4.22.1. Поскольку данная поправка затрагивает и другие положения, мы должны учитывать и их. Таким образом, мы предлагаем внести следующие изменения в подраздел 7.2.4.22 (</w:t>
      </w:r>
      <w:r w:rsidRPr="008418CE">
        <w:rPr>
          <w:rFonts w:eastAsia="Times New Roman" w:cs="Times New Roman"/>
          <w:strike/>
          <w:szCs w:val="20"/>
          <w:lang w:eastAsia="fr-FR"/>
        </w:rPr>
        <w:t>удаленный текст</w:t>
      </w:r>
      <w:r w:rsidRPr="008418CE">
        <w:rPr>
          <w:rFonts w:eastAsia="Times New Roman" w:cs="Times New Roman"/>
          <w:szCs w:val="20"/>
          <w:lang w:eastAsia="fr-FR"/>
        </w:rPr>
        <w:t xml:space="preserve"> зачеркнут, </w:t>
      </w:r>
      <w:r w:rsidRPr="008418CE">
        <w:rPr>
          <w:rFonts w:eastAsia="Times New Roman" w:cs="Times New Roman"/>
          <w:b/>
          <w:bCs/>
          <w:szCs w:val="20"/>
          <w:u w:val="single"/>
          <w:lang w:eastAsia="fr-FR"/>
        </w:rPr>
        <w:t>новый текст</w:t>
      </w:r>
      <w:r w:rsidRPr="008418CE">
        <w:rPr>
          <w:rFonts w:eastAsia="Times New Roman" w:cs="Times New Roman"/>
          <w:szCs w:val="20"/>
          <w:lang w:eastAsia="fr-FR"/>
        </w:rPr>
        <w:t xml:space="preserve"> выделен жирным шрифтом и подчеркнут).</w:t>
      </w:r>
    </w:p>
    <w:p w14:paraId="0DADED8A" w14:textId="1C3B1BCA" w:rsidR="008418CE" w:rsidRPr="008418CE" w:rsidRDefault="008418CE" w:rsidP="008418CE">
      <w:pPr>
        <w:tabs>
          <w:tab w:val="left" w:pos="1701"/>
          <w:tab w:val="left" w:pos="2268"/>
          <w:tab w:val="left" w:pos="2835"/>
        </w:tabs>
        <w:suppressAutoHyphens w:val="0"/>
        <w:spacing w:after="120"/>
        <w:ind w:left="1134" w:right="1134"/>
        <w:jc w:val="both"/>
        <w:rPr>
          <w:rFonts w:eastAsia="Times New Roman" w:cs="Times New Roman"/>
          <w:szCs w:val="20"/>
          <w:lang w:eastAsia="fr-FR"/>
        </w:rPr>
      </w:pPr>
      <w:r w:rsidRPr="008418CE">
        <w:rPr>
          <w:rFonts w:eastAsia="Times New Roman" w:cs="Times New Roman"/>
          <w:szCs w:val="20"/>
          <w:lang w:eastAsia="fr-FR"/>
        </w:rPr>
        <w:t>7.</w:t>
      </w:r>
      <w:r w:rsidRPr="008418CE">
        <w:rPr>
          <w:rFonts w:eastAsia="Times New Roman" w:cs="Times New Roman"/>
          <w:szCs w:val="20"/>
          <w:lang w:eastAsia="fr-FR"/>
        </w:rPr>
        <w:tab/>
        <w:t>7.2.4.22, Открытие отверстий в грузовых танках (общие положения)</w:t>
      </w:r>
      <w:r w:rsidR="000A6A9F" w:rsidRPr="00CB7079">
        <w:rPr>
          <w:rFonts w:eastAsia="Times New Roman" w:cs="Times New Roman"/>
          <w:szCs w:val="20"/>
          <w:lang w:eastAsia="fr-FR"/>
        </w:rPr>
        <w:t>:</w:t>
      </w:r>
    </w:p>
    <w:p w14:paraId="647E7E81" w14:textId="77777777" w:rsidR="008418CE" w:rsidRPr="008418CE" w:rsidRDefault="008418CE" w:rsidP="00E36A40">
      <w:pPr>
        <w:pStyle w:val="Bullet1G"/>
      </w:pPr>
      <w:r w:rsidRPr="008418CE">
        <w:t>Изменить пункт 7.2.4.22.1, включив следующей новый абзац:</w:t>
      </w:r>
    </w:p>
    <w:p w14:paraId="63C7FD9E" w14:textId="20A6E58B" w:rsidR="008418CE" w:rsidRPr="008418CE" w:rsidRDefault="008418CE" w:rsidP="008418CE">
      <w:pPr>
        <w:tabs>
          <w:tab w:val="left" w:pos="1701"/>
          <w:tab w:val="left" w:pos="2268"/>
          <w:tab w:val="left" w:pos="2835"/>
        </w:tabs>
        <w:suppressAutoHyphens w:val="0"/>
        <w:spacing w:after="120"/>
        <w:ind w:left="1701" w:right="1134"/>
        <w:jc w:val="both"/>
        <w:rPr>
          <w:rFonts w:eastAsia="Times New Roman" w:cs="Times New Roman"/>
          <w:b/>
          <w:bCs/>
          <w:szCs w:val="20"/>
          <w:u w:val="single"/>
          <w:lang w:eastAsia="fr-FR"/>
        </w:rPr>
      </w:pPr>
      <w:r w:rsidRPr="008418CE">
        <w:rPr>
          <w:rFonts w:eastAsia="Times New Roman" w:cs="Times New Roman"/>
          <w:b/>
          <w:bCs/>
          <w:szCs w:val="20"/>
          <w:u w:val="single"/>
          <w:lang w:eastAsia="fr-FR"/>
        </w:rPr>
        <w:t>Для последующего добавления других добавок, в исключительных случаях, после загрузки, но до начала рейса, или после окончания рейса,</w:t>
      </w:r>
      <w:r w:rsidR="00E36A40">
        <w:rPr>
          <w:rFonts w:eastAsia="Times New Roman" w:cs="Times New Roman"/>
          <w:b/>
          <w:bCs/>
          <w:szCs w:val="20"/>
          <w:u w:val="single"/>
          <w:lang w:eastAsia="fr-FR"/>
        </w:rPr>
        <w:br/>
      </w:r>
      <w:r w:rsidRPr="008418CE">
        <w:rPr>
          <w:rFonts w:eastAsia="Times New Roman" w:cs="Times New Roman"/>
          <w:b/>
          <w:bCs/>
          <w:szCs w:val="20"/>
          <w:u w:val="single"/>
          <w:lang w:eastAsia="fr-FR"/>
        </w:rPr>
        <w:t>но до выгрузки.</w:t>
      </w:r>
    </w:p>
    <w:p w14:paraId="0A597FAD" w14:textId="60DD0B00" w:rsidR="008418CE" w:rsidRPr="008418CE" w:rsidRDefault="008418CE" w:rsidP="00E36A40">
      <w:pPr>
        <w:pStyle w:val="Bullet1G"/>
        <w:rPr>
          <w:u w:val="single"/>
        </w:rPr>
      </w:pPr>
      <w:r w:rsidRPr="008418CE">
        <w:t>7.2.4.22.6</w:t>
      </w:r>
      <w:r w:rsidRPr="008418CE">
        <w:tab/>
        <w:t>Если газоотводный трубопровод оборудован пламегасителем</w:t>
      </w:r>
      <w:r w:rsidR="00E36A40">
        <w:br/>
      </w:r>
      <w:r w:rsidRPr="008418CE">
        <w:t>в месте его соединения с грузовым танком в соответствии</w:t>
      </w:r>
      <w:r w:rsidR="00E36A40">
        <w:br/>
      </w:r>
      <w:r w:rsidRPr="008418CE">
        <w:t xml:space="preserve">с пунктом 9.3.2.22.4 b)/9.3.3.22.4 d), кожух пламегасителя может быть открыт для целей взятия проб, визуального осмотра грузовых танков, определения количества груза, загруженного в грузовой танк, или последующего добавления стабилизатора </w:t>
      </w:r>
      <w:r w:rsidRPr="008418CE">
        <w:rPr>
          <w:b/>
          <w:bCs/>
          <w:u w:val="single"/>
        </w:rPr>
        <w:t>или других добавок</w:t>
      </w:r>
      <w:r w:rsidRPr="008418CE">
        <w:t>.</w:t>
      </w:r>
    </w:p>
    <w:p w14:paraId="2683CB31" w14:textId="77777777" w:rsidR="008418CE" w:rsidRPr="008418CE" w:rsidRDefault="008418CE" w:rsidP="00E36A40">
      <w:pPr>
        <w:pStyle w:val="Bullet1G"/>
      </w:pPr>
      <w:r w:rsidRPr="008418CE">
        <w:t>7.2.4.22.11</w:t>
      </w:r>
      <w:r w:rsidRPr="008418CE">
        <w:tab/>
        <w:t xml:space="preserve">В случае визуального осмотра, определения количества загруженного груза, измерений газа или добавления стабилизатора </w:t>
      </w:r>
      <w:r w:rsidRPr="008418CE">
        <w:rPr>
          <w:b/>
          <w:bCs/>
          <w:u w:val="single"/>
        </w:rPr>
        <w:t xml:space="preserve">или других добавок </w:t>
      </w:r>
      <w:r w:rsidRPr="008418CE">
        <w:t>применяется соответственно пункт 7.2.4.16.8.</w:t>
      </w:r>
    </w:p>
    <w:p w14:paraId="2916EB3F" w14:textId="7A6DB9DF" w:rsidR="008418CE" w:rsidRPr="008418CE" w:rsidRDefault="008418CE" w:rsidP="008418CE">
      <w:pPr>
        <w:tabs>
          <w:tab w:val="left" w:pos="1701"/>
          <w:tab w:val="left" w:pos="2268"/>
          <w:tab w:val="left" w:pos="2835"/>
        </w:tabs>
        <w:suppressAutoHyphens w:val="0"/>
        <w:spacing w:after="120"/>
        <w:ind w:left="1134" w:right="1134"/>
        <w:jc w:val="both"/>
        <w:rPr>
          <w:rFonts w:eastAsia="Times New Roman" w:cs="Times New Roman"/>
          <w:szCs w:val="20"/>
          <w:lang w:eastAsia="fr-FR"/>
        </w:rPr>
      </w:pPr>
      <w:r w:rsidRPr="008418CE">
        <w:rPr>
          <w:rFonts w:eastAsia="Times New Roman" w:cs="Times New Roman"/>
          <w:szCs w:val="20"/>
          <w:lang w:eastAsia="fr-FR"/>
        </w:rPr>
        <w:t>8.</w:t>
      </w:r>
      <w:r w:rsidRPr="008418CE">
        <w:rPr>
          <w:rFonts w:eastAsia="Times New Roman" w:cs="Times New Roman"/>
          <w:szCs w:val="20"/>
          <w:lang w:eastAsia="fr-FR"/>
        </w:rPr>
        <w:tab/>
        <w:t>Подраздел 7.2.4.23:</w:t>
      </w:r>
    </w:p>
    <w:p w14:paraId="6F4B9E8F" w14:textId="77777777" w:rsidR="008418CE" w:rsidRPr="008418CE" w:rsidRDefault="008418CE" w:rsidP="00E36A40">
      <w:pPr>
        <w:pStyle w:val="Bullet1G"/>
      </w:pPr>
      <w:r w:rsidRPr="008418CE">
        <w:t>7.2.4.23.1.1</w:t>
      </w:r>
      <w:r w:rsidRPr="008418CE">
        <w:tab/>
        <w:t xml:space="preserve">Разгруженные грузовые танки должны открываться для визуального осмотра с целью убедиться, что грузовые танки пусты и/или чисты, только тогда, когда судно не соединено с береговым сооружением </w:t>
      </w:r>
      <w:r w:rsidRPr="008418CE">
        <w:rPr>
          <w:b/>
          <w:bCs/>
          <w:u w:val="single"/>
        </w:rPr>
        <w:t>или если запорные устройства судна и берегового сооружения закрыты</w:t>
      </w:r>
      <w:r w:rsidRPr="008418CE">
        <w:t>.</w:t>
      </w:r>
    </w:p>
    <w:p w14:paraId="430EC983" w14:textId="2DE081B0" w:rsidR="008418CE" w:rsidRPr="008418CE" w:rsidRDefault="008418CE" w:rsidP="00E36A40">
      <w:pPr>
        <w:pStyle w:val="Bullet1G"/>
        <w:rPr>
          <w:rFonts w:eastAsia="SimSun"/>
        </w:rPr>
      </w:pPr>
      <w:r w:rsidRPr="008418CE">
        <w:rPr>
          <w:b/>
          <w:bCs/>
        </w:rPr>
        <w:t>7.2.4.23.2</w:t>
      </w:r>
      <w:r w:rsidRPr="008418CE">
        <w:tab/>
        <w:t xml:space="preserve">Взятие проб, определение количества загруженного груза, добавление стабилизатора </w:t>
      </w:r>
      <w:r w:rsidRPr="008418CE">
        <w:rPr>
          <w:b/>
          <w:bCs/>
          <w:u w:val="single"/>
        </w:rPr>
        <w:t xml:space="preserve">или других добавок </w:t>
      </w:r>
      <w:r w:rsidRPr="008418CE">
        <w:t>и измерения газа</w:t>
      </w:r>
      <w:r w:rsidR="00E36A40">
        <w:t>.</w:t>
      </w:r>
    </w:p>
    <w:p w14:paraId="29558048" w14:textId="77777777" w:rsidR="008418CE" w:rsidRPr="008418CE" w:rsidRDefault="008418CE" w:rsidP="00E36A40">
      <w:pPr>
        <w:pStyle w:val="Bullet1G"/>
        <w:rPr>
          <w:rFonts w:eastAsia="SimSun"/>
        </w:rPr>
      </w:pPr>
      <w:r w:rsidRPr="008418CE">
        <w:t>7.2.4.23.2.4</w:t>
      </w:r>
      <w:r w:rsidRPr="008418CE">
        <w:tab/>
        <w:t xml:space="preserve">Открытие грузовых танков для открытого отбора проб должно производиться только тогда, когда судно не соединено с береговым сооружением </w:t>
      </w:r>
      <w:r w:rsidRPr="008418CE">
        <w:rPr>
          <w:b/>
          <w:bCs/>
          <w:u w:val="single"/>
        </w:rPr>
        <w:t>или если запорные устройства на судне и береговом сооружении закрыты.</w:t>
      </w:r>
      <w:r w:rsidRPr="008418CE">
        <w:t xml:space="preserve"> Донные пробы могут также отбираться во время погрузки, когда судно соединено с береговым сооружением, при условии, что запорные устройства на судне и на береговом сооружении закрыты.</w:t>
      </w:r>
    </w:p>
    <w:p w14:paraId="50270DE4" w14:textId="384500D8" w:rsidR="008418CE" w:rsidRPr="008418CE" w:rsidRDefault="008418CE" w:rsidP="00E36A40">
      <w:pPr>
        <w:pStyle w:val="Bullet1G"/>
        <w:rPr>
          <w:rFonts w:eastAsia="SimSun"/>
        </w:rPr>
      </w:pPr>
      <w:r w:rsidRPr="008418CE">
        <w:t>Включить новый подраздел 7.2.4.23.2.6 и новый пункт 7.2.4.23.2.6.2, а также перенумеровать пункт 7.2.4.23.2.6 в пункт 7.2.4.23.2.6.1:</w:t>
      </w:r>
    </w:p>
    <w:p w14:paraId="054CC577" w14:textId="6188E06C" w:rsidR="008418CE" w:rsidRPr="008418CE" w:rsidRDefault="008418CE" w:rsidP="008418CE">
      <w:pPr>
        <w:tabs>
          <w:tab w:val="left" w:pos="1701"/>
          <w:tab w:val="left" w:pos="2268"/>
          <w:tab w:val="left" w:pos="2835"/>
        </w:tabs>
        <w:suppressAutoHyphens w:val="0"/>
        <w:spacing w:after="120"/>
        <w:ind w:left="1701" w:right="1134"/>
        <w:jc w:val="both"/>
        <w:rPr>
          <w:rFonts w:eastAsia="SimSun" w:cs="Times New Roman"/>
          <w:b/>
          <w:bCs/>
          <w:szCs w:val="20"/>
          <w:u w:val="single"/>
          <w:lang w:eastAsia="fr-FR"/>
        </w:rPr>
      </w:pPr>
      <w:r w:rsidRPr="008418CE">
        <w:rPr>
          <w:rFonts w:eastAsia="Times New Roman" w:cs="Times New Roman"/>
          <w:b/>
          <w:bCs/>
          <w:szCs w:val="20"/>
          <w:u w:val="single"/>
          <w:lang w:eastAsia="fr-FR"/>
        </w:rPr>
        <w:t>7.2.4.23.2.6</w:t>
      </w:r>
      <w:r w:rsidRPr="008418CE">
        <w:rPr>
          <w:rFonts w:eastAsia="Times New Roman" w:cs="Times New Roman"/>
          <w:b/>
          <w:bCs/>
          <w:szCs w:val="20"/>
          <w:u w:val="single"/>
          <w:lang w:eastAsia="fr-FR"/>
        </w:rPr>
        <w:tab/>
        <w:t>Добавление стабилизатора или других добавок</w:t>
      </w:r>
      <w:r w:rsidR="00E36A40">
        <w:rPr>
          <w:rFonts w:eastAsia="Times New Roman" w:cs="Times New Roman"/>
          <w:b/>
          <w:bCs/>
          <w:szCs w:val="20"/>
          <w:u w:val="single"/>
          <w:lang w:eastAsia="fr-FR"/>
        </w:rPr>
        <w:br/>
      </w:r>
      <w:r w:rsidRPr="008418CE">
        <w:rPr>
          <w:rFonts w:eastAsia="Times New Roman" w:cs="Times New Roman"/>
          <w:b/>
          <w:bCs/>
          <w:szCs w:val="20"/>
          <w:u w:val="single"/>
          <w:lang w:eastAsia="fr-FR"/>
        </w:rPr>
        <w:t>в исключительных случаях</w:t>
      </w:r>
    </w:p>
    <w:p w14:paraId="6D400D57" w14:textId="5B16835F" w:rsidR="008418CE" w:rsidRPr="008418CE" w:rsidRDefault="008418CE" w:rsidP="008418CE">
      <w:pPr>
        <w:tabs>
          <w:tab w:val="left" w:pos="1701"/>
          <w:tab w:val="left" w:pos="2268"/>
          <w:tab w:val="left" w:pos="2835"/>
        </w:tabs>
        <w:suppressAutoHyphens w:val="0"/>
        <w:spacing w:after="120"/>
        <w:ind w:left="1701" w:right="1134"/>
        <w:jc w:val="both"/>
        <w:rPr>
          <w:rFonts w:eastAsia="SimSun" w:cs="Times New Roman"/>
          <w:szCs w:val="20"/>
          <w:lang w:eastAsia="fr-FR"/>
        </w:rPr>
      </w:pPr>
      <w:bookmarkStart w:id="0" w:name="_Hlk148623908"/>
      <w:r w:rsidRPr="008418CE">
        <w:rPr>
          <w:rFonts w:eastAsia="Times New Roman" w:cs="Times New Roman"/>
          <w:szCs w:val="20"/>
          <w:lang w:eastAsia="fr-FR"/>
        </w:rPr>
        <w:t>7.2.4.23.2.6.</w:t>
      </w:r>
      <w:r w:rsidRPr="008418CE">
        <w:rPr>
          <w:rFonts w:eastAsia="Times New Roman" w:cs="Times New Roman"/>
          <w:b/>
          <w:bCs/>
          <w:szCs w:val="20"/>
          <w:u w:val="single"/>
          <w:lang w:eastAsia="fr-FR"/>
        </w:rPr>
        <w:t>1</w:t>
      </w:r>
      <w:r w:rsidRPr="008418CE">
        <w:rPr>
          <w:rFonts w:eastAsia="Times New Roman" w:cs="Times New Roman"/>
          <w:szCs w:val="20"/>
          <w:lang w:eastAsia="fr-FR"/>
        </w:rPr>
        <w:tab/>
        <w:t xml:space="preserve">Если непредвиденное продление времени плавания требует добавления дополнительного стабилизатора в один или несколько грузовых танков во время перевозки, это разрешается делать только через отверстие для </w:t>
      </w:r>
      <w:r w:rsidRPr="008418CE">
        <w:rPr>
          <w:rFonts w:eastAsia="Times New Roman" w:cs="Times New Roman"/>
          <w:szCs w:val="20"/>
          <w:lang w:eastAsia="fr-FR"/>
        </w:rPr>
        <w:lastRenderedPageBreak/>
        <w:t>взятия проб. Необходимо не допускать образования электростатического заряда.</w:t>
      </w:r>
      <w:bookmarkEnd w:id="0"/>
    </w:p>
    <w:p w14:paraId="4D4CBBC4" w14:textId="77777777" w:rsidR="008418CE" w:rsidRPr="008418CE" w:rsidRDefault="008418CE" w:rsidP="008418CE">
      <w:pPr>
        <w:tabs>
          <w:tab w:val="left" w:pos="1701"/>
          <w:tab w:val="left" w:pos="2268"/>
          <w:tab w:val="left" w:pos="2835"/>
        </w:tabs>
        <w:suppressAutoHyphens w:val="0"/>
        <w:spacing w:after="120"/>
        <w:ind w:left="1701" w:right="1134"/>
        <w:jc w:val="both"/>
        <w:rPr>
          <w:rFonts w:eastAsia="Times New Roman" w:cs="Times New Roman"/>
          <w:b/>
          <w:bCs/>
          <w:szCs w:val="20"/>
          <w:u w:val="single"/>
          <w:lang w:eastAsia="fr-FR"/>
        </w:rPr>
      </w:pPr>
      <w:r w:rsidRPr="008418CE">
        <w:rPr>
          <w:rFonts w:eastAsia="Times New Roman" w:cs="Times New Roman"/>
          <w:b/>
          <w:bCs/>
          <w:szCs w:val="20"/>
          <w:u w:val="single"/>
          <w:lang w:eastAsia="fr-FR"/>
        </w:rPr>
        <w:t>7.2.4.23.2.6.2</w:t>
      </w:r>
      <w:r w:rsidRPr="008418CE">
        <w:rPr>
          <w:rFonts w:eastAsia="Times New Roman" w:cs="Times New Roman"/>
          <w:b/>
          <w:bCs/>
          <w:szCs w:val="20"/>
          <w:u w:val="single"/>
          <w:lang w:eastAsia="fr-FR"/>
        </w:rPr>
        <w:tab/>
        <w:t>Если данные измерения показывают меньшую, чем предписано в нормативных положениях, норму дозирования в грузе и если это требует добавления дополнительной добавки в один или несколько грузовых танков во время перевозки, то это разрешается делать только через отверстие для взятия проб. Необходимо не допускать образования электростатического заряда.</w:t>
      </w:r>
    </w:p>
    <w:p w14:paraId="13CC1D1B" w14:textId="77777777" w:rsidR="008418CE" w:rsidRPr="008418CE" w:rsidRDefault="008418CE" w:rsidP="00E36A40">
      <w:pPr>
        <w:pageBreakBefore/>
        <w:tabs>
          <w:tab w:val="left" w:pos="1701"/>
          <w:tab w:val="left" w:pos="2268"/>
          <w:tab w:val="left" w:pos="2835"/>
        </w:tabs>
        <w:suppressAutoHyphens w:val="0"/>
        <w:spacing w:after="120"/>
        <w:ind w:left="1134" w:right="1134"/>
        <w:jc w:val="both"/>
        <w:rPr>
          <w:rFonts w:eastAsia="Times New Roman" w:cs="Times New Roman"/>
          <w:szCs w:val="20"/>
          <w:lang w:eastAsia="fr-FR"/>
        </w:rPr>
      </w:pPr>
      <w:r w:rsidRPr="008418CE">
        <w:rPr>
          <w:rFonts w:eastAsia="Times New Roman" w:cs="Times New Roman"/>
          <w:szCs w:val="20"/>
          <w:lang w:eastAsia="fr-FR"/>
        </w:rPr>
        <w:t>9.</w:t>
      </w:r>
      <w:r w:rsidRPr="008418CE">
        <w:rPr>
          <w:rFonts w:eastAsia="Times New Roman" w:cs="Times New Roman"/>
          <w:szCs w:val="20"/>
          <w:lang w:eastAsia="fr-FR"/>
        </w:rPr>
        <w:tab/>
        <w:t>В связи с предлагаемой поправкой к пункту 7.2.4.22.11 мы также предлагаем внести поправку во второй абзац пункта 7.2.4.16.8:</w:t>
      </w:r>
    </w:p>
    <w:p w14:paraId="1885528D" w14:textId="77777777" w:rsidR="008418CE" w:rsidRPr="008418CE" w:rsidRDefault="008418CE" w:rsidP="008418CE">
      <w:pPr>
        <w:tabs>
          <w:tab w:val="left" w:pos="1701"/>
          <w:tab w:val="left" w:pos="2268"/>
          <w:tab w:val="left" w:pos="2835"/>
        </w:tabs>
        <w:suppressAutoHyphens w:val="0"/>
        <w:spacing w:after="120"/>
        <w:ind w:left="1701" w:right="1134"/>
        <w:jc w:val="both"/>
        <w:rPr>
          <w:rFonts w:eastAsia="Times New Roman" w:cs="Times New Roman"/>
          <w:szCs w:val="20"/>
          <w:lang w:eastAsia="fr-FR"/>
        </w:rPr>
      </w:pPr>
      <w:r w:rsidRPr="008418CE">
        <w:rPr>
          <w:rFonts w:eastAsia="Times New Roman" w:cs="Times New Roman"/>
          <w:szCs w:val="20"/>
          <w:lang w:eastAsia="fr-FR"/>
        </w:rPr>
        <w:t>7.2.4.16.8 …</w:t>
      </w:r>
    </w:p>
    <w:p w14:paraId="4DBCB879" w14:textId="0C4E06BB" w:rsidR="008418CE" w:rsidRPr="008418CE" w:rsidRDefault="008418CE" w:rsidP="008418CE">
      <w:pPr>
        <w:tabs>
          <w:tab w:val="left" w:pos="1701"/>
          <w:tab w:val="left" w:pos="2268"/>
          <w:tab w:val="left" w:pos="2835"/>
        </w:tabs>
        <w:suppressAutoHyphens w:val="0"/>
        <w:spacing w:after="120"/>
        <w:ind w:left="1701" w:right="1134"/>
        <w:jc w:val="both"/>
        <w:rPr>
          <w:rFonts w:eastAsia="Times New Roman" w:cs="Times New Roman"/>
          <w:szCs w:val="20"/>
          <w:lang w:eastAsia="fr-FR"/>
        </w:rPr>
      </w:pPr>
      <w:r w:rsidRPr="008418CE">
        <w:rPr>
          <w:rFonts w:eastAsia="Times New Roman" w:cs="Times New Roman"/>
          <w:szCs w:val="20"/>
          <w:lang w:eastAsia="fr-FR"/>
        </w:rPr>
        <w:t>Лица, осуществляющие соединение или отсоединение погрузочно-разгрузочных трубопроводов или газоотводных трубопроводов, а также</w:t>
      </w:r>
      <w:r w:rsidR="00E36A40">
        <w:rPr>
          <w:rFonts w:eastAsia="Times New Roman" w:cs="Times New Roman"/>
          <w:szCs w:val="20"/>
          <w:lang w:eastAsia="fr-FR"/>
        </w:rPr>
        <w:br/>
      </w:r>
      <w:r w:rsidRPr="008418CE">
        <w:rPr>
          <w:rFonts w:eastAsia="Times New Roman" w:cs="Times New Roman"/>
          <w:szCs w:val="20"/>
          <w:lang w:eastAsia="fr-FR"/>
        </w:rPr>
        <w:t xml:space="preserve">сброс давления в грузовых танках, взятие проб, </w:t>
      </w:r>
      <w:r w:rsidRPr="008418CE">
        <w:rPr>
          <w:rFonts w:eastAsia="Times New Roman" w:cs="Times New Roman"/>
          <w:b/>
          <w:bCs/>
          <w:szCs w:val="20"/>
          <w:u w:val="single"/>
          <w:lang w:eastAsia="fr-FR"/>
        </w:rPr>
        <w:t>добавление</w:t>
      </w:r>
      <w:r w:rsidR="00E36A40">
        <w:rPr>
          <w:rFonts w:eastAsia="Times New Roman" w:cs="Times New Roman"/>
          <w:b/>
          <w:bCs/>
          <w:szCs w:val="20"/>
          <w:u w:val="single"/>
          <w:lang w:eastAsia="fr-FR"/>
        </w:rPr>
        <w:br/>
      </w:r>
      <w:r w:rsidRPr="008418CE">
        <w:rPr>
          <w:rFonts w:eastAsia="Times New Roman" w:cs="Times New Roman"/>
          <w:b/>
          <w:bCs/>
          <w:szCs w:val="20"/>
          <w:u w:val="single"/>
          <w:lang w:eastAsia="fr-FR"/>
        </w:rPr>
        <w:t>добавок (см. подраздел 7.2.4.22),</w:t>
      </w:r>
      <w:r w:rsidRPr="008418CE">
        <w:rPr>
          <w:rFonts w:eastAsia="Times New Roman" w:cs="Times New Roman"/>
          <w:b/>
          <w:bCs/>
          <w:szCs w:val="20"/>
          <w:lang w:eastAsia="fr-FR"/>
        </w:rPr>
        <w:t xml:space="preserve"> </w:t>
      </w:r>
      <w:r w:rsidRPr="008418CE">
        <w:rPr>
          <w:rFonts w:eastAsia="Times New Roman" w:cs="Times New Roman"/>
          <w:szCs w:val="20"/>
          <w:lang w:eastAsia="fr-FR"/>
        </w:rPr>
        <w:t>измерения, очистку или замену пластинчатого блока пламегасителя (см. подраздел 7.2.4.22) ...</w:t>
      </w:r>
    </w:p>
    <w:p w14:paraId="5BFDDE36" w14:textId="42B53151" w:rsidR="008418CE" w:rsidRPr="008418CE" w:rsidRDefault="008418CE" w:rsidP="008418CE">
      <w:pPr>
        <w:tabs>
          <w:tab w:val="left" w:pos="1701"/>
          <w:tab w:val="left" w:pos="2268"/>
          <w:tab w:val="left" w:pos="2835"/>
        </w:tabs>
        <w:suppressAutoHyphens w:val="0"/>
        <w:spacing w:after="120"/>
        <w:ind w:left="1134" w:right="1134"/>
        <w:jc w:val="both"/>
        <w:rPr>
          <w:rFonts w:eastAsia="Times New Roman" w:cs="Times New Roman"/>
          <w:szCs w:val="20"/>
          <w:lang w:eastAsia="fr-FR"/>
        </w:rPr>
      </w:pPr>
      <w:r w:rsidRPr="008418CE">
        <w:rPr>
          <w:rFonts w:eastAsia="Times New Roman" w:cs="Times New Roman"/>
          <w:szCs w:val="20"/>
          <w:lang w:eastAsia="fr-FR"/>
        </w:rPr>
        <w:t>10.</w:t>
      </w:r>
      <w:r w:rsidRPr="008418CE">
        <w:rPr>
          <w:rFonts w:eastAsia="Times New Roman" w:cs="Times New Roman"/>
          <w:szCs w:val="20"/>
          <w:lang w:eastAsia="fr-FR"/>
        </w:rPr>
        <w:tab/>
        <w:t>Учитывая, что дополнительное добавление на борту требует кратковременного перемещения упаковок в грузовую зону, мы также предлагаем включить новый</w:t>
      </w:r>
      <w:r w:rsidR="00E36A40">
        <w:rPr>
          <w:rFonts w:eastAsia="Times New Roman" w:cs="Times New Roman"/>
          <w:szCs w:val="20"/>
          <w:lang w:eastAsia="fr-FR"/>
        </w:rPr>
        <w:br/>
      </w:r>
      <w:r w:rsidRPr="008418CE">
        <w:rPr>
          <w:rFonts w:eastAsia="Times New Roman" w:cs="Times New Roman"/>
          <w:szCs w:val="20"/>
          <w:lang w:eastAsia="fr-FR"/>
        </w:rPr>
        <w:t>пункт 7.2.4.1.5, подробно описывающий условия, которые должны быть выполнены:</w:t>
      </w:r>
    </w:p>
    <w:p w14:paraId="354298CE" w14:textId="77777777" w:rsidR="008418CE" w:rsidRPr="008418CE" w:rsidRDefault="008418CE" w:rsidP="008418CE">
      <w:pPr>
        <w:tabs>
          <w:tab w:val="left" w:pos="1701"/>
          <w:tab w:val="left" w:pos="2268"/>
          <w:tab w:val="left" w:pos="2835"/>
        </w:tabs>
        <w:suppressAutoHyphens w:val="0"/>
        <w:spacing w:after="120"/>
        <w:ind w:left="1701" w:right="1134"/>
        <w:jc w:val="both"/>
        <w:rPr>
          <w:rFonts w:eastAsia="Times New Roman" w:cs="Times New Roman"/>
          <w:b/>
          <w:bCs/>
          <w:szCs w:val="20"/>
          <w:u w:val="single"/>
          <w:lang w:eastAsia="fr-FR"/>
        </w:rPr>
      </w:pPr>
      <w:r w:rsidRPr="008418CE">
        <w:rPr>
          <w:rFonts w:eastAsia="Times New Roman" w:cs="Times New Roman"/>
          <w:b/>
          <w:bCs/>
          <w:szCs w:val="20"/>
          <w:u w:val="single"/>
          <w:lang w:eastAsia="fr-FR"/>
        </w:rPr>
        <w:t>7.2.4.1.5</w:t>
      </w:r>
      <w:r w:rsidRPr="008418CE">
        <w:rPr>
          <w:rFonts w:eastAsia="Times New Roman" w:cs="Times New Roman"/>
          <w:b/>
          <w:bCs/>
          <w:szCs w:val="20"/>
          <w:u w:val="single"/>
          <w:lang w:eastAsia="fr-FR"/>
        </w:rPr>
        <w:tab/>
      </w:r>
      <w:r w:rsidRPr="008418CE">
        <w:rPr>
          <w:rFonts w:eastAsia="Times New Roman" w:cs="Times New Roman"/>
          <w:b/>
          <w:bCs/>
          <w:szCs w:val="20"/>
          <w:u w:val="single"/>
          <w:lang w:eastAsia="fr-FR"/>
        </w:rPr>
        <w:tab/>
        <w:t>На борту судов исключительно с целью добавления добавок (см. подраздел 7.2.4.22) разрешается перемещать упаковки с добавками в грузовую зону только на время проведения такой операции.</w:t>
      </w:r>
      <w:r w:rsidRPr="008418CE">
        <w:rPr>
          <w:rFonts w:eastAsia="Times New Roman" w:cs="Times New Roman"/>
          <w:szCs w:val="20"/>
          <w:lang w:eastAsia="fr-FR"/>
        </w:rPr>
        <w:t xml:space="preserve"> </w:t>
      </w:r>
      <w:r w:rsidRPr="008418CE">
        <w:rPr>
          <w:rFonts w:eastAsia="Times New Roman" w:cs="Times New Roman"/>
          <w:b/>
          <w:bCs/>
          <w:szCs w:val="20"/>
          <w:u w:val="single"/>
          <w:lang w:eastAsia="fr-FR"/>
        </w:rPr>
        <w:t>Эта операция должна выполняться после прекращения погрузки и до начала рейса судна, либо после окончания рейса судна и до начала разгрузки.</w:t>
      </w:r>
      <w:r w:rsidRPr="008418CE">
        <w:rPr>
          <w:rFonts w:eastAsia="Times New Roman" w:cs="Times New Roman"/>
          <w:szCs w:val="20"/>
          <w:lang w:eastAsia="fr-FR"/>
        </w:rPr>
        <w:t xml:space="preserve">  </w:t>
      </w:r>
      <w:r w:rsidRPr="008418CE">
        <w:rPr>
          <w:rFonts w:eastAsia="Times New Roman" w:cs="Times New Roman"/>
          <w:b/>
          <w:bCs/>
          <w:szCs w:val="20"/>
          <w:u w:val="single"/>
          <w:lang w:eastAsia="fr-FR"/>
        </w:rPr>
        <w:t>При этом должны учитываться особые положения подраздела 7.2.4.22. Общее количество упаковок не должно превышать ..., а общий вес полных упаковок не должен превышать ...кг. Вес одной упаковки не должен превышать ... кг.</w:t>
      </w:r>
    </w:p>
    <w:p w14:paraId="56ECF2D9" w14:textId="77777777" w:rsidR="008418CE" w:rsidRPr="008418CE" w:rsidRDefault="008418CE" w:rsidP="00E36A40">
      <w:pPr>
        <w:pStyle w:val="HChG"/>
      </w:pPr>
      <w:r w:rsidRPr="008418CE">
        <w:tab/>
        <w:t>II.</w:t>
      </w:r>
      <w:r w:rsidRPr="008418CE">
        <w:tab/>
        <w:t>Обоснование</w:t>
      </w:r>
    </w:p>
    <w:p w14:paraId="5B2D4AC5" w14:textId="6A40B59D" w:rsidR="008418CE" w:rsidRPr="008418CE" w:rsidRDefault="008418CE" w:rsidP="008418CE">
      <w:pPr>
        <w:tabs>
          <w:tab w:val="left" w:pos="1701"/>
          <w:tab w:val="left" w:pos="2268"/>
          <w:tab w:val="left" w:pos="2835"/>
        </w:tabs>
        <w:suppressAutoHyphens w:val="0"/>
        <w:spacing w:after="120"/>
        <w:ind w:left="1134" w:right="1134"/>
        <w:jc w:val="both"/>
        <w:rPr>
          <w:rFonts w:eastAsia="Times New Roman" w:cs="Times New Roman"/>
          <w:szCs w:val="20"/>
          <w:lang w:eastAsia="fr-FR"/>
        </w:rPr>
      </w:pPr>
      <w:r w:rsidRPr="008418CE">
        <w:rPr>
          <w:rFonts w:eastAsia="Times New Roman" w:cs="Times New Roman"/>
          <w:szCs w:val="20"/>
          <w:lang w:eastAsia="fr-FR"/>
        </w:rPr>
        <w:t>11.</w:t>
      </w:r>
      <w:r w:rsidRPr="008418CE">
        <w:rPr>
          <w:rFonts w:eastAsia="Times New Roman" w:cs="Times New Roman"/>
          <w:szCs w:val="20"/>
          <w:lang w:eastAsia="fr-FR"/>
        </w:rPr>
        <w:tab/>
        <w:t>Добавки обычно очень дороги и должны дозироваться в количествах, соответствующих различным другим нормативным документам, включая налоговое законодательство, стандарты в области обороны и т.</w:t>
      </w:r>
      <w:r w:rsidR="00E36A40">
        <w:rPr>
          <w:rFonts w:eastAsia="Times New Roman" w:cs="Times New Roman"/>
          <w:szCs w:val="20"/>
          <w:lang w:eastAsia="fr-FR"/>
        </w:rPr>
        <w:t> </w:t>
      </w:r>
      <w:r w:rsidRPr="008418CE">
        <w:rPr>
          <w:rFonts w:eastAsia="Times New Roman" w:cs="Times New Roman"/>
          <w:szCs w:val="20"/>
          <w:lang w:eastAsia="fr-FR"/>
        </w:rPr>
        <w:t>д. Часто применяется минимальная и максимальная норма дозирования, причем применяемая норма дозирования зависит от продукта.</w:t>
      </w:r>
    </w:p>
    <w:p w14:paraId="739A3C88" w14:textId="4F8425B2" w:rsidR="008418CE" w:rsidRPr="008418CE" w:rsidRDefault="008418CE" w:rsidP="008418CE">
      <w:pPr>
        <w:tabs>
          <w:tab w:val="left" w:pos="1701"/>
          <w:tab w:val="left" w:pos="2268"/>
          <w:tab w:val="left" w:pos="2835"/>
        </w:tabs>
        <w:suppressAutoHyphens w:val="0"/>
        <w:spacing w:after="120"/>
        <w:ind w:left="1134" w:right="1134"/>
        <w:jc w:val="both"/>
        <w:rPr>
          <w:rFonts w:eastAsia="Times New Roman" w:cs="Times New Roman"/>
          <w:szCs w:val="20"/>
          <w:lang w:eastAsia="fr-FR"/>
        </w:rPr>
      </w:pPr>
      <w:r w:rsidRPr="008418CE">
        <w:rPr>
          <w:rFonts w:eastAsia="Times New Roman" w:cs="Times New Roman"/>
          <w:szCs w:val="20"/>
          <w:lang w:eastAsia="fr-FR"/>
        </w:rPr>
        <w:t>12.</w:t>
      </w:r>
      <w:r w:rsidRPr="008418CE">
        <w:rPr>
          <w:rFonts w:eastAsia="Times New Roman" w:cs="Times New Roman"/>
          <w:szCs w:val="20"/>
          <w:lang w:eastAsia="fr-FR"/>
        </w:rPr>
        <w:tab/>
        <w:t>В некоторых случаях количество добавки в грузе может оказаться слишком низким. Настоящие предложения направлены на устранение этого недостатка, причем всегда безопасным способом.</w:t>
      </w:r>
    </w:p>
    <w:p w14:paraId="7F112CDB" w14:textId="77777777" w:rsidR="008418CE" w:rsidRPr="008418CE" w:rsidRDefault="008418CE" w:rsidP="008418CE">
      <w:pPr>
        <w:tabs>
          <w:tab w:val="left" w:pos="1701"/>
          <w:tab w:val="left" w:pos="2268"/>
          <w:tab w:val="left" w:pos="2835"/>
        </w:tabs>
        <w:suppressAutoHyphens w:val="0"/>
        <w:spacing w:after="120"/>
        <w:ind w:left="1134" w:right="1134"/>
        <w:jc w:val="both"/>
        <w:rPr>
          <w:rFonts w:eastAsia="Times New Roman" w:cs="Times New Roman"/>
          <w:b/>
          <w:bCs/>
          <w:szCs w:val="20"/>
          <w:lang w:eastAsia="fr-FR"/>
        </w:rPr>
      </w:pPr>
      <w:r w:rsidRPr="008418CE">
        <w:rPr>
          <w:rFonts w:eastAsia="Times New Roman" w:cs="Times New Roman"/>
          <w:szCs w:val="20"/>
          <w:lang w:eastAsia="fr-FR"/>
        </w:rPr>
        <w:t>13.</w:t>
      </w:r>
      <w:r w:rsidRPr="008418CE">
        <w:rPr>
          <w:rFonts w:eastAsia="Times New Roman" w:cs="Times New Roman"/>
          <w:szCs w:val="20"/>
          <w:lang w:eastAsia="fr-FR"/>
        </w:rPr>
        <w:tab/>
        <w:t>Примерами требований к дозированию, обусловленных безопасностью перевозки или другими правилами и нормами, являются:</w:t>
      </w:r>
    </w:p>
    <w:p w14:paraId="50F2CCB6" w14:textId="77777777" w:rsidR="008418CE" w:rsidRPr="008418CE" w:rsidRDefault="008418CE" w:rsidP="00E36A40">
      <w:pPr>
        <w:pStyle w:val="Bullet1G"/>
        <w:rPr>
          <w:lang w:val="en-GB"/>
        </w:rPr>
      </w:pPr>
      <w:r w:rsidRPr="008418CE">
        <w:t>Налоговое законодательство:</w:t>
      </w:r>
    </w:p>
    <w:p w14:paraId="0DA44567" w14:textId="42B6DE85" w:rsidR="008418CE" w:rsidRPr="008418CE" w:rsidRDefault="00E36A40" w:rsidP="00E36A40">
      <w:pPr>
        <w:pStyle w:val="Bullet2G"/>
      </w:pPr>
      <w:r>
        <w:t>в</w:t>
      </w:r>
      <w:r w:rsidR="008418CE" w:rsidRPr="008418CE">
        <w:t xml:space="preserve"> соответствии с требованиями налогового законодательства предусмотрена определенная маркировка, освобождающая продукцию, на которую она нанесена, от уплаты акцизов и пошлин.</w:t>
      </w:r>
    </w:p>
    <w:p w14:paraId="72072761" w14:textId="77777777" w:rsidR="008418CE" w:rsidRPr="008418CE" w:rsidRDefault="008418CE" w:rsidP="00E36A40">
      <w:pPr>
        <w:pStyle w:val="Bullet1G"/>
        <w:rPr>
          <w:lang w:val="en-GB"/>
        </w:rPr>
      </w:pPr>
      <w:r w:rsidRPr="008418CE">
        <w:t>Безопасное использование продуктов:</w:t>
      </w:r>
    </w:p>
    <w:p w14:paraId="177E9F77" w14:textId="566585E3" w:rsidR="008418CE" w:rsidRPr="008418CE" w:rsidRDefault="00E36A40" w:rsidP="00E36A40">
      <w:pPr>
        <w:pStyle w:val="Bullet2G"/>
      </w:pPr>
      <w:r>
        <w:t>д</w:t>
      </w:r>
      <w:r w:rsidR="008418CE" w:rsidRPr="008418CE">
        <w:t>обавки для улучшения электропроводности продукта в соответствии с требованиями нормативных документов (турбинное топливо для реактивных двигателей накапливает статическое электричество, что может создавать опасность в приемном танке);</w:t>
      </w:r>
    </w:p>
    <w:p w14:paraId="6FB84902" w14:textId="77777777" w:rsidR="008418CE" w:rsidRPr="008418CE" w:rsidRDefault="008418CE" w:rsidP="00E36A40">
      <w:pPr>
        <w:pStyle w:val="Bullet2G"/>
      </w:pPr>
      <w:r w:rsidRPr="008418CE">
        <w:lastRenderedPageBreak/>
        <w:t>добавки для улучшения эксплуатационных свойств топлива, как это требуется в военной области, стабилизаторы (турбинное топливо для истребителей).</w:t>
      </w:r>
    </w:p>
    <w:p w14:paraId="0BD5B516" w14:textId="77777777" w:rsidR="008418CE" w:rsidRPr="008418CE" w:rsidRDefault="008418CE" w:rsidP="00E36A40">
      <w:pPr>
        <w:pStyle w:val="Bullet1G"/>
        <w:rPr>
          <w:lang w:val="en-GB"/>
        </w:rPr>
      </w:pPr>
      <w:r w:rsidRPr="008418CE">
        <w:t>Безопасная перевозка продукции:</w:t>
      </w:r>
    </w:p>
    <w:p w14:paraId="2090BB13" w14:textId="28581B3A" w:rsidR="008418CE" w:rsidRPr="008418CE" w:rsidRDefault="00E36A40" w:rsidP="00E36A40">
      <w:pPr>
        <w:pStyle w:val="Bullet2G"/>
      </w:pPr>
      <w:r>
        <w:t>д</w:t>
      </w:r>
      <w:r w:rsidR="008418CE" w:rsidRPr="008418CE">
        <w:t>обавки, препятствующие переходу сероводорода (H</w:t>
      </w:r>
      <w:r w:rsidR="008418CE" w:rsidRPr="008418CE">
        <w:rPr>
          <w:vertAlign w:val="subscript"/>
        </w:rPr>
        <w:t>2</w:t>
      </w:r>
      <w:r w:rsidR="008418CE" w:rsidRPr="008418CE">
        <w:t>S), находящегося в жидкой фазе продуктов, в паровую фазу, что может представлять опасность для здоровья работников.</w:t>
      </w:r>
    </w:p>
    <w:p w14:paraId="6B659693" w14:textId="57194E12" w:rsidR="008418CE" w:rsidRPr="008418CE" w:rsidRDefault="008418CE" w:rsidP="008418CE">
      <w:pPr>
        <w:tabs>
          <w:tab w:val="left" w:pos="1701"/>
          <w:tab w:val="left" w:pos="2268"/>
          <w:tab w:val="left" w:pos="2835"/>
        </w:tabs>
        <w:suppressAutoHyphens w:val="0"/>
        <w:spacing w:after="120"/>
        <w:ind w:left="1134" w:right="1134"/>
        <w:jc w:val="both"/>
        <w:rPr>
          <w:rFonts w:eastAsia="Times New Roman" w:cs="Times New Roman"/>
          <w:szCs w:val="20"/>
          <w:lang w:eastAsia="fr-FR"/>
        </w:rPr>
      </w:pPr>
      <w:r w:rsidRPr="008418CE">
        <w:rPr>
          <w:rFonts w:eastAsia="Times New Roman" w:cs="Times New Roman"/>
          <w:szCs w:val="20"/>
          <w:lang w:eastAsia="fr-FR"/>
        </w:rPr>
        <w:t>14.</w:t>
      </w:r>
      <w:r w:rsidRPr="008418CE">
        <w:rPr>
          <w:rFonts w:eastAsia="Times New Roman" w:cs="Times New Roman"/>
          <w:szCs w:val="20"/>
          <w:lang w:eastAsia="fr-FR"/>
        </w:rPr>
        <w:tab/>
        <w:t>В настоящее время на рынке имеются и используются переносные системы, позволяющие обеспечить безопасную работу на борту танкеров внутреннего плавания. Опытные сотрудники поставщиков услуг, такие как контролеры или поставщики добавок, работает с ними безопасным образом.</w:t>
      </w:r>
    </w:p>
    <w:p w14:paraId="334E7AF7" w14:textId="35D527AE" w:rsidR="008418CE" w:rsidRPr="008418CE" w:rsidRDefault="008418CE" w:rsidP="008418CE">
      <w:pPr>
        <w:tabs>
          <w:tab w:val="left" w:pos="1701"/>
          <w:tab w:val="left" w:pos="2268"/>
          <w:tab w:val="left" w:pos="2835"/>
        </w:tabs>
        <w:suppressAutoHyphens w:val="0"/>
        <w:spacing w:after="120"/>
        <w:ind w:left="1134" w:right="1134"/>
        <w:jc w:val="both"/>
        <w:rPr>
          <w:rFonts w:eastAsia="Times New Roman" w:cs="Times New Roman"/>
          <w:szCs w:val="20"/>
          <w:lang w:eastAsia="fr-FR"/>
        </w:rPr>
      </w:pPr>
      <w:r w:rsidRPr="008418CE">
        <w:rPr>
          <w:rFonts w:eastAsia="Times New Roman" w:cs="Times New Roman"/>
          <w:szCs w:val="20"/>
          <w:lang w:eastAsia="fr-FR"/>
        </w:rPr>
        <w:t>15.</w:t>
      </w:r>
      <w:r w:rsidRPr="008418CE">
        <w:rPr>
          <w:rFonts w:eastAsia="Times New Roman" w:cs="Times New Roman"/>
          <w:szCs w:val="20"/>
          <w:lang w:eastAsia="fr-FR"/>
        </w:rPr>
        <w:tab/>
        <w:t>Отсутствие смешивания на борту. Добавление добавок не следует путать</w:t>
      </w:r>
      <w:r w:rsidR="00E36A40">
        <w:rPr>
          <w:rFonts w:eastAsia="Times New Roman" w:cs="Times New Roman"/>
          <w:szCs w:val="20"/>
          <w:lang w:eastAsia="fr-FR"/>
        </w:rPr>
        <w:br/>
      </w:r>
      <w:r w:rsidRPr="008418CE">
        <w:rPr>
          <w:rFonts w:eastAsia="Times New Roman" w:cs="Times New Roman"/>
          <w:szCs w:val="20"/>
          <w:lang w:eastAsia="fr-FR"/>
        </w:rPr>
        <w:t>со смешиванием на борту или погрузкой сверху из-за относительно небольших объемов по сравнению с размерами груза. Аналогично этому допускается погрузка продукта с номером ООН X в порожний грузовой танк, не очищенный от груза с номером ООН Y, при условии, что они не вступают в опасную реакцию друг с другом. Добавки всегда совместимы с грузом и не изменяют классификацию продукта,</w:t>
      </w:r>
      <w:r w:rsidR="00E36A40">
        <w:rPr>
          <w:rFonts w:eastAsia="Times New Roman" w:cs="Times New Roman"/>
          <w:szCs w:val="20"/>
          <w:lang w:eastAsia="fr-FR"/>
        </w:rPr>
        <w:br/>
      </w:r>
      <w:r w:rsidRPr="008418CE">
        <w:rPr>
          <w:rFonts w:eastAsia="Times New Roman" w:cs="Times New Roman"/>
          <w:szCs w:val="20"/>
          <w:lang w:eastAsia="fr-FR"/>
        </w:rPr>
        <w:t>в который они добавлены.</w:t>
      </w:r>
    </w:p>
    <w:p w14:paraId="64D02F6B" w14:textId="4F1730E5" w:rsidR="008418CE" w:rsidRPr="008418CE" w:rsidRDefault="008418CE" w:rsidP="008418CE">
      <w:pPr>
        <w:tabs>
          <w:tab w:val="left" w:pos="1701"/>
          <w:tab w:val="left" w:pos="2268"/>
          <w:tab w:val="left" w:pos="2835"/>
        </w:tabs>
        <w:suppressAutoHyphens w:val="0"/>
        <w:spacing w:after="120"/>
        <w:ind w:left="1134" w:right="1134"/>
        <w:jc w:val="both"/>
        <w:rPr>
          <w:rFonts w:eastAsia="Times New Roman" w:cs="Times New Roman"/>
          <w:szCs w:val="20"/>
          <w:lang w:val="en-GB" w:eastAsia="fr-FR"/>
        </w:rPr>
      </w:pPr>
      <w:r w:rsidRPr="008418CE">
        <w:rPr>
          <w:rFonts w:eastAsia="Times New Roman" w:cs="Times New Roman"/>
          <w:szCs w:val="20"/>
          <w:lang w:eastAsia="fr-FR"/>
        </w:rPr>
        <w:t>16.</w:t>
      </w:r>
      <w:r w:rsidRPr="008418CE">
        <w:rPr>
          <w:rFonts w:eastAsia="Times New Roman" w:cs="Times New Roman"/>
          <w:szCs w:val="20"/>
          <w:lang w:eastAsia="fr-FR"/>
        </w:rPr>
        <w:tab/>
        <w:t>Если встроенная система смешивания/дозирования отсутствует, следует разрешить добавлять добавки в груз безопасным способом, т.</w:t>
      </w:r>
      <w:r w:rsidR="00E36A40">
        <w:rPr>
          <w:rFonts w:eastAsia="Times New Roman" w:cs="Times New Roman"/>
          <w:szCs w:val="20"/>
          <w:lang w:eastAsia="fr-FR"/>
        </w:rPr>
        <w:t> </w:t>
      </w:r>
      <w:r w:rsidRPr="008418CE">
        <w:rPr>
          <w:rFonts w:eastAsia="Times New Roman" w:cs="Times New Roman"/>
          <w:szCs w:val="20"/>
          <w:lang w:eastAsia="fr-FR"/>
        </w:rPr>
        <w:t>е. с помощью переносной системы дозирования, подключенной к судовому трубопроводу. Открытие таких дозирующих систем считается более безопасным вариантом, чем открытие отверстий грузовых танков. То же самое относится и к добавлению стабилизатора.</w:t>
      </w:r>
    </w:p>
    <w:p w14:paraId="21B805F9" w14:textId="77777777" w:rsidR="008418CE" w:rsidRPr="008418CE" w:rsidRDefault="008418CE" w:rsidP="00E36A40">
      <w:pPr>
        <w:pStyle w:val="HChG"/>
        <w:rPr>
          <w:lang w:val="en-GB"/>
        </w:rPr>
      </w:pPr>
      <w:r w:rsidRPr="008418CE">
        <w:tab/>
        <w:t>III.</w:t>
      </w:r>
      <w:r w:rsidRPr="008418CE">
        <w:tab/>
        <w:t>Вывод</w:t>
      </w:r>
    </w:p>
    <w:p w14:paraId="2BC9DCBA" w14:textId="77777777" w:rsidR="008418CE" w:rsidRPr="008418CE" w:rsidRDefault="008418CE" w:rsidP="008418CE">
      <w:pPr>
        <w:tabs>
          <w:tab w:val="left" w:pos="1701"/>
          <w:tab w:val="left" w:pos="2268"/>
          <w:tab w:val="left" w:pos="2835"/>
        </w:tabs>
        <w:suppressAutoHyphens w:val="0"/>
        <w:spacing w:after="120"/>
        <w:ind w:left="1134" w:right="1134"/>
        <w:jc w:val="both"/>
        <w:rPr>
          <w:rFonts w:eastAsia="Times New Roman" w:cs="Times New Roman"/>
          <w:szCs w:val="20"/>
          <w:lang w:eastAsia="fr-FR"/>
        </w:rPr>
      </w:pPr>
      <w:r w:rsidRPr="008418CE">
        <w:rPr>
          <w:rFonts w:eastAsia="Times New Roman" w:cs="Times New Roman"/>
          <w:szCs w:val="20"/>
          <w:lang w:eastAsia="fr-FR"/>
        </w:rPr>
        <w:t>17.</w:t>
      </w:r>
      <w:r w:rsidRPr="008418CE">
        <w:rPr>
          <w:rFonts w:eastAsia="Times New Roman" w:cs="Times New Roman"/>
          <w:szCs w:val="20"/>
          <w:lang w:eastAsia="fr-FR"/>
        </w:rPr>
        <w:tab/>
        <w:t>Данные предложения позволят в безопасном режиме корректировать дозировку груза на борту судна. «Фьюэлз-Юроп» дает разъяснения по аспектам смешивания на борту (п. 15), наличию упаковок в грузовой зоне (п. 10) и безопасному использованию переносных систем (пп. 14 и 16).</w:t>
      </w:r>
    </w:p>
    <w:p w14:paraId="7A25990B" w14:textId="5D7D09E3" w:rsidR="008418CE" w:rsidRPr="008418CE" w:rsidRDefault="008418CE" w:rsidP="008418CE">
      <w:pPr>
        <w:tabs>
          <w:tab w:val="left" w:pos="1701"/>
          <w:tab w:val="left" w:pos="2268"/>
          <w:tab w:val="left" w:pos="2835"/>
        </w:tabs>
        <w:suppressAutoHyphens w:val="0"/>
        <w:spacing w:after="120"/>
        <w:ind w:left="1134" w:right="1134"/>
        <w:jc w:val="both"/>
        <w:rPr>
          <w:rFonts w:eastAsia="Times New Roman" w:cs="Times New Roman"/>
          <w:szCs w:val="20"/>
          <w:lang w:eastAsia="fr-FR"/>
        </w:rPr>
      </w:pPr>
      <w:r w:rsidRPr="008418CE">
        <w:rPr>
          <w:rFonts w:eastAsia="Times New Roman" w:cs="Times New Roman"/>
          <w:szCs w:val="20"/>
          <w:lang w:eastAsia="fr-FR"/>
        </w:rPr>
        <w:t>18.</w:t>
      </w:r>
      <w:r w:rsidRPr="008418CE">
        <w:rPr>
          <w:rFonts w:eastAsia="Times New Roman" w:cs="Times New Roman"/>
          <w:szCs w:val="20"/>
          <w:lang w:eastAsia="fr-FR"/>
        </w:rPr>
        <w:tab/>
        <w:t>Описанные решения позволят исключить необходимость проведения полноценной дополнительной судоходной операции (возвращение к соответствующему сооружению, выгрузка всего груза, новое дозирование, загрузка полного груза и повторное отбытие к разгрузочному сооружению). Мы утверждаем, что меньшее количество операций всегда является более безопасным.</w:t>
      </w:r>
    </w:p>
    <w:p w14:paraId="0F6D3429" w14:textId="77777777" w:rsidR="008418CE" w:rsidRPr="008418CE" w:rsidRDefault="008418CE" w:rsidP="00E36A40">
      <w:pPr>
        <w:pStyle w:val="HChG"/>
      </w:pPr>
      <w:r w:rsidRPr="008418CE">
        <w:tab/>
        <w:t>IV.</w:t>
      </w:r>
      <w:r w:rsidRPr="008418CE">
        <w:tab/>
        <w:t>Взаимосвязь с Целями в области устойчивого развития</w:t>
      </w:r>
    </w:p>
    <w:p w14:paraId="6B76B16E" w14:textId="77777777" w:rsidR="008418CE" w:rsidRPr="008418CE" w:rsidRDefault="008418CE" w:rsidP="008418CE">
      <w:pPr>
        <w:tabs>
          <w:tab w:val="left" w:pos="1701"/>
          <w:tab w:val="left" w:pos="2268"/>
          <w:tab w:val="left" w:pos="2835"/>
        </w:tabs>
        <w:suppressAutoHyphens w:val="0"/>
        <w:spacing w:after="120"/>
        <w:ind w:left="1134" w:right="1134"/>
        <w:jc w:val="both"/>
        <w:rPr>
          <w:rFonts w:eastAsia="Times New Roman" w:cs="Times New Roman"/>
          <w:szCs w:val="20"/>
          <w:lang w:eastAsia="fr-FR"/>
        </w:rPr>
      </w:pPr>
      <w:r w:rsidRPr="008418CE">
        <w:rPr>
          <w:rFonts w:eastAsia="Times New Roman" w:cs="Times New Roman"/>
          <w:szCs w:val="20"/>
          <w:lang w:eastAsia="fr-FR"/>
        </w:rPr>
        <w:t>19.</w:t>
      </w:r>
      <w:r w:rsidRPr="008418CE">
        <w:rPr>
          <w:rFonts w:eastAsia="Times New Roman" w:cs="Times New Roman"/>
          <w:szCs w:val="20"/>
          <w:lang w:eastAsia="fr-FR"/>
        </w:rPr>
        <w:tab/>
        <w:t>Получение новых сведений в области обращения с (опасными) материалами и их учет для непрерывного безопасного обращения с этими опасными материалами, их хранения и перевозки можно увязать с Целью в области устойчивого развития 3 (хорошее здоровье и благополучие — снижение рисков для здоровья, связанных с опасными материалами).</w:t>
      </w:r>
    </w:p>
    <w:p w14:paraId="4381AD11" w14:textId="77777777" w:rsidR="008418CE" w:rsidRPr="008418CE" w:rsidRDefault="008418CE" w:rsidP="008418CE">
      <w:pPr>
        <w:tabs>
          <w:tab w:val="left" w:pos="1701"/>
          <w:tab w:val="left" w:pos="2268"/>
          <w:tab w:val="left" w:pos="2835"/>
        </w:tabs>
        <w:suppressAutoHyphens w:val="0"/>
        <w:spacing w:after="120"/>
        <w:ind w:left="1134" w:right="1134"/>
        <w:jc w:val="both"/>
        <w:rPr>
          <w:rFonts w:eastAsia="Times New Roman" w:cs="Times New Roman"/>
          <w:szCs w:val="20"/>
          <w:lang w:eastAsia="fr-FR"/>
        </w:rPr>
      </w:pPr>
      <w:r w:rsidRPr="008418CE">
        <w:rPr>
          <w:rFonts w:eastAsia="Times New Roman" w:cs="Times New Roman"/>
          <w:szCs w:val="20"/>
          <w:lang w:eastAsia="fr-FR"/>
        </w:rPr>
        <w:t>20.</w:t>
      </w:r>
      <w:r w:rsidRPr="008418CE">
        <w:rPr>
          <w:rFonts w:eastAsia="Times New Roman" w:cs="Times New Roman"/>
          <w:szCs w:val="20"/>
          <w:lang w:eastAsia="fr-FR"/>
        </w:rPr>
        <w:tab/>
        <w:t>Поскольку в этом контексте существует взаимосвязь с устойчивыми перевозками, актуальной представляется также Цель устойчивого развития 11.</w:t>
      </w:r>
    </w:p>
    <w:p w14:paraId="60D9326D" w14:textId="77777777" w:rsidR="008418CE" w:rsidRPr="008418CE" w:rsidRDefault="008418CE" w:rsidP="00E36A40">
      <w:pPr>
        <w:pStyle w:val="HChG"/>
      </w:pPr>
      <w:r w:rsidRPr="008418CE">
        <w:tab/>
        <w:t>V.</w:t>
      </w:r>
      <w:r w:rsidRPr="008418CE">
        <w:tab/>
        <w:t>Предлагаемое решение</w:t>
      </w:r>
    </w:p>
    <w:p w14:paraId="077063DB" w14:textId="6C352113" w:rsidR="008418CE" w:rsidRPr="008418CE" w:rsidRDefault="008418CE" w:rsidP="008418CE">
      <w:pPr>
        <w:tabs>
          <w:tab w:val="left" w:pos="1701"/>
          <w:tab w:val="left" w:pos="2268"/>
          <w:tab w:val="left" w:pos="2835"/>
        </w:tabs>
        <w:suppressAutoHyphens w:val="0"/>
        <w:spacing w:after="120"/>
        <w:ind w:left="1134" w:right="1134"/>
        <w:jc w:val="both"/>
        <w:rPr>
          <w:rFonts w:eastAsia="Times New Roman" w:cs="Times New Roman"/>
          <w:szCs w:val="20"/>
          <w:lang w:eastAsia="fr-FR"/>
        </w:rPr>
      </w:pPr>
      <w:r w:rsidRPr="008418CE">
        <w:rPr>
          <w:rFonts w:eastAsia="Times New Roman" w:cs="Times New Roman"/>
          <w:szCs w:val="20"/>
          <w:lang w:eastAsia="fr-FR"/>
        </w:rPr>
        <w:t>21.</w:t>
      </w:r>
      <w:r w:rsidRPr="008418CE">
        <w:rPr>
          <w:rFonts w:eastAsia="Times New Roman" w:cs="Times New Roman"/>
          <w:szCs w:val="20"/>
          <w:lang w:eastAsia="fr-FR"/>
        </w:rPr>
        <w:tab/>
        <w:t>Таким образом, «Фьюэлз-Юроп» предлагает Комитету вопросам по безопасности ВОПОГ рассмотреть предложения, представленные в пунктах 7, 8,</w:t>
      </w:r>
      <w:r w:rsidR="00E36A40">
        <w:rPr>
          <w:rFonts w:eastAsia="Times New Roman" w:cs="Times New Roman"/>
          <w:szCs w:val="20"/>
          <w:lang w:eastAsia="fr-FR"/>
        </w:rPr>
        <w:br/>
      </w:r>
      <w:r w:rsidRPr="008418CE">
        <w:rPr>
          <w:rFonts w:eastAsia="Times New Roman" w:cs="Times New Roman"/>
          <w:szCs w:val="20"/>
          <w:lang w:eastAsia="fr-FR"/>
        </w:rPr>
        <w:t>9 и 10, с учетом их обоснования и принять решение, которое он сочтет целесообразным, для вступления в силу 1 января 2025 года.</w:t>
      </w:r>
    </w:p>
    <w:p w14:paraId="7DB37D61" w14:textId="77777777" w:rsidR="008418CE" w:rsidRPr="008418CE" w:rsidRDefault="008418CE" w:rsidP="008418CE">
      <w:pPr>
        <w:tabs>
          <w:tab w:val="left" w:pos="1701"/>
          <w:tab w:val="left" w:pos="2268"/>
          <w:tab w:val="left" w:pos="2835"/>
        </w:tabs>
        <w:suppressAutoHyphens w:val="0"/>
        <w:spacing w:after="120"/>
        <w:ind w:left="1134" w:right="1134"/>
        <w:jc w:val="both"/>
        <w:rPr>
          <w:rFonts w:eastAsia="Times New Roman" w:cs="Times New Roman"/>
          <w:szCs w:val="20"/>
          <w:lang w:eastAsia="fr-FR"/>
        </w:rPr>
      </w:pPr>
      <w:r w:rsidRPr="008418CE">
        <w:rPr>
          <w:rFonts w:eastAsia="Times New Roman" w:cs="Times New Roman"/>
          <w:szCs w:val="20"/>
          <w:lang w:eastAsia="fr-FR"/>
        </w:rPr>
        <w:lastRenderedPageBreak/>
        <w:t>22.</w:t>
      </w:r>
      <w:r w:rsidRPr="008418CE">
        <w:rPr>
          <w:rFonts w:eastAsia="Times New Roman" w:cs="Times New Roman"/>
          <w:szCs w:val="20"/>
          <w:lang w:eastAsia="fr-FR"/>
        </w:rPr>
        <w:tab/>
        <w:t>Комитету по вопросам безопасности также предлагается составить мнение и принять решение по заявлениям, приведенным в пунктах 14, 15 и 16.</w:t>
      </w:r>
    </w:p>
    <w:p w14:paraId="69DDF49C" w14:textId="77777777" w:rsidR="008418CE" w:rsidRPr="008418CE" w:rsidRDefault="008418CE" w:rsidP="008418CE">
      <w:pPr>
        <w:suppressAutoHyphens w:val="0"/>
        <w:spacing w:before="240"/>
        <w:jc w:val="center"/>
        <w:rPr>
          <w:rFonts w:eastAsia="Times New Roman" w:cs="Times New Roman"/>
          <w:szCs w:val="20"/>
          <w:u w:val="single"/>
          <w:lang w:eastAsia="fr-FR"/>
        </w:rPr>
      </w:pPr>
      <w:r w:rsidRPr="008418CE">
        <w:rPr>
          <w:rFonts w:eastAsia="Times New Roman" w:cs="Times New Roman"/>
          <w:szCs w:val="20"/>
          <w:u w:val="single"/>
          <w:lang w:eastAsia="fr-FR"/>
        </w:rPr>
        <w:tab/>
      </w:r>
      <w:r w:rsidRPr="008418CE">
        <w:rPr>
          <w:rFonts w:eastAsia="Times New Roman" w:cs="Times New Roman"/>
          <w:szCs w:val="20"/>
          <w:u w:val="single"/>
          <w:lang w:eastAsia="fr-FR"/>
        </w:rPr>
        <w:tab/>
      </w:r>
      <w:r w:rsidRPr="008418CE">
        <w:rPr>
          <w:rFonts w:eastAsia="Times New Roman" w:cs="Times New Roman"/>
          <w:szCs w:val="20"/>
          <w:u w:val="single"/>
          <w:lang w:eastAsia="fr-FR"/>
        </w:rPr>
        <w:tab/>
      </w:r>
    </w:p>
    <w:sectPr w:rsidR="008418CE" w:rsidRPr="008418CE" w:rsidSect="008418CE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626B3" w14:textId="77777777" w:rsidR="00AA4AB8" w:rsidRPr="00A312BC" w:rsidRDefault="00AA4AB8" w:rsidP="00A312BC"/>
  </w:endnote>
  <w:endnote w:type="continuationSeparator" w:id="0">
    <w:p w14:paraId="48D56C75" w14:textId="77777777" w:rsidR="00AA4AB8" w:rsidRPr="00A312BC" w:rsidRDefault="00AA4AB8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A930" w14:textId="24D3876A" w:rsidR="008418CE" w:rsidRPr="008418CE" w:rsidRDefault="008418CE">
    <w:pPr>
      <w:pStyle w:val="a8"/>
    </w:pPr>
    <w:r w:rsidRPr="008418CE">
      <w:rPr>
        <w:b/>
        <w:sz w:val="18"/>
      </w:rPr>
      <w:fldChar w:fldCharType="begin"/>
    </w:r>
    <w:r w:rsidRPr="008418CE">
      <w:rPr>
        <w:b/>
        <w:sz w:val="18"/>
      </w:rPr>
      <w:instrText xml:space="preserve"> PAGE  \* MERGEFORMAT </w:instrText>
    </w:r>
    <w:r w:rsidRPr="008418CE">
      <w:rPr>
        <w:b/>
        <w:sz w:val="18"/>
      </w:rPr>
      <w:fldChar w:fldCharType="separate"/>
    </w:r>
    <w:r w:rsidRPr="008418CE">
      <w:rPr>
        <w:b/>
        <w:noProof/>
        <w:sz w:val="18"/>
      </w:rPr>
      <w:t>2</w:t>
    </w:r>
    <w:r w:rsidRPr="008418CE">
      <w:rPr>
        <w:b/>
        <w:sz w:val="18"/>
      </w:rPr>
      <w:fldChar w:fldCharType="end"/>
    </w:r>
    <w:r>
      <w:rPr>
        <w:b/>
        <w:sz w:val="18"/>
      </w:rPr>
      <w:tab/>
    </w:r>
    <w:r>
      <w:t>GE.23-21982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5A103" w14:textId="7AFCBB50" w:rsidR="008418CE" w:rsidRPr="008418CE" w:rsidRDefault="008418CE" w:rsidP="008418CE">
    <w:pPr>
      <w:pStyle w:val="a8"/>
      <w:tabs>
        <w:tab w:val="clear" w:pos="9639"/>
        <w:tab w:val="right" w:pos="9638"/>
      </w:tabs>
      <w:rPr>
        <w:b/>
        <w:sz w:val="18"/>
      </w:rPr>
    </w:pPr>
    <w:r>
      <w:t>GE.23-21982</w:t>
    </w:r>
    <w:r>
      <w:tab/>
    </w:r>
    <w:r w:rsidRPr="008418CE">
      <w:rPr>
        <w:b/>
        <w:sz w:val="18"/>
      </w:rPr>
      <w:fldChar w:fldCharType="begin"/>
    </w:r>
    <w:r w:rsidRPr="008418CE">
      <w:rPr>
        <w:b/>
        <w:sz w:val="18"/>
      </w:rPr>
      <w:instrText xml:space="preserve"> PAGE  \* MERGEFORMAT </w:instrText>
    </w:r>
    <w:r w:rsidRPr="008418CE">
      <w:rPr>
        <w:b/>
        <w:sz w:val="18"/>
      </w:rPr>
      <w:fldChar w:fldCharType="separate"/>
    </w:r>
    <w:r w:rsidRPr="008418CE">
      <w:rPr>
        <w:b/>
        <w:noProof/>
        <w:sz w:val="18"/>
      </w:rPr>
      <w:t>3</w:t>
    </w:r>
    <w:r w:rsidRPr="008418CE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5CB30" w14:textId="6F54735F" w:rsidR="00042B72" w:rsidRPr="00CB7079" w:rsidRDefault="008418CE" w:rsidP="008418CE">
    <w:pPr>
      <w:spacing w:before="120" w:line="240" w:lineRule="auto"/>
      <w:rPr>
        <w:lang w:val="fr-CH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77D211B8" wp14:editId="740F7F8D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23-21982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15FDDB5E" wp14:editId="0EC58B64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7079">
      <w:t xml:space="preserve">  </w:t>
    </w:r>
    <w:r w:rsidR="00CB7079">
      <w:rPr>
        <w:lang w:val="fr-CH"/>
      </w:rPr>
      <w:t>201123  211123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FD5C2" w14:textId="77777777" w:rsidR="00AA4AB8" w:rsidRPr="001075E9" w:rsidRDefault="00AA4AB8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4B3308B" w14:textId="77777777" w:rsidR="00AA4AB8" w:rsidRDefault="00AA4AB8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02FE06FA" w14:textId="76EF8E4F" w:rsidR="008418CE" w:rsidRPr="00771558" w:rsidRDefault="008418CE" w:rsidP="008418CE">
      <w:pPr>
        <w:pStyle w:val="ad"/>
      </w:pPr>
      <w:r>
        <w:tab/>
        <w:t>*</w:t>
      </w:r>
      <w:r>
        <w:tab/>
        <w:t>Распространено на немецком языке Центральной комиссией судоходства по Рейну</w:t>
      </w:r>
      <w:r>
        <w:br/>
      </w:r>
      <w:r>
        <w:t>под условным обозначением CCNR-ZKR/ADN/WP.15/AC.2/2024/20.</w:t>
      </w:r>
    </w:p>
  </w:footnote>
  <w:footnote w:id="2">
    <w:p w14:paraId="665E536C" w14:textId="77777777" w:rsidR="008418CE" w:rsidRPr="00404A27" w:rsidRDefault="008418CE" w:rsidP="008418CE">
      <w:pPr>
        <w:pStyle w:val="ad"/>
        <w:spacing w:after="240"/>
      </w:pPr>
      <w:r>
        <w:tab/>
        <w:t>**</w:t>
      </w:r>
      <w:r>
        <w:tab/>
        <w:t>A/78/6 (разд. 20), таблица 20.5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FFE2A" w14:textId="547C3AA2" w:rsidR="008418CE" w:rsidRPr="008418CE" w:rsidRDefault="008418CE">
    <w:pPr>
      <w:pStyle w:val="a5"/>
    </w:pPr>
    <w:fldSimple w:instr=" TITLE  \* MERGEFORMAT ">
      <w:r w:rsidR="00D8324C">
        <w:t>ECE/TRANS/WP.15/AC.2/2024/20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BC0A2" w14:textId="50B35473" w:rsidR="008418CE" w:rsidRPr="008418CE" w:rsidRDefault="008418CE" w:rsidP="008418CE">
    <w:pPr>
      <w:pStyle w:val="a5"/>
      <w:jc w:val="right"/>
    </w:pPr>
    <w:fldSimple w:instr=" TITLE  \* MERGEFORMAT ">
      <w:r w:rsidR="00D8324C">
        <w:t>ECE/TRANS/WP.15/AC.2/2024/20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7"/>
  </w:num>
  <w:num w:numId="2" w16cid:durableId="966817556">
    <w:abstractNumId w:val="12"/>
  </w:num>
  <w:num w:numId="3" w16cid:durableId="1816291531">
    <w:abstractNumId w:val="11"/>
  </w:num>
  <w:num w:numId="4" w16cid:durableId="1492480875">
    <w:abstractNumId w:val="18"/>
  </w:num>
  <w:num w:numId="5" w16cid:durableId="1298685170">
    <w:abstractNumId w:val="14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6"/>
  </w:num>
  <w:num w:numId="17" w16cid:durableId="53941411">
    <w:abstractNumId w:val="13"/>
  </w:num>
  <w:num w:numId="18" w16cid:durableId="961153681">
    <w:abstractNumId w:val="15"/>
  </w:num>
  <w:num w:numId="19" w16cid:durableId="1272468768">
    <w:abstractNumId w:val="16"/>
  </w:num>
  <w:num w:numId="20" w16cid:durableId="807743971">
    <w:abstractNumId w:val="13"/>
  </w:num>
  <w:num w:numId="21" w16cid:durableId="1591162185">
    <w:abstractNumId w:val="15"/>
  </w:num>
  <w:num w:numId="22" w16cid:durableId="1433471850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B8"/>
    <w:rsid w:val="00033EE1"/>
    <w:rsid w:val="00042B72"/>
    <w:rsid w:val="000558BD"/>
    <w:rsid w:val="000710DC"/>
    <w:rsid w:val="000A6A9F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B6126"/>
    <w:rsid w:val="001C7A89"/>
    <w:rsid w:val="00220FC5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46D99"/>
    <w:rsid w:val="00381C24"/>
    <w:rsid w:val="00387CD4"/>
    <w:rsid w:val="003958D0"/>
    <w:rsid w:val="003A0D43"/>
    <w:rsid w:val="003A48CE"/>
    <w:rsid w:val="003B00E5"/>
    <w:rsid w:val="003E0B46"/>
    <w:rsid w:val="00407B78"/>
    <w:rsid w:val="004211A3"/>
    <w:rsid w:val="00424203"/>
    <w:rsid w:val="00452493"/>
    <w:rsid w:val="00453318"/>
    <w:rsid w:val="00454AF2"/>
    <w:rsid w:val="00454E07"/>
    <w:rsid w:val="00460AD9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34C52"/>
    <w:rsid w:val="00757357"/>
    <w:rsid w:val="00792497"/>
    <w:rsid w:val="00806737"/>
    <w:rsid w:val="00825F8D"/>
    <w:rsid w:val="00834B71"/>
    <w:rsid w:val="008418CE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169A6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A4AB8"/>
    <w:rsid w:val="00AB4B51"/>
    <w:rsid w:val="00B10CC7"/>
    <w:rsid w:val="00B36DF7"/>
    <w:rsid w:val="00B539E7"/>
    <w:rsid w:val="00B62458"/>
    <w:rsid w:val="00B94DE1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B7079"/>
    <w:rsid w:val="00CE5A1A"/>
    <w:rsid w:val="00CF55F6"/>
    <w:rsid w:val="00D33D63"/>
    <w:rsid w:val="00D5253A"/>
    <w:rsid w:val="00D8324C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36A40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73C9D"/>
    <w:rsid w:val="00F94155"/>
    <w:rsid w:val="00F9783F"/>
    <w:rsid w:val="00FD2EF7"/>
    <w:rsid w:val="00FD4A8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23779"/>
  <w15:docId w15:val="{9AACF112-6E32-458C-A104-54589F72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table" w:customStyle="1" w:styleId="11">
    <w:name w:val="Сетка таблицы1"/>
    <w:basedOn w:val="a1"/>
    <w:next w:val="ac"/>
    <w:rsid w:val="008418CE"/>
    <w:pPr>
      <w:suppressAutoHyphens/>
      <w:spacing w:line="240" w:lineRule="atLeast"/>
    </w:pPr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ParNoG">
    <w:name w:val="_ParNo_G"/>
    <w:basedOn w:val="a"/>
    <w:qFormat/>
    <w:rsid w:val="008418CE"/>
    <w:pPr>
      <w:numPr>
        <w:numId w:val="22"/>
      </w:numPr>
      <w:tabs>
        <w:tab w:val="left" w:pos="1701"/>
        <w:tab w:val="left" w:pos="2268"/>
        <w:tab w:val="left" w:pos="2835"/>
      </w:tabs>
      <w:suppressAutoHyphens w:val="0"/>
      <w:spacing w:after="120"/>
      <w:ind w:right="1134"/>
      <w:jc w:val="both"/>
    </w:pPr>
    <w:rPr>
      <w:rFonts w:eastAsia="Times New Roman" w:cs="Times New Roman"/>
      <w:szCs w:val="20"/>
      <w:lang w:val="en-GB" w:eastAsia="fr-FR"/>
    </w:rPr>
  </w:style>
  <w:style w:type="character" w:customStyle="1" w:styleId="SingleTxtGChar">
    <w:name w:val="_ Single Txt_G Char"/>
    <w:link w:val="SingleTxtG"/>
    <w:rsid w:val="008418CE"/>
    <w:rPr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7B228-41AE-45F8-BCF2-990ED22B35C4}"/>
</file>

<file path=customXml/itemProps2.xml><?xml version="1.0" encoding="utf-8"?>
<ds:datastoreItem xmlns:ds="http://schemas.openxmlformats.org/officeDocument/2006/customXml" ds:itemID="{FDBCB80D-BBF1-48C5-B9BA-28757FAFA91D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5</Pages>
  <Words>1529</Words>
  <Characters>10754</Characters>
  <Application>Microsoft Office Word</Application>
  <DocSecurity>0</DocSecurity>
  <Lines>232</Lines>
  <Paragraphs>76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ECE/TRANS/WP.15/AC.2/2024/20</vt:lpstr>
      <vt:lpstr>A/</vt:lpstr>
      <vt:lpstr>A/</vt:lpstr>
    </vt:vector>
  </TitlesOfParts>
  <Company>DCM</Company>
  <LinksUpToDate>false</LinksUpToDate>
  <CharactersWithSpaces>12244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ECE/TRANS/WP.15/AC.2/2024/20</dc:title>
  <dc:subject/>
  <dc:creator>Anna KISSELEVA</dc:creator>
  <cp:keywords/>
  <cp:lastModifiedBy>Anna Kisseleva</cp:lastModifiedBy>
  <cp:revision>3</cp:revision>
  <cp:lastPrinted>2023-11-21T15:08:00Z</cp:lastPrinted>
  <dcterms:created xsi:type="dcterms:W3CDTF">2023-11-21T15:08:00Z</dcterms:created>
  <dcterms:modified xsi:type="dcterms:W3CDTF">2023-11-21T15:09:00Z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