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6899367" w14:textId="77777777" w:rsidTr="00B20551">
        <w:trPr>
          <w:cantSplit/>
          <w:trHeight w:hRule="exact" w:val="851"/>
        </w:trPr>
        <w:tc>
          <w:tcPr>
            <w:tcW w:w="1276" w:type="dxa"/>
            <w:tcBorders>
              <w:bottom w:val="single" w:sz="4" w:space="0" w:color="auto"/>
            </w:tcBorders>
            <w:vAlign w:val="bottom"/>
          </w:tcPr>
          <w:p w14:paraId="73AFB8F4" w14:textId="77777777" w:rsidR="009E6CB7" w:rsidRDefault="009E6CB7" w:rsidP="00B20551">
            <w:pPr>
              <w:spacing w:after="80"/>
            </w:pPr>
          </w:p>
        </w:tc>
        <w:tc>
          <w:tcPr>
            <w:tcW w:w="2268" w:type="dxa"/>
            <w:tcBorders>
              <w:bottom w:val="single" w:sz="4" w:space="0" w:color="auto"/>
            </w:tcBorders>
            <w:vAlign w:val="bottom"/>
          </w:tcPr>
          <w:p w14:paraId="3757705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07D6B49" w14:textId="71EDF57E" w:rsidR="009E6CB7" w:rsidRPr="00D47EEA" w:rsidRDefault="009C2FF6" w:rsidP="009C2FF6">
            <w:pPr>
              <w:jc w:val="right"/>
            </w:pPr>
            <w:r w:rsidRPr="009C2FF6">
              <w:rPr>
                <w:sz w:val="40"/>
              </w:rPr>
              <w:t>ECE</w:t>
            </w:r>
            <w:r>
              <w:t>/TRANS/WP.15/AC.2/2024/20</w:t>
            </w:r>
          </w:p>
        </w:tc>
      </w:tr>
      <w:tr w:rsidR="009E6CB7" w14:paraId="0D4517B2" w14:textId="77777777" w:rsidTr="00B20551">
        <w:trPr>
          <w:cantSplit/>
          <w:trHeight w:hRule="exact" w:val="2835"/>
        </w:trPr>
        <w:tc>
          <w:tcPr>
            <w:tcW w:w="1276" w:type="dxa"/>
            <w:tcBorders>
              <w:top w:val="single" w:sz="4" w:space="0" w:color="auto"/>
              <w:bottom w:val="single" w:sz="12" w:space="0" w:color="auto"/>
            </w:tcBorders>
          </w:tcPr>
          <w:p w14:paraId="76E8C5FC" w14:textId="77777777" w:rsidR="009E6CB7" w:rsidRDefault="00686A48" w:rsidP="00B20551">
            <w:pPr>
              <w:spacing w:before="120"/>
            </w:pPr>
            <w:r>
              <w:rPr>
                <w:noProof/>
                <w:lang w:val="fr-CH" w:eastAsia="fr-CH"/>
              </w:rPr>
              <w:drawing>
                <wp:inline distT="0" distB="0" distL="0" distR="0" wp14:anchorId="66EB64F9" wp14:editId="6F8D8B7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B00402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F248E35" w14:textId="77777777" w:rsidR="009E6CB7" w:rsidRDefault="009C2FF6" w:rsidP="009C2FF6">
            <w:pPr>
              <w:spacing w:before="240" w:line="240" w:lineRule="exact"/>
            </w:pPr>
            <w:r>
              <w:t>Distr.: General</w:t>
            </w:r>
          </w:p>
          <w:p w14:paraId="3E23F3DE" w14:textId="6AF9B732" w:rsidR="009C2FF6" w:rsidRDefault="006D59B6" w:rsidP="009C2FF6">
            <w:pPr>
              <w:spacing w:line="240" w:lineRule="exact"/>
            </w:pPr>
            <w:r>
              <w:t>10</w:t>
            </w:r>
            <w:r w:rsidR="009C2FF6">
              <w:t xml:space="preserve"> November 2023</w:t>
            </w:r>
          </w:p>
          <w:p w14:paraId="73740F69" w14:textId="77777777" w:rsidR="009C2FF6" w:rsidRDefault="009C2FF6" w:rsidP="009C2FF6">
            <w:pPr>
              <w:spacing w:line="240" w:lineRule="exact"/>
            </w:pPr>
          </w:p>
          <w:p w14:paraId="33A99EFD" w14:textId="468017AB" w:rsidR="009C2FF6" w:rsidRDefault="009C2FF6" w:rsidP="009C2FF6">
            <w:pPr>
              <w:spacing w:line="240" w:lineRule="exact"/>
            </w:pPr>
            <w:r>
              <w:t>Original: English</w:t>
            </w:r>
          </w:p>
        </w:tc>
      </w:tr>
    </w:tbl>
    <w:p w14:paraId="53CE01F0" w14:textId="77777777" w:rsidR="009C2FF6" w:rsidRPr="003134DF" w:rsidRDefault="009C2FF6" w:rsidP="00C411EB">
      <w:pPr>
        <w:spacing w:before="120"/>
        <w:rPr>
          <w:b/>
          <w:sz w:val="28"/>
          <w:szCs w:val="28"/>
        </w:rPr>
      </w:pPr>
      <w:r w:rsidRPr="003134DF">
        <w:rPr>
          <w:b/>
          <w:sz w:val="28"/>
          <w:szCs w:val="28"/>
        </w:rPr>
        <w:t>Economic Commission for Europe</w:t>
      </w:r>
    </w:p>
    <w:p w14:paraId="212D2603" w14:textId="77777777" w:rsidR="009C2FF6" w:rsidRPr="003134DF" w:rsidRDefault="009C2FF6" w:rsidP="00C411EB">
      <w:pPr>
        <w:spacing w:before="120"/>
        <w:rPr>
          <w:sz w:val="28"/>
          <w:szCs w:val="28"/>
        </w:rPr>
      </w:pPr>
      <w:r w:rsidRPr="003134DF">
        <w:rPr>
          <w:sz w:val="28"/>
          <w:szCs w:val="28"/>
        </w:rPr>
        <w:t>Inland Transport Committee</w:t>
      </w:r>
    </w:p>
    <w:p w14:paraId="5C18020D" w14:textId="77777777" w:rsidR="009C2FF6" w:rsidRPr="003134DF" w:rsidRDefault="009C2FF6" w:rsidP="00C411EB">
      <w:pPr>
        <w:spacing w:before="120"/>
        <w:rPr>
          <w:b/>
          <w:sz w:val="24"/>
          <w:szCs w:val="24"/>
        </w:rPr>
      </w:pPr>
      <w:r w:rsidRPr="003134DF">
        <w:rPr>
          <w:b/>
          <w:sz w:val="24"/>
          <w:szCs w:val="24"/>
        </w:rPr>
        <w:t>Working Party on the Transport of Dangerous Goods</w:t>
      </w:r>
    </w:p>
    <w:p w14:paraId="4166D620" w14:textId="77777777" w:rsidR="009C2FF6" w:rsidRDefault="009C2FF6" w:rsidP="009C2FF6">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r w:rsidRPr="009C2FF6">
        <w:rPr>
          <w:b/>
        </w:rPr>
        <w:t xml:space="preserve"> </w:t>
      </w:r>
    </w:p>
    <w:p w14:paraId="2DDC7B52" w14:textId="7E23E075" w:rsidR="009C2FF6" w:rsidRPr="008D7010" w:rsidRDefault="009C2FF6" w:rsidP="009C2FF6">
      <w:pPr>
        <w:spacing w:before="120"/>
        <w:rPr>
          <w:b/>
        </w:rPr>
      </w:pPr>
      <w:r>
        <w:rPr>
          <w:b/>
        </w:rPr>
        <w:t xml:space="preserve">Forty-third </w:t>
      </w:r>
      <w:r w:rsidRPr="008D7010">
        <w:rPr>
          <w:b/>
        </w:rPr>
        <w:t>session</w:t>
      </w:r>
    </w:p>
    <w:p w14:paraId="7E73C73C" w14:textId="77777777" w:rsidR="009C2FF6" w:rsidRDefault="009C2FF6" w:rsidP="009C2FF6">
      <w:r w:rsidRPr="008D7010">
        <w:t xml:space="preserve">Geneva, </w:t>
      </w:r>
      <w:r>
        <w:t>22-26 January 2024</w:t>
      </w:r>
    </w:p>
    <w:p w14:paraId="3AAF4FD1" w14:textId="77777777" w:rsidR="009C2FF6" w:rsidRDefault="009C2FF6" w:rsidP="009C2FF6">
      <w:pPr>
        <w:rPr>
          <w:lang w:val="en-US"/>
        </w:rPr>
      </w:pPr>
      <w:r>
        <w:rPr>
          <w:lang w:val="en-US"/>
        </w:rPr>
        <w:t>Item 5 (b) of the provisional agenda</w:t>
      </w:r>
    </w:p>
    <w:p w14:paraId="7295EB0D" w14:textId="77777777" w:rsidR="009C2FF6" w:rsidRPr="00A51776" w:rsidRDefault="009C2FF6" w:rsidP="009C2FF6">
      <w:pPr>
        <w:contextualSpacing/>
        <w:rPr>
          <w:b/>
        </w:rPr>
      </w:pPr>
      <w:r w:rsidRPr="00A51776">
        <w:rPr>
          <w:b/>
        </w:rPr>
        <w:t>Proposals for amendments to the Regulations annexed to ADN:</w:t>
      </w:r>
    </w:p>
    <w:p w14:paraId="7C6741AA" w14:textId="77777777" w:rsidR="009C2FF6" w:rsidRDefault="009C2FF6" w:rsidP="009C2FF6">
      <w:pPr>
        <w:rPr>
          <w:b/>
          <w:bCs/>
        </w:rPr>
      </w:pPr>
      <w:r w:rsidRPr="00044AD0">
        <w:rPr>
          <w:b/>
          <w:bCs/>
        </w:rPr>
        <w:t>other proposals</w:t>
      </w:r>
    </w:p>
    <w:p w14:paraId="0262F82F" w14:textId="6258B11D" w:rsidR="009C2FF6" w:rsidRPr="006852FE" w:rsidRDefault="009C2FF6" w:rsidP="009C2FF6">
      <w:pPr>
        <w:pStyle w:val="HChG"/>
      </w:pPr>
      <w:r w:rsidRPr="006852FE">
        <w:tab/>
      </w:r>
      <w:r w:rsidRPr="006852FE">
        <w:tab/>
      </w:r>
      <w:r>
        <w:t>7.2.4.22 Opening of openings and the dosing of extra additives</w:t>
      </w:r>
    </w:p>
    <w:p w14:paraId="29D7DAF9" w14:textId="4C9E8970" w:rsidR="009C2FF6" w:rsidRPr="007C6C41" w:rsidRDefault="009C2FF6" w:rsidP="009C2FF6">
      <w:pPr>
        <w:pStyle w:val="H1G"/>
        <w:rPr>
          <w:sz w:val="22"/>
          <w:szCs w:val="22"/>
        </w:rPr>
      </w:pPr>
      <w:r>
        <w:tab/>
      </w:r>
      <w:r w:rsidRPr="007C6C41">
        <w:rPr>
          <w:sz w:val="22"/>
          <w:szCs w:val="22"/>
        </w:rPr>
        <w:tab/>
        <w:t>Transmitted by FuelsEurope</w:t>
      </w:r>
      <w:r w:rsidRPr="00771558">
        <w:rPr>
          <w:rStyle w:val="FootnoteReference"/>
          <w:sz w:val="20"/>
          <w:vertAlign w:val="baseline"/>
        </w:rPr>
        <w:footnoteReference w:customMarkFollows="1" w:id="2"/>
        <w:t>*</w:t>
      </w:r>
      <w:r w:rsidRPr="00404A27">
        <w:rPr>
          <w:sz w:val="20"/>
          <w:vertAlign w:val="superscript"/>
        </w:rPr>
        <w:t xml:space="preserve">, </w:t>
      </w:r>
      <w:r w:rsidRPr="00404A27">
        <w:rPr>
          <w:rStyle w:val="FootnoteReference"/>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C2FF6" w14:paraId="6F939D0A" w14:textId="77777777" w:rsidTr="006E5E26">
        <w:trPr>
          <w:jc w:val="center"/>
        </w:trPr>
        <w:tc>
          <w:tcPr>
            <w:tcW w:w="9637" w:type="dxa"/>
            <w:shd w:val="clear" w:color="auto" w:fill="auto"/>
          </w:tcPr>
          <w:p w14:paraId="620B8900" w14:textId="77777777" w:rsidR="009C2FF6" w:rsidRPr="00C6263E" w:rsidRDefault="009C2FF6" w:rsidP="006E5E26">
            <w:pPr>
              <w:spacing w:before="240" w:after="120"/>
              <w:ind w:left="255"/>
              <w:rPr>
                <w:i/>
                <w:sz w:val="24"/>
              </w:rPr>
            </w:pPr>
            <w:r w:rsidRPr="00C6263E">
              <w:rPr>
                <w:i/>
                <w:sz w:val="24"/>
              </w:rPr>
              <w:t>Summary</w:t>
            </w:r>
          </w:p>
        </w:tc>
      </w:tr>
      <w:tr w:rsidR="009C2FF6" w14:paraId="4BD01175" w14:textId="77777777" w:rsidTr="006E5E26">
        <w:trPr>
          <w:jc w:val="center"/>
        </w:trPr>
        <w:tc>
          <w:tcPr>
            <w:tcW w:w="9637" w:type="dxa"/>
            <w:shd w:val="clear" w:color="auto" w:fill="auto"/>
          </w:tcPr>
          <w:p w14:paraId="0C9A937F" w14:textId="779B074D" w:rsidR="00043A62" w:rsidRPr="00F90C77" w:rsidRDefault="009C2FF6" w:rsidP="00043A62">
            <w:pPr>
              <w:pStyle w:val="ListParagraph"/>
              <w:ind w:left="841"/>
              <w:rPr>
                <w:b/>
                <w:bCs/>
              </w:rPr>
            </w:pPr>
            <w:r w:rsidRPr="00043A62">
              <w:rPr>
                <w:b/>
              </w:rPr>
              <w:t>Related documents:</w:t>
            </w:r>
            <w:r w:rsidR="00043A62">
              <w:t xml:space="preserve"> </w:t>
            </w:r>
            <w:r w:rsidR="00043A62">
              <w:tab/>
              <w:t xml:space="preserve">Informal document INF.19 of the </w:t>
            </w:r>
            <w:r w:rsidR="00E73E25">
              <w:t>forty-first</w:t>
            </w:r>
            <w:r w:rsidR="00043A62">
              <w:t xml:space="preserve"> session</w:t>
            </w:r>
          </w:p>
          <w:p w14:paraId="211926A9" w14:textId="4DD2FD3E" w:rsidR="00043A62" w:rsidRDefault="00043A62" w:rsidP="00043A62">
            <w:pPr>
              <w:pStyle w:val="ListParagraph"/>
              <w:ind w:left="2160"/>
            </w:pPr>
            <w:r>
              <w:tab/>
            </w:r>
            <w:r>
              <w:tab/>
              <w:t>ECE/TRANS/WP.15/AC.2/84; par</w:t>
            </w:r>
            <w:r w:rsidR="00FC5439">
              <w:t>a</w:t>
            </w:r>
            <w:r>
              <w:t xml:space="preserve">. 37 (Report of the </w:t>
            </w:r>
            <w:r w:rsidR="0031615A">
              <w:t>forty-first</w:t>
            </w:r>
            <w:r>
              <w:t xml:space="preserve"> session)</w:t>
            </w:r>
          </w:p>
          <w:p w14:paraId="5CECEBB9" w14:textId="7C0FF82A" w:rsidR="00043A62" w:rsidRDefault="00043A62" w:rsidP="00043A62">
            <w:pPr>
              <w:pStyle w:val="ListParagraph"/>
              <w:ind w:left="2160"/>
            </w:pPr>
            <w:r>
              <w:tab/>
            </w:r>
            <w:r>
              <w:tab/>
              <w:t>ECE/TRANS/WP.15/AC.2/2023/47</w:t>
            </w:r>
          </w:p>
          <w:p w14:paraId="081BF93E" w14:textId="5BEFD17A" w:rsidR="00043A62" w:rsidRDefault="00043A62" w:rsidP="00043A62">
            <w:pPr>
              <w:pStyle w:val="ListParagraph"/>
              <w:ind w:left="2160"/>
            </w:pPr>
            <w:r>
              <w:tab/>
            </w:r>
            <w:r>
              <w:tab/>
              <w:t xml:space="preserve">Informal document INF. 32 of the </w:t>
            </w:r>
            <w:r w:rsidR="00DE588C">
              <w:rPr>
                <w:vertAlign w:val="superscript"/>
              </w:rPr>
              <w:t xml:space="preserve"> </w:t>
            </w:r>
            <w:r w:rsidR="00DE588C">
              <w:t>forty-second</w:t>
            </w:r>
            <w:r>
              <w:t xml:space="preserve"> session </w:t>
            </w:r>
          </w:p>
          <w:p w14:paraId="34357B9E" w14:textId="40A76253" w:rsidR="00043A62" w:rsidRDefault="00043A62" w:rsidP="00043A62">
            <w:pPr>
              <w:pStyle w:val="ListParagraph"/>
              <w:ind w:left="2160"/>
            </w:pPr>
            <w:r>
              <w:tab/>
            </w:r>
            <w:r>
              <w:tab/>
              <w:t>ECE/TRANS/WP.15/AC.2/86; par</w:t>
            </w:r>
            <w:r w:rsidR="00FC5439">
              <w:t>a</w:t>
            </w:r>
            <w:r>
              <w:t xml:space="preserve">. 24 (Report of the </w:t>
            </w:r>
            <w:r w:rsidR="00DE588C">
              <w:t>forty-second</w:t>
            </w:r>
            <w:r>
              <w:t xml:space="preserve"> session) </w:t>
            </w:r>
          </w:p>
          <w:p w14:paraId="311956B8" w14:textId="77777777" w:rsidR="00867ABE" w:rsidRDefault="00867ABE" w:rsidP="00043A62">
            <w:pPr>
              <w:pStyle w:val="ListParagraph"/>
              <w:ind w:left="2160"/>
            </w:pPr>
          </w:p>
          <w:p w14:paraId="03DF1715" w14:textId="03EFDC67" w:rsidR="00043A62" w:rsidRPr="007C6C41" w:rsidRDefault="00043A62" w:rsidP="00867ABE">
            <w:pPr>
              <w:pStyle w:val="HChG"/>
              <w:keepNext w:val="0"/>
              <w:keepLines w:val="0"/>
              <w:spacing w:before="0" w:after="120" w:line="240" w:lineRule="auto"/>
              <w:ind w:left="2824" w:hanging="1985"/>
              <w:jc w:val="both"/>
              <w:rPr>
                <w:b w:val="0"/>
                <w:bCs/>
                <w:sz w:val="20"/>
              </w:rPr>
            </w:pPr>
            <w:r>
              <w:rPr>
                <w:sz w:val="22"/>
                <w:szCs w:val="22"/>
              </w:rPr>
              <w:tab/>
            </w:r>
            <w:r w:rsidRPr="00043A62">
              <w:rPr>
                <w:sz w:val="20"/>
              </w:rPr>
              <w:t>Executive summary:</w:t>
            </w:r>
            <w:r w:rsidRPr="00043A62">
              <w:rPr>
                <w:b w:val="0"/>
                <w:bCs/>
              </w:rPr>
              <w:tab/>
            </w:r>
            <w:r w:rsidRPr="00867ABE">
              <w:rPr>
                <w:rStyle w:val="SingleTxtGChar"/>
                <w:b w:val="0"/>
                <w:bCs/>
                <w:sz w:val="20"/>
              </w:rPr>
              <w:t>This document contains a set of proposals which aim to address the</w:t>
            </w:r>
            <w:r w:rsidR="00867ABE" w:rsidRPr="00867ABE">
              <w:rPr>
                <w:rStyle w:val="SingleTxtGChar"/>
                <w:b w:val="0"/>
                <w:bCs/>
                <w:sz w:val="20"/>
              </w:rPr>
              <w:br/>
            </w:r>
            <w:r w:rsidRPr="00867ABE">
              <w:rPr>
                <w:rStyle w:val="SingleTxtGChar"/>
                <w:b w:val="0"/>
                <w:bCs/>
                <w:sz w:val="20"/>
              </w:rPr>
              <w:t>need of the industry to allow the additional dosing of extra additives on</w:t>
            </w:r>
            <w:r w:rsidR="00867ABE" w:rsidRPr="00867ABE">
              <w:rPr>
                <w:rStyle w:val="SingleTxtGChar"/>
                <w:b w:val="0"/>
                <w:bCs/>
                <w:sz w:val="20"/>
              </w:rPr>
              <w:br/>
            </w:r>
            <w:r w:rsidRPr="00867ABE">
              <w:rPr>
                <w:rStyle w:val="SingleTxtGChar"/>
                <w:b w:val="0"/>
                <w:bCs/>
                <w:sz w:val="20"/>
              </w:rPr>
              <w:t>board of inland waterway tankers under specific terms and conditions.</w:t>
            </w:r>
            <w:r w:rsidR="00867ABE" w:rsidRPr="00867ABE">
              <w:rPr>
                <w:rStyle w:val="SingleTxtGChar"/>
                <w:b w:val="0"/>
                <w:bCs/>
                <w:sz w:val="20"/>
              </w:rPr>
              <w:br/>
            </w:r>
            <w:r w:rsidRPr="00867ABE">
              <w:rPr>
                <w:rStyle w:val="SingleTxtGChar"/>
                <w:b w:val="0"/>
                <w:bCs/>
                <w:sz w:val="20"/>
              </w:rPr>
              <w:t xml:space="preserve">This may be required in </w:t>
            </w:r>
            <w:r w:rsidR="00B6425E">
              <w:rPr>
                <w:rStyle w:val="SingleTxtGChar"/>
                <w:b w:val="0"/>
                <w:bCs/>
                <w:sz w:val="20"/>
              </w:rPr>
              <w:t xml:space="preserve">the </w:t>
            </w:r>
            <w:r w:rsidRPr="00867ABE">
              <w:rPr>
                <w:rStyle w:val="SingleTxtGChar"/>
                <w:b w:val="0"/>
                <w:bCs/>
                <w:sz w:val="20"/>
              </w:rPr>
              <w:t>case the concentration of the additive in the</w:t>
            </w:r>
            <w:r w:rsidR="00867ABE" w:rsidRPr="00867ABE">
              <w:rPr>
                <w:rStyle w:val="SingleTxtGChar"/>
                <w:b w:val="0"/>
                <w:bCs/>
                <w:sz w:val="20"/>
              </w:rPr>
              <w:br/>
            </w:r>
            <w:r w:rsidRPr="00867ABE">
              <w:rPr>
                <w:rStyle w:val="SingleTxtGChar"/>
                <w:b w:val="0"/>
                <w:bCs/>
                <w:sz w:val="20"/>
              </w:rPr>
              <w:t>product on board is found too low. In the proposals to completely</w:t>
            </w:r>
            <w:r w:rsidR="00867ABE" w:rsidRPr="00867ABE">
              <w:rPr>
                <w:rStyle w:val="SingleTxtGChar"/>
                <w:b w:val="0"/>
                <w:bCs/>
                <w:sz w:val="20"/>
              </w:rPr>
              <w:br/>
            </w:r>
            <w:r w:rsidRPr="00867ABE">
              <w:rPr>
                <w:rStyle w:val="SingleTxtGChar"/>
                <w:b w:val="0"/>
                <w:bCs/>
                <w:sz w:val="20"/>
              </w:rPr>
              <w:t>review 7.2.4.22, this option is only available for stabilizers whereas</w:t>
            </w:r>
            <w:r w:rsidR="00867ABE" w:rsidRPr="00867ABE">
              <w:rPr>
                <w:rStyle w:val="SingleTxtGChar"/>
                <w:b w:val="0"/>
                <w:bCs/>
                <w:sz w:val="20"/>
              </w:rPr>
              <w:br/>
            </w:r>
            <w:r w:rsidRPr="00867ABE">
              <w:rPr>
                <w:rStyle w:val="SingleTxtGChar"/>
                <w:b w:val="0"/>
                <w:bCs/>
                <w:sz w:val="20"/>
              </w:rPr>
              <w:t>requirements stemming from other regulations force the industry to</w:t>
            </w:r>
            <w:r w:rsidR="00867ABE" w:rsidRPr="00867ABE">
              <w:rPr>
                <w:rStyle w:val="SingleTxtGChar"/>
                <w:b w:val="0"/>
                <w:bCs/>
                <w:sz w:val="20"/>
              </w:rPr>
              <w:br/>
            </w:r>
            <w:r w:rsidRPr="00867ABE">
              <w:rPr>
                <w:rStyle w:val="SingleTxtGChar"/>
                <w:b w:val="0"/>
                <w:bCs/>
                <w:sz w:val="20"/>
              </w:rPr>
              <w:t>sufficiently dose the cargoes with other prescribed additives. Having</w:t>
            </w:r>
            <w:r w:rsidR="00867ABE" w:rsidRPr="00867ABE">
              <w:rPr>
                <w:rStyle w:val="SingleTxtGChar"/>
                <w:b w:val="0"/>
                <w:bCs/>
                <w:sz w:val="20"/>
              </w:rPr>
              <w:br/>
            </w:r>
            <w:r w:rsidRPr="00867ABE">
              <w:rPr>
                <w:rStyle w:val="SingleTxtGChar"/>
                <w:b w:val="0"/>
                <w:bCs/>
                <w:sz w:val="20"/>
              </w:rPr>
              <w:t>this option would mean an adequate limitation of risks arising from</w:t>
            </w:r>
            <w:r w:rsidR="00867ABE" w:rsidRPr="00867ABE">
              <w:rPr>
                <w:rStyle w:val="SingleTxtGChar"/>
                <w:b w:val="0"/>
                <w:bCs/>
                <w:sz w:val="20"/>
              </w:rPr>
              <w:br/>
            </w:r>
            <w:r w:rsidRPr="00867ABE">
              <w:rPr>
                <w:rStyle w:val="SingleTxtGChar"/>
                <w:b w:val="0"/>
                <w:bCs/>
                <w:sz w:val="20"/>
              </w:rPr>
              <w:t>additional unloading/loading operation as well as additional transport</w:t>
            </w:r>
            <w:r w:rsidR="00867ABE" w:rsidRPr="00867ABE">
              <w:rPr>
                <w:b w:val="0"/>
                <w:sz w:val="20"/>
              </w:rPr>
              <w:br/>
            </w:r>
            <w:r w:rsidRPr="007C6C41">
              <w:rPr>
                <w:b w:val="0"/>
                <w:bCs/>
                <w:sz w:val="20"/>
              </w:rPr>
              <w:t>as the cargo would need to travel back to the loading facility to allow</w:t>
            </w:r>
            <w:r w:rsidR="00867ABE">
              <w:rPr>
                <w:b w:val="0"/>
                <w:bCs/>
                <w:sz w:val="20"/>
              </w:rPr>
              <w:br/>
            </w:r>
            <w:r w:rsidRPr="007C6C41">
              <w:rPr>
                <w:b w:val="0"/>
                <w:bCs/>
                <w:sz w:val="20"/>
              </w:rPr>
              <w:t xml:space="preserve">for a correction of the amount of additive on shore. </w:t>
            </w:r>
          </w:p>
          <w:p w14:paraId="0CFC72E2" w14:textId="217E7E1A" w:rsidR="009C2FF6" w:rsidRDefault="00043A62" w:rsidP="00867ABE">
            <w:pPr>
              <w:pStyle w:val="ListParagraph"/>
              <w:spacing w:after="120"/>
              <w:ind w:left="2835" w:right="1125" w:hanging="1996"/>
              <w:jc w:val="both"/>
            </w:pPr>
            <w:r w:rsidRPr="00043A62">
              <w:rPr>
                <w:b/>
              </w:rPr>
              <w:lastRenderedPageBreak/>
              <w:t>Action to be taken:</w:t>
            </w:r>
            <w:r w:rsidRPr="00043A62">
              <w:rPr>
                <w:b/>
              </w:rPr>
              <w:tab/>
            </w:r>
            <w:r>
              <w:t>To include the option to add additional additive on board of the vessel under strictly described circumstances in alignment with current proposals and to be able to continue the safe use of mobile dosing installations on board of vessels</w:t>
            </w:r>
            <w:r w:rsidR="005F26DA">
              <w:t>.</w:t>
            </w:r>
          </w:p>
        </w:tc>
      </w:tr>
      <w:tr w:rsidR="009C2FF6" w14:paraId="489A2027" w14:textId="77777777" w:rsidTr="006E5E26">
        <w:trPr>
          <w:jc w:val="center"/>
        </w:trPr>
        <w:tc>
          <w:tcPr>
            <w:tcW w:w="9637" w:type="dxa"/>
            <w:shd w:val="clear" w:color="auto" w:fill="auto"/>
          </w:tcPr>
          <w:p w14:paraId="083A88AE" w14:textId="77777777" w:rsidR="009C2FF6" w:rsidRDefault="009C2FF6" w:rsidP="006E5E26"/>
        </w:tc>
      </w:tr>
    </w:tbl>
    <w:p w14:paraId="2B82F717" w14:textId="3336CE8F" w:rsidR="00867ABE" w:rsidRPr="00870777" w:rsidRDefault="00867ABE" w:rsidP="00867ABE">
      <w:pPr>
        <w:pStyle w:val="HChG"/>
        <w:rPr>
          <w:lang w:val="en-US"/>
        </w:rPr>
      </w:pPr>
      <w:r>
        <w:rPr>
          <w:lang w:val="en-US"/>
        </w:rPr>
        <w:tab/>
      </w:r>
      <w:r>
        <w:rPr>
          <w:lang w:val="en-US"/>
        </w:rPr>
        <w:tab/>
      </w:r>
      <w:r w:rsidRPr="00870777">
        <w:rPr>
          <w:lang w:val="en-US"/>
        </w:rPr>
        <w:t>I</w:t>
      </w:r>
      <w:r>
        <w:rPr>
          <w:lang w:val="en-US"/>
        </w:rPr>
        <w:t>ntroduction</w:t>
      </w:r>
    </w:p>
    <w:p w14:paraId="7B889C96" w14:textId="0BA475ED" w:rsidR="00867ABE" w:rsidRPr="003B18EA" w:rsidRDefault="00867ABE" w:rsidP="00867ABE">
      <w:pPr>
        <w:pStyle w:val="SingleTxtG"/>
        <w:rPr>
          <w:lang w:val="en-US"/>
        </w:rPr>
      </w:pPr>
      <w:r w:rsidRPr="00867ABE">
        <w:rPr>
          <w:lang w:val="en-US"/>
        </w:rPr>
        <w:t>1.</w:t>
      </w:r>
      <w:r>
        <w:rPr>
          <w:lang w:val="en-US"/>
        </w:rPr>
        <w:tab/>
      </w:r>
      <w:r w:rsidRPr="003B18EA">
        <w:rPr>
          <w:lang w:val="en-US"/>
        </w:rPr>
        <w:t xml:space="preserve">During the August 2023 </w:t>
      </w:r>
      <w:r w:rsidR="00C0752F">
        <w:rPr>
          <w:lang w:val="en-US"/>
        </w:rPr>
        <w:t>session</w:t>
      </w:r>
      <w:r w:rsidR="00EE4B46">
        <w:rPr>
          <w:lang w:val="en-US"/>
        </w:rPr>
        <w:t xml:space="preserve"> of the AD</w:t>
      </w:r>
      <w:r w:rsidR="00622C30">
        <w:rPr>
          <w:lang w:val="en-US"/>
        </w:rPr>
        <w:t>N</w:t>
      </w:r>
      <w:r w:rsidR="00EE4B46">
        <w:rPr>
          <w:lang w:val="en-US"/>
        </w:rPr>
        <w:t xml:space="preserve"> Safety Committee</w:t>
      </w:r>
      <w:r w:rsidRPr="003B18EA">
        <w:rPr>
          <w:lang w:val="en-US"/>
        </w:rPr>
        <w:t>, the representative of Germany offered to c</w:t>
      </w:r>
      <w:r>
        <w:rPr>
          <w:lang w:val="en-US"/>
        </w:rPr>
        <w:t>onsider</w:t>
      </w:r>
      <w:r w:rsidRPr="003B18EA">
        <w:rPr>
          <w:lang w:val="en-US"/>
        </w:rPr>
        <w:t xml:space="preserve"> additionally received comments on the topic of opening of openings, </w:t>
      </w:r>
      <w:r>
        <w:rPr>
          <w:lang w:val="en-US"/>
        </w:rPr>
        <w:t xml:space="preserve">for discussion </w:t>
      </w:r>
      <w:r w:rsidRPr="003B18EA">
        <w:rPr>
          <w:lang w:val="en-US"/>
        </w:rPr>
        <w:t xml:space="preserve">during the January 2024 session. The specific articles for consideration have been reflected in </w:t>
      </w:r>
      <w:r w:rsidR="00F90313">
        <w:rPr>
          <w:lang w:val="en-US"/>
        </w:rPr>
        <w:t>report</w:t>
      </w:r>
      <w:r w:rsidRPr="003B18EA">
        <w:rPr>
          <w:lang w:val="en-US"/>
        </w:rPr>
        <w:t xml:space="preserve"> </w:t>
      </w:r>
      <w:hyperlink r:id="rId12" w:history="1">
        <w:r w:rsidRPr="00F57F6E">
          <w:rPr>
            <w:rStyle w:val="Hyperlink"/>
            <w:color w:val="auto"/>
            <w:lang w:val="en-US"/>
          </w:rPr>
          <w:t>ECE/TRANS/WP.15/AC.2/86</w:t>
        </w:r>
      </w:hyperlink>
      <w:r w:rsidRPr="00F57F6E">
        <w:rPr>
          <w:rStyle w:val="Hyperlink"/>
          <w:color w:val="auto"/>
          <w:lang w:val="en-US"/>
        </w:rPr>
        <w:t>.</w:t>
      </w:r>
      <w:r w:rsidRPr="003B18EA">
        <w:rPr>
          <w:rStyle w:val="Hyperlink"/>
          <w:lang w:val="en-US"/>
        </w:rPr>
        <w:t xml:space="preserve"> </w:t>
      </w:r>
      <w:r w:rsidRPr="003B18EA">
        <w:rPr>
          <w:lang w:val="en-US"/>
        </w:rPr>
        <w:t xml:space="preserve"> </w:t>
      </w:r>
    </w:p>
    <w:p w14:paraId="42EC27AB" w14:textId="1B4FFE4E" w:rsidR="00867ABE" w:rsidRPr="003B18EA" w:rsidRDefault="00867ABE" w:rsidP="00867ABE">
      <w:pPr>
        <w:pStyle w:val="SingleTxtG"/>
        <w:rPr>
          <w:lang w:val="en-US"/>
        </w:rPr>
      </w:pPr>
      <w:r>
        <w:rPr>
          <w:lang w:val="en-US"/>
        </w:rPr>
        <w:t>2.</w:t>
      </w:r>
      <w:r>
        <w:rPr>
          <w:lang w:val="en-US"/>
        </w:rPr>
        <w:tab/>
      </w:r>
      <w:proofErr w:type="spellStart"/>
      <w:r w:rsidR="001C28E3">
        <w:rPr>
          <w:lang w:val="en-US"/>
        </w:rPr>
        <w:t>FuelEurope</w:t>
      </w:r>
      <w:proofErr w:type="spellEnd"/>
      <w:r w:rsidRPr="003B18EA">
        <w:rPr>
          <w:lang w:val="en-US"/>
        </w:rPr>
        <w:t xml:space="preserve"> welcome</w:t>
      </w:r>
      <w:r w:rsidR="001C28E3">
        <w:rPr>
          <w:lang w:val="en-US"/>
        </w:rPr>
        <w:t>s</w:t>
      </w:r>
      <w:r w:rsidRPr="003B18EA">
        <w:rPr>
          <w:lang w:val="en-US"/>
        </w:rPr>
        <w:t xml:space="preserve"> the proposals contained in </w:t>
      </w:r>
      <w:r w:rsidR="00C543DD">
        <w:rPr>
          <w:lang w:val="en-US"/>
        </w:rPr>
        <w:t>document ECE/TRANS/WP.15/AC.2/2023/47</w:t>
      </w:r>
      <w:r w:rsidR="00E7192F">
        <w:rPr>
          <w:lang w:val="en-US"/>
        </w:rPr>
        <w:t>. H</w:t>
      </w:r>
      <w:r w:rsidRPr="003B18EA">
        <w:rPr>
          <w:lang w:val="en-US"/>
        </w:rPr>
        <w:t>owever</w:t>
      </w:r>
      <w:r w:rsidR="007D6AA3">
        <w:rPr>
          <w:lang w:val="en-US"/>
        </w:rPr>
        <w:t>,</w:t>
      </w:r>
      <w:r w:rsidRPr="003B18EA">
        <w:rPr>
          <w:lang w:val="en-US"/>
        </w:rPr>
        <w:t xml:space="preserve"> it was recognized by the industry that these did not take fully into account the current needs of the fillers in the operational process of transporting liquid dangerous goods. </w:t>
      </w:r>
    </w:p>
    <w:p w14:paraId="78BAAAA7" w14:textId="18DCAAE3" w:rsidR="00867ABE" w:rsidRPr="00A25FC4" w:rsidRDefault="00867ABE" w:rsidP="00867ABE">
      <w:pPr>
        <w:pStyle w:val="SingleTxtG"/>
        <w:rPr>
          <w:lang w:val="en-US"/>
        </w:rPr>
      </w:pPr>
      <w:r>
        <w:rPr>
          <w:lang w:val="en-US"/>
        </w:rPr>
        <w:t>3.</w:t>
      </w:r>
      <w:r>
        <w:rPr>
          <w:lang w:val="en-US"/>
        </w:rPr>
        <w:tab/>
      </w:r>
      <w:r w:rsidRPr="003B18EA">
        <w:rPr>
          <w:lang w:val="en-US"/>
        </w:rPr>
        <w:t xml:space="preserve">This need concerns the </w:t>
      </w:r>
      <w:r w:rsidRPr="00A25FC4">
        <w:rPr>
          <w:lang w:val="en-US"/>
        </w:rPr>
        <w:t>additional dosing of extra additives on board of inland waterway tankers and FuelsEurope hereby present proposals in the format of</w:t>
      </w:r>
      <w:r w:rsidR="001F37AD" w:rsidRPr="00A25FC4">
        <w:rPr>
          <w:lang w:val="en-US"/>
        </w:rPr>
        <w:t xml:space="preserve"> document ECE/TRANS/WP.15/AC.2/2023/47</w:t>
      </w:r>
      <w:r w:rsidRPr="00A25FC4">
        <w:rPr>
          <w:lang w:val="en-US"/>
        </w:rPr>
        <w:t xml:space="preserve">, to facilitate a smooth discussion and comparison of </w:t>
      </w:r>
      <w:r w:rsidR="0006330D" w:rsidRPr="00A25FC4">
        <w:rPr>
          <w:lang w:val="en-US"/>
        </w:rPr>
        <w:t>provisions</w:t>
      </w:r>
      <w:r w:rsidRPr="00A25FC4">
        <w:rPr>
          <w:lang w:val="en-US"/>
        </w:rPr>
        <w:t>.</w:t>
      </w:r>
    </w:p>
    <w:p w14:paraId="2C31B936" w14:textId="2348931D" w:rsidR="00867ABE" w:rsidRPr="003B18EA" w:rsidRDefault="00867ABE" w:rsidP="00867ABE">
      <w:pPr>
        <w:pStyle w:val="SingleTxtG"/>
        <w:rPr>
          <w:lang w:val="en-US"/>
        </w:rPr>
      </w:pPr>
      <w:r w:rsidRPr="00A25FC4">
        <w:rPr>
          <w:lang w:val="en-US"/>
        </w:rPr>
        <w:t>4.</w:t>
      </w:r>
      <w:r w:rsidRPr="00A25FC4">
        <w:rPr>
          <w:lang w:val="en-US"/>
        </w:rPr>
        <w:tab/>
        <w:t>Identical to the additional dosing of extra stabilizers as described in the German proposals, additional dosing of other additives on board can also</w:t>
      </w:r>
      <w:r>
        <w:rPr>
          <w:lang w:val="en-US"/>
        </w:rPr>
        <w:t xml:space="preserve"> </w:t>
      </w:r>
      <w:r w:rsidRPr="003B18EA">
        <w:rPr>
          <w:lang w:val="en-US"/>
        </w:rPr>
        <w:t xml:space="preserve">be done in a safe manner. </w:t>
      </w:r>
    </w:p>
    <w:p w14:paraId="0A9B1FDE" w14:textId="64947A63" w:rsidR="00867ABE" w:rsidRPr="003B18EA" w:rsidRDefault="00867ABE" w:rsidP="00867ABE">
      <w:pPr>
        <w:pStyle w:val="SingleTxtG"/>
        <w:rPr>
          <w:lang w:val="en-US"/>
        </w:rPr>
      </w:pPr>
      <w:r>
        <w:rPr>
          <w:lang w:val="en-US"/>
        </w:rPr>
        <w:t>5.</w:t>
      </w:r>
      <w:r>
        <w:rPr>
          <w:lang w:val="en-US"/>
        </w:rPr>
        <w:tab/>
      </w:r>
      <w:r w:rsidRPr="003B18EA">
        <w:rPr>
          <w:lang w:val="en-US"/>
        </w:rPr>
        <w:t xml:space="preserve">The proposals fully align with the below </w:t>
      </w:r>
      <w:r w:rsidR="001C013E" w:rsidRPr="003B18EA">
        <w:rPr>
          <w:lang w:val="en-US"/>
        </w:rPr>
        <w:t>Princip</w:t>
      </w:r>
      <w:r w:rsidR="001C013E">
        <w:rPr>
          <w:lang w:val="en-US"/>
        </w:rPr>
        <w:t>les</w:t>
      </w:r>
      <w:r w:rsidR="001C013E" w:rsidRPr="003B18EA">
        <w:rPr>
          <w:lang w:val="en-US"/>
        </w:rPr>
        <w:t xml:space="preserve"> </w:t>
      </w:r>
      <w:r w:rsidRPr="003B18EA">
        <w:rPr>
          <w:lang w:val="en-US"/>
        </w:rPr>
        <w:t>of the ADN, as agreed between the contracting parties:</w:t>
      </w:r>
    </w:p>
    <w:p w14:paraId="0296ABB5" w14:textId="2F282373" w:rsidR="00235AE2" w:rsidRDefault="00235AE2" w:rsidP="000B4D77">
      <w:pPr>
        <w:rPr>
          <w:b/>
          <w:sz w:val="22"/>
        </w:rPr>
      </w:pPr>
    </w:p>
    <w:p w14:paraId="7D010A86" w14:textId="40C4C88F" w:rsidR="00235AE2" w:rsidRPr="00881B7A" w:rsidRDefault="00EC6EAC" w:rsidP="00235AE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b/>
          <w:sz w:val="22"/>
        </w:rPr>
      </w:pPr>
      <w:r w:rsidRPr="00F57F6E">
        <w:rPr>
          <w:bCs/>
          <w:sz w:val="22"/>
        </w:rPr>
        <w:t>“</w:t>
      </w:r>
      <w:r w:rsidR="00235AE2" w:rsidRPr="00881B7A">
        <w:rPr>
          <w:b/>
          <w:sz w:val="22"/>
        </w:rPr>
        <w:t>EUROPEAN AGREEMENT CONCERNING THE</w:t>
      </w:r>
    </w:p>
    <w:p w14:paraId="2BFDB383" w14:textId="77777777" w:rsidR="00235AE2" w:rsidRPr="00881B7A" w:rsidRDefault="00235AE2" w:rsidP="00235AE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b/>
          <w:sz w:val="22"/>
        </w:rPr>
      </w:pPr>
      <w:r w:rsidRPr="00881B7A">
        <w:rPr>
          <w:b/>
          <w:sz w:val="22"/>
        </w:rPr>
        <w:t>INTERNATIONAL CARRIAGE OF DANGEROUS GOODS</w:t>
      </w:r>
    </w:p>
    <w:p w14:paraId="3EDC73BE" w14:textId="77777777" w:rsidR="00235AE2" w:rsidRPr="00881B7A" w:rsidRDefault="00235AE2" w:rsidP="00235AE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b/>
          <w:sz w:val="22"/>
        </w:rPr>
      </w:pPr>
      <w:r w:rsidRPr="00881B7A">
        <w:rPr>
          <w:b/>
          <w:sz w:val="22"/>
        </w:rPr>
        <w:t>BY INLAND WATERWAYS (ADN)</w:t>
      </w:r>
    </w:p>
    <w:p w14:paraId="789E5001" w14:textId="77777777" w:rsidR="00235AE2" w:rsidRPr="00881B7A" w:rsidRDefault="00235AE2" w:rsidP="00235AE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both"/>
        <w:rPr>
          <w:b/>
          <w:sz w:val="22"/>
        </w:rPr>
      </w:pPr>
    </w:p>
    <w:p w14:paraId="6C70282D" w14:textId="77777777" w:rsidR="00235AE2" w:rsidRPr="00881B7A" w:rsidRDefault="00235AE2" w:rsidP="00235AE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40"/>
        <w:ind w:left="1134" w:right="1134"/>
        <w:jc w:val="both"/>
        <w:rPr>
          <w:b/>
          <w:sz w:val="22"/>
        </w:rPr>
      </w:pPr>
      <w:r w:rsidRPr="00881B7A">
        <w:rPr>
          <w:b/>
          <w:sz w:val="22"/>
        </w:rPr>
        <w:t>THE CONTRACTING PARTIES,</w:t>
      </w:r>
    </w:p>
    <w:p w14:paraId="25C24341" w14:textId="77777777" w:rsidR="00235AE2" w:rsidRPr="00881B7A" w:rsidRDefault="00235AE2" w:rsidP="00235AE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40"/>
        <w:ind w:left="1134" w:right="1134"/>
        <w:jc w:val="both"/>
        <w:rPr>
          <w:b/>
          <w:sz w:val="22"/>
        </w:rPr>
      </w:pPr>
      <w:r w:rsidRPr="00881B7A">
        <w:rPr>
          <w:b/>
          <w:sz w:val="22"/>
        </w:rPr>
        <w:tab/>
        <w:t>DESIRING to establish by joint agreement uniform principles and rules, for the purposes of:</w:t>
      </w:r>
    </w:p>
    <w:p w14:paraId="289AE6A9" w14:textId="77777777" w:rsidR="00235AE2" w:rsidRPr="00235AE2" w:rsidRDefault="00235AE2" w:rsidP="00235AE2">
      <w:pPr>
        <w:pStyle w:val="Level1"/>
        <w:widowControl/>
        <w:numPr>
          <w:ilvl w:val="0"/>
          <w:numId w:val="0"/>
        </w:numPr>
        <w:tabs>
          <w:tab w:val="left" w:pos="0"/>
          <w:tab w:val="left" w:pos="566"/>
          <w:tab w:val="num"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40"/>
        <w:ind w:left="2268" w:right="1134" w:hanging="1134"/>
        <w:jc w:val="both"/>
        <w:rPr>
          <w:sz w:val="20"/>
          <w:lang w:val="en-GB"/>
        </w:rPr>
      </w:pPr>
      <w:r w:rsidRPr="00235AE2">
        <w:rPr>
          <w:sz w:val="20"/>
          <w:lang w:val="en-GB"/>
        </w:rPr>
        <w:tab/>
        <w:t>(a)</w:t>
      </w:r>
      <w:r w:rsidRPr="00235AE2">
        <w:rPr>
          <w:sz w:val="20"/>
          <w:lang w:val="en-GB"/>
        </w:rPr>
        <w:tab/>
        <w:t>increasing the safety of international carriage of dangerous goods by inland waterways;</w:t>
      </w:r>
    </w:p>
    <w:p w14:paraId="598FB743" w14:textId="77777777" w:rsidR="00235AE2" w:rsidRPr="00235AE2" w:rsidRDefault="00235AE2" w:rsidP="00235AE2">
      <w:pPr>
        <w:pStyle w:val="Level1"/>
        <w:widowControl/>
        <w:numPr>
          <w:ilvl w:val="0"/>
          <w:numId w:val="0"/>
        </w:numPr>
        <w:tabs>
          <w:tab w:val="left" w:pos="0"/>
          <w:tab w:val="left" w:pos="566"/>
          <w:tab w:val="num"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40"/>
        <w:ind w:left="2268" w:right="1134" w:hanging="1134"/>
        <w:jc w:val="both"/>
        <w:rPr>
          <w:sz w:val="20"/>
          <w:lang w:val="en-GB"/>
        </w:rPr>
      </w:pPr>
      <w:r w:rsidRPr="00235AE2">
        <w:rPr>
          <w:sz w:val="20"/>
          <w:lang w:val="en-GB"/>
        </w:rPr>
        <w:tab/>
        <w:t>(b)</w:t>
      </w:r>
      <w:r w:rsidRPr="00235AE2">
        <w:rPr>
          <w:sz w:val="20"/>
          <w:lang w:val="en-GB"/>
        </w:rPr>
        <w:tab/>
        <w:t>contributing effectively to the protection of the environment, by preventing any pollution resulting from accidents or incidents during such carriage; and</w:t>
      </w:r>
    </w:p>
    <w:p w14:paraId="79766552" w14:textId="405EF837" w:rsidR="00235AE2" w:rsidRPr="00235AE2" w:rsidRDefault="00235AE2" w:rsidP="00235AE2">
      <w:pPr>
        <w:pStyle w:val="Level1"/>
        <w:widowControl/>
        <w:numPr>
          <w:ilvl w:val="0"/>
          <w:numId w:val="0"/>
        </w:numPr>
        <w:tabs>
          <w:tab w:val="left" w:pos="0"/>
          <w:tab w:val="left" w:pos="566"/>
          <w:tab w:val="num"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40"/>
        <w:ind w:left="1134" w:right="1134"/>
        <w:jc w:val="both"/>
        <w:rPr>
          <w:sz w:val="20"/>
          <w:lang w:val="en-GB"/>
        </w:rPr>
      </w:pPr>
      <w:r w:rsidRPr="00235AE2">
        <w:rPr>
          <w:sz w:val="20"/>
          <w:lang w:val="en-GB"/>
        </w:rPr>
        <w:tab/>
        <w:t>(c)</w:t>
      </w:r>
      <w:r w:rsidRPr="00235AE2">
        <w:rPr>
          <w:sz w:val="20"/>
          <w:lang w:val="en-GB"/>
        </w:rPr>
        <w:tab/>
        <w:t>facilitating transport operations and promoting international trade,</w:t>
      </w:r>
      <w:r>
        <w:rPr>
          <w:sz w:val="20"/>
          <w:lang w:val="en-GB"/>
        </w:rPr>
        <w:t>”</w:t>
      </w:r>
    </w:p>
    <w:p w14:paraId="4012DBCF" w14:textId="0D2EB465" w:rsidR="00867ABE" w:rsidRPr="00870777" w:rsidRDefault="00867ABE" w:rsidP="000B4D77">
      <w:pPr>
        <w:pStyle w:val="HChG"/>
        <w:rPr>
          <w:lang w:val="en-US"/>
        </w:rPr>
      </w:pPr>
      <w:r w:rsidRPr="00867ABE">
        <w:rPr>
          <w:b w:val="0"/>
          <w:lang w:val="en-US"/>
        </w:rPr>
        <w:tab/>
      </w:r>
      <w:r w:rsidRPr="00867ABE">
        <w:rPr>
          <w:bCs/>
          <w:lang w:val="en-US"/>
        </w:rPr>
        <w:t>I.</w:t>
      </w:r>
      <w:r>
        <w:rPr>
          <w:lang w:val="en-US"/>
        </w:rPr>
        <w:tab/>
        <w:t>Our proposals to allow additional dosing of extra additives</w:t>
      </w:r>
    </w:p>
    <w:p w14:paraId="1A2B431D" w14:textId="660418E6" w:rsidR="00867ABE" w:rsidRDefault="001B4F2F" w:rsidP="001B4F2F">
      <w:pPr>
        <w:pStyle w:val="SingleTxtG"/>
        <w:rPr>
          <w:lang w:val="en-US"/>
        </w:rPr>
      </w:pPr>
      <w:r>
        <w:rPr>
          <w:lang w:val="en-US"/>
        </w:rPr>
        <w:t>6.</w:t>
      </w:r>
      <w:r>
        <w:rPr>
          <w:lang w:val="en-US"/>
        </w:rPr>
        <w:tab/>
      </w:r>
      <w:proofErr w:type="spellStart"/>
      <w:r w:rsidR="0008474A">
        <w:rPr>
          <w:lang w:val="en-US"/>
        </w:rPr>
        <w:t>FuelEurope</w:t>
      </w:r>
      <w:proofErr w:type="spellEnd"/>
      <w:r w:rsidR="0008474A" w:rsidRPr="003B18EA">
        <w:rPr>
          <w:lang w:val="en-US"/>
        </w:rPr>
        <w:t xml:space="preserve"> </w:t>
      </w:r>
      <w:r w:rsidR="00867ABE" w:rsidRPr="00BA6991">
        <w:rPr>
          <w:lang w:val="en-US"/>
        </w:rPr>
        <w:t>propose</w:t>
      </w:r>
      <w:r w:rsidR="0008474A">
        <w:rPr>
          <w:lang w:val="en-US"/>
        </w:rPr>
        <w:t>s</w:t>
      </w:r>
      <w:r w:rsidR="00867ABE" w:rsidRPr="00BA6991">
        <w:rPr>
          <w:lang w:val="en-US"/>
        </w:rPr>
        <w:t xml:space="preserve"> an amendment for 7.2.4.22.1. As this amendment impacts other </w:t>
      </w:r>
      <w:r w:rsidR="002E73B2">
        <w:rPr>
          <w:lang w:val="en-US"/>
        </w:rPr>
        <w:t>provi</w:t>
      </w:r>
      <w:r w:rsidR="00134A3C">
        <w:rPr>
          <w:lang w:val="en-US"/>
        </w:rPr>
        <w:t>sions</w:t>
      </w:r>
      <w:r w:rsidR="00867ABE" w:rsidRPr="00BA6991">
        <w:rPr>
          <w:lang w:val="en-US"/>
        </w:rPr>
        <w:t>, we also must take</w:t>
      </w:r>
      <w:r w:rsidR="00A859D2" w:rsidRPr="00A859D2">
        <w:rPr>
          <w:lang w:val="en-US"/>
        </w:rPr>
        <w:t xml:space="preserve"> </w:t>
      </w:r>
      <w:r w:rsidR="00A859D2" w:rsidRPr="00BA6991">
        <w:rPr>
          <w:lang w:val="en-US"/>
        </w:rPr>
        <w:t>those</w:t>
      </w:r>
      <w:r w:rsidR="00867ABE" w:rsidRPr="00BA6991">
        <w:rPr>
          <w:lang w:val="en-US"/>
        </w:rPr>
        <w:t xml:space="preserve"> into consideration. And so, we propose</w:t>
      </w:r>
      <w:r w:rsidR="00D33E82">
        <w:rPr>
          <w:lang w:val="en-US"/>
        </w:rPr>
        <w:t xml:space="preserve"> </w:t>
      </w:r>
      <w:r w:rsidR="00796823">
        <w:rPr>
          <w:lang w:val="en-US"/>
        </w:rPr>
        <w:t>to amend</w:t>
      </w:r>
      <w:r w:rsidR="001100BE">
        <w:rPr>
          <w:lang w:val="en-US"/>
        </w:rPr>
        <w:t xml:space="preserve"> 7.2.4.22</w:t>
      </w:r>
      <w:r w:rsidR="00867ABE" w:rsidRPr="00BA6991">
        <w:rPr>
          <w:lang w:val="en-US"/>
        </w:rPr>
        <w:t xml:space="preserve"> </w:t>
      </w:r>
      <w:r w:rsidR="001100BE">
        <w:rPr>
          <w:lang w:val="en-US"/>
        </w:rPr>
        <w:t>as</w:t>
      </w:r>
      <w:r w:rsidR="00134A3C">
        <w:rPr>
          <w:lang w:val="en-US"/>
        </w:rPr>
        <w:t xml:space="preserve"> follow</w:t>
      </w:r>
      <w:r w:rsidR="001100BE">
        <w:rPr>
          <w:lang w:val="en-US"/>
        </w:rPr>
        <w:t>s</w:t>
      </w:r>
      <w:r w:rsidR="00867ABE" w:rsidRPr="00BA6991">
        <w:rPr>
          <w:lang w:val="en-US"/>
        </w:rPr>
        <w:t xml:space="preserve"> (</w:t>
      </w:r>
      <w:r w:rsidR="00867ABE" w:rsidRPr="00BA6991">
        <w:rPr>
          <w:strike/>
          <w:lang w:val="en-US"/>
        </w:rPr>
        <w:t>deleted text</w:t>
      </w:r>
      <w:r w:rsidR="00867ABE" w:rsidRPr="00BA6991">
        <w:rPr>
          <w:lang w:val="en-US"/>
        </w:rPr>
        <w:t xml:space="preserve"> in strikethrough, </w:t>
      </w:r>
      <w:r w:rsidR="00867ABE" w:rsidRPr="00BA6991">
        <w:rPr>
          <w:b/>
          <w:bCs/>
          <w:u w:val="single"/>
          <w:lang w:val="en-US"/>
        </w:rPr>
        <w:t>new text</w:t>
      </w:r>
      <w:r w:rsidR="00867ABE" w:rsidRPr="00BA6991">
        <w:rPr>
          <w:lang w:val="en-US"/>
        </w:rPr>
        <w:t xml:space="preserve"> in bold and underlined)</w:t>
      </w:r>
      <w:r w:rsidR="00AC2C3E">
        <w:rPr>
          <w:lang w:val="en-US"/>
        </w:rPr>
        <w:t>.</w:t>
      </w:r>
    </w:p>
    <w:p w14:paraId="536D80A2" w14:textId="0CBB53D9" w:rsidR="00EC708A" w:rsidRDefault="001B4F2F" w:rsidP="001B4F2F">
      <w:pPr>
        <w:pStyle w:val="SingleTxtG"/>
        <w:rPr>
          <w:lang w:val="en-US"/>
        </w:rPr>
      </w:pPr>
      <w:r>
        <w:rPr>
          <w:lang w:val="en-US"/>
        </w:rPr>
        <w:t>7.</w:t>
      </w:r>
      <w:r>
        <w:rPr>
          <w:lang w:val="en-US"/>
        </w:rPr>
        <w:tab/>
      </w:r>
      <w:r w:rsidR="00867ABE" w:rsidRPr="00BA6991">
        <w:rPr>
          <w:lang w:val="en-US"/>
        </w:rPr>
        <w:t>7.2.4.22, Opening of openings</w:t>
      </w:r>
      <w:r w:rsidR="00A84891">
        <w:rPr>
          <w:lang w:val="en-US"/>
        </w:rPr>
        <w:t xml:space="preserve"> of cargo tanks</w:t>
      </w:r>
      <w:r w:rsidR="00A97ED8">
        <w:rPr>
          <w:lang w:val="en-US"/>
        </w:rPr>
        <w:t xml:space="preserve"> (general)</w:t>
      </w:r>
      <w:r w:rsidR="00F35B5F">
        <w:rPr>
          <w:lang w:val="en-US"/>
        </w:rPr>
        <w:t>:</w:t>
      </w:r>
    </w:p>
    <w:p w14:paraId="71F0D633" w14:textId="1BF65C6A" w:rsidR="00867ABE" w:rsidRPr="00BA6991" w:rsidRDefault="00EC708A" w:rsidP="00F57F6E">
      <w:pPr>
        <w:pStyle w:val="Bullet1G"/>
        <w:rPr>
          <w:lang w:val="en-US"/>
        </w:rPr>
      </w:pPr>
      <w:r>
        <w:rPr>
          <w:lang w:val="en-US"/>
        </w:rPr>
        <w:t>A</w:t>
      </w:r>
      <w:r w:rsidR="00867ABE" w:rsidRPr="00BA6991">
        <w:rPr>
          <w:lang w:val="en-US"/>
        </w:rPr>
        <w:t>mend 7.2.4.22.1</w:t>
      </w:r>
      <w:r w:rsidR="001A7D85">
        <w:rPr>
          <w:lang w:val="en-US"/>
        </w:rPr>
        <w:t xml:space="preserve"> by </w:t>
      </w:r>
      <w:r w:rsidR="00880E7A">
        <w:rPr>
          <w:lang w:val="en-US"/>
        </w:rPr>
        <w:t>add</w:t>
      </w:r>
      <w:r w:rsidR="001A7D85">
        <w:rPr>
          <w:lang w:val="en-US"/>
        </w:rPr>
        <w:t>ing</w:t>
      </w:r>
      <w:r w:rsidR="00867ABE" w:rsidRPr="00BA6991">
        <w:rPr>
          <w:lang w:val="en-US"/>
        </w:rPr>
        <w:t xml:space="preserve"> a new indent as follows:</w:t>
      </w:r>
    </w:p>
    <w:p w14:paraId="3F564A87" w14:textId="2C6639B9" w:rsidR="00867ABE" w:rsidRPr="001B4F2F" w:rsidRDefault="00867ABE" w:rsidP="00EF3012">
      <w:pPr>
        <w:pStyle w:val="SingleTxtG"/>
        <w:ind w:left="1701"/>
        <w:rPr>
          <w:b/>
          <w:bCs/>
          <w:u w:val="single"/>
        </w:rPr>
      </w:pPr>
      <w:r w:rsidRPr="001B4F2F">
        <w:rPr>
          <w:b/>
          <w:bCs/>
          <w:u w:val="single"/>
        </w:rPr>
        <w:t>For the subsequent addition of other additives, in exceptional cases, after loading but before the journey commences, or after the journey ends but before the discharge.</w:t>
      </w:r>
    </w:p>
    <w:p w14:paraId="6C75FB60" w14:textId="78508D7B" w:rsidR="00867ABE" w:rsidRPr="00BA6991" w:rsidRDefault="00867ABE" w:rsidP="00CB1A05">
      <w:pPr>
        <w:pStyle w:val="Bullet1G"/>
        <w:rPr>
          <w:u w:val="single"/>
        </w:rPr>
      </w:pPr>
      <w:r w:rsidRPr="00BA6991">
        <w:lastRenderedPageBreak/>
        <w:t>7.2.4.22.6</w:t>
      </w:r>
      <w:r w:rsidRPr="00BA6991">
        <w:tab/>
        <w:t xml:space="preserve">If the venting piping is equipped with a flame arrester at its connection to the cargo tank in accordance with 9.3.2.22.4 (b)/9.3.3.22.4 (d), this housing may be opened for the purpose of sampling, a visual inspection of the cargo tanks, determining the filling quantity in the cargo tank or the subsequent addition of stabilizer </w:t>
      </w:r>
      <w:r w:rsidRPr="00BA6991">
        <w:rPr>
          <w:b/>
          <w:bCs/>
          <w:u w:val="single"/>
        </w:rPr>
        <w:t>or other additives</w:t>
      </w:r>
      <w:r w:rsidRPr="00F57F6E">
        <w:t>.</w:t>
      </w:r>
    </w:p>
    <w:p w14:paraId="05398605" w14:textId="2AF5FBD3" w:rsidR="00867ABE" w:rsidRDefault="00867ABE" w:rsidP="00CB1A05">
      <w:pPr>
        <w:pStyle w:val="Bullet1G"/>
        <w:rPr>
          <w:lang w:val="en-US"/>
        </w:rPr>
      </w:pPr>
      <w:r w:rsidRPr="00BA6991">
        <w:rPr>
          <w:lang w:val="en-US"/>
        </w:rPr>
        <w:t>7.2.4.22.11</w:t>
      </w:r>
      <w:r w:rsidRPr="00BA6991">
        <w:rPr>
          <w:lang w:val="en-US"/>
        </w:rPr>
        <w:tab/>
        <w:t xml:space="preserve">In the case of a visual inspection, determination of the filling quantity, gas measurement or addition of stabilizer </w:t>
      </w:r>
      <w:r w:rsidRPr="00BA6991">
        <w:rPr>
          <w:b/>
          <w:bCs/>
          <w:u w:val="single"/>
          <w:lang w:val="en-US"/>
        </w:rPr>
        <w:t>or other additives</w:t>
      </w:r>
      <w:r w:rsidRPr="00BA6991">
        <w:rPr>
          <w:lang w:val="en-US"/>
        </w:rPr>
        <w:t>,</w:t>
      </w:r>
      <w:r w:rsidR="00D91619">
        <w:rPr>
          <w:lang w:val="en-US"/>
        </w:rPr>
        <w:t xml:space="preserve"> </w:t>
      </w:r>
      <w:r w:rsidRPr="00BA6991">
        <w:rPr>
          <w:lang w:val="en-US"/>
        </w:rPr>
        <w:t>7.2.4.16.8 shall apply accordingly.</w:t>
      </w:r>
    </w:p>
    <w:p w14:paraId="45721E97" w14:textId="68C12A13" w:rsidR="00FE5C2A" w:rsidRPr="00BA6991" w:rsidRDefault="00FE5C2A" w:rsidP="00F57F6E">
      <w:pPr>
        <w:pStyle w:val="SingleTxtG"/>
        <w:rPr>
          <w:lang w:val="en-US"/>
        </w:rPr>
      </w:pPr>
      <w:r>
        <w:rPr>
          <w:lang w:val="en-US"/>
        </w:rPr>
        <w:t>8.</w:t>
      </w:r>
      <w:r>
        <w:rPr>
          <w:lang w:val="en-US"/>
        </w:rPr>
        <w:tab/>
      </w:r>
      <w:r w:rsidRPr="00BA6991">
        <w:rPr>
          <w:lang w:val="en-US"/>
        </w:rPr>
        <w:t>7.2.4.2</w:t>
      </w:r>
      <w:r>
        <w:rPr>
          <w:lang w:val="en-US"/>
        </w:rPr>
        <w:t>3</w:t>
      </w:r>
      <w:r w:rsidR="006C1FA7">
        <w:rPr>
          <w:lang w:val="en-US"/>
        </w:rPr>
        <w:t>:</w:t>
      </w:r>
      <w:r>
        <w:rPr>
          <w:lang w:val="en-US"/>
        </w:rPr>
        <w:t xml:space="preserve"> </w:t>
      </w:r>
    </w:p>
    <w:p w14:paraId="0AD70FEA" w14:textId="7CB0827D" w:rsidR="00867ABE" w:rsidRPr="00BA6991" w:rsidRDefault="00867ABE" w:rsidP="00145A1C">
      <w:pPr>
        <w:pStyle w:val="Bullet1G"/>
        <w:rPr>
          <w:lang w:val="en-US"/>
        </w:rPr>
      </w:pPr>
      <w:r w:rsidRPr="00BA6991">
        <w:t>7.2.4.23.1.1</w:t>
      </w:r>
      <w:r w:rsidRPr="00BA6991">
        <w:tab/>
        <w:t xml:space="preserve">Discharged cargo tanks shall only be opened for visual inspection to verify that the cargo tanks are empty and/or clean when the vessel is not connected to the shore facility </w:t>
      </w:r>
      <w:r w:rsidRPr="00BA6991">
        <w:rPr>
          <w:b/>
          <w:bCs/>
          <w:u w:val="single"/>
        </w:rPr>
        <w:t>or if the shut-off devices of the vessel and the shore facility are closed</w:t>
      </w:r>
      <w:r w:rsidRPr="00F57F6E">
        <w:t>.</w:t>
      </w:r>
    </w:p>
    <w:p w14:paraId="778A29EB" w14:textId="4445AF9D" w:rsidR="00867ABE" w:rsidRPr="00BA6991" w:rsidRDefault="00867ABE" w:rsidP="00145A1C">
      <w:pPr>
        <w:pStyle w:val="Bullet1G"/>
        <w:rPr>
          <w:rFonts w:eastAsia="SimSun"/>
          <w:lang w:eastAsia="zh-CN"/>
        </w:rPr>
      </w:pPr>
      <w:r w:rsidRPr="00BA6991">
        <w:rPr>
          <w:rFonts w:eastAsia="SimSun"/>
          <w:b/>
          <w:bCs/>
          <w:lang w:eastAsia="zh-CN"/>
        </w:rPr>
        <w:t>7.2.4.23.2</w:t>
      </w:r>
      <w:r w:rsidRPr="00BA6991">
        <w:rPr>
          <w:rFonts w:eastAsia="SimSun"/>
          <w:lang w:eastAsia="zh-CN"/>
        </w:rPr>
        <w:tab/>
        <w:t xml:space="preserve">Sampling, determination of the filling quantity, addition of stabilizer </w:t>
      </w:r>
      <w:r w:rsidRPr="00BA6991">
        <w:rPr>
          <w:rFonts w:eastAsia="SimSun"/>
          <w:b/>
          <w:bCs/>
          <w:u w:val="single"/>
          <w:lang w:eastAsia="zh-CN"/>
        </w:rPr>
        <w:t>or other additives</w:t>
      </w:r>
      <w:r w:rsidRPr="00BA6991">
        <w:rPr>
          <w:rFonts w:eastAsia="SimSun"/>
          <w:lang w:eastAsia="zh-CN"/>
        </w:rPr>
        <w:t xml:space="preserve"> and gas measurement.</w:t>
      </w:r>
    </w:p>
    <w:p w14:paraId="0A771921" w14:textId="5BBBAD99" w:rsidR="00867ABE" w:rsidRPr="00BA6991" w:rsidRDefault="00867ABE" w:rsidP="00145A1C">
      <w:pPr>
        <w:pStyle w:val="Bullet1G"/>
        <w:rPr>
          <w:rFonts w:eastAsia="SimSun"/>
          <w:lang w:eastAsia="zh-CN"/>
        </w:rPr>
      </w:pPr>
      <w:r w:rsidRPr="00BA6991">
        <w:rPr>
          <w:rFonts w:eastAsia="SimSun"/>
          <w:lang w:eastAsia="zh-CN"/>
        </w:rPr>
        <w:t>7.2.4.23.2.4</w:t>
      </w:r>
      <w:r w:rsidRPr="00BA6991">
        <w:rPr>
          <w:rFonts w:eastAsia="SimSun"/>
          <w:lang w:eastAsia="zh-CN"/>
        </w:rPr>
        <w:tab/>
        <w:t>The opening of cargo tanks for open sampling should only be carried out when the vessel is not connected to the shore facility</w:t>
      </w:r>
      <w:r w:rsidRPr="00BA6991">
        <w:rPr>
          <w:b/>
          <w:bCs/>
        </w:rPr>
        <w:t xml:space="preserve"> </w:t>
      </w:r>
      <w:r w:rsidRPr="00BA6991">
        <w:rPr>
          <w:b/>
          <w:bCs/>
          <w:u w:val="single"/>
        </w:rPr>
        <w:t>or if the shut-off devices of the vessel and the shore facility are closed</w:t>
      </w:r>
      <w:r w:rsidRPr="00F57F6E">
        <w:t>.</w:t>
      </w:r>
      <w:r w:rsidRPr="00BA6991">
        <w:rPr>
          <w:rFonts w:eastAsia="SimSun"/>
          <w:lang w:eastAsia="zh-CN"/>
        </w:rPr>
        <w:t xml:space="preserve"> First foot samples during loading may also be taken when the vessel is connected to the shore facility provided that the shut-off devices on the vessel and at the shore facility are closed.</w:t>
      </w:r>
    </w:p>
    <w:p w14:paraId="160BCB1A" w14:textId="5577F9C3" w:rsidR="00867ABE" w:rsidRPr="00BA6991" w:rsidRDefault="00867ABE" w:rsidP="00145A1C">
      <w:pPr>
        <w:pStyle w:val="Bullet1G"/>
        <w:rPr>
          <w:rFonts w:eastAsia="SimSun"/>
          <w:lang w:eastAsia="zh-CN"/>
        </w:rPr>
      </w:pPr>
      <w:r w:rsidRPr="00BA6991">
        <w:rPr>
          <w:rFonts w:eastAsia="SimSun"/>
          <w:lang w:eastAsia="zh-CN"/>
        </w:rPr>
        <w:t xml:space="preserve">Insert a new chapter 7.2.4.23.2.6 and a new 7.2.4.23.2.6.2, and rename 7.2.4.23.2.6 into 7.2.4.23.2.6.1: </w:t>
      </w:r>
    </w:p>
    <w:p w14:paraId="5D7B5C31" w14:textId="76B58607" w:rsidR="00867ABE" w:rsidRPr="00BA6991" w:rsidRDefault="00867ABE" w:rsidP="001B4F2F">
      <w:pPr>
        <w:pStyle w:val="SingleTxtG"/>
        <w:ind w:left="1701"/>
        <w:rPr>
          <w:rFonts w:eastAsia="SimSun"/>
          <w:b/>
          <w:bCs/>
          <w:u w:val="single"/>
          <w:lang w:eastAsia="zh-CN"/>
        </w:rPr>
      </w:pPr>
      <w:r w:rsidRPr="00BA6991">
        <w:rPr>
          <w:rFonts w:eastAsia="SimSun"/>
          <w:b/>
          <w:bCs/>
          <w:u w:val="single"/>
          <w:lang w:eastAsia="zh-CN"/>
        </w:rPr>
        <w:t>7.2.4.23.2.6</w:t>
      </w:r>
      <w:r w:rsidRPr="00BA6991">
        <w:rPr>
          <w:rFonts w:eastAsia="SimSun"/>
          <w:u w:val="single"/>
          <w:lang w:eastAsia="zh-CN"/>
        </w:rPr>
        <w:t xml:space="preserve"> </w:t>
      </w:r>
      <w:r w:rsidRPr="00BA6991">
        <w:rPr>
          <w:rFonts w:eastAsia="SimSun"/>
          <w:u w:val="single"/>
          <w:lang w:eastAsia="zh-CN"/>
        </w:rPr>
        <w:tab/>
      </w:r>
      <w:r w:rsidRPr="00BA6991">
        <w:rPr>
          <w:rFonts w:eastAsia="SimSun"/>
          <w:b/>
          <w:bCs/>
          <w:u w:val="single"/>
          <w:lang w:eastAsia="zh-CN"/>
        </w:rPr>
        <w:t>Addition of stabilizer or other additives in exceptional cases</w:t>
      </w:r>
    </w:p>
    <w:p w14:paraId="608CA308" w14:textId="6383DC55" w:rsidR="00867ABE" w:rsidRPr="00BA6991" w:rsidRDefault="00867ABE" w:rsidP="001B4F2F">
      <w:pPr>
        <w:pStyle w:val="SingleTxtG"/>
        <w:ind w:left="1701"/>
        <w:rPr>
          <w:rFonts w:eastAsia="SimSun"/>
          <w:lang w:eastAsia="zh-CN"/>
        </w:rPr>
      </w:pPr>
      <w:bookmarkStart w:id="0" w:name="_Hlk148623908"/>
      <w:r w:rsidRPr="00BA6991">
        <w:rPr>
          <w:rFonts w:eastAsia="SimSun"/>
          <w:lang w:eastAsia="zh-CN"/>
        </w:rPr>
        <w:t>7.2.4.23.2.6.</w:t>
      </w:r>
      <w:r w:rsidRPr="00BA6991">
        <w:rPr>
          <w:rFonts w:eastAsia="SimSun"/>
          <w:b/>
          <w:bCs/>
          <w:u w:val="single"/>
          <w:lang w:eastAsia="zh-CN"/>
        </w:rPr>
        <w:t>1</w:t>
      </w:r>
      <w:r w:rsidRPr="00BA6991">
        <w:rPr>
          <w:rFonts w:eastAsia="SimSun"/>
          <w:lang w:eastAsia="zh-CN"/>
        </w:rPr>
        <w:tab/>
        <w:t>If an unforeseen extension of the navigation time requires the addition of extra stabilizer to one or more cargo tanks during transport, this is only permitted through the sampling opening. Electrostatic charges shall be prevented.</w:t>
      </w:r>
      <w:bookmarkEnd w:id="0"/>
      <w:r w:rsidRPr="00BA6991">
        <w:rPr>
          <w:rFonts w:eastAsia="SimSun"/>
          <w:lang w:eastAsia="zh-CN"/>
        </w:rPr>
        <w:t xml:space="preserve"> </w:t>
      </w:r>
    </w:p>
    <w:p w14:paraId="0E5764F1" w14:textId="2CE3B2BB" w:rsidR="00867ABE" w:rsidRPr="00BA6991" w:rsidRDefault="00867ABE" w:rsidP="001B4F2F">
      <w:pPr>
        <w:pStyle w:val="SingleTxtG"/>
        <w:ind w:left="1701"/>
        <w:rPr>
          <w:rFonts w:eastAsia="SimSun"/>
          <w:lang w:eastAsia="zh-CN"/>
        </w:rPr>
      </w:pPr>
      <w:r w:rsidRPr="00BA6991">
        <w:rPr>
          <w:rFonts w:eastAsia="SimSun"/>
          <w:b/>
          <w:bCs/>
          <w:u w:val="single"/>
          <w:lang w:eastAsia="zh-CN"/>
        </w:rPr>
        <w:t>7.2.4.23.2.6.2</w:t>
      </w:r>
      <w:r w:rsidRPr="00BA6991">
        <w:rPr>
          <w:rFonts w:eastAsia="SimSun"/>
          <w:lang w:eastAsia="zh-CN"/>
        </w:rPr>
        <w:tab/>
      </w:r>
      <w:r w:rsidRPr="00BA6991">
        <w:rPr>
          <w:rFonts w:eastAsia="SimSun"/>
          <w:b/>
          <w:bCs/>
          <w:u w:val="single"/>
          <w:lang w:eastAsia="zh-CN"/>
        </w:rPr>
        <w:t>If measurement data shows a lower than legally prescribed dosing rate in the cargo and if this requires the addition of extra additive to one or more cargo tanks during transport, this is only permitted through the sampling opening. Electrostatic charges shall be prevented</w:t>
      </w:r>
      <w:r w:rsidRPr="00F57F6E">
        <w:rPr>
          <w:rFonts w:eastAsia="SimSun"/>
          <w:lang w:eastAsia="zh-CN"/>
        </w:rPr>
        <w:t>.</w:t>
      </w:r>
    </w:p>
    <w:p w14:paraId="1FB6FE68" w14:textId="3410B722" w:rsidR="00867ABE" w:rsidRPr="00BA6991" w:rsidRDefault="005F1C42" w:rsidP="001B4F2F">
      <w:pPr>
        <w:pStyle w:val="SingleTxtG"/>
        <w:rPr>
          <w:lang w:val="en-US"/>
        </w:rPr>
      </w:pPr>
      <w:r>
        <w:rPr>
          <w:lang w:val="en-US"/>
        </w:rPr>
        <w:t>9</w:t>
      </w:r>
      <w:r w:rsidR="001B4F2F">
        <w:rPr>
          <w:lang w:val="en-US"/>
        </w:rPr>
        <w:t>.</w:t>
      </w:r>
      <w:r w:rsidR="001B4F2F">
        <w:rPr>
          <w:lang w:val="en-US"/>
        </w:rPr>
        <w:tab/>
      </w:r>
      <w:r w:rsidR="00867ABE" w:rsidRPr="00BA6991">
        <w:rPr>
          <w:lang w:val="en-US"/>
        </w:rPr>
        <w:t>As a result of proposed amendment of 7.2.4.22.11, we also propose an amendment to 7.2.4.16.8, second paragraph:</w:t>
      </w:r>
    </w:p>
    <w:p w14:paraId="2210E227" w14:textId="364C70E6" w:rsidR="001E1BD7" w:rsidRDefault="001E1BD7" w:rsidP="001B4F2F">
      <w:pPr>
        <w:pStyle w:val="SingleTxtG"/>
        <w:ind w:left="1701"/>
        <w:rPr>
          <w:lang w:val="en-US"/>
        </w:rPr>
      </w:pPr>
      <w:r w:rsidRPr="00BA6991">
        <w:rPr>
          <w:lang w:val="en-US"/>
        </w:rPr>
        <w:t>7.2.4.16.8</w:t>
      </w:r>
      <w:r w:rsidDel="001E1BD7">
        <w:rPr>
          <w:lang w:val="en-US"/>
        </w:rPr>
        <w:t xml:space="preserve"> </w:t>
      </w:r>
      <w:r w:rsidR="006F1668">
        <w:rPr>
          <w:lang w:val="en-US"/>
        </w:rPr>
        <w:t>…</w:t>
      </w:r>
    </w:p>
    <w:p w14:paraId="29892719" w14:textId="1F0C93A3" w:rsidR="00867ABE" w:rsidRPr="00BA6991" w:rsidRDefault="00867ABE" w:rsidP="001B4F2F">
      <w:pPr>
        <w:pStyle w:val="SingleTxtG"/>
        <w:ind w:left="1701"/>
        <w:rPr>
          <w:lang w:val="en-US"/>
        </w:rPr>
      </w:pPr>
      <w:r w:rsidRPr="00BA6991">
        <w:rPr>
          <w:lang w:val="en-US"/>
        </w:rPr>
        <w:t xml:space="preserve">Persons connecting or disconnecting the loading and unloading piping or the venting piping, relieving pressure in cargo tanks, taking samples, </w:t>
      </w:r>
      <w:r w:rsidRPr="00BA6991">
        <w:rPr>
          <w:b/>
          <w:bCs/>
          <w:u w:val="single"/>
          <w:lang w:val="en-US"/>
        </w:rPr>
        <w:t>adding additives (see 7.2.4.22)</w:t>
      </w:r>
      <w:r w:rsidRPr="00BA6991">
        <w:rPr>
          <w:lang w:val="en-US"/>
        </w:rPr>
        <w:t xml:space="preserve"> or carrying out measurements or cleaning or replacing the flame arrester plate stack (see 7.2.4.22) …</w:t>
      </w:r>
    </w:p>
    <w:p w14:paraId="5C875A52" w14:textId="4EC138E2" w:rsidR="00867ABE" w:rsidRPr="00BA6991" w:rsidRDefault="001B4F2F" w:rsidP="001B4F2F">
      <w:pPr>
        <w:pStyle w:val="SingleTxtG"/>
        <w:rPr>
          <w:lang w:val="en-US"/>
        </w:rPr>
      </w:pPr>
      <w:r>
        <w:rPr>
          <w:lang w:val="en-US"/>
        </w:rPr>
        <w:t>1</w:t>
      </w:r>
      <w:r w:rsidR="00B767B8">
        <w:rPr>
          <w:lang w:val="en-US"/>
        </w:rPr>
        <w:t>0</w:t>
      </w:r>
      <w:r>
        <w:rPr>
          <w:lang w:val="en-US"/>
        </w:rPr>
        <w:t>.</w:t>
      </w:r>
      <w:r>
        <w:rPr>
          <w:lang w:val="en-US"/>
        </w:rPr>
        <w:tab/>
      </w:r>
      <w:r w:rsidR="00867ABE" w:rsidRPr="00BA6991">
        <w:rPr>
          <w:lang w:val="en-US"/>
        </w:rPr>
        <w:t xml:space="preserve">Bearing in mind that the additional </w:t>
      </w:r>
      <w:proofErr w:type="spellStart"/>
      <w:r w:rsidR="00867ABE" w:rsidRPr="00BA6991">
        <w:rPr>
          <w:lang w:val="en-US"/>
        </w:rPr>
        <w:t>additivation</w:t>
      </w:r>
      <w:proofErr w:type="spellEnd"/>
      <w:r w:rsidR="00867ABE" w:rsidRPr="00BA6991">
        <w:rPr>
          <w:lang w:val="en-US"/>
        </w:rPr>
        <w:t xml:space="preserve"> on board requires packages to be brought into the cargo zone for a short time, we also propose to insert a new 7.2.4.1.5, detailing the conditions to be met:</w:t>
      </w:r>
    </w:p>
    <w:p w14:paraId="6B3E2FFB" w14:textId="42B23419" w:rsidR="00867ABE" w:rsidRPr="00BA6991" w:rsidRDefault="00867ABE" w:rsidP="001B4F2F">
      <w:pPr>
        <w:pStyle w:val="SingleTxtG"/>
        <w:ind w:left="1701"/>
        <w:rPr>
          <w:b/>
          <w:bCs/>
          <w:u w:val="single"/>
          <w:lang w:val="en-US"/>
        </w:rPr>
      </w:pPr>
      <w:r w:rsidRPr="00BA6991">
        <w:rPr>
          <w:b/>
          <w:bCs/>
          <w:u w:val="single"/>
          <w:lang w:val="en-US"/>
        </w:rPr>
        <w:t>7.2.4.1.5</w:t>
      </w:r>
      <w:r w:rsidRPr="00BA6991">
        <w:rPr>
          <w:b/>
          <w:bCs/>
          <w:u w:val="single"/>
          <w:lang w:val="en-US"/>
        </w:rPr>
        <w:tab/>
      </w:r>
      <w:r>
        <w:rPr>
          <w:b/>
          <w:bCs/>
          <w:u w:val="single"/>
          <w:lang w:val="en-US"/>
        </w:rPr>
        <w:tab/>
      </w:r>
      <w:r w:rsidRPr="00BA6991">
        <w:rPr>
          <w:b/>
          <w:bCs/>
          <w:u w:val="single"/>
          <w:lang w:val="en-US"/>
        </w:rPr>
        <w:t xml:space="preserve">On board of vessels and for the sole purpose of </w:t>
      </w:r>
      <w:proofErr w:type="spellStart"/>
      <w:r w:rsidRPr="00BA6991">
        <w:rPr>
          <w:b/>
          <w:bCs/>
          <w:u w:val="single"/>
          <w:lang w:val="en-US"/>
        </w:rPr>
        <w:t>additivation</w:t>
      </w:r>
      <w:proofErr w:type="spellEnd"/>
      <w:r w:rsidRPr="00BA6991">
        <w:rPr>
          <w:b/>
          <w:bCs/>
          <w:u w:val="single"/>
          <w:lang w:val="en-US"/>
        </w:rPr>
        <w:t xml:space="preserve"> (see 7.2.4.22) it is allowed to bring packages with additives in the cargo zone for the duration of the </w:t>
      </w:r>
      <w:proofErr w:type="spellStart"/>
      <w:r w:rsidRPr="00BA6991">
        <w:rPr>
          <w:b/>
          <w:bCs/>
          <w:u w:val="single"/>
          <w:lang w:val="en-US"/>
        </w:rPr>
        <w:t>additivation</w:t>
      </w:r>
      <w:proofErr w:type="spellEnd"/>
      <w:r w:rsidRPr="00BA6991">
        <w:rPr>
          <w:b/>
          <w:bCs/>
          <w:u w:val="single"/>
          <w:lang w:val="en-US"/>
        </w:rPr>
        <w:t xml:space="preserve"> operation only. This operation shall take place after the loading has stopped and before the ship commences its journey, or after the ship ends its journey and before the unloading starts.  The particulars of 7.2.4.22 shall be taken into consideration. The total quantity of the packages shall not exceed … and the total weight of the full packages shall not exceed …kg. The weight of a single package shall be limited to</w:t>
      </w:r>
      <w:proofErr w:type="gramStart"/>
      <w:r w:rsidRPr="00BA6991">
        <w:rPr>
          <w:b/>
          <w:bCs/>
          <w:u w:val="single"/>
          <w:lang w:val="en-US"/>
        </w:rPr>
        <w:t xml:space="preserve"> ..</w:t>
      </w:r>
      <w:proofErr w:type="gramEnd"/>
      <w:r w:rsidRPr="00BA6991">
        <w:rPr>
          <w:b/>
          <w:bCs/>
          <w:u w:val="single"/>
          <w:lang w:val="en-US"/>
        </w:rPr>
        <w:t xml:space="preserve"> kg.</w:t>
      </w:r>
    </w:p>
    <w:p w14:paraId="001E3262" w14:textId="146A3BD6" w:rsidR="00867ABE" w:rsidRPr="007505F6" w:rsidRDefault="00DB2C9B" w:rsidP="00DB2C9B">
      <w:pPr>
        <w:pStyle w:val="HChG"/>
        <w:rPr>
          <w:lang w:val="en-US"/>
        </w:rPr>
      </w:pPr>
      <w:r>
        <w:rPr>
          <w:lang w:val="en-US"/>
        </w:rPr>
        <w:lastRenderedPageBreak/>
        <w:tab/>
        <w:t>II.</w:t>
      </w:r>
      <w:r>
        <w:rPr>
          <w:lang w:val="en-US"/>
        </w:rPr>
        <w:tab/>
      </w:r>
      <w:r w:rsidR="00867ABE" w:rsidRPr="007505F6">
        <w:rPr>
          <w:lang w:val="en-US"/>
        </w:rPr>
        <w:t>Justification</w:t>
      </w:r>
    </w:p>
    <w:p w14:paraId="32182F30" w14:textId="783FFC84" w:rsidR="00867ABE" w:rsidRPr="00BA6991" w:rsidRDefault="002F2A50" w:rsidP="005A1916">
      <w:pPr>
        <w:pStyle w:val="SingleTxtG"/>
        <w:rPr>
          <w:lang w:val="en-US"/>
        </w:rPr>
      </w:pPr>
      <w:r>
        <w:rPr>
          <w:lang w:val="en-US"/>
        </w:rPr>
        <w:t>1</w:t>
      </w:r>
      <w:r w:rsidR="00B767B8">
        <w:rPr>
          <w:lang w:val="en-US"/>
        </w:rPr>
        <w:t>1</w:t>
      </w:r>
      <w:r>
        <w:rPr>
          <w:lang w:val="en-US"/>
        </w:rPr>
        <w:t>.</w:t>
      </w:r>
      <w:r>
        <w:rPr>
          <w:lang w:val="en-US"/>
        </w:rPr>
        <w:tab/>
      </w:r>
      <w:r w:rsidR="00867ABE" w:rsidRPr="00BA6991">
        <w:rPr>
          <w:lang w:val="en-US"/>
        </w:rPr>
        <w:t xml:space="preserve">Additives are usually very expensive and must be dosed in quantities in accordance with various other regulations including </w:t>
      </w:r>
      <w:r w:rsidR="002769B8">
        <w:rPr>
          <w:lang w:val="en-US"/>
        </w:rPr>
        <w:t>t</w:t>
      </w:r>
      <w:r w:rsidR="00867ABE" w:rsidRPr="00BA6991">
        <w:rPr>
          <w:lang w:val="en-US"/>
        </w:rPr>
        <w:t xml:space="preserve">ax, </w:t>
      </w:r>
      <w:r w:rsidR="002769B8">
        <w:rPr>
          <w:lang w:val="en-US"/>
        </w:rPr>
        <w:t>d</w:t>
      </w:r>
      <w:r w:rsidR="00867ABE" w:rsidRPr="00BA6991">
        <w:rPr>
          <w:lang w:val="en-US"/>
        </w:rPr>
        <w:t xml:space="preserve">efense </w:t>
      </w:r>
      <w:r w:rsidR="002769B8">
        <w:rPr>
          <w:lang w:val="en-US"/>
        </w:rPr>
        <w:t>s</w:t>
      </w:r>
      <w:r w:rsidR="00867ABE" w:rsidRPr="00BA6991">
        <w:rPr>
          <w:lang w:val="en-US"/>
        </w:rPr>
        <w:t>tandards, etc. Often, a minimum and maximum dosing rate is applicable, and the applicable dosing rate is depending on the product.</w:t>
      </w:r>
    </w:p>
    <w:p w14:paraId="27AC49C4" w14:textId="59AF1A5C" w:rsidR="00867ABE" w:rsidRPr="00BA6991" w:rsidRDefault="00E47CF7" w:rsidP="005A1916">
      <w:pPr>
        <w:pStyle w:val="SingleTxtG"/>
        <w:rPr>
          <w:lang w:val="en-US"/>
        </w:rPr>
      </w:pPr>
      <w:r>
        <w:rPr>
          <w:lang w:val="en-US"/>
        </w:rPr>
        <w:t>1</w:t>
      </w:r>
      <w:r w:rsidR="00B767B8">
        <w:rPr>
          <w:lang w:val="en-US"/>
        </w:rPr>
        <w:t>2</w:t>
      </w:r>
      <w:r>
        <w:rPr>
          <w:lang w:val="en-US"/>
        </w:rPr>
        <w:t>.</w:t>
      </w:r>
      <w:r>
        <w:rPr>
          <w:lang w:val="en-US"/>
        </w:rPr>
        <w:tab/>
      </w:r>
      <w:r w:rsidR="00867ABE" w:rsidRPr="00BA6991">
        <w:rPr>
          <w:lang w:val="en-US"/>
        </w:rPr>
        <w:t xml:space="preserve">At occasions, the amount of additive added to the cargo can be found too low. The proposals aim to address this shortfall, always in a safe manner. </w:t>
      </w:r>
    </w:p>
    <w:p w14:paraId="1796A8C4" w14:textId="17104FFE" w:rsidR="00867ABE" w:rsidRPr="00BA6991" w:rsidRDefault="00321199" w:rsidP="005A1916">
      <w:pPr>
        <w:pStyle w:val="SingleTxtG"/>
        <w:rPr>
          <w:b/>
          <w:bCs/>
          <w:lang w:val="en-US"/>
        </w:rPr>
      </w:pPr>
      <w:r>
        <w:rPr>
          <w:lang w:val="en-US"/>
        </w:rPr>
        <w:t>1</w:t>
      </w:r>
      <w:r w:rsidR="00A7759A">
        <w:rPr>
          <w:lang w:val="en-US"/>
        </w:rPr>
        <w:t>3</w:t>
      </w:r>
      <w:r>
        <w:rPr>
          <w:lang w:val="en-US"/>
        </w:rPr>
        <w:t>.</w:t>
      </w:r>
      <w:r>
        <w:rPr>
          <w:lang w:val="en-US"/>
        </w:rPr>
        <w:tab/>
      </w:r>
      <w:r w:rsidR="00867ABE" w:rsidRPr="00BA6991">
        <w:rPr>
          <w:lang w:val="en-US"/>
        </w:rPr>
        <w:t>Examples of dosing requirement stemming from transport safety or other rules and regulations are:</w:t>
      </w:r>
    </w:p>
    <w:p w14:paraId="09D52266" w14:textId="77777777" w:rsidR="00867ABE" w:rsidRPr="00BA6991" w:rsidRDefault="00867ABE" w:rsidP="00321199">
      <w:pPr>
        <w:pStyle w:val="Bullet1G"/>
        <w:rPr>
          <w:lang w:val="en-US"/>
        </w:rPr>
      </w:pPr>
      <w:r w:rsidRPr="00BA6991">
        <w:rPr>
          <w:lang w:val="en-US"/>
        </w:rPr>
        <w:t>Tax:</w:t>
      </w:r>
    </w:p>
    <w:p w14:paraId="50956990" w14:textId="77777777" w:rsidR="00867ABE" w:rsidRPr="00BA6991" w:rsidRDefault="00867ABE" w:rsidP="00321199">
      <w:pPr>
        <w:pStyle w:val="Bullet2G"/>
        <w:rPr>
          <w:lang w:val="en-US"/>
        </w:rPr>
      </w:pPr>
      <w:r w:rsidRPr="00BA6991">
        <w:rPr>
          <w:lang w:val="en-US"/>
        </w:rPr>
        <w:t xml:space="preserve">Markers as required by tax laws, exempting the products containing these markers from excise and duties. </w:t>
      </w:r>
    </w:p>
    <w:p w14:paraId="7D4CF5E1" w14:textId="77777777" w:rsidR="00867ABE" w:rsidRPr="00BA6991" w:rsidRDefault="00867ABE" w:rsidP="00321199">
      <w:pPr>
        <w:pStyle w:val="Bullet1G"/>
        <w:rPr>
          <w:lang w:val="en-US"/>
        </w:rPr>
      </w:pPr>
      <w:r w:rsidRPr="00BA6991">
        <w:rPr>
          <w:lang w:val="en-US"/>
        </w:rPr>
        <w:t>Safe use of products:</w:t>
      </w:r>
    </w:p>
    <w:p w14:paraId="0C81BFC3" w14:textId="43517C86" w:rsidR="00867ABE" w:rsidRPr="00BA6991" w:rsidRDefault="00867ABE" w:rsidP="00321199">
      <w:pPr>
        <w:pStyle w:val="Bullet2G"/>
        <w:rPr>
          <w:lang w:val="en-US"/>
        </w:rPr>
      </w:pPr>
      <w:r w:rsidRPr="00BA6991">
        <w:rPr>
          <w:lang w:val="en-US"/>
        </w:rPr>
        <w:t>Additives to improve product conductivity as a requirement by law (</w:t>
      </w:r>
      <w:r w:rsidR="00431B83">
        <w:rPr>
          <w:lang w:val="en-US"/>
        </w:rPr>
        <w:t>t</w:t>
      </w:r>
      <w:r w:rsidRPr="00BA6991">
        <w:rPr>
          <w:lang w:val="en-US"/>
        </w:rPr>
        <w:t xml:space="preserve">urbine </w:t>
      </w:r>
      <w:r w:rsidR="00431B83">
        <w:rPr>
          <w:lang w:val="en-US"/>
        </w:rPr>
        <w:t>f</w:t>
      </w:r>
      <w:r w:rsidRPr="00BA6991">
        <w:rPr>
          <w:lang w:val="en-US"/>
        </w:rPr>
        <w:t xml:space="preserve">uel for </w:t>
      </w:r>
      <w:r w:rsidR="00431B83">
        <w:rPr>
          <w:lang w:val="en-US"/>
        </w:rPr>
        <w:t>j</w:t>
      </w:r>
      <w:r w:rsidRPr="00BA6991">
        <w:rPr>
          <w:lang w:val="en-US"/>
        </w:rPr>
        <w:t>et engines is a static accumulator which can cause danger in a receiving tank)</w:t>
      </w:r>
      <w:r w:rsidR="00026333">
        <w:rPr>
          <w:lang w:val="en-US"/>
        </w:rPr>
        <w:t>;</w:t>
      </w:r>
    </w:p>
    <w:p w14:paraId="68A65B9A" w14:textId="7B1574ED" w:rsidR="00867ABE" w:rsidRPr="00BA6991" w:rsidRDefault="00867ABE" w:rsidP="00321199">
      <w:pPr>
        <w:pStyle w:val="Bullet2G"/>
        <w:rPr>
          <w:lang w:val="en-US"/>
        </w:rPr>
      </w:pPr>
      <w:r w:rsidRPr="00BA6991">
        <w:rPr>
          <w:lang w:val="en-US"/>
        </w:rPr>
        <w:t>Fuel performance additives as required by the military, stabilizers (</w:t>
      </w:r>
      <w:r w:rsidR="00026333">
        <w:rPr>
          <w:lang w:val="en-US"/>
        </w:rPr>
        <w:t>t</w:t>
      </w:r>
      <w:r w:rsidRPr="00BA6991">
        <w:rPr>
          <w:lang w:val="en-US"/>
        </w:rPr>
        <w:t xml:space="preserve">urbine fuel for </w:t>
      </w:r>
      <w:r w:rsidR="00026333">
        <w:rPr>
          <w:lang w:val="en-US"/>
        </w:rPr>
        <w:t>f</w:t>
      </w:r>
      <w:r w:rsidRPr="00BA6991">
        <w:rPr>
          <w:lang w:val="en-US"/>
        </w:rPr>
        <w:t>ighter jets)</w:t>
      </w:r>
      <w:r w:rsidR="00026333">
        <w:rPr>
          <w:lang w:val="en-US"/>
        </w:rPr>
        <w:t>.</w:t>
      </w:r>
    </w:p>
    <w:p w14:paraId="3082768B" w14:textId="77777777" w:rsidR="00867ABE" w:rsidRPr="00BA6991" w:rsidRDefault="00867ABE" w:rsidP="00321199">
      <w:pPr>
        <w:pStyle w:val="Bullet1G"/>
        <w:rPr>
          <w:lang w:val="en-US"/>
        </w:rPr>
      </w:pPr>
      <w:r w:rsidRPr="00BA6991">
        <w:rPr>
          <w:lang w:val="en-US"/>
        </w:rPr>
        <w:t>Safe transport of products:</w:t>
      </w:r>
    </w:p>
    <w:p w14:paraId="180A7170" w14:textId="01339D4A" w:rsidR="00867ABE" w:rsidRPr="00BA6991" w:rsidRDefault="00867ABE" w:rsidP="00321199">
      <w:pPr>
        <w:pStyle w:val="Bullet2G"/>
        <w:rPr>
          <w:lang w:val="en-US"/>
        </w:rPr>
      </w:pPr>
      <w:r w:rsidRPr="00BA6991">
        <w:rPr>
          <w:lang w:val="en-US"/>
        </w:rPr>
        <w:t xml:space="preserve">Additives to prevent </w:t>
      </w:r>
      <w:r w:rsidR="00026333">
        <w:rPr>
          <w:lang w:val="en-US"/>
        </w:rPr>
        <w:t>h</w:t>
      </w:r>
      <w:r w:rsidRPr="00BA6991">
        <w:rPr>
          <w:lang w:val="en-US"/>
        </w:rPr>
        <w:t>ydrogen sulfide (H</w:t>
      </w:r>
      <w:r w:rsidRPr="00BA6991">
        <w:rPr>
          <w:vertAlign w:val="subscript"/>
          <w:lang w:val="en-US"/>
        </w:rPr>
        <w:t>2</w:t>
      </w:r>
      <w:r w:rsidRPr="00BA6991">
        <w:rPr>
          <w:lang w:val="en-US"/>
        </w:rPr>
        <w:t>S) in the liquid phase of products to reach the vapor phase, which can cause health risks to workers.</w:t>
      </w:r>
    </w:p>
    <w:p w14:paraId="3D23BBA6" w14:textId="75DA97E2" w:rsidR="00867ABE" w:rsidRPr="00BA6991" w:rsidRDefault="00A7759A" w:rsidP="005A1916">
      <w:pPr>
        <w:pStyle w:val="SingleTxtG"/>
        <w:rPr>
          <w:lang w:val="en-US"/>
        </w:rPr>
      </w:pPr>
      <w:r>
        <w:rPr>
          <w:lang w:val="en-US"/>
        </w:rPr>
        <w:t>14</w:t>
      </w:r>
      <w:r w:rsidR="00DC37AF">
        <w:rPr>
          <w:lang w:val="en-US"/>
        </w:rPr>
        <w:t>.</w:t>
      </w:r>
      <w:r w:rsidR="00DC37AF">
        <w:rPr>
          <w:lang w:val="en-US"/>
        </w:rPr>
        <w:tab/>
      </w:r>
      <w:r w:rsidR="00867ABE" w:rsidRPr="00BA6991">
        <w:rPr>
          <w:lang w:val="en-US"/>
        </w:rPr>
        <w:t xml:space="preserve">Mobile systems which allow for a safe operation on board of inland waterway tankers are available and in use in the market today. Experienced staff of service providers such as surveyors or additives suppliers work with these in a safe manner. </w:t>
      </w:r>
    </w:p>
    <w:p w14:paraId="79997570" w14:textId="3425D6A8" w:rsidR="00867ABE" w:rsidRPr="00BA6991" w:rsidRDefault="00476A99" w:rsidP="005A1916">
      <w:pPr>
        <w:pStyle w:val="SingleTxtG"/>
        <w:rPr>
          <w:lang w:val="en-US"/>
        </w:rPr>
      </w:pPr>
      <w:r>
        <w:rPr>
          <w:lang w:val="en-US"/>
        </w:rPr>
        <w:t>15</w:t>
      </w:r>
      <w:r w:rsidR="00DC37AF">
        <w:rPr>
          <w:lang w:val="en-US"/>
        </w:rPr>
        <w:t>.</w:t>
      </w:r>
      <w:r w:rsidR="00DC37AF">
        <w:rPr>
          <w:lang w:val="en-US"/>
        </w:rPr>
        <w:tab/>
      </w:r>
      <w:r w:rsidR="00867ABE" w:rsidRPr="00BA6991">
        <w:rPr>
          <w:lang w:val="en-US"/>
        </w:rPr>
        <w:t xml:space="preserve">No </w:t>
      </w:r>
      <w:r w:rsidR="00124DD7">
        <w:rPr>
          <w:lang w:val="en-US"/>
        </w:rPr>
        <w:t>b</w:t>
      </w:r>
      <w:r w:rsidR="00867ABE" w:rsidRPr="00BA6991">
        <w:rPr>
          <w:lang w:val="en-US"/>
        </w:rPr>
        <w:t xml:space="preserve">lending on board: </w:t>
      </w:r>
      <w:proofErr w:type="spellStart"/>
      <w:r w:rsidR="00867ABE" w:rsidRPr="00BA6991">
        <w:rPr>
          <w:lang w:val="en-US"/>
        </w:rPr>
        <w:t>Additivation</w:t>
      </w:r>
      <w:proofErr w:type="spellEnd"/>
      <w:r w:rsidR="00867ABE" w:rsidRPr="00BA6991">
        <w:rPr>
          <w:lang w:val="en-US"/>
        </w:rPr>
        <w:t xml:space="preserve"> is not to be confused with blending on board or loading on top, because of the relatively small volumes of additives involved compared to the cargo size. Analog to this, loading a product with UN number X in cargo tank which is empty uncleaned from a cargo with UN number Y is allowed providing these do not react dangerously with each other. Additives are always compatible with the cargo and do not change the classification of the product they are added to. </w:t>
      </w:r>
    </w:p>
    <w:p w14:paraId="6D752544" w14:textId="2E8ABB4F" w:rsidR="00867ABE" w:rsidRPr="00BA6991" w:rsidRDefault="00476A99" w:rsidP="005A1916">
      <w:pPr>
        <w:pStyle w:val="SingleTxtG"/>
        <w:rPr>
          <w:lang w:val="en-US"/>
        </w:rPr>
      </w:pPr>
      <w:r>
        <w:rPr>
          <w:lang w:val="en-US"/>
        </w:rPr>
        <w:t>16</w:t>
      </w:r>
      <w:r w:rsidR="00DC37AF">
        <w:rPr>
          <w:lang w:val="en-US"/>
        </w:rPr>
        <w:t>.</w:t>
      </w:r>
      <w:r w:rsidR="00DC37AF">
        <w:rPr>
          <w:lang w:val="en-US"/>
        </w:rPr>
        <w:tab/>
      </w:r>
      <w:r w:rsidR="00867ABE" w:rsidRPr="00BA6991">
        <w:rPr>
          <w:lang w:val="en-US"/>
        </w:rPr>
        <w:t xml:space="preserve">If no inline blending/dosing system is available, additives should be allowed to be added to the cargo in a safe manner, i.e., via a mobile dosing system connected to the ships manifold. The opening of such dosing systems is considered a safer option than the opening of cargo tank openings. The same applies for the adding of stabilizer. </w:t>
      </w:r>
    </w:p>
    <w:p w14:paraId="56E03BF0" w14:textId="5C7A0A96" w:rsidR="00867ABE" w:rsidRPr="007505F6" w:rsidRDefault="00212CF7" w:rsidP="00212CF7">
      <w:pPr>
        <w:pStyle w:val="HChG"/>
        <w:rPr>
          <w:lang w:val="en-US"/>
        </w:rPr>
      </w:pPr>
      <w:r>
        <w:rPr>
          <w:lang w:val="en-US"/>
        </w:rPr>
        <w:tab/>
        <w:t>III.</w:t>
      </w:r>
      <w:r>
        <w:rPr>
          <w:lang w:val="en-US"/>
        </w:rPr>
        <w:tab/>
      </w:r>
      <w:r w:rsidR="00867ABE" w:rsidRPr="007505F6">
        <w:rPr>
          <w:lang w:val="en-US"/>
        </w:rPr>
        <w:t>Conclusion</w:t>
      </w:r>
    </w:p>
    <w:p w14:paraId="04BFF7F0" w14:textId="1BF5C84D" w:rsidR="00867ABE" w:rsidRPr="00BA6991" w:rsidRDefault="00476A99" w:rsidP="00212CF7">
      <w:pPr>
        <w:pStyle w:val="SingleTxtG"/>
        <w:rPr>
          <w:lang w:val="en-US"/>
        </w:rPr>
      </w:pPr>
      <w:r>
        <w:rPr>
          <w:lang w:val="en-US"/>
        </w:rPr>
        <w:t>17</w:t>
      </w:r>
      <w:r w:rsidR="00825D24">
        <w:rPr>
          <w:lang w:val="en-US"/>
        </w:rPr>
        <w:t>.</w:t>
      </w:r>
      <w:r w:rsidR="00825D24">
        <w:rPr>
          <w:lang w:val="en-US"/>
        </w:rPr>
        <w:tab/>
      </w:r>
      <w:r w:rsidR="00867ABE" w:rsidRPr="00BA6991">
        <w:rPr>
          <w:lang w:val="en-US"/>
        </w:rPr>
        <w:t xml:space="preserve">The proposals would allow for a safe operation to be able to correct the dosing rate of the cargo onboard the ship. </w:t>
      </w:r>
      <w:proofErr w:type="spellStart"/>
      <w:r w:rsidR="00956F4E">
        <w:rPr>
          <w:lang w:val="en-US"/>
        </w:rPr>
        <w:t>FuelsEurope</w:t>
      </w:r>
      <w:proofErr w:type="spellEnd"/>
      <w:r w:rsidR="00956F4E" w:rsidRPr="00BA6991">
        <w:rPr>
          <w:lang w:val="en-US"/>
        </w:rPr>
        <w:t xml:space="preserve"> </w:t>
      </w:r>
      <w:r w:rsidR="00867ABE" w:rsidRPr="00BA6991">
        <w:rPr>
          <w:lang w:val="en-US"/>
        </w:rPr>
        <w:t>provide</w:t>
      </w:r>
      <w:r w:rsidR="00D53423">
        <w:rPr>
          <w:lang w:val="en-US"/>
        </w:rPr>
        <w:t>s</w:t>
      </w:r>
      <w:r w:rsidR="00867ABE" w:rsidRPr="00BA6991">
        <w:rPr>
          <w:lang w:val="en-US"/>
        </w:rPr>
        <w:t xml:space="preserve"> clarification on the aspects of blending on board (par</w:t>
      </w:r>
      <w:r w:rsidR="00D53423">
        <w:rPr>
          <w:lang w:val="en-US"/>
        </w:rPr>
        <w:t>a</w:t>
      </w:r>
      <w:r w:rsidR="00867ABE" w:rsidRPr="00BA6991">
        <w:rPr>
          <w:lang w:val="en-US"/>
        </w:rPr>
        <w:t xml:space="preserve">. </w:t>
      </w:r>
      <w:r w:rsidR="00CC58C2">
        <w:rPr>
          <w:lang w:val="en-US"/>
        </w:rPr>
        <w:t>15</w:t>
      </w:r>
      <w:r w:rsidR="00867ABE" w:rsidRPr="00BA6991">
        <w:rPr>
          <w:lang w:val="en-US"/>
        </w:rPr>
        <w:t>), packages in the cargo zone (par</w:t>
      </w:r>
      <w:r w:rsidR="00D53423">
        <w:rPr>
          <w:lang w:val="en-US"/>
        </w:rPr>
        <w:t>a</w:t>
      </w:r>
      <w:r w:rsidR="00867ABE" w:rsidRPr="00BA6991">
        <w:rPr>
          <w:lang w:val="en-US"/>
        </w:rPr>
        <w:t xml:space="preserve">. </w:t>
      </w:r>
      <w:r w:rsidR="00CC58C2">
        <w:rPr>
          <w:lang w:val="en-US"/>
        </w:rPr>
        <w:t>10</w:t>
      </w:r>
      <w:r w:rsidR="00867ABE" w:rsidRPr="00BA6991">
        <w:rPr>
          <w:lang w:val="en-US"/>
        </w:rPr>
        <w:t>) and the safe use of mobile systems (par</w:t>
      </w:r>
      <w:r w:rsidR="00D53423">
        <w:rPr>
          <w:lang w:val="en-US"/>
        </w:rPr>
        <w:t>as</w:t>
      </w:r>
      <w:r w:rsidR="00867ABE" w:rsidRPr="00BA6991">
        <w:rPr>
          <w:lang w:val="en-US"/>
        </w:rPr>
        <w:t xml:space="preserve">. </w:t>
      </w:r>
      <w:r w:rsidR="00CC58C2">
        <w:rPr>
          <w:lang w:val="en-US"/>
        </w:rPr>
        <w:t>14</w:t>
      </w:r>
      <w:r w:rsidR="00867ABE" w:rsidRPr="00BA6991">
        <w:rPr>
          <w:lang w:val="en-US"/>
        </w:rPr>
        <w:t xml:space="preserve"> and </w:t>
      </w:r>
      <w:r w:rsidR="00CC58C2">
        <w:rPr>
          <w:lang w:val="en-US"/>
        </w:rPr>
        <w:t>16</w:t>
      </w:r>
      <w:r w:rsidR="00867ABE" w:rsidRPr="00BA6991">
        <w:rPr>
          <w:lang w:val="en-US"/>
        </w:rPr>
        <w:t xml:space="preserve">).  </w:t>
      </w:r>
    </w:p>
    <w:p w14:paraId="73436F7F" w14:textId="5D30093C" w:rsidR="00867ABE" w:rsidRPr="00FA1B58" w:rsidRDefault="00476A99" w:rsidP="00212CF7">
      <w:pPr>
        <w:pStyle w:val="SingleTxtG"/>
        <w:rPr>
          <w:lang w:val="en-US"/>
        </w:rPr>
      </w:pPr>
      <w:r>
        <w:rPr>
          <w:lang w:val="en-US"/>
        </w:rPr>
        <w:t>18</w:t>
      </w:r>
      <w:r w:rsidR="00825D24">
        <w:rPr>
          <w:lang w:val="en-US"/>
        </w:rPr>
        <w:t>.</w:t>
      </w:r>
      <w:r w:rsidR="00825D24">
        <w:rPr>
          <w:lang w:val="en-US"/>
        </w:rPr>
        <w:tab/>
      </w:r>
      <w:r w:rsidR="00867ABE" w:rsidRPr="00BA6991">
        <w:rPr>
          <w:lang w:val="en-US"/>
        </w:rPr>
        <w:t xml:space="preserve">The described solutions will eliminate the necessity for a full additional shipping operation (sailing back to the installation, discharge full cargo, new dosing, loading full cargo, and sailing for a second time to the unloading installation). We argue that less handling is always safer.   </w:t>
      </w:r>
    </w:p>
    <w:p w14:paraId="4C7C5C46" w14:textId="17809AA6" w:rsidR="00867ABE" w:rsidRPr="006852FE" w:rsidRDefault="00867ABE" w:rsidP="00825D24">
      <w:pPr>
        <w:pStyle w:val="HChG"/>
      </w:pPr>
      <w:r>
        <w:tab/>
      </w:r>
      <w:r w:rsidR="00825D24">
        <w:t>I</w:t>
      </w:r>
      <w:r>
        <w:t>V.</w:t>
      </w:r>
      <w:r>
        <w:tab/>
        <w:t>I</w:t>
      </w:r>
      <w:r w:rsidRPr="006C464D">
        <w:t xml:space="preserve">nterlinkage to </w:t>
      </w:r>
      <w:r>
        <w:t>S</w:t>
      </w:r>
      <w:r w:rsidRPr="006C464D">
        <w:t xml:space="preserve">ustainable </w:t>
      </w:r>
      <w:r>
        <w:t>D</w:t>
      </w:r>
      <w:r w:rsidRPr="006C464D">
        <w:t xml:space="preserve">evelopment </w:t>
      </w:r>
      <w:r>
        <w:t>G</w:t>
      </w:r>
      <w:r w:rsidRPr="006C464D">
        <w:t>oals</w:t>
      </w:r>
    </w:p>
    <w:p w14:paraId="59ECB555" w14:textId="3F11E5F9" w:rsidR="00867ABE" w:rsidRPr="00825D24" w:rsidRDefault="00D53423" w:rsidP="00825D24">
      <w:pPr>
        <w:pStyle w:val="SingleTxtG"/>
      </w:pPr>
      <w:r>
        <w:t>19</w:t>
      </w:r>
      <w:r w:rsidR="00C93563">
        <w:t>.</w:t>
      </w:r>
      <w:r w:rsidR="00867ABE" w:rsidRPr="00825D24">
        <w:tab/>
        <w:t xml:space="preserve">New insights in handling of (hazardous) materials and considering its consequences on the ongoing safe handling, storage and transport of those hazardous materials can be </w:t>
      </w:r>
      <w:r w:rsidR="00867ABE" w:rsidRPr="00825D24">
        <w:lastRenderedPageBreak/>
        <w:t>linked to Sustainable Development Goal 3: Good health and well-being – Reducing health risks of hazardous materials.</w:t>
      </w:r>
    </w:p>
    <w:p w14:paraId="68F557CA" w14:textId="2CB05D8C" w:rsidR="00867ABE" w:rsidRPr="00825D24" w:rsidRDefault="00C548B3" w:rsidP="00825D24">
      <w:pPr>
        <w:pStyle w:val="SingleTxtG"/>
      </w:pPr>
      <w:r>
        <w:t>2</w:t>
      </w:r>
      <w:r w:rsidR="00D53423">
        <w:t>0</w:t>
      </w:r>
      <w:r w:rsidR="00867ABE" w:rsidRPr="00825D24">
        <w:t>.</w:t>
      </w:r>
      <w:r w:rsidR="00867ABE" w:rsidRPr="00825D24">
        <w:tab/>
        <w:t>As this links to sustainable transport, also Sustainable Development Goal 11 can be considered.</w:t>
      </w:r>
    </w:p>
    <w:p w14:paraId="2735DF63" w14:textId="42CA92A4" w:rsidR="00867ABE" w:rsidRPr="006852FE" w:rsidRDefault="00867ABE" w:rsidP="00867ABE">
      <w:pPr>
        <w:pStyle w:val="HChG"/>
      </w:pPr>
      <w:r w:rsidRPr="006852FE">
        <w:tab/>
      </w:r>
      <w:r>
        <w:t>V.</w:t>
      </w:r>
      <w:r w:rsidRPr="006852FE">
        <w:tab/>
        <w:t>Action to be taken</w:t>
      </w:r>
    </w:p>
    <w:p w14:paraId="58C7AE3B" w14:textId="2F87CA2B" w:rsidR="00867ABE" w:rsidRDefault="00C548B3" w:rsidP="00C548B3">
      <w:pPr>
        <w:pStyle w:val="SingleTxtG"/>
        <w:rPr>
          <w:lang w:val="en-US"/>
        </w:rPr>
      </w:pPr>
      <w:r>
        <w:rPr>
          <w:lang w:val="en-US"/>
        </w:rPr>
        <w:t>2</w:t>
      </w:r>
      <w:r w:rsidR="00D53423">
        <w:rPr>
          <w:lang w:val="en-US"/>
        </w:rPr>
        <w:t>1</w:t>
      </w:r>
      <w:r>
        <w:rPr>
          <w:lang w:val="en-US"/>
        </w:rPr>
        <w:t>.</w:t>
      </w:r>
      <w:r>
        <w:rPr>
          <w:lang w:val="en-US"/>
        </w:rPr>
        <w:tab/>
      </w:r>
      <w:r w:rsidR="00867ABE" w:rsidRPr="00785E99">
        <w:rPr>
          <w:lang w:val="en-US"/>
        </w:rPr>
        <w:t>FuelsEurope therefor</w:t>
      </w:r>
      <w:r w:rsidR="009E52EB">
        <w:rPr>
          <w:lang w:val="en-US"/>
        </w:rPr>
        <w:t>e</w:t>
      </w:r>
      <w:r w:rsidR="00867ABE" w:rsidRPr="00785E99">
        <w:rPr>
          <w:lang w:val="en-US"/>
        </w:rPr>
        <w:t xml:space="preserve"> invites the </w:t>
      </w:r>
      <w:r w:rsidR="009E52EB">
        <w:rPr>
          <w:lang w:val="en-US"/>
        </w:rPr>
        <w:t xml:space="preserve">ADN </w:t>
      </w:r>
      <w:r w:rsidR="00867ABE" w:rsidRPr="00785E99">
        <w:rPr>
          <w:lang w:val="en-US"/>
        </w:rPr>
        <w:t>Safety Committee to consider the proposals tabled under paragraphs 7, 8</w:t>
      </w:r>
      <w:r w:rsidR="009D6607">
        <w:rPr>
          <w:lang w:val="en-US"/>
        </w:rPr>
        <w:t>,</w:t>
      </w:r>
      <w:r w:rsidR="00181C4D">
        <w:rPr>
          <w:lang w:val="en-US"/>
        </w:rPr>
        <w:t xml:space="preserve"> 9</w:t>
      </w:r>
      <w:r w:rsidR="00867ABE" w:rsidRPr="00785E99">
        <w:rPr>
          <w:lang w:val="en-US"/>
        </w:rPr>
        <w:t xml:space="preserve"> and </w:t>
      </w:r>
      <w:r w:rsidR="00181C4D">
        <w:rPr>
          <w:lang w:val="en-US"/>
        </w:rPr>
        <w:t>10</w:t>
      </w:r>
      <w:r w:rsidR="00867ABE" w:rsidRPr="00785E99">
        <w:rPr>
          <w:lang w:val="en-US"/>
        </w:rPr>
        <w:t>, considering the justification and to act as it deems appropriate, for entry into force</w:t>
      </w:r>
      <w:r w:rsidR="00447208">
        <w:rPr>
          <w:lang w:val="en-US"/>
        </w:rPr>
        <w:t xml:space="preserve"> </w:t>
      </w:r>
      <w:r w:rsidR="00072CBD">
        <w:rPr>
          <w:lang w:val="en-US"/>
        </w:rPr>
        <w:t xml:space="preserve">on 1 January </w:t>
      </w:r>
      <w:r w:rsidR="00447208">
        <w:rPr>
          <w:lang w:val="en-US"/>
        </w:rPr>
        <w:t>2025</w:t>
      </w:r>
      <w:r w:rsidR="00867ABE" w:rsidRPr="00785E99">
        <w:rPr>
          <w:lang w:val="en-US"/>
        </w:rPr>
        <w:t>.</w:t>
      </w:r>
    </w:p>
    <w:p w14:paraId="7F740265" w14:textId="3E24374D" w:rsidR="00867ABE" w:rsidRDefault="00C548B3" w:rsidP="00C548B3">
      <w:pPr>
        <w:pStyle w:val="SingleTxtG"/>
        <w:rPr>
          <w:lang w:val="en-US"/>
        </w:rPr>
      </w:pPr>
      <w:r>
        <w:rPr>
          <w:lang w:val="en-US"/>
        </w:rPr>
        <w:t>2</w:t>
      </w:r>
      <w:r w:rsidR="0026777D">
        <w:rPr>
          <w:lang w:val="en-US"/>
        </w:rPr>
        <w:t>2</w:t>
      </w:r>
      <w:r>
        <w:rPr>
          <w:lang w:val="en-US"/>
        </w:rPr>
        <w:t>.</w:t>
      </w:r>
      <w:r>
        <w:rPr>
          <w:lang w:val="en-US"/>
        </w:rPr>
        <w:tab/>
      </w:r>
      <w:r w:rsidR="00867ABE" w:rsidRPr="00785E99">
        <w:rPr>
          <w:lang w:val="en-US"/>
        </w:rPr>
        <w:t xml:space="preserve">The Safety Committee is also invited to form an opinion and decide on the statements made in paragraphs </w:t>
      </w:r>
      <w:r w:rsidR="00181C4D">
        <w:rPr>
          <w:lang w:val="en-US"/>
        </w:rPr>
        <w:t>14, 15</w:t>
      </w:r>
      <w:r w:rsidR="00867ABE" w:rsidRPr="00785E99">
        <w:rPr>
          <w:lang w:val="en-US"/>
        </w:rPr>
        <w:t xml:space="preserve"> and </w:t>
      </w:r>
      <w:r w:rsidR="00181C4D">
        <w:rPr>
          <w:lang w:val="en-US"/>
        </w:rPr>
        <w:t>16</w:t>
      </w:r>
      <w:r w:rsidR="00867ABE" w:rsidRPr="00785E99">
        <w:rPr>
          <w:lang w:val="en-US"/>
        </w:rPr>
        <w:t>.</w:t>
      </w:r>
    </w:p>
    <w:p w14:paraId="0B603A78" w14:textId="06812057" w:rsidR="00867ABE" w:rsidRPr="00867ABE" w:rsidRDefault="00867ABE" w:rsidP="00867ABE">
      <w:pPr>
        <w:spacing w:before="240"/>
        <w:jc w:val="center"/>
        <w:rPr>
          <w:u w:val="single"/>
          <w:lang w:val="en-US"/>
        </w:rPr>
      </w:pPr>
      <w:r>
        <w:rPr>
          <w:u w:val="single"/>
          <w:lang w:val="en-US"/>
        </w:rPr>
        <w:tab/>
      </w:r>
      <w:r>
        <w:rPr>
          <w:u w:val="single"/>
          <w:lang w:val="en-US"/>
        </w:rPr>
        <w:tab/>
      </w:r>
      <w:r>
        <w:rPr>
          <w:u w:val="single"/>
          <w:lang w:val="en-US"/>
        </w:rPr>
        <w:tab/>
      </w:r>
    </w:p>
    <w:sectPr w:rsidR="00867ABE" w:rsidRPr="00867ABE" w:rsidSect="009C2FF6">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901B" w14:textId="77777777" w:rsidR="007965C3" w:rsidRDefault="007965C3"/>
  </w:endnote>
  <w:endnote w:type="continuationSeparator" w:id="0">
    <w:p w14:paraId="3096CB9B" w14:textId="77777777" w:rsidR="007965C3" w:rsidRDefault="007965C3"/>
  </w:endnote>
  <w:endnote w:type="continuationNotice" w:id="1">
    <w:p w14:paraId="40A3D366" w14:textId="77777777" w:rsidR="007965C3" w:rsidRDefault="0079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EABC" w14:textId="09D9E7A1" w:rsidR="009C2FF6" w:rsidRPr="009C2FF6" w:rsidRDefault="009C2FF6" w:rsidP="009C2FF6">
    <w:pPr>
      <w:pStyle w:val="Footer"/>
      <w:tabs>
        <w:tab w:val="right" w:pos="9638"/>
      </w:tabs>
      <w:rPr>
        <w:sz w:val="18"/>
      </w:rPr>
    </w:pPr>
    <w:r w:rsidRPr="009C2FF6">
      <w:rPr>
        <w:b/>
        <w:sz w:val="18"/>
      </w:rPr>
      <w:fldChar w:fldCharType="begin"/>
    </w:r>
    <w:r w:rsidRPr="009C2FF6">
      <w:rPr>
        <w:b/>
        <w:sz w:val="18"/>
      </w:rPr>
      <w:instrText xml:space="preserve"> PAGE  \* MERGEFORMAT </w:instrText>
    </w:r>
    <w:r w:rsidRPr="009C2FF6">
      <w:rPr>
        <w:b/>
        <w:sz w:val="18"/>
      </w:rPr>
      <w:fldChar w:fldCharType="separate"/>
    </w:r>
    <w:r w:rsidRPr="009C2FF6">
      <w:rPr>
        <w:b/>
        <w:noProof/>
        <w:sz w:val="18"/>
      </w:rPr>
      <w:t>2</w:t>
    </w:r>
    <w:r w:rsidRPr="009C2F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79DB" w14:textId="7367965A" w:rsidR="009C2FF6" w:rsidRPr="009C2FF6" w:rsidRDefault="009C2FF6" w:rsidP="009C2FF6">
    <w:pPr>
      <w:pStyle w:val="Footer"/>
      <w:tabs>
        <w:tab w:val="right" w:pos="9638"/>
      </w:tabs>
      <w:rPr>
        <w:b/>
        <w:sz w:val="18"/>
      </w:rPr>
    </w:pPr>
    <w:r>
      <w:tab/>
    </w:r>
    <w:r w:rsidRPr="009C2FF6">
      <w:rPr>
        <w:b/>
        <w:sz w:val="18"/>
      </w:rPr>
      <w:fldChar w:fldCharType="begin"/>
    </w:r>
    <w:r w:rsidRPr="009C2FF6">
      <w:rPr>
        <w:b/>
        <w:sz w:val="18"/>
      </w:rPr>
      <w:instrText xml:space="preserve"> PAGE  \* MERGEFORMAT </w:instrText>
    </w:r>
    <w:r w:rsidRPr="009C2FF6">
      <w:rPr>
        <w:b/>
        <w:sz w:val="18"/>
      </w:rPr>
      <w:fldChar w:fldCharType="separate"/>
    </w:r>
    <w:r w:rsidRPr="009C2FF6">
      <w:rPr>
        <w:b/>
        <w:noProof/>
        <w:sz w:val="18"/>
      </w:rPr>
      <w:t>3</w:t>
    </w:r>
    <w:r w:rsidRPr="009C2F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651F" w14:textId="69597366" w:rsidR="00286A27" w:rsidRDefault="00286A27" w:rsidP="00286A27">
    <w:pPr>
      <w:pStyle w:val="Footer"/>
    </w:pPr>
    <w:r w:rsidRPr="0027112F">
      <w:rPr>
        <w:noProof/>
        <w:lang w:val="en-US"/>
      </w:rPr>
      <w:drawing>
        <wp:anchor distT="0" distB="0" distL="114300" distR="114300" simplePos="0" relativeHeight="251659264" behindDoc="0" locked="1" layoutInCell="1" allowOverlap="1" wp14:anchorId="508B2C38" wp14:editId="062C377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7AD0AB7" w14:textId="04870869" w:rsidR="00286A27" w:rsidRPr="00286A27" w:rsidRDefault="00286A27" w:rsidP="00286A27">
    <w:pPr>
      <w:pStyle w:val="Footer"/>
      <w:ind w:right="1134"/>
      <w:rPr>
        <w:sz w:val="20"/>
      </w:rPr>
    </w:pPr>
    <w:r>
      <w:rPr>
        <w:sz w:val="20"/>
      </w:rPr>
      <w:t>GE.23-21982(E)</w:t>
    </w:r>
    <w:r>
      <w:rPr>
        <w:noProof/>
        <w:sz w:val="20"/>
      </w:rPr>
      <w:drawing>
        <wp:anchor distT="0" distB="0" distL="114300" distR="114300" simplePos="0" relativeHeight="251660288" behindDoc="0" locked="0" layoutInCell="1" allowOverlap="1" wp14:anchorId="1F39B343" wp14:editId="48EF25A2">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3547" w14:textId="77777777" w:rsidR="007965C3" w:rsidRPr="000B175B" w:rsidRDefault="007965C3" w:rsidP="000B175B">
      <w:pPr>
        <w:tabs>
          <w:tab w:val="right" w:pos="2155"/>
        </w:tabs>
        <w:spacing w:after="80"/>
        <w:ind w:left="680"/>
        <w:rPr>
          <w:u w:val="single"/>
        </w:rPr>
      </w:pPr>
      <w:r>
        <w:rPr>
          <w:u w:val="single"/>
        </w:rPr>
        <w:tab/>
      </w:r>
    </w:p>
  </w:footnote>
  <w:footnote w:type="continuationSeparator" w:id="0">
    <w:p w14:paraId="69FFFE47" w14:textId="77777777" w:rsidR="007965C3" w:rsidRPr="00FC68B7" w:rsidRDefault="007965C3" w:rsidP="00FC68B7">
      <w:pPr>
        <w:tabs>
          <w:tab w:val="left" w:pos="2155"/>
        </w:tabs>
        <w:spacing w:after="80"/>
        <w:ind w:left="680"/>
        <w:rPr>
          <w:u w:val="single"/>
        </w:rPr>
      </w:pPr>
      <w:r>
        <w:rPr>
          <w:u w:val="single"/>
        </w:rPr>
        <w:tab/>
      </w:r>
    </w:p>
  </w:footnote>
  <w:footnote w:type="continuationNotice" w:id="1">
    <w:p w14:paraId="2F3210CD" w14:textId="77777777" w:rsidR="007965C3" w:rsidRDefault="007965C3"/>
  </w:footnote>
  <w:footnote w:id="2">
    <w:p w14:paraId="790B613B" w14:textId="739624B7" w:rsidR="009C2FF6" w:rsidRPr="00771558" w:rsidRDefault="009C2FF6" w:rsidP="009C2FF6">
      <w:pPr>
        <w:pStyle w:val="FootnoteText"/>
        <w:rPr>
          <w:lang w:val="en-US"/>
        </w:rPr>
      </w:pPr>
      <w:r>
        <w:rPr>
          <w:rStyle w:val="FootnoteReference"/>
        </w:rPr>
        <w:tab/>
      </w:r>
      <w:r w:rsidRPr="00771558">
        <w:rPr>
          <w:rStyle w:val="FootnoteReference"/>
          <w:sz w:val="20"/>
          <w:vertAlign w:val="baseline"/>
        </w:rPr>
        <w:t>*</w:t>
      </w:r>
      <w:r>
        <w:rPr>
          <w:rStyle w:val="FootnoteReference"/>
          <w:sz w:val="20"/>
          <w:vertAlign w:val="baseline"/>
        </w:rPr>
        <w:tab/>
      </w:r>
      <w:r w:rsidRPr="00C46FDF">
        <w:rPr>
          <w:szCs w:val="18"/>
        </w:rPr>
        <w:t>Distributed in German by the Central Commission for the Navigation of the Rhine under the symbol CCNR-ZKR/ADN/</w:t>
      </w:r>
      <w:r w:rsidRPr="00C46FDF">
        <w:t>WP</w:t>
      </w:r>
      <w:r w:rsidRPr="00C46FDF">
        <w:rPr>
          <w:szCs w:val="18"/>
        </w:rPr>
        <w:t>.15/AC.2/202</w:t>
      </w:r>
      <w:r>
        <w:rPr>
          <w:szCs w:val="18"/>
        </w:rPr>
        <w:t>4</w:t>
      </w:r>
      <w:r w:rsidRPr="00C46FDF">
        <w:rPr>
          <w:szCs w:val="18"/>
        </w:rPr>
        <w:t>/</w:t>
      </w:r>
      <w:r>
        <w:rPr>
          <w:szCs w:val="18"/>
        </w:rPr>
        <w:t>20</w:t>
      </w:r>
    </w:p>
  </w:footnote>
  <w:footnote w:id="3">
    <w:p w14:paraId="449E0294" w14:textId="77777777" w:rsidR="009C2FF6" w:rsidRPr="00404A27" w:rsidRDefault="009C2FF6" w:rsidP="009C2FF6">
      <w:pPr>
        <w:pStyle w:val="FootnoteText"/>
        <w:rPr>
          <w:lang w:val="en-US"/>
        </w:rPr>
      </w:pPr>
      <w:r>
        <w:rPr>
          <w:rStyle w:val="FootnoteReference"/>
        </w:rPr>
        <w:tab/>
      </w:r>
      <w:r w:rsidRPr="00404A27">
        <w:rPr>
          <w:rStyle w:val="FootnoteReference"/>
          <w:sz w:val="20"/>
          <w:vertAlign w:val="baseline"/>
        </w:rPr>
        <w:t>**</w:t>
      </w:r>
      <w:r>
        <w:rPr>
          <w:rStyle w:val="FootnoteReference"/>
          <w:sz w:val="20"/>
          <w:vertAlign w:val="baseline"/>
        </w:rPr>
        <w:tab/>
      </w:r>
      <w:r w:rsidRPr="00820F56">
        <w:rPr>
          <w:sz w:val="20"/>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0F81" w14:textId="0696062C" w:rsidR="009C2FF6" w:rsidRPr="009C2FF6" w:rsidRDefault="009C2FF6">
    <w:pPr>
      <w:pStyle w:val="Header"/>
    </w:pPr>
    <w:r>
      <w:t>ECE/TRANS/WP.15/AC.2/2024/20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C514" w14:textId="3E60DB0E" w:rsidR="009C2FF6" w:rsidRPr="009C2FF6" w:rsidRDefault="009C2FF6" w:rsidP="009C2FF6">
    <w:pPr>
      <w:pStyle w:val="Header"/>
      <w:jc w:val="right"/>
    </w:pPr>
    <w:r>
      <w:t>ECE/TRANS/WP.15/AC.2/2024/20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pStyle w:val="Level1"/>
      <w:lvlText w:val="%1."/>
      <w:lvlJc w:val="left"/>
      <w:pPr>
        <w:tabs>
          <w:tab w:val="num" w:pos="566"/>
        </w:tabs>
        <w:ind w:left="566" w:hanging="56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636A43"/>
    <w:multiLevelType w:val="hybridMultilevel"/>
    <w:tmpl w:val="ADB4407E"/>
    <w:lvl w:ilvl="0" w:tplc="0652C99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930217B8">
      <w:start w:val="7"/>
      <w:numFmt w:val="bullet"/>
      <w:lvlText w:val="-"/>
      <w:lvlJc w:val="left"/>
      <w:pPr>
        <w:ind w:left="3600" w:hanging="360"/>
      </w:pPr>
      <w:rPr>
        <w:rFonts w:ascii="Times New Roman" w:eastAsiaTheme="minorHAnsi" w:hAnsi="Times New Roman" w:cs="Times New Roma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43F06D3"/>
    <w:multiLevelType w:val="multilevel"/>
    <w:tmpl w:val="0CF8DB38"/>
    <w:lvl w:ilvl="0">
      <w:start w:val="2"/>
      <w:numFmt w:val="upperRoman"/>
      <w:lvlText w:val="%1"/>
      <w:lvlJc w:val="left"/>
      <w:pPr>
        <w:ind w:left="1080" w:hanging="720"/>
      </w:pPr>
      <w:rPr>
        <w:rFonts w:ascii="Times New Roman" w:hAnsi="Times New Roman" w:hint="default"/>
        <w:b/>
        <w:color w:val="auto"/>
        <w:sz w:val="28"/>
      </w:rPr>
    </w:lvl>
    <w:lvl w:ilvl="1">
      <w:start w:val="6"/>
      <w:numFmt w:val="decimal"/>
      <w:lvlText w:val="%2."/>
      <w:lvlJc w:val="left"/>
      <w:pPr>
        <w:ind w:left="1637"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E67EB7"/>
    <w:multiLevelType w:val="hybridMultilevel"/>
    <w:tmpl w:val="FB1AD8BA"/>
    <w:lvl w:ilvl="0" w:tplc="E348D348">
      <w:start w:val="1"/>
      <w:numFmt w:val="upperRoman"/>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757FA9"/>
    <w:multiLevelType w:val="multilevel"/>
    <w:tmpl w:val="0413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5558E"/>
    <w:multiLevelType w:val="hybridMultilevel"/>
    <w:tmpl w:val="BF6AC984"/>
    <w:lvl w:ilvl="0" w:tplc="2AE620C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3797698"/>
    <w:multiLevelType w:val="multilevel"/>
    <w:tmpl w:val="38AC8E14"/>
    <w:lvl w:ilvl="0">
      <w:start w:val="4"/>
      <w:numFmt w:val="upperRoman"/>
      <w:lvlText w:val="%1"/>
      <w:lvlJc w:val="left"/>
      <w:pPr>
        <w:ind w:left="1080" w:hanging="720"/>
      </w:pPr>
      <w:rPr>
        <w:rFonts w:ascii="Times New Roman" w:hAnsi="Times New Roman" w:hint="default"/>
        <w:b/>
        <w:color w:val="auto"/>
        <w:sz w:val="28"/>
      </w:rPr>
    </w:lvl>
    <w:lvl w:ilvl="1">
      <w:start w:val="1"/>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D54655"/>
    <w:multiLevelType w:val="multilevel"/>
    <w:tmpl w:val="F3CC6A28"/>
    <w:lvl w:ilvl="0">
      <w:start w:val="2"/>
      <w:numFmt w:val="upperRoman"/>
      <w:lvlText w:val="%1"/>
      <w:lvlJc w:val="left"/>
      <w:pPr>
        <w:ind w:left="1080" w:hanging="720"/>
      </w:pPr>
      <w:rPr>
        <w:rFonts w:ascii="Times New Roman" w:hAnsi="Times New Roman" w:hint="default"/>
        <w:b/>
        <w:color w:val="auto"/>
        <w:sz w:val="28"/>
      </w:rPr>
    </w:lvl>
    <w:lvl w:ilvl="1">
      <w:start w:val="6"/>
      <w:numFmt w:val="decimal"/>
      <w:lvlText w:val="%2."/>
      <w:lvlJc w:val="left"/>
      <w:pPr>
        <w:ind w:left="1637"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A406F4"/>
    <w:multiLevelType w:val="multilevel"/>
    <w:tmpl w:val="CDE2E212"/>
    <w:lvl w:ilvl="0">
      <w:start w:val="3"/>
      <w:numFmt w:val="upperRoman"/>
      <w:lvlText w:val="%1"/>
      <w:lvlJc w:val="left"/>
      <w:pPr>
        <w:ind w:left="1080" w:hanging="720"/>
      </w:pPr>
      <w:rPr>
        <w:rFonts w:ascii="Times New Roman" w:hAnsi="Times New Roman" w:hint="default"/>
        <w:b/>
        <w:color w:val="auto"/>
        <w:sz w:val="28"/>
      </w:rPr>
    </w:lvl>
    <w:lvl w:ilvl="1">
      <w:start w:val="1"/>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92A2335"/>
    <w:multiLevelType w:val="multilevel"/>
    <w:tmpl w:val="78F49940"/>
    <w:lvl w:ilvl="0">
      <w:start w:val="2"/>
      <w:numFmt w:val="upperRoman"/>
      <w:lvlText w:val="%1"/>
      <w:lvlJc w:val="left"/>
      <w:pPr>
        <w:ind w:left="1080" w:hanging="720"/>
      </w:pPr>
      <w:rPr>
        <w:rFonts w:ascii="Times New Roman" w:hAnsi="Times New Roman" w:hint="default"/>
        <w:b/>
        <w:color w:val="auto"/>
        <w:sz w:val="28"/>
      </w:rPr>
    </w:lvl>
    <w:lvl w:ilvl="1">
      <w:start w:val="8"/>
      <w:numFmt w:val="decimal"/>
      <w:lvlText w:val="%2."/>
      <w:lvlJc w:val="left"/>
      <w:pPr>
        <w:ind w:left="1637"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4881AFE"/>
    <w:multiLevelType w:val="hybridMultilevel"/>
    <w:tmpl w:val="D3DAE37E"/>
    <w:lvl w:ilvl="0" w:tplc="EDB61D78">
      <w:start w:val="3"/>
      <w:numFmt w:val="upperRoman"/>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301E3"/>
    <w:multiLevelType w:val="hybridMultilevel"/>
    <w:tmpl w:val="C2CA79B6"/>
    <w:lvl w:ilvl="0" w:tplc="E3B896A6">
      <w:start w:val="20"/>
      <w:numFmt w:val="decimal"/>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9" w15:restartNumberingAfterBreak="0">
    <w:nsid w:val="5D1D7C0D"/>
    <w:multiLevelType w:val="multilevel"/>
    <w:tmpl w:val="9AE6DB4E"/>
    <w:lvl w:ilvl="0">
      <w:start w:val="4"/>
      <w:numFmt w:val="upperRoman"/>
      <w:lvlText w:val="%1"/>
      <w:lvlJc w:val="left"/>
      <w:pPr>
        <w:ind w:left="1080" w:hanging="720"/>
      </w:pPr>
      <w:rPr>
        <w:rFonts w:ascii="Times New Roman" w:hAnsi="Times New Roman" w:hint="default"/>
        <w:b/>
        <w:color w:val="auto"/>
        <w:sz w:val="28"/>
      </w:rPr>
    </w:lvl>
    <w:lvl w:ilvl="1">
      <w:start w:val="16"/>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44C737B"/>
    <w:multiLevelType w:val="multilevel"/>
    <w:tmpl w:val="86E4486E"/>
    <w:lvl w:ilvl="0">
      <w:start w:val="3"/>
      <w:numFmt w:val="upperRoman"/>
      <w:lvlText w:val="%1"/>
      <w:lvlJc w:val="left"/>
      <w:pPr>
        <w:ind w:left="1080" w:hanging="720"/>
      </w:pPr>
      <w:rPr>
        <w:rFonts w:ascii="Times New Roman" w:hAnsi="Times New Roman" w:hint="default"/>
        <w:b/>
        <w:color w:val="auto"/>
        <w:sz w:val="28"/>
      </w:rPr>
    </w:lvl>
    <w:lvl w:ilvl="1">
      <w:start w:val="10"/>
      <w:numFmt w:val="decimal"/>
      <w:lvlText w:val="%2."/>
      <w:lvlJc w:val="left"/>
      <w:pPr>
        <w:ind w:left="2062" w:hanging="360"/>
      </w:pPr>
      <w:rPr>
        <w:rFonts w:hint="default"/>
        <w:b w:val="0"/>
        <w:bCs w:val="0"/>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A5BDC"/>
    <w:multiLevelType w:val="hybridMultilevel"/>
    <w:tmpl w:val="7C24E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E4E50"/>
    <w:multiLevelType w:val="multilevel"/>
    <w:tmpl w:val="936AD88C"/>
    <w:lvl w:ilvl="0">
      <w:start w:val="1"/>
      <w:numFmt w:val="upperRoman"/>
      <w:lvlText w:val="%1"/>
      <w:lvlJc w:val="left"/>
      <w:pPr>
        <w:ind w:left="1080" w:hanging="720"/>
      </w:pPr>
      <w:rPr>
        <w:rFonts w:ascii="Times New Roman" w:hAnsi="Times New Roman" w:hint="default"/>
        <w:b/>
        <w:color w:val="auto"/>
        <w:sz w:val="28"/>
      </w:rPr>
    </w:lvl>
    <w:lvl w:ilvl="1">
      <w:start w:val="1"/>
      <w:numFmt w:val="decimal"/>
      <w:lvlText w:val="%2."/>
      <w:lvlJc w:val="left"/>
      <w:pPr>
        <w:ind w:left="1637"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22990653">
    <w:abstractNumId w:val="1"/>
  </w:num>
  <w:num w:numId="2" w16cid:durableId="2129812674">
    <w:abstractNumId w:val="0"/>
  </w:num>
  <w:num w:numId="3" w16cid:durableId="1685981679">
    <w:abstractNumId w:val="2"/>
  </w:num>
  <w:num w:numId="4" w16cid:durableId="1611666607">
    <w:abstractNumId w:val="3"/>
  </w:num>
  <w:num w:numId="5" w16cid:durableId="1939874890">
    <w:abstractNumId w:val="8"/>
  </w:num>
  <w:num w:numId="6" w16cid:durableId="1681160723">
    <w:abstractNumId w:val="9"/>
  </w:num>
  <w:num w:numId="7" w16cid:durableId="560285634">
    <w:abstractNumId w:val="7"/>
  </w:num>
  <w:num w:numId="8" w16cid:durableId="953634719">
    <w:abstractNumId w:val="6"/>
  </w:num>
  <w:num w:numId="9" w16cid:durableId="983317482">
    <w:abstractNumId w:val="5"/>
  </w:num>
  <w:num w:numId="10" w16cid:durableId="545485347">
    <w:abstractNumId w:val="4"/>
  </w:num>
  <w:num w:numId="11" w16cid:durableId="1423068697">
    <w:abstractNumId w:val="20"/>
  </w:num>
  <w:num w:numId="12" w16cid:durableId="208105833">
    <w:abstractNumId w:val="17"/>
  </w:num>
  <w:num w:numId="13" w16cid:durableId="1007172357">
    <w:abstractNumId w:val="11"/>
  </w:num>
  <w:num w:numId="14" w16cid:durableId="294529938">
    <w:abstractNumId w:val="15"/>
  </w:num>
  <w:num w:numId="15" w16cid:durableId="207184851">
    <w:abstractNumId w:val="23"/>
  </w:num>
  <w:num w:numId="16" w16cid:durableId="1932857998">
    <w:abstractNumId w:val="16"/>
  </w:num>
  <w:num w:numId="17" w16cid:durableId="43140023">
    <w:abstractNumId w:val="31"/>
  </w:num>
  <w:num w:numId="18" w16cid:durableId="1670134983">
    <w:abstractNumId w:val="33"/>
  </w:num>
  <w:num w:numId="19" w16cid:durableId="1497651103">
    <w:abstractNumId w:val="14"/>
  </w:num>
  <w:num w:numId="20" w16cid:durableId="1465276487">
    <w:abstractNumId w:val="14"/>
  </w:num>
  <w:num w:numId="21" w16cid:durableId="943391120">
    <w:abstractNumId w:val="32"/>
  </w:num>
  <w:num w:numId="22" w16cid:durableId="1835146872">
    <w:abstractNumId w:val="34"/>
  </w:num>
  <w:num w:numId="23" w16cid:durableId="589850541">
    <w:abstractNumId w:val="12"/>
  </w:num>
  <w:num w:numId="24" w16cid:durableId="446579638">
    <w:abstractNumId w:val="19"/>
  </w:num>
  <w:num w:numId="25" w16cid:durableId="1843736536">
    <w:abstractNumId w:val="13"/>
  </w:num>
  <w:num w:numId="26" w16cid:durableId="1002584718">
    <w:abstractNumId w:val="24"/>
  </w:num>
  <w:num w:numId="27" w16cid:durableId="646280398">
    <w:abstractNumId w:val="26"/>
  </w:num>
  <w:num w:numId="28" w16cid:durableId="1516967357">
    <w:abstractNumId w:val="25"/>
  </w:num>
  <w:num w:numId="29" w16cid:durableId="709191039">
    <w:abstractNumId w:val="22"/>
  </w:num>
  <w:num w:numId="30" w16cid:durableId="306980320">
    <w:abstractNumId w:val="30"/>
  </w:num>
  <w:num w:numId="31" w16cid:durableId="1039285976">
    <w:abstractNumId w:val="29"/>
  </w:num>
  <w:num w:numId="32" w16cid:durableId="543979684">
    <w:abstractNumId w:val="28"/>
  </w:num>
  <w:num w:numId="33" w16cid:durableId="210508318">
    <w:abstractNumId w:val="21"/>
  </w:num>
  <w:num w:numId="34" w16cid:durableId="555746870">
    <w:abstractNumId w:val="18"/>
  </w:num>
  <w:num w:numId="35" w16cid:durableId="956791145">
    <w:abstractNumId w:val="27"/>
  </w:num>
  <w:num w:numId="36" w16cid:durableId="1922912189">
    <w:abstractNumId w:val="1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731584108">
    <w:abstractNumId w:val="1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F6"/>
    <w:rsid w:val="00002A7D"/>
    <w:rsid w:val="000038A8"/>
    <w:rsid w:val="00006790"/>
    <w:rsid w:val="00026333"/>
    <w:rsid w:val="00027624"/>
    <w:rsid w:val="00043A62"/>
    <w:rsid w:val="00050F6B"/>
    <w:rsid w:val="00051827"/>
    <w:rsid w:val="00051F3A"/>
    <w:rsid w:val="00052A30"/>
    <w:rsid w:val="0006330D"/>
    <w:rsid w:val="000678CD"/>
    <w:rsid w:val="00072C8C"/>
    <w:rsid w:val="00072CBD"/>
    <w:rsid w:val="00081CE0"/>
    <w:rsid w:val="0008474A"/>
    <w:rsid w:val="00084D30"/>
    <w:rsid w:val="00090320"/>
    <w:rsid w:val="000931C0"/>
    <w:rsid w:val="0009732C"/>
    <w:rsid w:val="00097586"/>
    <w:rsid w:val="000A01F9"/>
    <w:rsid w:val="000A2E09"/>
    <w:rsid w:val="000B175B"/>
    <w:rsid w:val="000B3A0F"/>
    <w:rsid w:val="000B4D77"/>
    <w:rsid w:val="000C6EAF"/>
    <w:rsid w:val="000E0415"/>
    <w:rsid w:val="000F7715"/>
    <w:rsid w:val="00104805"/>
    <w:rsid w:val="001100BE"/>
    <w:rsid w:val="00124DD7"/>
    <w:rsid w:val="00134A3C"/>
    <w:rsid w:val="00145A1C"/>
    <w:rsid w:val="00156B99"/>
    <w:rsid w:val="00166124"/>
    <w:rsid w:val="00181C4D"/>
    <w:rsid w:val="00184DDA"/>
    <w:rsid w:val="001900CD"/>
    <w:rsid w:val="001A0452"/>
    <w:rsid w:val="001A7D85"/>
    <w:rsid w:val="001B4B04"/>
    <w:rsid w:val="001B4F2F"/>
    <w:rsid w:val="001B5875"/>
    <w:rsid w:val="001C013E"/>
    <w:rsid w:val="001C28E3"/>
    <w:rsid w:val="001C4B9C"/>
    <w:rsid w:val="001C6663"/>
    <w:rsid w:val="001C7895"/>
    <w:rsid w:val="001D26DF"/>
    <w:rsid w:val="001E1BD7"/>
    <w:rsid w:val="001E555D"/>
    <w:rsid w:val="001F1599"/>
    <w:rsid w:val="001F19C4"/>
    <w:rsid w:val="001F37AD"/>
    <w:rsid w:val="002043F0"/>
    <w:rsid w:val="002071AB"/>
    <w:rsid w:val="00211E0B"/>
    <w:rsid w:val="00212CF7"/>
    <w:rsid w:val="00232575"/>
    <w:rsid w:val="00235AE2"/>
    <w:rsid w:val="00247258"/>
    <w:rsid w:val="00257CAC"/>
    <w:rsid w:val="00264441"/>
    <w:rsid w:val="0026777D"/>
    <w:rsid w:val="0027237A"/>
    <w:rsid w:val="002769B8"/>
    <w:rsid w:val="00286A27"/>
    <w:rsid w:val="002974E9"/>
    <w:rsid w:val="002A7F94"/>
    <w:rsid w:val="002B04F5"/>
    <w:rsid w:val="002B109A"/>
    <w:rsid w:val="002C6D45"/>
    <w:rsid w:val="002D6E53"/>
    <w:rsid w:val="002E73B2"/>
    <w:rsid w:val="002F046D"/>
    <w:rsid w:val="002F2A50"/>
    <w:rsid w:val="002F3023"/>
    <w:rsid w:val="00301764"/>
    <w:rsid w:val="0031615A"/>
    <w:rsid w:val="00321199"/>
    <w:rsid w:val="00321EFC"/>
    <w:rsid w:val="003229D8"/>
    <w:rsid w:val="00336C97"/>
    <w:rsid w:val="00337F88"/>
    <w:rsid w:val="00342432"/>
    <w:rsid w:val="0035223F"/>
    <w:rsid w:val="00352D4B"/>
    <w:rsid w:val="0035638C"/>
    <w:rsid w:val="003660A7"/>
    <w:rsid w:val="003A46BB"/>
    <w:rsid w:val="003A4EC7"/>
    <w:rsid w:val="003A7295"/>
    <w:rsid w:val="003B1F60"/>
    <w:rsid w:val="003B5AFC"/>
    <w:rsid w:val="003C2CC4"/>
    <w:rsid w:val="003D4B23"/>
    <w:rsid w:val="003E278A"/>
    <w:rsid w:val="00407F0F"/>
    <w:rsid w:val="00413520"/>
    <w:rsid w:val="00430D57"/>
    <w:rsid w:val="00431B83"/>
    <w:rsid w:val="004325CB"/>
    <w:rsid w:val="00434FBE"/>
    <w:rsid w:val="00440A07"/>
    <w:rsid w:val="00447208"/>
    <w:rsid w:val="00462880"/>
    <w:rsid w:val="00476A99"/>
    <w:rsid w:val="00476F24"/>
    <w:rsid w:val="004C55B0"/>
    <w:rsid w:val="004F6BA0"/>
    <w:rsid w:val="00503BEA"/>
    <w:rsid w:val="00533616"/>
    <w:rsid w:val="00535ABA"/>
    <w:rsid w:val="0053768B"/>
    <w:rsid w:val="005420F2"/>
    <w:rsid w:val="0054285C"/>
    <w:rsid w:val="00576390"/>
    <w:rsid w:val="00584173"/>
    <w:rsid w:val="00595520"/>
    <w:rsid w:val="005A1916"/>
    <w:rsid w:val="005A44B9"/>
    <w:rsid w:val="005B1BA0"/>
    <w:rsid w:val="005B3DB3"/>
    <w:rsid w:val="005D15CA"/>
    <w:rsid w:val="005D7969"/>
    <w:rsid w:val="005F08DF"/>
    <w:rsid w:val="005F1C42"/>
    <w:rsid w:val="005F26DA"/>
    <w:rsid w:val="005F3066"/>
    <w:rsid w:val="005F3E61"/>
    <w:rsid w:val="00604DDD"/>
    <w:rsid w:val="006115CC"/>
    <w:rsid w:val="00611FC4"/>
    <w:rsid w:val="006176FB"/>
    <w:rsid w:val="00622C30"/>
    <w:rsid w:val="00630FCB"/>
    <w:rsid w:val="00633A6A"/>
    <w:rsid w:val="00640B26"/>
    <w:rsid w:val="0065766B"/>
    <w:rsid w:val="006770B2"/>
    <w:rsid w:val="00686A48"/>
    <w:rsid w:val="006940E1"/>
    <w:rsid w:val="006A3C72"/>
    <w:rsid w:val="006A7392"/>
    <w:rsid w:val="006B03A1"/>
    <w:rsid w:val="006B67D9"/>
    <w:rsid w:val="006B7AAA"/>
    <w:rsid w:val="006B7CCA"/>
    <w:rsid w:val="006C1FA7"/>
    <w:rsid w:val="006C5535"/>
    <w:rsid w:val="006D0589"/>
    <w:rsid w:val="006D59B6"/>
    <w:rsid w:val="006E564B"/>
    <w:rsid w:val="006E7154"/>
    <w:rsid w:val="006F1668"/>
    <w:rsid w:val="007003CD"/>
    <w:rsid w:val="0070701E"/>
    <w:rsid w:val="007173E0"/>
    <w:rsid w:val="0072632A"/>
    <w:rsid w:val="007358E8"/>
    <w:rsid w:val="00736ECE"/>
    <w:rsid w:val="0074533B"/>
    <w:rsid w:val="00751675"/>
    <w:rsid w:val="00756CCE"/>
    <w:rsid w:val="007643BC"/>
    <w:rsid w:val="007801C5"/>
    <w:rsid w:val="00780C68"/>
    <w:rsid w:val="007959FE"/>
    <w:rsid w:val="007965C3"/>
    <w:rsid w:val="00796823"/>
    <w:rsid w:val="007A0CF1"/>
    <w:rsid w:val="007A18A2"/>
    <w:rsid w:val="007A478E"/>
    <w:rsid w:val="007A7836"/>
    <w:rsid w:val="007A7EB1"/>
    <w:rsid w:val="007B6BA5"/>
    <w:rsid w:val="007C3390"/>
    <w:rsid w:val="007C42D8"/>
    <w:rsid w:val="007C4F4B"/>
    <w:rsid w:val="007D6AA3"/>
    <w:rsid w:val="007D7362"/>
    <w:rsid w:val="007E3C7F"/>
    <w:rsid w:val="007F5CE2"/>
    <w:rsid w:val="007F6611"/>
    <w:rsid w:val="00800522"/>
    <w:rsid w:val="00810BAC"/>
    <w:rsid w:val="008175E9"/>
    <w:rsid w:val="008224A1"/>
    <w:rsid w:val="008242D7"/>
    <w:rsid w:val="0082577B"/>
    <w:rsid w:val="00825D24"/>
    <w:rsid w:val="008272DD"/>
    <w:rsid w:val="00842AD1"/>
    <w:rsid w:val="00866893"/>
    <w:rsid w:val="00866F02"/>
    <w:rsid w:val="00867ABE"/>
    <w:rsid w:val="00867D18"/>
    <w:rsid w:val="00871F9A"/>
    <w:rsid w:val="00871FD5"/>
    <w:rsid w:val="00874146"/>
    <w:rsid w:val="00880E7A"/>
    <w:rsid w:val="0088172E"/>
    <w:rsid w:val="00881EFA"/>
    <w:rsid w:val="008879CB"/>
    <w:rsid w:val="008979B1"/>
    <w:rsid w:val="008A6B25"/>
    <w:rsid w:val="008A6C4F"/>
    <w:rsid w:val="008A77AE"/>
    <w:rsid w:val="008B389E"/>
    <w:rsid w:val="008D045E"/>
    <w:rsid w:val="008D325A"/>
    <w:rsid w:val="008D3F25"/>
    <w:rsid w:val="008D4D82"/>
    <w:rsid w:val="008E0E46"/>
    <w:rsid w:val="008E7116"/>
    <w:rsid w:val="008F143B"/>
    <w:rsid w:val="008F3882"/>
    <w:rsid w:val="008F4B7C"/>
    <w:rsid w:val="008F6271"/>
    <w:rsid w:val="00926E47"/>
    <w:rsid w:val="00947162"/>
    <w:rsid w:val="00950290"/>
    <w:rsid w:val="00956F4E"/>
    <w:rsid w:val="009610D0"/>
    <w:rsid w:val="0096375C"/>
    <w:rsid w:val="009662E6"/>
    <w:rsid w:val="0097095E"/>
    <w:rsid w:val="0098592B"/>
    <w:rsid w:val="00985FC4"/>
    <w:rsid w:val="00990766"/>
    <w:rsid w:val="00991261"/>
    <w:rsid w:val="009964C4"/>
    <w:rsid w:val="00996852"/>
    <w:rsid w:val="009A3A03"/>
    <w:rsid w:val="009A7B81"/>
    <w:rsid w:val="009C2FF6"/>
    <w:rsid w:val="009D01C0"/>
    <w:rsid w:val="009D6607"/>
    <w:rsid w:val="009D6A08"/>
    <w:rsid w:val="009E0A16"/>
    <w:rsid w:val="009E137C"/>
    <w:rsid w:val="009E52EB"/>
    <w:rsid w:val="009E6224"/>
    <w:rsid w:val="009E6CB7"/>
    <w:rsid w:val="009E7970"/>
    <w:rsid w:val="009F2EAC"/>
    <w:rsid w:val="009F57E3"/>
    <w:rsid w:val="00A10F4F"/>
    <w:rsid w:val="00A11067"/>
    <w:rsid w:val="00A1704A"/>
    <w:rsid w:val="00A25FC4"/>
    <w:rsid w:val="00A425EB"/>
    <w:rsid w:val="00A72F22"/>
    <w:rsid w:val="00A733BC"/>
    <w:rsid w:val="00A748A6"/>
    <w:rsid w:val="00A76A69"/>
    <w:rsid w:val="00A7759A"/>
    <w:rsid w:val="00A84891"/>
    <w:rsid w:val="00A859D2"/>
    <w:rsid w:val="00A879A4"/>
    <w:rsid w:val="00A97ED8"/>
    <w:rsid w:val="00AA0FF8"/>
    <w:rsid w:val="00AC0F2C"/>
    <w:rsid w:val="00AC2C3E"/>
    <w:rsid w:val="00AC502A"/>
    <w:rsid w:val="00AE54F6"/>
    <w:rsid w:val="00AE5F8D"/>
    <w:rsid w:val="00AF58C1"/>
    <w:rsid w:val="00B04A3F"/>
    <w:rsid w:val="00B06643"/>
    <w:rsid w:val="00B068A4"/>
    <w:rsid w:val="00B15055"/>
    <w:rsid w:val="00B20551"/>
    <w:rsid w:val="00B23D55"/>
    <w:rsid w:val="00B24A99"/>
    <w:rsid w:val="00B30179"/>
    <w:rsid w:val="00B33FC7"/>
    <w:rsid w:val="00B37B15"/>
    <w:rsid w:val="00B45C02"/>
    <w:rsid w:val="00B6425E"/>
    <w:rsid w:val="00B70B63"/>
    <w:rsid w:val="00B72A1E"/>
    <w:rsid w:val="00B767B8"/>
    <w:rsid w:val="00B81E12"/>
    <w:rsid w:val="00B90931"/>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0752F"/>
    <w:rsid w:val="00C16311"/>
    <w:rsid w:val="00C262F1"/>
    <w:rsid w:val="00C408B7"/>
    <w:rsid w:val="00C411EB"/>
    <w:rsid w:val="00C463DD"/>
    <w:rsid w:val="00C543DD"/>
    <w:rsid w:val="00C548B3"/>
    <w:rsid w:val="00C745C3"/>
    <w:rsid w:val="00C93563"/>
    <w:rsid w:val="00C978F5"/>
    <w:rsid w:val="00CA24A4"/>
    <w:rsid w:val="00CB1A05"/>
    <w:rsid w:val="00CB348D"/>
    <w:rsid w:val="00CC58C2"/>
    <w:rsid w:val="00CD46F5"/>
    <w:rsid w:val="00CE4A8F"/>
    <w:rsid w:val="00CE78F6"/>
    <w:rsid w:val="00CF071D"/>
    <w:rsid w:val="00D0123D"/>
    <w:rsid w:val="00D15B04"/>
    <w:rsid w:val="00D2031B"/>
    <w:rsid w:val="00D25FE2"/>
    <w:rsid w:val="00D33E82"/>
    <w:rsid w:val="00D368BE"/>
    <w:rsid w:val="00D37DA9"/>
    <w:rsid w:val="00D406A7"/>
    <w:rsid w:val="00D40765"/>
    <w:rsid w:val="00D43252"/>
    <w:rsid w:val="00D44D86"/>
    <w:rsid w:val="00D50B7D"/>
    <w:rsid w:val="00D52012"/>
    <w:rsid w:val="00D53423"/>
    <w:rsid w:val="00D704E5"/>
    <w:rsid w:val="00D72727"/>
    <w:rsid w:val="00D91619"/>
    <w:rsid w:val="00D978C6"/>
    <w:rsid w:val="00DA0956"/>
    <w:rsid w:val="00DA357F"/>
    <w:rsid w:val="00DA3E12"/>
    <w:rsid w:val="00DB2C9B"/>
    <w:rsid w:val="00DB6908"/>
    <w:rsid w:val="00DC18AD"/>
    <w:rsid w:val="00DC37AF"/>
    <w:rsid w:val="00DE588C"/>
    <w:rsid w:val="00DF7CAE"/>
    <w:rsid w:val="00E423C0"/>
    <w:rsid w:val="00E4510E"/>
    <w:rsid w:val="00E47CF7"/>
    <w:rsid w:val="00E6414C"/>
    <w:rsid w:val="00E7192F"/>
    <w:rsid w:val="00E7260F"/>
    <w:rsid w:val="00E73E25"/>
    <w:rsid w:val="00E8702D"/>
    <w:rsid w:val="00E905F4"/>
    <w:rsid w:val="00E916A9"/>
    <w:rsid w:val="00E916DE"/>
    <w:rsid w:val="00E91E42"/>
    <w:rsid w:val="00E925AD"/>
    <w:rsid w:val="00E96630"/>
    <w:rsid w:val="00EA7C6E"/>
    <w:rsid w:val="00EC6EAC"/>
    <w:rsid w:val="00EC708A"/>
    <w:rsid w:val="00ED18DC"/>
    <w:rsid w:val="00ED6201"/>
    <w:rsid w:val="00ED7A2A"/>
    <w:rsid w:val="00EE4B46"/>
    <w:rsid w:val="00EF1D7F"/>
    <w:rsid w:val="00EF3012"/>
    <w:rsid w:val="00F0053B"/>
    <w:rsid w:val="00F0137E"/>
    <w:rsid w:val="00F10968"/>
    <w:rsid w:val="00F21786"/>
    <w:rsid w:val="00F337D6"/>
    <w:rsid w:val="00F35B5F"/>
    <w:rsid w:val="00F35B74"/>
    <w:rsid w:val="00F3742B"/>
    <w:rsid w:val="00F41FDB"/>
    <w:rsid w:val="00F50596"/>
    <w:rsid w:val="00F56D63"/>
    <w:rsid w:val="00F57F6E"/>
    <w:rsid w:val="00F609A9"/>
    <w:rsid w:val="00F80C99"/>
    <w:rsid w:val="00F867EC"/>
    <w:rsid w:val="00F90313"/>
    <w:rsid w:val="00F91B2B"/>
    <w:rsid w:val="00F97799"/>
    <w:rsid w:val="00FC03CD"/>
    <w:rsid w:val="00FC0646"/>
    <w:rsid w:val="00FC5439"/>
    <w:rsid w:val="00FC68B7"/>
    <w:rsid w:val="00FE5C2A"/>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A63A0"/>
  <w15:docId w15:val="{157FF296-6F89-4F4F-BCC6-20861EFC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link w:val="Heading1Char"/>
    <w:uiPriority w:val="9"/>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uiPriority w:val="9"/>
    <w:semiHidden/>
    <w:qFormat/>
    <w:rsid w:val="00E925AD"/>
    <w:pPr>
      <w:spacing w:line="240" w:lineRule="auto"/>
      <w:outlineLvl w:val="2"/>
    </w:pPr>
  </w:style>
  <w:style w:type="paragraph" w:styleId="Heading4">
    <w:name w:val="heading 4"/>
    <w:basedOn w:val="Normal"/>
    <w:next w:val="Normal"/>
    <w:uiPriority w:val="9"/>
    <w:semiHidden/>
    <w:qFormat/>
    <w:rsid w:val="00E925AD"/>
    <w:pPr>
      <w:spacing w:line="240" w:lineRule="auto"/>
      <w:outlineLvl w:val="3"/>
    </w:pPr>
  </w:style>
  <w:style w:type="paragraph" w:styleId="Heading5">
    <w:name w:val="heading 5"/>
    <w:basedOn w:val="Normal"/>
    <w:next w:val="Normal"/>
    <w:uiPriority w:val="9"/>
    <w:semiHidden/>
    <w:qFormat/>
    <w:rsid w:val="00E925AD"/>
    <w:pPr>
      <w:spacing w:line="240" w:lineRule="auto"/>
      <w:outlineLvl w:val="4"/>
    </w:pPr>
  </w:style>
  <w:style w:type="paragraph" w:styleId="Heading6">
    <w:name w:val="heading 6"/>
    <w:basedOn w:val="Normal"/>
    <w:next w:val="Normal"/>
    <w:uiPriority w:val="9"/>
    <w:semiHidden/>
    <w:qFormat/>
    <w:rsid w:val="00E925AD"/>
    <w:pPr>
      <w:spacing w:line="240" w:lineRule="auto"/>
      <w:outlineLvl w:val="5"/>
    </w:pPr>
  </w:style>
  <w:style w:type="paragraph" w:styleId="Heading7">
    <w:name w:val="heading 7"/>
    <w:basedOn w:val="Normal"/>
    <w:next w:val="Normal"/>
    <w:uiPriority w:val="9"/>
    <w:semiHidden/>
    <w:qFormat/>
    <w:rsid w:val="00E925AD"/>
    <w:pPr>
      <w:spacing w:line="240" w:lineRule="auto"/>
      <w:outlineLvl w:val="6"/>
    </w:pPr>
  </w:style>
  <w:style w:type="paragraph" w:styleId="Heading8">
    <w:name w:val="heading 8"/>
    <w:basedOn w:val="Normal"/>
    <w:next w:val="Normal"/>
    <w:uiPriority w:val="9"/>
    <w:semiHidden/>
    <w:qFormat/>
    <w:rsid w:val="00E925AD"/>
    <w:pPr>
      <w:spacing w:line="240" w:lineRule="auto"/>
      <w:outlineLvl w:val="7"/>
    </w:pPr>
  </w:style>
  <w:style w:type="paragraph" w:styleId="Heading9">
    <w:name w:val="heading 9"/>
    <w:basedOn w:val="Normal"/>
    <w:next w:val="Normal"/>
    <w:uiPriority w:val="9"/>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9C2FF6"/>
    <w:rPr>
      <w:sz w:val="18"/>
      <w:lang w:val="en-GB"/>
    </w:rPr>
  </w:style>
  <w:style w:type="paragraph" w:styleId="ListParagraph">
    <w:name w:val="List Paragraph"/>
    <w:basedOn w:val="Normal"/>
    <w:uiPriority w:val="34"/>
    <w:qFormat/>
    <w:rsid w:val="00043A62"/>
    <w:pPr>
      <w:suppressAutoHyphens/>
      <w:ind w:left="720"/>
      <w:contextualSpacing/>
    </w:pPr>
  </w:style>
  <w:style w:type="character" w:customStyle="1" w:styleId="Heading1Char">
    <w:name w:val="Heading 1 Char"/>
    <w:aliases w:val="Table_G Char"/>
    <w:basedOn w:val="DefaultParagraphFont"/>
    <w:link w:val="Heading1"/>
    <w:uiPriority w:val="9"/>
    <w:rsid w:val="00867ABE"/>
    <w:rPr>
      <w:lang w:val="en-GB"/>
    </w:rPr>
  </w:style>
  <w:style w:type="character" w:customStyle="1" w:styleId="Heading2Char">
    <w:name w:val="Heading 2 Char"/>
    <w:basedOn w:val="DefaultParagraphFont"/>
    <w:link w:val="Heading2"/>
    <w:uiPriority w:val="9"/>
    <w:rsid w:val="00867ABE"/>
    <w:rPr>
      <w:lang w:val="en-GB"/>
    </w:rPr>
  </w:style>
  <w:style w:type="paragraph" w:styleId="Revision">
    <w:name w:val="Revision"/>
    <w:hidden/>
    <w:uiPriority w:val="99"/>
    <w:semiHidden/>
    <w:rsid w:val="006B7CCA"/>
    <w:pPr>
      <w:spacing w:line="240" w:lineRule="auto"/>
    </w:pPr>
    <w:rPr>
      <w:lang w:val="en-GB"/>
    </w:rPr>
  </w:style>
  <w:style w:type="character" w:styleId="CommentReference">
    <w:name w:val="annotation reference"/>
    <w:basedOn w:val="DefaultParagraphFont"/>
    <w:semiHidden/>
    <w:unhideWhenUsed/>
    <w:rsid w:val="008224A1"/>
    <w:rPr>
      <w:sz w:val="16"/>
      <w:szCs w:val="16"/>
    </w:rPr>
  </w:style>
  <w:style w:type="paragraph" w:styleId="CommentText">
    <w:name w:val="annotation text"/>
    <w:basedOn w:val="Normal"/>
    <w:link w:val="CommentTextChar"/>
    <w:unhideWhenUsed/>
    <w:rsid w:val="008224A1"/>
    <w:pPr>
      <w:spacing w:line="240" w:lineRule="auto"/>
    </w:pPr>
  </w:style>
  <w:style w:type="character" w:customStyle="1" w:styleId="CommentTextChar">
    <w:name w:val="Comment Text Char"/>
    <w:basedOn w:val="DefaultParagraphFont"/>
    <w:link w:val="CommentText"/>
    <w:rsid w:val="008224A1"/>
    <w:rPr>
      <w:lang w:val="en-GB"/>
    </w:rPr>
  </w:style>
  <w:style w:type="paragraph" w:styleId="CommentSubject">
    <w:name w:val="annotation subject"/>
    <w:basedOn w:val="CommentText"/>
    <w:next w:val="CommentText"/>
    <w:link w:val="CommentSubjectChar"/>
    <w:semiHidden/>
    <w:unhideWhenUsed/>
    <w:rsid w:val="008224A1"/>
    <w:rPr>
      <w:b/>
      <w:bCs/>
    </w:rPr>
  </w:style>
  <w:style w:type="character" w:customStyle="1" w:styleId="CommentSubjectChar">
    <w:name w:val="Comment Subject Char"/>
    <w:basedOn w:val="CommentTextChar"/>
    <w:link w:val="CommentSubject"/>
    <w:semiHidden/>
    <w:rsid w:val="008224A1"/>
    <w:rPr>
      <w:b/>
      <w:bCs/>
      <w:lang w:val="en-GB"/>
    </w:rPr>
  </w:style>
  <w:style w:type="paragraph" w:customStyle="1" w:styleId="Level1">
    <w:name w:val="Level 1"/>
    <w:basedOn w:val="Normal"/>
    <w:rsid w:val="00235AE2"/>
    <w:pPr>
      <w:widowControl w:val="0"/>
      <w:numPr>
        <w:numId w:val="36"/>
      </w:numPr>
      <w:spacing w:line="240" w:lineRule="auto"/>
      <w:outlineLvl w:val="0"/>
    </w:pPr>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ites/default/files/2023-09/ECE_TRANS_WP.15_AC.2_86e.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A9B27-1243-4E66-B7F3-EF3FB606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5</Pages>
  <Words>1762</Words>
  <Characters>9559</Characters>
  <Application>Microsoft Office Word</Application>
  <DocSecurity>0</DocSecurity>
  <Lines>192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ECE/TRANS/WP.15/AC.2/2024/20</vt:lpstr>
      <vt:lpstr/>
    </vt:vector>
  </TitlesOfParts>
  <Company>CSD</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ECE/TRANS/WP.15/AC.2/2024/20</dc:title>
  <dc:subject>2321982</dc:subject>
  <dc:creator>Editorial</dc:creator>
  <cp:keywords/>
  <dc:description/>
  <cp:lastModifiedBy>Ma. Cristina Brigoli</cp:lastModifiedBy>
  <cp:revision>2</cp:revision>
  <cp:lastPrinted>2009-02-18T09:36:00Z</cp:lastPrinted>
  <dcterms:created xsi:type="dcterms:W3CDTF">2023-11-10T15:25:00Z</dcterms:created>
  <dcterms:modified xsi:type="dcterms:W3CDTF">2023-11-10T15:25:00Z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