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B9B35C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A6A5CD9" w14:textId="77777777" w:rsidR="002D5AAC" w:rsidRDefault="002D5AAC" w:rsidP="00DF4E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D78ACB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9862DE4" w14:textId="35F15BD9" w:rsidR="002D5AAC" w:rsidRDefault="00DF4E58" w:rsidP="00DF4E58">
            <w:pPr>
              <w:jc w:val="right"/>
            </w:pPr>
            <w:r w:rsidRPr="00DF4E58">
              <w:rPr>
                <w:sz w:val="40"/>
              </w:rPr>
              <w:t>ECE</w:t>
            </w:r>
            <w:r>
              <w:t>/TRANS/WP.15/AC.2/2024/12</w:t>
            </w:r>
          </w:p>
        </w:tc>
      </w:tr>
      <w:tr w:rsidR="002D5AAC" w:rsidRPr="00635A4A" w14:paraId="297C040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C6BFF9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B834658" wp14:editId="362E688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639494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DE34669" w14:textId="77777777" w:rsidR="002D5AAC" w:rsidRDefault="00DF4E5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4EBB6CB" w14:textId="6F96102B" w:rsidR="00DF4E58" w:rsidRDefault="00DF4E58" w:rsidP="00DF4E5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November 2023</w:t>
            </w:r>
          </w:p>
          <w:p w14:paraId="53311537" w14:textId="77777777" w:rsidR="00DF4E58" w:rsidRDefault="00DF4E58" w:rsidP="00DF4E5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EBDFC12" w14:textId="4C3602DE" w:rsidR="00DF4E58" w:rsidRPr="008D53B6" w:rsidRDefault="00DF4E58" w:rsidP="00DF4E5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5B2361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3AE430C" w14:textId="77777777" w:rsidR="00DF4E58" w:rsidRPr="00CE44E7" w:rsidRDefault="00DF4E58" w:rsidP="00DF4E58">
      <w:pPr>
        <w:spacing w:before="120"/>
        <w:rPr>
          <w:sz w:val="28"/>
          <w:szCs w:val="28"/>
        </w:rPr>
      </w:pPr>
      <w:r w:rsidRPr="00CE44E7">
        <w:rPr>
          <w:sz w:val="28"/>
          <w:szCs w:val="28"/>
        </w:rPr>
        <w:t>Комитет по внутреннему транспорту</w:t>
      </w:r>
    </w:p>
    <w:p w14:paraId="7F4F0776" w14:textId="77777777" w:rsidR="00DF4E58" w:rsidRPr="00CE44E7" w:rsidRDefault="00DF4E58" w:rsidP="00DF4E58">
      <w:pPr>
        <w:spacing w:before="120"/>
        <w:rPr>
          <w:b/>
          <w:bCs/>
          <w:sz w:val="24"/>
          <w:szCs w:val="24"/>
        </w:rPr>
      </w:pPr>
      <w:r w:rsidRPr="00CE44E7">
        <w:rPr>
          <w:b/>
          <w:bCs/>
          <w:sz w:val="24"/>
          <w:szCs w:val="24"/>
        </w:rPr>
        <w:t>Рабочая группа по перевозкам опасных грузов</w:t>
      </w:r>
    </w:p>
    <w:p w14:paraId="15DE2D7C" w14:textId="560BB9DF" w:rsidR="00DF4E58" w:rsidRPr="00CE44E7" w:rsidRDefault="00DF4E58" w:rsidP="00DF4E58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  <w:t xml:space="preserve">прилагаемым к Европейскому соглашению </w:t>
      </w:r>
      <w:r>
        <w:rPr>
          <w:b/>
          <w:bCs/>
        </w:rPr>
        <w:br/>
        <w:t xml:space="preserve">о международной перевозке опасных грузов </w:t>
      </w:r>
      <w:r>
        <w:rPr>
          <w:b/>
          <w:bCs/>
        </w:rPr>
        <w:br/>
        <w:t xml:space="preserve">по внутренним водным путям (ВОПОГ) </w:t>
      </w:r>
      <w:r>
        <w:rPr>
          <w:b/>
          <w:bCs/>
        </w:rPr>
        <w:br/>
        <w:t>(Комитет по вопросам безопасности ВОПОГ)</w:t>
      </w:r>
    </w:p>
    <w:p w14:paraId="0783AC04" w14:textId="77777777" w:rsidR="00DF4E58" w:rsidRPr="00CE44E7" w:rsidRDefault="00DF4E58" w:rsidP="00DF4E58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616AD13F" w14:textId="77777777" w:rsidR="00DF4E58" w:rsidRPr="00CE44E7" w:rsidRDefault="00DF4E58" w:rsidP="00DF4E58">
      <w:r>
        <w:t>Женева, 22–26 января 2024 года</w:t>
      </w:r>
    </w:p>
    <w:p w14:paraId="59EA35C7" w14:textId="77777777" w:rsidR="00DF4E58" w:rsidRPr="00CE44E7" w:rsidRDefault="00DF4E58" w:rsidP="00DF4E58">
      <w:r>
        <w:t>Пункт 6 предварительной повестки дня</w:t>
      </w:r>
    </w:p>
    <w:p w14:paraId="091DEF9C" w14:textId="77777777" w:rsidR="00DF4E58" w:rsidRPr="00CE44E7" w:rsidRDefault="00DF4E58" w:rsidP="00DF4E58">
      <w:pPr>
        <w:rPr>
          <w:b/>
          <w:bCs/>
        </w:rPr>
      </w:pPr>
      <w:r>
        <w:rPr>
          <w:b/>
          <w:bCs/>
        </w:rPr>
        <w:t>Доклады неофициальных рабочих групп</w:t>
      </w:r>
    </w:p>
    <w:p w14:paraId="5C7DDEC1" w14:textId="77777777" w:rsidR="00DF4E58" w:rsidRPr="00CE44E7" w:rsidRDefault="00DF4E58" w:rsidP="00DF4E58">
      <w:pPr>
        <w:pStyle w:val="HChG"/>
      </w:pPr>
      <w:r>
        <w:tab/>
      </w:r>
      <w:r>
        <w:tab/>
      </w:r>
      <w:r>
        <w:rPr>
          <w:bCs/>
        </w:rPr>
        <w:t>Доклад о работе третьего совещания неофициальной рабочей группы по инструкциям по загрузке и разгрузке</w:t>
      </w:r>
    </w:p>
    <w:p w14:paraId="63D77CF6" w14:textId="6344DE25" w:rsidR="00DF4E58" w:rsidRPr="00CE44E7" w:rsidRDefault="00DF4E58" w:rsidP="00DF4E58">
      <w:pPr>
        <w:pStyle w:val="H1G"/>
        <w:rPr>
          <w:bCs/>
          <w:sz w:val="20"/>
        </w:rPr>
      </w:pPr>
      <w:r>
        <w:tab/>
      </w:r>
      <w:r>
        <w:tab/>
      </w:r>
      <w:r>
        <w:rPr>
          <w:bCs/>
        </w:rPr>
        <w:t>Передано правительством Нидерландов</w:t>
      </w:r>
      <w:r w:rsidRPr="00DF4E58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DF4E58">
        <w:rPr>
          <w:b w:val="0"/>
          <w:bCs/>
          <w:sz w:val="20"/>
          <w:lang w:val="en-US"/>
        </w:rPr>
        <w:t xml:space="preserve"> </w:t>
      </w:r>
      <w:r w:rsidRPr="00DF4E58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tbl>
      <w:tblPr>
        <w:tblStyle w:val="ac"/>
        <w:tblW w:w="0" w:type="auto"/>
        <w:jc w:val="center"/>
        <w:tblBorders>
          <w:insideH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9"/>
      </w:tblGrid>
      <w:tr w:rsidR="00DF4E58" w14:paraId="5C2758A2" w14:textId="77777777" w:rsidTr="00E760C2">
        <w:trPr>
          <w:jc w:val="center"/>
        </w:trPr>
        <w:tc>
          <w:tcPr>
            <w:tcW w:w="9629" w:type="dxa"/>
            <w:shd w:val="clear" w:color="auto" w:fill="auto"/>
          </w:tcPr>
          <w:p w14:paraId="5CE1C3F4" w14:textId="77777777" w:rsidR="00DF4E58" w:rsidRPr="004B2248" w:rsidRDefault="00DF4E58" w:rsidP="00DF4E58">
            <w:pPr>
              <w:spacing w:before="240" w:after="120" w:line="220" w:lineRule="exact"/>
              <w:ind w:left="255"/>
              <w:rPr>
                <w:i/>
                <w:sz w:val="24"/>
                <w:szCs w:val="24"/>
              </w:rPr>
            </w:pPr>
            <w:r w:rsidRPr="004B2248">
              <w:rPr>
                <w:i/>
                <w:iCs/>
                <w:sz w:val="24"/>
                <w:szCs w:val="24"/>
              </w:rPr>
              <w:t>Резюме</w:t>
            </w:r>
          </w:p>
        </w:tc>
      </w:tr>
      <w:tr w:rsidR="00DF4E58" w:rsidRPr="00635A4A" w14:paraId="2C163DD5" w14:textId="77777777" w:rsidTr="00E760C2">
        <w:trPr>
          <w:jc w:val="center"/>
        </w:trPr>
        <w:tc>
          <w:tcPr>
            <w:tcW w:w="9629" w:type="dxa"/>
            <w:shd w:val="clear" w:color="auto" w:fill="auto"/>
          </w:tcPr>
          <w:p w14:paraId="6C801564" w14:textId="77777777" w:rsidR="00DF4E58" w:rsidRPr="00CE44E7" w:rsidRDefault="00DF4E58" w:rsidP="00DF4E58">
            <w:pPr>
              <w:spacing w:before="120" w:after="80" w:line="220" w:lineRule="exact"/>
            </w:pPr>
            <w:r>
              <w:tab/>
            </w:r>
            <w:r>
              <w:tab/>
            </w:r>
            <w:r>
              <w:rPr>
                <w:b/>
                <w:bCs/>
              </w:rPr>
              <w:t>Справочные документы:</w:t>
            </w:r>
            <w:r>
              <w:t xml:space="preserve"> </w:t>
            </w:r>
            <w:r>
              <w:tab/>
              <w:t>Неофициальный документ INF.12 тридцать четвертой сессии</w:t>
            </w:r>
          </w:p>
          <w:p w14:paraId="08C195AB" w14:textId="73CB1025" w:rsidR="00DF4E58" w:rsidRPr="00DF4E58" w:rsidRDefault="00DF4E58" w:rsidP="00DF4E58">
            <w:pPr>
              <w:spacing w:after="80" w:line="220" w:lineRule="exact"/>
              <w:ind w:left="567" w:firstLine="2825"/>
              <w:rPr>
                <w:lang w:val="en-US"/>
              </w:rPr>
            </w:pPr>
            <w:r w:rsidRPr="00DF4E58">
              <w:tab/>
            </w:r>
            <w:r w:rsidRPr="00DF4E58">
              <w:tab/>
            </w:r>
            <w:r w:rsidRPr="00CE44E7">
              <w:rPr>
                <w:lang w:val="en-US"/>
              </w:rPr>
              <w:t>ECE/TRANS/WP.15/AC.2/70 (</w:t>
            </w:r>
            <w:r>
              <w:t>пункты</w:t>
            </w:r>
            <w:r w:rsidRPr="00CE44E7">
              <w:rPr>
                <w:lang w:val="en-US"/>
              </w:rPr>
              <w:t xml:space="preserve"> 16 </w:t>
            </w:r>
            <w:r>
              <w:t>и</w:t>
            </w:r>
            <w:r w:rsidRPr="00CE44E7">
              <w:rPr>
                <w:lang w:val="en-US"/>
              </w:rPr>
              <w:t xml:space="preserve"> 17)</w:t>
            </w:r>
          </w:p>
          <w:p w14:paraId="059769D0" w14:textId="77777777" w:rsidR="00DF4E58" w:rsidRPr="00CE44E7" w:rsidRDefault="00DF4E58" w:rsidP="00DF4E58">
            <w:pPr>
              <w:spacing w:after="80" w:line="220" w:lineRule="exact"/>
              <w:ind w:firstLine="3392"/>
            </w:pPr>
            <w:r w:rsidRPr="00DF4E58">
              <w:rPr>
                <w:lang w:val="en-US"/>
              </w:rPr>
              <w:tab/>
            </w:r>
            <w:r w:rsidRPr="00DF4E58">
              <w:rPr>
                <w:lang w:val="en-US"/>
              </w:rPr>
              <w:tab/>
            </w:r>
            <w:r>
              <w:t>Неофициальный документ INF.9 тридцать пятой сессии</w:t>
            </w:r>
          </w:p>
          <w:p w14:paraId="1CC2F5E1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 w:rsidRPr="00DF4E58">
              <w:tab/>
            </w:r>
            <w:r w:rsidRPr="00DF4E58">
              <w:tab/>
            </w:r>
            <w:r w:rsidRPr="00CE44E7">
              <w:rPr>
                <w:lang w:val="en-US"/>
              </w:rPr>
              <w:t>ECE/TRANS/WP.15/AC.2/72 (</w:t>
            </w:r>
            <w:r>
              <w:t>пункты</w:t>
            </w:r>
            <w:r w:rsidRPr="00CE44E7">
              <w:rPr>
                <w:lang w:val="en-US"/>
              </w:rPr>
              <w:t xml:space="preserve"> 14–16)</w:t>
            </w:r>
          </w:p>
          <w:p w14:paraId="7E5F7DBE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ECE/TRANS/WP.15/AC.2/2020/37</w:t>
            </w:r>
          </w:p>
          <w:p w14:paraId="3067ED64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ECE/TRANS/WP.15/AC.2/76 (</w:t>
            </w:r>
            <w:r>
              <w:t>пункты</w:t>
            </w:r>
            <w:r w:rsidRPr="00CE44E7">
              <w:rPr>
                <w:lang w:val="en-US"/>
              </w:rPr>
              <w:t xml:space="preserve"> 71 </w:t>
            </w:r>
            <w:r>
              <w:t>и</w:t>
            </w:r>
            <w:r w:rsidRPr="00CE44E7">
              <w:rPr>
                <w:lang w:val="en-US"/>
              </w:rPr>
              <w:t xml:space="preserve"> 72)</w:t>
            </w:r>
          </w:p>
          <w:p w14:paraId="1E0AE97A" w14:textId="2D1DB3C6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635A4A">
              <w:rPr>
                <w:lang w:val="en-US"/>
              </w:rPr>
              <w:t>ECE/</w:t>
            </w:r>
            <w:r w:rsidRPr="00CE44E7">
              <w:rPr>
                <w:lang w:val="en-US"/>
              </w:rPr>
              <w:t>TRANS/WP</w:t>
            </w:r>
            <w:r w:rsidR="003764C1">
              <w:rPr>
                <w:lang w:val="en-US"/>
              </w:rPr>
              <w:t>.</w:t>
            </w:r>
            <w:r w:rsidRPr="00CE44E7">
              <w:rPr>
                <w:lang w:val="en-US"/>
              </w:rPr>
              <w:t>15/AC.2/2021/26</w:t>
            </w:r>
          </w:p>
          <w:p w14:paraId="23ABA020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ECE/TRANS/WP.15/AC.2/78 (</w:t>
            </w:r>
            <w:r>
              <w:t>пункты</w:t>
            </w:r>
            <w:r w:rsidRPr="00CE44E7">
              <w:rPr>
                <w:lang w:val="en-US"/>
              </w:rPr>
              <w:t xml:space="preserve"> 35 </w:t>
            </w:r>
            <w:r>
              <w:t>и</w:t>
            </w:r>
            <w:r w:rsidRPr="00CE44E7">
              <w:rPr>
                <w:lang w:val="en-US"/>
              </w:rPr>
              <w:t xml:space="preserve"> 36)</w:t>
            </w:r>
          </w:p>
          <w:p w14:paraId="0A2AA4F3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ECE/TRANS/WP.15/AC.2/2022/14</w:t>
            </w:r>
          </w:p>
          <w:p w14:paraId="2106B008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ECE/TRANS/WP.15/AC.2/80 (</w:t>
            </w:r>
            <w:r>
              <w:t>пункт</w:t>
            </w:r>
            <w:r w:rsidRPr="00CE44E7">
              <w:rPr>
                <w:lang w:val="en-US"/>
              </w:rPr>
              <w:t xml:space="preserve"> 66)</w:t>
            </w:r>
          </w:p>
          <w:p w14:paraId="189BEDC3" w14:textId="77777777" w:rsidR="00DF4E58" w:rsidRPr="00CE44E7" w:rsidRDefault="00DF4E58" w:rsidP="00DF4E58">
            <w:pPr>
              <w:spacing w:after="80" w:line="220" w:lineRule="exact"/>
              <w:ind w:firstLine="3392"/>
            </w:pPr>
            <w:r w:rsidRPr="00DF4E58">
              <w:rPr>
                <w:lang w:val="en-US"/>
              </w:rPr>
              <w:tab/>
            </w:r>
            <w:r w:rsidRPr="00DF4E58">
              <w:rPr>
                <w:lang w:val="en-US"/>
              </w:rPr>
              <w:tab/>
            </w:r>
            <w:r>
              <w:t>Неофициальный документ INF.13 сороковой сессии</w:t>
            </w:r>
          </w:p>
          <w:p w14:paraId="30FD16ED" w14:textId="77777777" w:rsidR="00DF4E58" w:rsidRPr="00CE44E7" w:rsidRDefault="00DF4E58" w:rsidP="00DF4E58">
            <w:pPr>
              <w:spacing w:after="80" w:line="220" w:lineRule="exact"/>
              <w:ind w:firstLine="3392"/>
            </w:pPr>
            <w:r>
              <w:tab/>
            </w:r>
            <w:r>
              <w:tab/>
              <w:t>ECE/TRANS/WP.15/AC.2/82 (пункт 68)</w:t>
            </w:r>
          </w:p>
          <w:p w14:paraId="786547B4" w14:textId="77777777" w:rsidR="00DF4E58" w:rsidRPr="00DF4E58" w:rsidRDefault="00DF4E58" w:rsidP="00DF4E58">
            <w:pPr>
              <w:spacing w:after="80" w:line="220" w:lineRule="exact"/>
              <w:ind w:firstLine="3392"/>
              <w:rPr>
                <w:lang w:val="en-US"/>
              </w:rPr>
            </w:pPr>
            <w:r w:rsidRPr="00DF4E58">
              <w:tab/>
            </w:r>
            <w:r w:rsidRPr="00DF4E58">
              <w:tab/>
            </w:r>
            <w:r w:rsidRPr="00CE44E7">
              <w:rPr>
                <w:lang w:val="en-US"/>
              </w:rPr>
              <w:t>ECE/TRANS/WP.15/AC.2/2023/41</w:t>
            </w:r>
          </w:p>
          <w:p w14:paraId="607CBAC7" w14:textId="77777777" w:rsidR="00DF4E58" w:rsidRPr="00DF4E58" w:rsidRDefault="00DF4E58" w:rsidP="003764C1">
            <w:pPr>
              <w:spacing w:after="120" w:line="220" w:lineRule="exact"/>
              <w:ind w:firstLine="3391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CE44E7">
              <w:rPr>
                <w:lang w:val="en-US"/>
              </w:rPr>
              <w:t>ECE/TRANS/WP.15/AC.2/86 (</w:t>
            </w:r>
            <w:r>
              <w:t>пункт</w:t>
            </w:r>
            <w:r w:rsidRPr="00CE44E7">
              <w:rPr>
                <w:lang w:val="en-US"/>
              </w:rPr>
              <w:t xml:space="preserve"> 74)</w:t>
            </w:r>
          </w:p>
        </w:tc>
      </w:tr>
    </w:tbl>
    <w:p w14:paraId="6C4EF08A" w14:textId="77777777" w:rsidR="00DF4E58" w:rsidRPr="00CE44E7" w:rsidRDefault="00DF4E58" w:rsidP="00DF4E58">
      <w:pPr>
        <w:pStyle w:val="HChG"/>
      </w:pPr>
      <w:r w:rsidRPr="00CE44E7">
        <w:rPr>
          <w:lang w:val="en-US"/>
        </w:rPr>
        <w:lastRenderedPageBreak/>
        <w:tab/>
      </w:r>
      <w:r w:rsidRPr="00CE44E7">
        <w:rPr>
          <w:lang w:val="en-US"/>
        </w:rPr>
        <w:tab/>
      </w:r>
      <w:r>
        <w:rPr>
          <w:bCs/>
        </w:rPr>
        <w:t>Введение</w:t>
      </w:r>
    </w:p>
    <w:p w14:paraId="2B6EC802" w14:textId="77777777" w:rsidR="00DF4E58" w:rsidRPr="00CE44E7" w:rsidRDefault="00DF4E58" w:rsidP="00DF4E58">
      <w:pPr>
        <w:pStyle w:val="SingleTxtG"/>
      </w:pPr>
      <w:r>
        <w:t>1.</w:t>
      </w:r>
      <w:r>
        <w:tab/>
        <w:t>Неофициальная рабочая группа по инструкциям по загрузке и разгрузке провела свое третье совещание с 18 по 19 октября 2023 года в Билтховене в смешанном формате, и в работе совещания приняли участие члены делегаций Германии, Нидерландов и Люксембурга, а также представители Европейского совета химической промышленности (ЕСХП), Европейского союза речного судоходства (ЕСРС), Европейской организации судоводителей (ЕОС), «Фьюэлз-Юроп», Ассоциации нидерландских владельцев цистерн-хранилищ («ВОТОБ») и «Бюро Веритас». Неофициальная рабочая группа продолжила обсуждение вопросов, которые были согласованы в качестве относящихся к ее кругу ведения на тридцать девятой сессии Комитета по вопросам безопасности ВОПОГ.</w:t>
      </w:r>
    </w:p>
    <w:p w14:paraId="53FBC187" w14:textId="77777777" w:rsidR="00DF4E58" w:rsidRPr="00CE44E7" w:rsidRDefault="00DF4E58" w:rsidP="00DF4E58">
      <w:pPr>
        <w:pStyle w:val="HChG"/>
      </w:pPr>
      <w:r>
        <w:rPr>
          <w:bCs/>
        </w:rPr>
        <w:tab/>
        <w:t>I.</w:t>
      </w:r>
      <w:r>
        <w:tab/>
      </w:r>
      <w:r>
        <w:rPr>
          <w:bCs/>
        </w:rPr>
        <w:t>Анализ работы первых двух совещаний</w:t>
      </w:r>
    </w:p>
    <w:p w14:paraId="7C3C38D9" w14:textId="77777777" w:rsidR="00DF4E58" w:rsidRPr="00CE44E7" w:rsidRDefault="00DF4E58" w:rsidP="00DF4E58">
      <w:pPr>
        <w:pStyle w:val="SingleTxtG"/>
      </w:pPr>
      <w:r>
        <w:t>2.</w:t>
      </w:r>
      <w:r>
        <w:tab/>
        <w:t>Председатель кратко напомнил об обсуждениях, которые состоялись на последних совещаниях и в ходе которых группа предложила проводить четкое различие между информацией, относящейся к судну, и эксплуатационной инструкцией по загрузке и разгрузке. Инструкция по загрузке и разгрузке могла бы поэтому стать чисто эксплуатационным документом, предоставляемым перевозчиком и содержащим информацию о максимальной скорости загрузки в начале и середине процесса. Группа напомнила, что в начале загрузки основным фактором, который необходимо учитывать, является накопление электростатического заряда, тогда как в середине загрузки избыточное давление может привести к нежелательному срабатыванию клапана повышенного давления. Кроме того, было отмечено, что расчет, осуществляемый в соответствии с пунктами 9.3.2.25.9 и 9.3.3.25.9, был разработан до того, как загрузка с помощью газовозвратного трубопровода стала обычным явлением. Расчет основан на предположении о том, что газовозвратный трубопровод полностью перекрыт; однако такая ситуация редко происходит на практике. Кроме того, в случае сложных смесей не имеется необходимых для расчета данных о плотности паров. Некоторые члены группы отметили, что расчет является теоретическим и отклоняется от принятой технологии, когда риски нежелательного повышения давления в грузовых танках уже устранены.</w:t>
      </w:r>
    </w:p>
    <w:p w14:paraId="2D5DD0BF" w14:textId="77777777" w:rsidR="00DF4E58" w:rsidRPr="00CE44E7" w:rsidRDefault="00DF4E58" w:rsidP="00DF4E58">
      <w:pPr>
        <w:pStyle w:val="SingleTxtG"/>
      </w:pPr>
      <w:r>
        <w:t>3.</w:t>
      </w:r>
      <w:r>
        <w:tab/>
        <w:t>Группа также отметила, что расчет максимальной скорости в середине загрузки является лишь одной из мер безопасности, применяемых для предотвращения нарастания давления на этом этапе, и поэтому расчет можно отделить от определения максимальной безопасной скорости загрузки в середине процесса. Тем не менее в неофициальной рабочей группе состоялось широкое обсуждение вопроса о расчете. Члены группы пришли к выводу о том, что максимальная безопасная скорость загрузки в середине процесса, отраженная в инструкции по загрузке и разгрузке, должна отражать максимальный объем жидкости, который может принять баржа, и максимальный объем газа/паров, который может выводиться через газоотводный трубопровод (бортовой), а наименьший безопасный максимум (между этими двумя значениями) следует отражать в инструкции по загрузке и разгрузке. Береговая служба имеет свои собственные данные о максимальном объеме жидкости, который она может загрузить, и о максимальном объеме газа/паров, который она может получить через газовозвратный трубопровод (береговой). Наименьшее значение определяет фактическую скорость загрузки, которая подлежит согласованию до начала загрузки.</w:t>
      </w:r>
    </w:p>
    <w:p w14:paraId="031E093B" w14:textId="77777777" w:rsidR="00DF4E58" w:rsidRPr="00CE44E7" w:rsidRDefault="00DF4E58" w:rsidP="00DF4E58">
      <w:pPr>
        <w:pStyle w:val="SingleTxtG"/>
      </w:pPr>
      <w:r>
        <w:t>4.</w:t>
      </w:r>
      <w:r>
        <w:tab/>
        <w:t>Некоторые члены неофициальной рабочей группы попросили провести сравнение двух расчетов; один из них должен основываться на предположении о том, что газовозвратный трубопровод полностью перекрыт, и другой — на предположении о том, что газовозвратный трубопровод полностью открыт и береговая служба имеет достаточные мощности для приема газа/паров, образующихся в результате операции по загрузке. Такое сравнение могло бы снабдить группу ценными сведениями, необходимыми для определения дальнейших действий.</w:t>
      </w:r>
    </w:p>
    <w:p w14:paraId="3254C7BE" w14:textId="77777777" w:rsidR="00DF4E58" w:rsidRPr="00CE44E7" w:rsidRDefault="00DF4E58" w:rsidP="00DF4E58">
      <w:pPr>
        <w:pStyle w:val="SingleTxtG"/>
      </w:pPr>
      <w:r>
        <w:t>5.</w:t>
      </w:r>
      <w:r>
        <w:tab/>
        <w:t>Группа провела первоначальное обсуждение вопроса о том, можно ли на основе сравнения заменить расчет, который производится согласно пункту 9.3.x.25.9 и требует применения нечетких параметров, альтернативными мерами, позволяющими обеспечить безопасность во время погрузочно-разгрузочных работ, например чисто эксплуатационной инструкцией о том, когда и как следует прекращать загрузку и разгрузку, осуществляемые с использованием дополнительных технических средств безопасности, таких как дополнительная сигнализация, извещающая о повышении давления в грузовых танках или в трубопроводах. Было учтено снижение уровня срабатывания сигнализации, описанной в пункте 9.3.x.21.7 a), с 1,15-кратного давления срабатывания клапана повышенного давления до 0,8-кратного давления, включая автоматическое прекращение процесса загрузки.</w:t>
      </w:r>
    </w:p>
    <w:p w14:paraId="797F9D69" w14:textId="77777777" w:rsidR="00DF4E58" w:rsidRDefault="00DF4E58" w:rsidP="00DF4E58">
      <w:pPr>
        <w:pStyle w:val="SingleTxtG"/>
      </w:pPr>
      <w:r>
        <w:t>6.</w:t>
      </w:r>
      <w:r>
        <w:tab/>
        <w:t>При обсуждении вопроса о том, как отразить соображения группы в ВОПОГ, было предложено, что такой высокодетализированный способ, как добавление в главу 8.6 ВОПОГ образца инструкции по загрузке и разгрузке, является нежелательным. Группа предпочла более общий способ описания требований, предъявляемых инструкцией по загрузке и разгрузке. Можно было бы включить в ВОПОГ описание процесса, сведения о том, как следует составлять инструкцию по загрузке и разгрузке, кто несет ответственность за тот или иной этап, а также список элементов, которые необходимо учитывать в ходе процесса.</w:t>
      </w:r>
    </w:p>
    <w:p w14:paraId="2FC6D0BD" w14:textId="77777777" w:rsidR="00DF4E58" w:rsidRPr="00CE44E7" w:rsidRDefault="00DF4E58" w:rsidP="00DF4E58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Процесс составления инструкций по загрузке и разгрузке</w:t>
      </w:r>
    </w:p>
    <w:p w14:paraId="7942A56B" w14:textId="77777777" w:rsidR="00DF4E58" w:rsidRPr="00CE44E7" w:rsidRDefault="00DF4E58" w:rsidP="00DF4E58">
      <w:pPr>
        <w:pStyle w:val="SingleTxtG"/>
      </w:pPr>
      <w:r>
        <w:t>7.</w:t>
      </w:r>
      <w:r>
        <w:tab/>
        <w:t>Было отмечено, что на первом совещании разделение «информации, связанной с судном» и «документа по эксплуатации (инструкции по загрузке и разгрузке)» позволило бы группе требовать утверждения/проверки информации, связанной с судном, классификационными обществами. Перевозчик отвечает за составление инструкции по загрузке и разгрузке на основе информации о судне, предоставляемой соответственно судостроителем или судовым доком и впоследствии проверяемой классификационным обществом, осуществляющим надзор за судном. Инструкция по загрузке и выгрузке представляет собой единый практический документ, который можно использовать для определения безопасных для данного судна скоростей загрузки всех грузов.</w:t>
      </w:r>
    </w:p>
    <w:p w14:paraId="0CD0F402" w14:textId="77777777" w:rsidR="00DF4E58" w:rsidRPr="00CE44E7" w:rsidRDefault="00DF4E58" w:rsidP="00DF4E58">
      <w:pPr>
        <w:pStyle w:val="SingleTxtG"/>
      </w:pPr>
      <w:r>
        <w:t>8.</w:t>
      </w:r>
      <w:r>
        <w:tab/>
        <w:t>Группа также обсудила относящиеся к судну данные, которые должны проверяться классификационными обществами. К числу элементов, подлежащих проверке, относятся:</w:t>
      </w:r>
    </w:p>
    <w:p w14:paraId="472DA733" w14:textId="77777777" w:rsidR="00DF4E58" w:rsidRPr="00CE44E7" w:rsidRDefault="00DF4E58" w:rsidP="00DF4E58">
      <w:pPr>
        <w:pStyle w:val="SingleTxtG"/>
      </w:pPr>
      <w:r>
        <w:tab/>
        <w:t>a)</w:t>
      </w:r>
      <w:r>
        <w:tab/>
        <w:t>конфигурация погрузочно-разгрузочных трубопроводов, включая длину и диаметр трубопроводов;</w:t>
      </w:r>
    </w:p>
    <w:p w14:paraId="3D742B64" w14:textId="77777777" w:rsidR="00DF4E58" w:rsidRDefault="00DF4E58" w:rsidP="00DF4E58">
      <w:pPr>
        <w:pStyle w:val="SingleTxtG"/>
      </w:pPr>
      <w:r>
        <w:tab/>
        <w:t>b)</w:t>
      </w:r>
      <w:r>
        <w:tab/>
        <w:t>конфигурация газоотводного трубопровода, включая длину и диаметр трубопровода;</w:t>
      </w:r>
    </w:p>
    <w:p w14:paraId="2CB16954" w14:textId="77777777" w:rsidR="00DF4E58" w:rsidRPr="00CE44E7" w:rsidRDefault="00DF4E58" w:rsidP="00DF4E58">
      <w:pPr>
        <w:pStyle w:val="SingleTxtG"/>
      </w:pPr>
      <w:r>
        <w:tab/>
        <w:t>c)</w:t>
      </w:r>
      <w:r>
        <w:tab/>
        <w:t>расстояние между отверстием в погрузочном трубопроводе и днищем грузового танка;</w:t>
      </w:r>
    </w:p>
    <w:p w14:paraId="2D2298BA" w14:textId="77777777" w:rsidR="00DF4E58" w:rsidRPr="00CE44E7" w:rsidRDefault="00DF4E58" w:rsidP="00DF4E58">
      <w:pPr>
        <w:pStyle w:val="SingleTxtG"/>
      </w:pPr>
      <w:r>
        <w:tab/>
        <w:t>d)</w:t>
      </w:r>
      <w:r>
        <w:tab/>
        <w:t>вертикальное или горизонтальное расположение отверстия в погрузочном трубопроводе; и</w:t>
      </w:r>
    </w:p>
    <w:p w14:paraId="2349EFEA" w14:textId="77777777" w:rsidR="00DF4E58" w:rsidRPr="00CE44E7" w:rsidRDefault="00DF4E58" w:rsidP="00DF4E58">
      <w:pPr>
        <w:pStyle w:val="SingleTxtG"/>
      </w:pPr>
      <w:r>
        <w:tab/>
        <w:t>e)</w:t>
      </w:r>
      <w:r>
        <w:tab/>
        <w:t>информация об оборудовании, подсоединенном к трубопроводам и грузовым танкам, включая информацию о пламегасителях и информацию, касающуюся (конфигурации) клапанов повышенного давления (автономных систем взрывозащиты).</w:t>
      </w:r>
    </w:p>
    <w:p w14:paraId="66859D67" w14:textId="77777777" w:rsidR="00DF4E58" w:rsidRPr="00CE44E7" w:rsidRDefault="00DF4E58" w:rsidP="00DF4E58">
      <w:pPr>
        <w:pStyle w:val="SingleTxtG"/>
      </w:pPr>
      <w:r>
        <w:t>9.</w:t>
      </w:r>
      <w:r>
        <w:tab/>
        <w:t>На основании этой информации перевозчик составляет инструкцию по загрузке и разгрузке. Инструкция по загрузке и разгрузке включает:</w:t>
      </w:r>
    </w:p>
    <w:p w14:paraId="2EF45781" w14:textId="77777777" w:rsidR="00DF4E58" w:rsidRPr="00CE44E7" w:rsidRDefault="00DF4E58" w:rsidP="00DF4E58">
      <w:pPr>
        <w:pStyle w:val="SingleTxtG"/>
      </w:pPr>
      <w:r>
        <w:tab/>
        <w:t>a)</w:t>
      </w:r>
      <w:r>
        <w:tab/>
        <w:t>максимальную безопасную скорость загрузки на начальном этапе;</w:t>
      </w:r>
    </w:p>
    <w:p w14:paraId="6ECDB698" w14:textId="77777777" w:rsidR="00DF4E58" w:rsidRPr="00CE44E7" w:rsidRDefault="00DF4E58" w:rsidP="00DF4E58">
      <w:pPr>
        <w:pStyle w:val="SingleTxtG"/>
      </w:pPr>
      <w:r>
        <w:tab/>
        <w:t>b)</w:t>
      </w:r>
      <w:r>
        <w:tab/>
        <w:t>максимальную безопасную скорость загрузки в середине процесса; и</w:t>
      </w:r>
    </w:p>
    <w:p w14:paraId="64E2D10A" w14:textId="77777777" w:rsidR="00DF4E58" w:rsidRPr="00CE44E7" w:rsidRDefault="00DF4E58" w:rsidP="00DF4E58">
      <w:pPr>
        <w:pStyle w:val="SingleTxtG"/>
      </w:pPr>
      <w:r>
        <w:tab/>
        <w:t>c)</w:t>
      </w:r>
      <w:r>
        <w:tab/>
        <w:t>минимальный объем груза, загружаемый на начальном этапе.</w:t>
      </w:r>
    </w:p>
    <w:p w14:paraId="6C7A5528" w14:textId="77777777" w:rsidR="00DF4E58" w:rsidRDefault="00DF4E58" w:rsidP="00DF4E58">
      <w:pPr>
        <w:pStyle w:val="SingleTxtG"/>
      </w:pPr>
      <w:r>
        <w:t>10.</w:t>
      </w:r>
      <w:r>
        <w:tab/>
        <w:t>Максимальные безопасные значения скорости загрузки основываются на максимальной безопасной скорости загрузки, описанной в Международном руководстве по безопасности для танкеров внутреннего плавания и терминалов (ISGINNT) (1 м/с на начальном этапе и 7 м/с в середине процесса). В середине операции максимальная безопасная скорость загрузки также ограничивается максимальной скоростью удаления паров/газов через газоотводный трубопровод.</w:t>
      </w:r>
    </w:p>
    <w:p w14:paraId="2C21C848" w14:textId="77777777" w:rsidR="00DF4E58" w:rsidRPr="00CE44E7" w:rsidRDefault="00DF4E58" w:rsidP="00DF4E58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Следующее совещание</w:t>
      </w:r>
    </w:p>
    <w:p w14:paraId="270D4999" w14:textId="77777777" w:rsidR="00DF4E58" w:rsidRDefault="00DF4E58" w:rsidP="00DF4E58">
      <w:pPr>
        <w:pStyle w:val="SingleTxtG"/>
      </w:pPr>
      <w:r>
        <w:t>11.</w:t>
      </w:r>
      <w:r>
        <w:tab/>
        <w:t>Если Комитет по вопросам безопасности ВОПОГ сможет одобрить предлагаемый процесс разработки инструкций по загрузке и разгрузке, включая распределение обязанностей и элементы, подлежащие учету на различных этапах этого процесса, то неофициальная рабочая группа хотела бы подготовить предложения по внесению поправок в ВОПОГ, учитывающих эти соображения, на следующем совещании группы. В ходе этого совещания группа могла бы также проанализировать сравнение расчетов, описанных в пункте 4 настоящего доклада.</w:t>
      </w:r>
    </w:p>
    <w:p w14:paraId="43CD4B72" w14:textId="77777777" w:rsidR="00DF4E58" w:rsidRPr="00CE44E7" w:rsidRDefault="00DF4E58" w:rsidP="00DF4E58">
      <w:pPr>
        <w:pStyle w:val="SingleTxtG"/>
      </w:pPr>
      <w:r>
        <w:t>12.</w:t>
      </w:r>
      <w:r>
        <w:tab/>
        <w:t>Следующее совещание неофициальной рабочей группы состоится 10 и 11 апреля 2024 года в Утрехте.</w:t>
      </w:r>
    </w:p>
    <w:p w14:paraId="35D43E97" w14:textId="77777777" w:rsidR="00DF4E58" w:rsidRPr="00CE44E7" w:rsidRDefault="00DF4E58" w:rsidP="00DF4E58">
      <w:pPr>
        <w:pStyle w:val="HChG"/>
      </w:pPr>
      <w:r>
        <w:rPr>
          <w:bCs/>
        </w:rPr>
        <w:tab/>
        <w:t>IV.</w:t>
      </w:r>
      <w:r>
        <w:tab/>
      </w:r>
      <w:r>
        <w:rPr>
          <w:bCs/>
        </w:rPr>
        <w:t>Предлагаемые действия</w:t>
      </w:r>
    </w:p>
    <w:p w14:paraId="2A71E918" w14:textId="77777777" w:rsidR="00DF4E58" w:rsidRPr="00CE44E7" w:rsidRDefault="00DF4E58" w:rsidP="00DF4E58">
      <w:pPr>
        <w:pStyle w:val="SingleTxtG"/>
      </w:pPr>
      <w:r>
        <w:t>13.</w:t>
      </w:r>
      <w:r>
        <w:tab/>
        <w:t>Комитету по вопросам безопасности ВОПОГ предлагается рассмотреть доклад неофициальной рабочей группы и принять решение, которое он сочтет целесообразным.</w:t>
      </w:r>
    </w:p>
    <w:p w14:paraId="6F080712" w14:textId="77777777" w:rsidR="00DF4E58" w:rsidRPr="00CE44E7" w:rsidRDefault="00DF4E58" w:rsidP="00DF4E58">
      <w:pPr>
        <w:spacing w:before="240"/>
        <w:jc w:val="center"/>
        <w:rPr>
          <w:u w:val="single"/>
        </w:rPr>
      </w:pPr>
      <w:r w:rsidRPr="00CE44E7">
        <w:rPr>
          <w:u w:val="single"/>
        </w:rPr>
        <w:tab/>
      </w:r>
      <w:r w:rsidRPr="00CE44E7">
        <w:rPr>
          <w:u w:val="single"/>
        </w:rPr>
        <w:tab/>
      </w:r>
      <w:r w:rsidRPr="00CE44E7">
        <w:rPr>
          <w:u w:val="single"/>
        </w:rPr>
        <w:tab/>
      </w:r>
    </w:p>
    <w:p w14:paraId="51BA1F7B" w14:textId="77777777" w:rsidR="00E12C5F" w:rsidRPr="008D53B6" w:rsidRDefault="00E12C5F" w:rsidP="00D9145B"/>
    <w:sectPr w:rsidR="00E12C5F" w:rsidRPr="008D53B6" w:rsidSect="00DF4E5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92BA" w14:textId="77777777" w:rsidR="008B70AB" w:rsidRPr="00A312BC" w:rsidRDefault="008B70AB" w:rsidP="00A312BC"/>
  </w:endnote>
  <w:endnote w:type="continuationSeparator" w:id="0">
    <w:p w14:paraId="60BB1625" w14:textId="77777777" w:rsidR="008B70AB" w:rsidRPr="00A312BC" w:rsidRDefault="008B70A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E408" w14:textId="514A63C2" w:rsidR="00DF4E58" w:rsidRPr="00DF4E58" w:rsidRDefault="00DF4E58">
    <w:pPr>
      <w:pStyle w:val="a8"/>
    </w:pPr>
    <w:r w:rsidRPr="00DF4E58">
      <w:rPr>
        <w:b/>
        <w:sz w:val="18"/>
      </w:rPr>
      <w:fldChar w:fldCharType="begin"/>
    </w:r>
    <w:r w:rsidRPr="00DF4E58">
      <w:rPr>
        <w:b/>
        <w:sz w:val="18"/>
      </w:rPr>
      <w:instrText xml:space="preserve"> PAGE  \* MERGEFORMAT </w:instrText>
    </w:r>
    <w:r w:rsidRPr="00DF4E58">
      <w:rPr>
        <w:b/>
        <w:sz w:val="18"/>
      </w:rPr>
      <w:fldChar w:fldCharType="separate"/>
    </w:r>
    <w:r w:rsidRPr="00DF4E58">
      <w:rPr>
        <w:b/>
        <w:noProof/>
        <w:sz w:val="18"/>
      </w:rPr>
      <w:t>2</w:t>
    </w:r>
    <w:r w:rsidRPr="00DF4E58">
      <w:rPr>
        <w:b/>
        <w:sz w:val="18"/>
      </w:rPr>
      <w:fldChar w:fldCharType="end"/>
    </w:r>
    <w:r>
      <w:rPr>
        <w:b/>
        <w:sz w:val="18"/>
      </w:rPr>
      <w:tab/>
    </w:r>
    <w:r>
      <w:t>GE.23-21808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1C1" w14:textId="145A1869" w:rsidR="00DF4E58" w:rsidRPr="00DF4E58" w:rsidRDefault="00DF4E58" w:rsidP="00DF4E58">
    <w:pPr>
      <w:pStyle w:val="a8"/>
      <w:tabs>
        <w:tab w:val="clear" w:pos="9639"/>
        <w:tab w:val="right" w:pos="9638"/>
      </w:tabs>
      <w:rPr>
        <w:b/>
        <w:sz w:val="18"/>
      </w:rPr>
    </w:pPr>
    <w:r>
      <w:t>GE.23-21808</w:t>
    </w:r>
    <w:r>
      <w:tab/>
    </w:r>
    <w:r w:rsidRPr="00DF4E58">
      <w:rPr>
        <w:b/>
        <w:sz w:val="18"/>
      </w:rPr>
      <w:fldChar w:fldCharType="begin"/>
    </w:r>
    <w:r w:rsidRPr="00DF4E58">
      <w:rPr>
        <w:b/>
        <w:sz w:val="18"/>
      </w:rPr>
      <w:instrText xml:space="preserve"> PAGE  \* MERGEFORMAT </w:instrText>
    </w:r>
    <w:r w:rsidRPr="00DF4E58">
      <w:rPr>
        <w:b/>
        <w:sz w:val="18"/>
      </w:rPr>
      <w:fldChar w:fldCharType="separate"/>
    </w:r>
    <w:r w:rsidRPr="00DF4E58">
      <w:rPr>
        <w:b/>
        <w:noProof/>
        <w:sz w:val="18"/>
      </w:rPr>
      <w:t>3</w:t>
    </w:r>
    <w:r w:rsidRPr="00DF4E5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5A9" w14:textId="72690F8E" w:rsidR="00042B72" w:rsidRPr="00DF4E58" w:rsidRDefault="00DF4E58" w:rsidP="00DF4E5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2A24203" wp14:editId="66AEDE3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23-21808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683C12" wp14:editId="373FF18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221123  221123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AC41" w14:textId="77777777" w:rsidR="008B70AB" w:rsidRPr="001075E9" w:rsidRDefault="008B70A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7C6148" w14:textId="77777777" w:rsidR="008B70AB" w:rsidRDefault="008B70A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2043713" w14:textId="50F16365" w:rsidR="00DF4E58" w:rsidRPr="00CE44E7" w:rsidRDefault="00DF4E58" w:rsidP="00DF4E58">
      <w:pPr>
        <w:pStyle w:val="ad"/>
        <w:rPr>
          <w:szCs w:val="18"/>
        </w:rPr>
      </w:pPr>
      <w:r>
        <w:tab/>
      </w:r>
      <w:r w:rsidRPr="00DF4E58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</w:t>
      </w:r>
      <w:r w:rsidR="003764C1">
        <w:rPr>
          <w:lang w:val="en-US"/>
        </w:rPr>
        <w:t> </w:t>
      </w:r>
      <w:r>
        <w:t>условным обозначением CCNR-ZKR/ADN/WP.15/AC.2/2024/12.</w:t>
      </w:r>
    </w:p>
  </w:footnote>
  <w:footnote w:id="2">
    <w:p w14:paraId="16C19F5C" w14:textId="77777777" w:rsidR="00DF4E58" w:rsidRPr="00DF5B53" w:rsidRDefault="00DF4E58" w:rsidP="00DF4E58">
      <w:pPr>
        <w:pStyle w:val="ad"/>
        <w:rPr>
          <w:szCs w:val="18"/>
        </w:rPr>
      </w:pPr>
      <w:r>
        <w:tab/>
      </w:r>
      <w:r w:rsidRPr="00DF4E58">
        <w:rPr>
          <w:sz w:val="20"/>
        </w:rPr>
        <w:t>**</w:t>
      </w:r>
      <w:r w:rsidRPr="00DF4E58">
        <w:rPr>
          <w:sz w:val="20"/>
        </w:rPr>
        <w:tab/>
      </w:r>
      <w:r>
        <w:t>A/78/6 (разд. 20), таблица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332C" w14:textId="79917C5A" w:rsidR="00DF4E58" w:rsidRPr="00DF4E58" w:rsidRDefault="00A93DF7">
    <w:pPr>
      <w:pStyle w:val="a5"/>
    </w:pPr>
    <w:fldSimple w:instr=" TITLE  \* MERGEFORMAT ">
      <w:r w:rsidR="00376447">
        <w:t>ECE/TRANS/WP.15/AC.2/2024/12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0A23" w14:textId="435B6186" w:rsidR="00DF4E58" w:rsidRPr="00DF4E58" w:rsidRDefault="00A93DF7" w:rsidP="00DF4E58">
    <w:pPr>
      <w:pStyle w:val="a5"/>
      <w:jc w:val="right"/>
    </w:pPr>
    <w:fldSimple w:instr=" TITLE  \* MERGEFORMAT ">
      <w:r w:rsidR="00376447">
        <w:t>ECE/TRANS/WP.15/AC.2/2024/12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6265466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6447"/>
    <w:rsid w:val="003764C1"/>
    <w:rsid w:val="00381C24"/>
    <w:rsid w:val="00387CD4"/>
    <w:rsid w:val="003958D0"/>
    <w:rsid w:val="003A0D43"/>
    <w:rsid w:val="003A48CE"/>
    <w:rsid w:val="003B00E5"/>
    <w:rsid w:val="003D40D6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35A4A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130"/>
    <w:rsid w:val="00806737"/>
    <w:rsid w:val="00825F8D"/>
    <w:rsid w:val="00834B71"/>
    <w:rsid w:val="0086445C"/>
    <w:rsid w:val="00894693"/>
    <w:rsid w:val="008A08D7"/>
    <w:rsid w:val="008A37C8"/>
    <w:rsid w:val="008B6909"/>
    <w:rsid w:val="008B70AB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93DF7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4E58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30AF0"/>
  <w15:docId w15:val="{4BC98C95-C58A-47B1-A756-98993E1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DF4E58"/>
    <w:rPr>
      <w:lang w:val="ru-RU" w:eastAsia="en-US"/>
    </w:rPr>
  </w:style>
  <w:style w:type="paragraph" w:customStyle="1" w:styleId="ParNoG">
    <w:name w:val="_ParNo_G"/>
    <w:basedOn w:val="a"/>
    <w:qFormat/>
    <w:rsid w:val="00DF4E58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734DC-7FFA-4BCA-96C2-B8A515C928BA}"/>
</file>

<file path=customXml/itemProps2.xml><?xml version="1.0" encoding="utf-8"?>
<ds:datastoreItem xmlns:ds="http://schemas.openxmlformats.org/officeDocument/2006/customXml" ds:itemID="{21B4F9E8-49EE-477B-A6F1-53206A398B2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4</Pages>
  <Words>1173</Words>
  <Characters>8404</Characters>
  <Application>Microsoft Office Word</Application>
  <DocSecurity>0</DocSecurity>
  <Lines>163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ECE/TRANS/WP.15/AC.2/2024/12</dc:title>
  <dc:subject/>
  <dc:creator>No author</dc:creator>
  <cp:keywords/>
  <cp:lastModifiedBy>Ioulia Goussarova</cp:lastModifiedBy>
  <cp:revision>3</cp:revision>
  <cp:lastPrinted>2023-11-22T17:24:00Z</cp:lastPrinted>
  <dcterms:created xsi:type="dcterms:W3CDTF">2023-11-22T17:24:00Z</dcterms:created>
  <dcterms:modified xsi:type="dcterms:W3CDTF">2023-11-22T17:24:00Z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