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BCF2" w14:textId="5003C105" w:rsidR="00264628" w:rsidRPr="002B7CD9" w:rsidRDefault="00264628" w:rsidP="00264628">
      <w:pPr>
        <w:snapToGrid w:val="0"/>
        <w:spacing w:line="240" w:lineRule="auto"/>
        <w:ind w:left="5387" w:right="-286"/>
        <w:outlineLvl w:val="0"/>
        <w:rPr>
          <w:rFonts w:ascii="Arial" w:eastAsia="Arial" w:hAnsi="Arial" w:cs="Arial"/>
          <w:bCs/>
          <w:snapToGrid/>
          <w:szCs w:val="24"/>
          <w:lang w:val="en-US" w:eastAsia="de-DE"/>
        </w:rPr>
      </w:pPr>
      <w:r w:rsidRPr="001B5DF4">
        <w:rPr>
          <w:rFonts w:ascii="Arial" w:eastAsia="Arial" w:hAnsi="Arial" w:cs="Arial"/>
          <w:bCs/>
          <w:noProof/>
          <w:snapToGrid/>
          <w:szCs w:val="24"/>
          <w:lang w:eastAsia="de-DE"/>
        </w:rPr>
        <w:drawing>
          <wp:anchor distT="0" distB="0" distL="114300" distR="114300" simplePos="0" relativeHeight="251659264" behindDoc="0" locked="0" layoutInCell="1" allowOverlap="1" wp14:anchorId="28074C82" wp14:editId="3B0EDC89">
            <wp:simplePos x="0" y="0"/>
            <wp:positionH relativeFrom="column">
              <wp:posOffset>0</wp:posOffset>
            </wp:positionH>
            <wp:positionV relativeFrom="paragraph">
              <wp:posOffset>-68580</wp:posOffset>
            </wp:positionV>
            <wp:extent cx="1713865" cy="604520"/>
            <wp:effectExtent l="0" t="0" r="63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2B7CD9">
        <w:rPr>
          <w:rFonts w:ascii="Arial" w:eastAsia="Arial" w:hAnsi="Arial" w:cs="Arial"/>
          <w:bCs/>
          <w:snapToGrid/>
          <w:szCs w:val="24"/>
          <w:lang w:val="en-US" w:eastAsia="de-DE"/>
        </w:rPr>
        <w:t>CCNR-ZKR/ADN/WP.15/AC.2/</w:t>
      </w:r>
      <w:r w:rsidR="003E2E1E" w:rsidRPr="002B7CD9">
        <w:rPr>
          <w:rFonts w:ascii="Arial" w:eastAsia="Arial" w:hAnsi="Arial" w:cs="Arial"/>
          <w:bCs/>
          <w:snapToGrid/>
          <w:szCs w:val="24"/>
          <w:lang w:val="en-US" w:eastAsia="de-DE"/>
        </w:rPr>
        <w:t>20</w:t>
      </w:r>
      <w:r w:rsidR="002279FD" w:rsidRPr="002B7CD9">
        <w:rPr>
          <w:rFonts w:ascii="Arial" w:eastAsia="Arial" w:hAnsi="Arial" w:cs="Arial"/>
          <w:bCs/>
          <w:snapToGrid/>
          <w:szCs w:val="24"/>
          <w:lang w:val="en-US" w:eastAsia="de-DE"/>
        </w:rPr>
        <w:t>24</w:t>
      </w:r>
      <w:r w:rsidR="003E2E1E" w:rsidRPr="002B7CD9">
        <w:rPr>
          <w:rFonts w:ascii="Arial" w:eastAsia="Arial" w:hAnsi="Arial" w:cs="Arial"/>
          <w:bCs/>
          <w:snapToGrid/>
          <w:szCs w:val="24"/>
          <w:lang w:val="en-US" w:eastAsia="de-DE"/>
        </w:rPr>
        <w:t>/</w:t>
      </w:r>
      <w:r w:rsidR="00920554">
        <w:rPr>
          <w:rFonts w:ascii="Arial" w:eastAsia="Arial" w:hAnsi="Arial" w:cs="Arial"/>
          <w:bCs/>
          <w:snapToGrid/>
          <w:szCs w:val="24"/>
          <w:lang w:val="en-US" w:eastAsia="de-DE"/>
        </w:rPr>
        <w:t>2</w:t>
      </w:r>
    </w:p>
    <w:p w14:paraId="258988ED" w14:textId="77777777" w:rsidR="00264628" w:rsidRPr="001B5DF4" w:rsidRDefault="00264628" w:rsidP="00264628">
      <w:pPr>
        <w:tabs>
          <w:tab w:val="left" w:pos="5670"/>
        </w:tabs>
        <w:suppressAutoHyphens w:val="0"/>
        <w:snapToGrid w:val="0"/>
        <w:spacing w:line="240" w:lineRule="auto"/>
        <w:ind w:left="5387"/>
        <w:rPr>
          <w:rFonts w:ascii="Arial" w:hAnsi="Arial" w:cs="Arial"/>
          <w:snapToGrid/>
          <w:sz w:val="16"/>
          <w:szCs w:val="24"/>
          <w:lang w:eastAsia="de-DE"/>
        </w:rPr>
      </w:pPr>
      <w:r w:rsidRPr="001B5DF4">
        <w:rPr>
          <w:rFonts w:ascii="Arial" w:hAnsi="Arial" w:cs="Arial"/>
          <w:snapToGrid/>
          <w:sz w:val="16"/>
          <w:szCs w:val="24"/>
          <w:lang w:eastAsia="de-DE"/>
        </w:rPr>
        <w:t>Allgemeine Verteilung</w:t>
      </w:r>
    </w:p>
    <w:p w14:paraId="2856AD10" w14:textId="258621D9" w:rsidR="00264628" w:rsidRPr="001B5DF4" w:rsidRDefault="00920554" w:rsidP="00264628">
      <w:pPr>
        <w:tabs>
          <w:tab w:val="right" w:pos="3856"/>
          <w:tab w:val="left" w:pos="5670"/>
        </w:tabs>
        <w:suppressAutoHyphens w:val="0"/>
        <w:snapToGrid w:val="0"/>
        <w:spacing w:line="240" w:lineRule="auto"/>
        <w:ind w:left="5387"/>
        <w:rPr>
          <w:rFonts w:ascii="Arial" w:hAnsi="Arial" w:cs="Arial"/>
          <w:snapToGrid/>
          <w:szCs w:val="24"/>
          <w:lang w:eastAsia="de-DE"/>
        </w:rPr>
      </w:pPr>
      <w:r>
        <w:rPr>
          <w:rFonts w:ascii="Arial" w:eastAsia="Arial" w:hAnsi="Arial" w:cs="Arial"/>
          <w:snapToGrid/>
          <w:szCs w:val="24"/>
          <w:lang w:eastAsia="de-DE"/>
        </w:rPr>
        <w:t>2. November</w:t>
      </w:r>
      <w:r w:rsidR="00264628" w:rsidRPr="001B5DF4">
        <w:rPr>
          <w:rFonts w:ascii="Arial" w:eastAsia="Arial" w:hAnsi="Arial" w:cs="Arial"/>
          <w:snapToGrid/>
          <w:szCs w:val="24"/>
          <w:lang w:eastAsia="de-DE"/>
        </w:rPr>
        <w:t xml:space="preserve"> 202</w:t>
      </w:r>
      <w:r w:rsidR="003E2E1E" w:rsidRPr="001B5DF4">
        <w:rPr>
          <w:rFonts w:ascii="Arial" w:eastAsia="Arial" w:hAnsi="Arial" w:cs="Arial"/>
          <w:snapToGrid/>
          <w:szCs w:val="24"/>
          <w:lang w:eastAsia="de-DE"/>
        </w:rPr>
        <w:t>3</w:t>
      </w:r>
    </w:p>
    <w:p w14:paraId="203A04CC" w14:textId="77777777" w:rsidR="00264628" w:rsidRPr="001B5DF4" w:rsidRDefault="00264628" w:rsidP="00264628">
      <w:pPr>
        <w:tabs>
          <w:tab w:val="right" w:pos="3856"/>
          <w:tab w:val="left" w:pos="5670"/>
        </w:tabs>
        <w:suppressAutoHyphens w:val="0"/>
        <w:snapToGrid w:val="0"/>
        <w:spacing w:line="240" w:lineRule="auto"/>
        <w:ind w:left="5387" w:right="565"/>
        <w:rPr>
          <w:rFonts w:ascii="Arial" w:eastAsia="Arial" w:hAnsi="Arial" w:cs="Arial"/>
          <w:snapToGrid/>
          <w:sz w:val="16"/>
          <w:szCs w:val="24"/>
          <w:lang w:eastAsia="de-DE"/>
        </w:rPr>
      </w:pPr>
      <w:r w:rsidRPr="001B5DF4">
        <w:rPr>
          <w:rFonts w:ascii="Arial" w:eastAsia="Arial" w:hAnsi="Arial" w:cs="Arial"/>
          <w:snapToGrid/>
          <w:sz w:val="16"/>
          <w:szCs w:val="24"/>
          <w:lang w:eastAsia="de-DE"/>
        </w:rPr>
        <w:t xml:space="preserve">Or. </w:t>
      </w:r>
      <w:r w:rsidR="00B71F3F">
        <w:rPr>
          <w:rFonts w:ascii="Arial" w:eastAsia="Arial" w:hAnsi="Arial" w:cs="Arial"/>
          <w:snapToGrid/>
          <w:sz w:val="16"/>
          <w:szCs w:val="24"/>
          <w:lang w:eastAsia="de-DE"/>
        </w:rPr>
        <w:t>DEUTSCH</w:t>
      </w:r>
    </w:p>
    <w:p w14:paraId="6CD6D29C" w14:textId="77777777" w:rsidR="00264628" w:rsidRPr="001B5DF4" w:rsidRDefault="00264628" w:rsidP="00264628">
      <w:pPr>
        <w:suppressAutoHyphens w:val="0"/>
        <w:snapToGrid w:val="0"/>
        <w:spacing w:line="240" w:lineRule="auto"/>
        <w:rPr>
          <w:rFonts w:ascii="Arial" w:hAnsi="Arial" w:cs="Arial"/>
          <w:snapToGrid/>
          <w:sz w:val="16"/>
          <w:szCs w:val="24"/>
          <w:lang w:eastAsia="de-DE"/>
        </w:rPr>
      </w:pPr>
    </w:p>
    <w:p w14:paraId="085A95F9" w14:textId="77777777" w:rsidR="00264628" w:rsidRPr="001B5DF4" w:rsidRDefault="00264628" w:rsidP="00264628">
      <w:pPr>
        <w:tabs>
          <w:tab w:val="left" w:pos="2977"/>
        </w:tabs>
        <w:suppressAutoHyphens w:val="0"/>
        <w:snapToGrid w:val="0"/>
        <w:spacing w:line="240" w:lineRule="auto"/>
        <w:ind w:left="3958"/>
        <w:rPr>
          <w:rFonts w:ascii="Arial" w:hAnsi="Arial"/>
          <w:snapToGrid/>
          <w:sz w:val="16"/>
        </w:rPr>
      </w:pPr>
      <w:r w:rsidRPr="001B5DF4">
        <w:rPr>
          <w:rFonts w:ascii="Arial" w:hAnsi="Arial"/>
          <w:snapToGrid/>
          <w:sz w:val="16"/>
        </w:rPr>
        <w:t xml:space="preserve">GEMEINSAME EXPERTENTAGUNG FÜR DIE DEM ÜBEREINKOMMEN ÜBER DIE INTERNATIONALE BEFÖRDERUNG VON GEFÄHRLICHEN GÜTERN AUF </w:t>
      </w:r>
      <w:r w:rsidRPr="001B5DF4">
        <w:rPr>
          <w:rFonts w:ascii="Arial" w:eastAsia="Calibri" w:hAnsi="Arial"/>
          <w:snapToGrid/>
          <w:sz w:val="16"/>
        </w:rPr>
        <w:t xml:space="preserve">BINNENWASSERSTRAẞEN (ADN) </w:t>
      </w:r>
      <w:r w:rsidRPr="001B5DF4">
        <w:rPr>
          <w:rFonts w:ascii="Arial" w:hAnsi="Arial"/>
          <w:snapToGrid/>
          <w:sz w:val="16"/>
        </w:rPr>
        <w:t>BEIGEFÜGTE VERORDNUNG (SICHERHEITSAUSSCHUSS)</w:t>
      </w:r>
    </w:p>
    <w:p w14:paraId="16382922" w14:textId="77777777" w:rsidR="00264628" w:rsidRPr="001B5DF4" w:rsidRDefault="00264628" w:rsidP="00264628">
      <w:pPr>
        <w:tabs>
          <w:tab w:val="left" w:pos="2977"/>
        </w:tabs>
        <w:suppressAutoHyphens w:val="0"/>
        <w:snapToGrid w:val="0"/>
        <w:spacing w:line="240" w:lineRule="auto"/>
        <w:ind w:left="3960"/>
        <w:rPr>
          <w:rFonts w:ascii="Arial" w:hAnsi="Arial"/>
          <w:snapToGrid/>
          <w:sz w:val="16"/>
          <w:szCs w:val="24"/>
        </w:rPr>
      </w:pPr>
      <w:r w:rsidRPr="001B5DF4">
        <w:rPr>
          <w:rFonts w:ascii="Arial" w:hAnsi="Arial"/>
          <w:snapToGrid/>
          <w:sz w:val="16"/>
          <w:szCs w:val="24"/>
        </w:rPr>
        <w:t>(4</w:t>
      </w:r>
      <w:r w:rsidR="002279FD">
        <w:rPr>
          <w:rFonts w:ascii="Arial" w:hAnsi="Arial"/>
          <w:snapToGrid/>
          <w:sz w:val="16"/>
          <w:szCs w:val="24"/>
        </w:rPr>
        <w:t>3</w:t>
      </w:r>
      <w:r w:rsidRPr="001B5DF4">
        <w:rPr>
          <w:rFonts w:ascii="Arial" w:hAnsi="Arial"/>
          <w:snapToGrid/>
          <w:sz w:val="16"/>
          <w:szCs w:val="24"/>
        </w:rPr>
        <w:t xml:space="preserve">. Tagung, Genf, </w:t>
      </w:r>
      <w:r w:rsidR="002279FD">
        <w:rPr>
          <w:rFonts w:ascii="Arial" w:hAnsi="Arial"/>
          <w:snapToGrid/>
          <w:sz w:val="16"/>
          <w:szCs w:val="24"/>
        </w:rPr>
        <w:t>22. – 26.</w:t>
      </w:r>
      <w:r w:rsidRPr="001B5DF4">
        <w:rPr>
          <w:rFonts w:ascii="Arial" w:hAnsi="Arial"/>
          <w:snapToGrid/>
          <w:sz w:val="16"/>
          <w:szCs w:val="24"/>
        </w:rPr>
        <w:t xml:space="preserve"> </w:t>
      </w:r>
      <w:r w:rsidR="002279FD">
        <w:rPr>
          <w:rFonts w:ascii="Arial" w:hAnsi="Arial"/>
          <w:snapToGrid/>
          <w:sz w:val="16"/>
          <w:szCs w:val="24"/>
        </w:rPr>
        <w:t>Januar</w:t>
      </w:r>
      <w:r w:rsidRPr="001B5DF4">
        <w:rPr>
          <w:rFonts w:ascii="Arial" w:hAnsi="Arial"/>
          <w:snapToGrid/>
          <w:sz w:val="16"/>
          <w:szCs w:val="24"/>
        </w:rPr>
        <w:t xml:space="preserve"> 202</w:t>
      </w:r>
      <w:r w:rsidR="002279FD">
        <w:rPr>
          <w:rFonts w:ascii="Arial" w:hAnsi="Arial"/>
          <w:snapToGrid/>
          <w:sz w:val="16"/>
          <w:szCs w:val="24"/>
        </w:rPr>
        <w:t>4</w:t>
      </w:r>
      <w:r w:rsidRPr="001B5DF4">
        <w:rPr>
          <w:rFonts w:ascii="Arial" w:hAnsi="Arial"/>
          <w:snapToGrid/>
          <w:sz w:val="16"/>
          <w:szCs w:val="24"/>
        </w:rPr>
        <w:t>)</w:t>
      </w:r>
    </w:p>
    <w:p w14:paraId="038EAF42" w14:textId="13C80BD1" w:rsidR="00264628" w:rsidRPr="001B5DF4" w:rsidRDefault="00264628" w:rsidP="00264628">
      <w:pPr>
        <w:tabs>
          <w:tab w:val="left" w:pos="2977"/>
        </w:tabs>
        <w:suppressAutoHyphens w:val="0"/>
        <w:snapToGrid w:val="0"/>
        <w:spacing w:line="240" w:lineRule="auto"/>
        <w:ind w:left="3960"/>
        <w:rPr>
          <w:rFonts w:ascii="Arial" w:hAnsi="Arial" w:cs="Arial"/>
          <w:snapToGrid/>
          <w:sz w:val="16"/>
          <w:szCs w:val="16"/>
          <w:lang w:eastAsia="en-US"/>
        </w:rPr>
      </w:pPr>
      <w:r w:rsidRPr="001B5DF4">
        <w:rPr>
          <w:rFonts w:ascii="Arial" w:hAnsi="Arial" w:cs="Arial"/>
          <w:snapToGrid/>
          <w:sz w:val="16"/>
          <w:szCs w:val="16"/>
          <w:lang w:eastAsia="en-US"/>
        </w:rPr>
        <w:t xml:space="preserve">Punkt </w:t>
      </w:r>
      <w:r w:rsidR="00920554">
        <w:rPr>
          <w:rFonts w:ascii="Arial" w:hAnsi="Arial" w:cs="Arial"/>
          <w:snapToGrid/>
          <w:sz w:val="16"/>
          <w:szCs w:val="16"/>
          <w:lang w:eastAsia="en-US"/>
        </w:rPr>
        <w:t>5 b</w:t>
      </w:r>
      <w:r w:rsidR="008E71D0">
        <w:rPr>
          <w:rFonts w:ascii="Arial" w:hAnsi="Arial" w:cs="Arial"/>
          <w:snapToGrid/>
          <w:sz w:val="16"/>
          <w:szCs w:val="16"/>
          <w:lang w:eastAsia="en-US"/>
        </w:rPr>
        <w:t>)</w:t>
      </w:r>
      <w:r w:rsidRPr="001B5DF4">
        <w:rPr>
          <w:rFonts w:ascii="Arial" w:hAnsi="Arial" w:cs="Arial"/>
          <w:snapToGrid/>
          <w:sz w:val="16"/>
          <w:szCs w:val="16"/>
          <w:lang w:eastAsia="en-US"/>
        </w:rPr>
        <w:t xml:space="preserve"> zur vorläufigen Tagesordnung</w:t>
      </w:r>
    </w:p>
    <w:p w14:paraId="13E62968" w14:textId="77777777" w:rsidR="00264628" w:rsidRPr="001B5DF4" w:rsidRDefault="00264628" w:rsidP="00264628">
      <w:pPr>
        <w:widowControl w:val="0"/>
        <w:tabs>
          <w:tab w:val="left" w:pos="2977"/>
        </w:tabs>
        <w:suppressAutoHyphens w:val="0"/>
        <w:overflowPunct w:val="0"/>
        <w:autoSpaceDE w:val="0"/>
        <w:autoSpaceDN w:val="0"/>
        <w:adjustRightInd w:val="0"/>
        <w:spacing w:line="240" w:lineRule="auto"/>
        <w:ind w:left="3960" w:firstLine="9"/>
        <w:jc w:val="both"/>
        <w:textAlignment w:val="baseline"/>
        <w:rPr>
          <w:rFonts w:ascii="Arial" w:hAnsi="Arial" w:cs="Arial"/>
          <w:b/>
          <w:snapToGrid/>
          <w:sz w:val="16"/>
          <w:szCs w:val="16"/>
          <w:lang w:eastAsia="en-US"/>
        </w:rPr>
      </w:pPr>
      <w:r w:rsidRPr="001B5DF4">
        <w:rPr>
          <w:rFonts w:ascii="Arial" w:hAnsi="Arial" w:cs="Arial"/>
          <w:b/>
          <w:snapToGrid/>
          <w:sz w:val="16"/>
          <w:szCs w:val="16"/>
          <w:lang w:eastAsia="en-US"/>
        </w:rPr>
        <w:t>Vorschläge für Änderungen der dem ADN beigefügten Verordnung: Weitere Änderungsvorschläge</w:t>
      </w:r>
    </w:p>
    <w:p w14:paraId="4A464D1A" w14:textId="77777777" w:rsidR="00264628" w:rsidRDefault="00264628" w:rsidP="00264628"/>
    <w:p w14:paraId="2D309060" w14:textId="77777777" w:rsidR="004C25A6" w:rsidRPr="001B5DF4" w:rsidRDefault="004C25A6" w:rsidP="00264628"/>
    <w:p w14:paraId="0608BC1C" w14:textId="03977775" w:rsidR="003159A0" w:rsidRPr="001B5DF4" w:rsidRDefault="00BB7C53" w:rsidP="00264628">
      <w:pPr>
        <w:pStyle w:val="HChG"/>
        <w:keepNext w:val="0"/>
        <w:keepLines w:val="0"/>
        <w:spacing w:before="0" w:after="0" w:line="240" w:lineRule="atLeast"/>
        <w:jc w:val="both"/>
      </w:pPr>
      <w:r w:rsidRPr="001B5DF4">
        <w:rPr>
          <w:bCs/>
          <w:szCs w:val="24"/>
        </w:rPr>
        <w:tab/>
      </w:r>
      <w:r w:rsidRPr="001B5DF4">
        <w:rPr>
          <w:bCs/>
          <w:szCs w:val="24"/>
        </w:rPr>
        <w:tab/>
      </w:r>
      <w:r w:rsidR="002B7CD9" w:rsidRPr="002B7CD9">
        <w:rPr>
          <w:bCs/>
          <w:szCs w:val="24"/>
        </w:rPr>
        <w:t>Widerspruch zwischen 9.3.x.51 und 7.2.3.51.4</w:t>
      </w:r>
    </w:p>
    <w:p w14:paraId="18253399" w14:textId="77777777" w:rsidR="00264628" w:rsidRPr="001B5DF4" w:rsidRDefault="00264628" w:rsidP="00264628"/>
    <w:p w14:paraId="66393B9D" w14:textId="77836A38" w:rsidR="00264628" w:rsidRPr="001B5DF4" w:rsidRDefault="00264628" w:rsidP="00920554">
      <w:pPr>
        <w:keepNext/>
        <w:keepLines/>
        <w:snapToGrid w:val="0"/>
        <w:spacing w:after="120"/>
        <w:ind w:left="1134" w:right="567"/>
        <w:rPr>
          <w:b/>
          <w:snapToGrid/>
          <w:sz w:val="18"/>
          <w:vertAlign w:val="superscript"/>
        </w:rPr>
      </w:pPr>
      <w:r w:rsidRPr="001B5DF4">
        <w:rPr>
          <w:b/>
          <w:snapToGrid/>
          <w:sz w:val="24"/>
        </w:rPr>
        <w:t xml:space="preserve">Eingereicht von </w:t>
      </w:r>
      <w:r w:rsidR="002B7CD9">
        <w:rPr>
          <w:b/>
          <w:snapToGrid/>
          <w:sz w:val="24"/>
        </w:rPr>
        <w:t>Österreich</w:t>
      </w:r>
      <w:r w:rsidRPr="001B5DF4">
        <w:rPr>
          <w:bCs/>
          <w:snapToGrid/>
          <w:lang w:eastAsia="en-US"/>
        </w:rPr>
        <w:footnoteReference w:customMarkFollows="1" w:id="2"/>
        <w:t>*</w:t>
      </w:r>
      <w:r w:rsidRPr="001B5DF4">
        <w:rPr>
          <w:bCs/>
          <w:snapToGrid/>
          <w:vertAlign w:val="superscript"/>
          <w:lang w:eastAsia="en-US"/>
        </w:rPr>
        <w:t>,</w:t>
      </w:r>
      <w:r w:rsidRPr="001B5DF4">
        <w:rPr>
          <w:b/>
          <w:snapToGrid/>
          <w:vertAlign w:val="superscript"/>
          <w:lang w:eastAsia="en-US"/>
        </w:rPr>
        <w:t xml:space="preserve"> </w:t>
      </w:r>
      <w:r w:rsidRPr="001B5DF4">
        <w:rPr>
          <w:bCs/>
          <w:snapToGrid/>
          <w:lang w:eastAsia="en-US"/>
        </w:rPr>
        <w:footnoteReference w:customMarkFollows="1" w:id="3"/>
        <w:t>**</w:t>
      </w:r>
    </w:p>
    <w:p w14:paraId="3CB0D75E" w14:textId="77777777" w:rsidR="00E069EE" w:rsidRPr="001B5DF4" w:rsidRDefault="00E069EE" w:rsidP="002646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2B7CD9" w:rsidRPr="002B7CD9" w14:paraId="12294157" w14:textId="77777777" w:rsidTr="002B7CD9">
        <w:tc>
          <w:tcPr>
            <w:tcW w:w="8953" w:type="dxa"/>
            <w:tcBorders>
              <w:top w:val="single" w:sz="4" w:space="0" w:color="auto"/>
              <w:left w:val="single" w:sz="4" w:space="0" w:color="auto"/>
              <w:bottom w:val="single" w:sz="4" w:space="0" w:color="auto"/>
              <w:right w:val="single" w:sz="4" w:space="0" w:color="auto"/>
            </w:tcBorders>
            <w:hideMark/>
          </w:tcPr>
          <w:p w14:paraId="3D631D00" w14:textId="1BF088DE" w:rsidR="002B7CD9" w:rsidRDefault="002B7CD9" w:rsidP="004C25A6">
            <w:pPr>
              <w:outlineLvl w:val="1"/>
              <w:rPr>
                <w:b/>
                <w:snapToGrid/>
              </w:rPr>
            </w:pPr>
            <w:bookmarkStart w:id="0" w:name="_Hlk33099984"/>
            <w:r w:rsidRPr="002B7CD9">
              <w:rPr>
                <w:snapToGrid/>
              </w:rPr>
              <w:br w:type="page"/>
            </w:r>
            <w:r w:rsidR="004C25A6" w:rsidRPr="005C2737">
              <w:rPr>
                <w:b/>
                <w:snapToGrid/>
              </w:rPr>
              <w:t>Zusammenfassung</w:t>
            </w:r>
          </w:p>
          <w:p w14:paraId="12979231" w14:textId="77777777" w:rsidR="005C2737" w:rsidRPr="002B7CD9" w:rsidRDefault="005C2737" w:rsidP="004C25A6">
            <w:pPr>
              <w:outlineLvl w:val="1"/>
              <w:rPr>
                <w:b/>
                <w:bCs/>
                <w:snapToGrid/>
                <w:sz w:val="24"/>
              </w:rPr>
            </w:pPr>
          </w:p>
          <w:p w14:paraId="1E5C50EF" w14:textId="7A1824BF" w:rsidR="002B7CD9" w:rsidRDefault="002B7CD9" w:rsidP="004C25A6">
            <w:pPr>
              <w:ind w:left="2893" w:hanging="2859"/>
              <w:jc w:val="both"/>
              <w:rPr>
                <w:snapToGrid/>
              </w:rPr>
            </w:pPr>
            <w:r w:rsidRPr="002B7CD9">
              <w:rPr>
                <w:b/>
                <w:snapToGrid/>
              </w:rPr>
              <w:t>Analytische Zusammenfassung</w:t>
            </w:r>
            <w:r w:rsidRPr="002B7CD9">
              <w:rPr>
                <w:snapToGrid/>
              </w:rPr>
              <w:t>:</w:t>
            </w:r>
            <w:r w:rsidRPr="002B7CD9">
              <w:rPr>
                <w:snapToGrid/>
              </w:rPr>
              <w:tab/>
              <w:t>Bei den Bestimmungen für den Explosionsschutz besteht ein Widerspruch zwischen 9.3.x.51 und 7.2.3.51.4: Gemäß 9.3.x.51 muss die Anforderung gemäß c) immer eingehalten werden. Nur für die Anforderungen gemäß a) und b) ist die Ausnahme vorgesehen, dass die betroffenen Anlagen und Geräte stattdessen rot gekennzeichnet und abgeschaltet werden können. 7.2.3.51.4 erwähnt jedoch auch Anlagen und Geräte, die den Anforderungen von 9.3.x.5</w:t>
            </w:r>
            <w:r w:rsidR="007E00DF">
              <w:rPr>
                <w:snapToGrid/>
              </w:rPr>
              <w:t>1</w:t>
            </w:r>
            <w:r w:rsidRPr="002B7CD9">
              <w:rPr>
                <w:snapToGrid/>
              </w:rPr>
              <w:t xml:space="preserve"> c) nicht entsprechen und rot gekennzeichnet sind. Das ist irreführend und sollte korrigiert werden.</w:t>
            </w:r>
          </w:p>
          <w:p w14:paraId="2DC0450B" w14:textId="77777777" w:rsidR="004C25A6" w:rsidRPr="002B7CD9" w:rsidRDefault="004C25A6" w:rsidP="004C25A6">
            <w:pPr>
              <w:ind w:left="2893" w:hanging="2859"/>
              <w:jc w:val="both"/>
              <w:rPr>
                <w:snapToGrid/>
              </w:rPr>
            </w:pPr>
          </w:p>
          <w:p w14:paraId="5699A2AF" w14:textId="77777777" w:rsidR="002B7CD9" w:rsidRDefault="002B7CD9" w:rsidP="004C25A6">
            <w:pPr>
              <w:ind w:left="2893" w:hanging="2859"/>
              <w:jc w:val="both"/>
              <w:rPr>
                <w:snapToGrid/>
              </w:rPr>
            </w:pPr>
            <w:r w:rsidRPr="002B7CD9">
              <w:rPr>
                <w:b/>
                <w:snapToGrid/>
              </w:rPr>
              <w:t>Zu ergreifende Maßnahmen:</w:t>
            </w:r>
            <w:r w:rsidRPr="002B7CD9">
              <w:rPr>
                <w:snapToGrid/>
              </w:rPr>
              <w:tab/>
              <w:t xml:space="preserve">In 7.2.3.51.4 ist der Verweis auf 9.3.x.51 c) zu streichen </w:t>
            </w:r>
          </w:p>
          <w:p w14:paraId="6CD3DA36" w14:textId="77777777" w:rsidR="004C25A6" w:rsidRPr="002B7CD9" w:rsidRDefault="004C25A6" w:rsidP="004C25A6">
            <w:pPr>
              <w:ind w:left="2893" w:hanging="2859"/>
              <w:jc w:val="both"/>
              <w:rPr>
                <w:snapToGrid/>
              </w:rPr>
            </w:pPr>
          </w:p>
          <w:p w14:paraId="5F0306D0" w14:textId="77777777" w:rsidR="002B7CD9" w:rsidRPr="002B7CD9" w:rsidRDefault="002B7CD9" w:rsidP="004C25A6">
            <w:pPr>
              <w:ind w:left="2893" w:hanging="2859"/>
              <w:jc w:val="both"/>
              <w:rPr>
                <w:snapToGrid/>
              </w:rPr>
            </w:pPr>
            <w:r w:rsidRPr="002B7CD9">
              <w:rPr>
                <w:b/>
                <w:snapToGrid/>
              </w:rPr>
              <w:t>Verbundene Dokumente</w:t>
            </w:r>
            <w:r w:rsidRPr="002B7CD9">
              <w:rPr>
                <w:snapToGrid/>
              </w:rPr>
              <w:t>:</w:t>
            </w:r>
            <w:r w:rsidRPr="002B7CD9">
              <w:rPr>
                <w:snapToGrid/>
              </w:rPr>
              <w:tab/>
              <w:t>keine</w:t>
            </w:r>
          </w:p>
        </w:tc>
      </w:tr>
      <w:bookmarkEnd w:id="0"/>
    </w:tbl>
    <w:p w14:paraId="5D7E169D" w14:textId="77777777" w:rsidR="004C25A6" w:rsidRDefault="004C25A6" w:rsidP="002B7CD9">
      <w:pPr>
        <w:tabs>
          <w:tab w:val="left" w:pos="1701"/>
        </w:tabs>
        <w:suppressAutoHyphens w:val="0"/>
        <w:ind w:left="1134" w:right="-1" w:hanging="567"/>
        <w:jc w:val="both"/>
        <w:rPr>
          <w:b/>
          <w:bCs/>
          <w:sz w:val="28"/>
          <w:szCs w:val="28"/>
        </w:rPr>
      </w:pPr>
    </w:p>
    <w:p w14:paraId="47105B78" w14:textId="77777777" w:rsidR="004C25A6" w:rsidRDefault="004C25A6">
      <w:pPr>
        <w:suppressAutoHyphens w:val="0"/>
        <w:spacing w:line="240" w:lineRule="auto"/>
        <w:rPr>
          <w:b/>
          <w:bCs/>
          <w:sz w:val="28"/>
          <w:szCs w:val="28"/>
        </w:rPr>
      </w:pPr>
      <w:r>
        <w:rPr>
          <w:b/>
          <w:bCs/>
          <w:sz w:val="28"/>
          <w:szCs w:val="28"/>
        </w:rPr>
        <w:br w:type="page"/>
      </w:r>
    </w:p>
    <w:p w14:paraId="47779F40" w14:textId="493666BE" w:rsidR="00466248" w:rsidRPr="002B7CD9" w:rsidRDefault="001830F0" w:rsidP="002B7CD9">
      <w:pPr>
        <w:tabs>
          <w:tab w:val="left" w:pos="1701"/>
        </w:tabs>
        <w:suppressAutoHyphens w:val="0"/>
        <w:ind w:left="1134" w:right="-1" w:hanging="567"/>
        <w:jc w:val="both"/>
        <w:rPr>
          <w:b/>
          <w:bCs/>
          <w:sz w:val="28"/>
          <w:szCs w:val="28"/>
        </w:rPr>
      </w:pPr>
      <w:r>
        <w:rPr>
          <w:b/>
          <w:bCs/>
          <w:sz w:val="28"/>
          <w:szCs w:val="28"/>
        </w:rPr>
        <w:lastRenderedPageBreak/>
        <w:tab/>
      </w:r>
      <w:r w:rsidR="002B7CD9" w:rsidRPr="002B7CD9">
        <w:rPr>
          <w:b/>
          <w:bCs/>
          <w:sz w:val="28"/>
          <w:szCs w:val="28"/>
        </w:rPr>
        <w:t>Einleitung</w:t>
      </w:r>
    </w:p>
    <w:p w14:paraId="045CB499" w14:textId="77777777" w:rsidR="00940541" w:rsidRPr="001B5DF4" w:rsidRDefault="00940541" w:rsidP="007A2FED">
      <w:pPr>
        <w:tabs>
          <w:tab w:val="left" w:pos="1701"/>
        </w:tabs>
        <w:ind w:left="1134" w:right="-1"/>
        <w:jc w:val="both"/>
      </w:pPr>
    </w:p>
    <w:p w14:paraId="72D6E014" w14:textId="717A30D0" w:rsidR="002B7CD9" w:rsidRDefault="001830F0" w:rsidP="001830F0">
      <w:pPr>
        <w:tabs>
          <w:tab w:val="left" w:pos="1701"/>
        </w:tabs>
        <w:ind w:left="1134" w:right="-1"/>
        <w:jc w:val="both"/>
      </w:pPr>
      <w:r>
        <w:t>1.</w:t>
      </w:r>
      <w:r>
        <w:tab/>
      </w:r>
      <w:r w:rsidR="002B7CD9" w:rsidRPr="002B7CD9">
        <w:t>9.3.x.51 enthält bauliche Anforderungen bezüglich Oberflächentemperaturen von Anlagen und Geräten. 9.3.x.51 d) sieht vor, dass die in 9.3.x.51 a) und b) geforderten Oberflächentemperaturen überschritten werden dürfen, wenn die betroffenen Anlagen und Geräte abschaltbar sind und rot gekennzeichnet sind.</w:t>
      </w:r>
    </w:p>
    <w:p w14:paraId="4CBAF306" w14:textId="77777777" w:rsidR="001830F0" w:rsidRPr="002B7CD9" w:rsidRDefault="001830F0" w:rsidP="001830F0">
      <w:pPr>
        <w:tabs>
          <w:tab w:val="left" w:pos="1701"/>
        </w:tabs>
        <w:ind w:left="1134" w:right="-1"/>
        <w:jc w:val="both"/>
      </w:pPr>
    </w:p>
    <w:p w14:paraId="385F4E4F" w14:textId="565966D1" w:rsidR="002B7CD9" w:rsidRDefault="001830F0" w:rsidP="001830F0">
      <w:pPr>
        <w:tabs>
          <w:tab w:val="left" w:pos="1701"/>
        </w:tabs>
        <w:ind w:left="1134" w:right="-1"/>
        <w:jc w:val="both"/>
      </w:pPr>
      <w:r>
        <w:t>2.</w:t>
      </w:r>
      <w:r>
        <w:tab/>
      </w:r>
      <w:r w:rsidR="002B7CD9" w:rsidRPr="002B7CD9">
        <w:t>Für die in 9.3.x.51 c) enthaltenen strengeren Anforderungen an die Oberflächentemperaturen für die Temperaturklassen T4, T5 und T6 sind keine Ausnahmen vorgesehen.</w:t>
      </w:r>
    </w:p>
    <w:p w14:paraId="1B343FFA" w14:textId="77777777" w:rsidR="001830F0" w:rsidRPr="002B7CD9" w:rsidRDefault="001830F0" w:rsidP="001830F0">
      <w:pPr>
        <w:tabs>
          <w:tab w:val="left" w:pos="1701"/>
        </w:tabs>
        <w:ind w:left="1134" w:right="-1"/>
        <w:jc w:val="both"/>
      </w:pPr>
    </w:p>
    <w:p w14:paraId="3B4C0E08" w14:textId="5E647FD4" w:rsidR="002B7CD9" w:rsidRDefault="001830F0" w:rsidP="001830F0">
      <w:pPr>
        <w:tabs>
          <w:tab w:val="left" w:pos="1701"/>
        </w:tabs>
        <w:ind w:left="1134" w:right="-1"/>
        <w:jc w:val="both"/>
      </w:pPr>
      <w:r>
        <w:t>3.</w:t>
      </w:r>
      <w:r>
        <w:tab/>
      </w:r>
      <w:r w:rsidR="002B7CD9" w:rsidRPr="002B7CD9">
        <w:t xml:space="preserve">Das heißt, dass die Möglichkeit der Abschaltung von </w:t>
      </w:r>
      <w:proofErr w:type="spellStart"/>
      <w:r w:rsidR="002B7CD9" w:rsidRPr="002B7CD9">
        <w:t>rot</w:t>
      </w:r>
      <w:proofErr w:type="spellEnd"/>
      <w:r w:rsidR="002B7CD9" w:rsidRPr="002B7CD9">
        <w:t xml:space="preserve"> gekennzeichneten Anlagen und Geräten nur für Schiffe gilt, deren Stoffliste keine Stoffe mit den Temperaturklassen T4, T5 oder T6 enthält.</w:t>
      </w:r>
    </w:p>
    <w:p w14:paraId="5D2A38E2" w14:textId="77777777" w:rsidR="001830F0" w:rsidRPr="002B7CD9" w:rsidRDefault="001830F0" w:rsidP="001830F0">
      <w:pPr>
        <w:tabs>
          <w:tab w:val="left" w:pos="1701"/>
        </w:tabs>
        <w:ind w:left="1134" w:right="-1"/>
        <w:jc w:val="both"/>
      </w:pPr>
    </w:p>
    <w:p w14:paraId="6FC320DF" w14:textId="24DF31FB" w:rsidR="002B7CD9" w:rsidRDefault="001830F0" w:rsidP="001830F0">
      <w:pPr>
        <w:tabs>
          <w:tab w:val="left" w:pos="1701"/>
        </w:tabs>
        <w:ind w:left="1134" w:right="-1"/>
        <w:jc w:val="both"/>
      </w:pPr>
      <w:r>
        <w:t>4.</w:t>
      </w:r>
      <w:r>
        <w:tab/>
      </w:r>
      <w:r w:rsidR="002B7CD9" w:rsidRPr="002B7CD9">
        <w:t xml:space="preserve">An mehreren anderen Stellen wird korrekt auf die Ausnahmen von 9.3.x.51 a) und b) verwiesen. </w:t>
      </w:r>
    </w:p>
    <w:p w14:paraId="08662D76" w14:textId="77777777" w:rsidR="001830F0" w:rsidRPr="002B7CD9" w:rsidRDefault="001830F0" w:rsidP="001830F0">
      <w:pPr>
        <w:tabs>
          <w:tab w:val="left" w:pos="1701"/>
        </w:tabs>
        <w:ind w:left="1134" w:right="-1"/>
        <w:jc w:val="both"/>
      </w:pPr>
    </w:p>
    <w:p w14:paraId="2BD0EE4B" w14:textId="12910C52" w:rsidR="002B7CD9" w:rsidRPr="002B7CD9" w:rsidRDefault="001830F0" w:rsidP="002B7CD9">
      <w:pPr>
        <w:tabs>
          <w:tab w:val="left" w:pos="1701"/>
        </w:tabs>
        <w:ind w:left="1134" w:right="-1"/>
        <w:jc w:val="both"/>
      </w:pPr>
      <w:r>
        <w:t>5.</w:t>
      </w:r>
      <w:r>
        <w:tab/>
      </w:r>
      <w:r w:rsidR="002B7CD9" w:rsidRPr="002B7CD9">
        <w:t xml:space="preserve">In 7.2.3.51.4 wird jedoch erwähnt, dass auch Anlagen und Geräte, die 9.3.x.51 c) nicht entsprechen und rot gekennzeichnet sind, abgeschaltet werden müssen. Diese Betriebsvorschrift ist irreführend, da die Anforderungen gemäß 9.3.x.51 c) auf jedem Schiff erfüllt werden müssen. Es gibt auch keine Übergangsvorschrift für 9.3.x.51 c). </w:t>
      </w:r>
    </w:p>
    <w:p w14:paraId="7388F253" w14:textId="77777777" w:rsidR="00857537" w:rsidRDefault="00857537" w:rsidP="007A2FED">
      <w:pPr>
        <w:tabs>
          <w:tab w:val="left" w:pos="1701"/>
        </w:tabs>
        <w:ind w:left="1134" w:right="-1"/>
        <w:jc w:val="both"/>
      </w:pPr>
    </w:p>
    <w:p w14:paraId="348315A4" w14:textId="77777777" w:rsidR="004C25A6" w:rsidRPr="001B5DF4" w:rsidRDefault="004C25A6" w:rsidP="007A2FED">
      <w:pPr>
        <w:tabs>
          <w:tab w:val="left" w:pos="1701"/>
        </w:tabs>
        <w:ind w:left="1134" w:right="-1"/>
        <w:jc w:val="both"/>
      </w:pPr>
    </w:p>
    <w:p w14:paraId="67C54273" w14:textId="742BC2B0" w:rsidR="00DC1740" w:rsidRPr="001B5DF4" w:rsidRDefault="00DC1740" w:rsidP="007A2FED">
      <w:pPr>
        <w:tabs>
          <w:tab w:val="left" w:pos="1701"/>
        </w:tabs>
        <w:suppressAutoHyphens w:val="0"/>
        <w:ind w:left="1134" w:right="-1" w:hanging="567"/>
        <w:jc w:val="both"/>
        <w:rPr>
          <w:b/>
          <w:bCs/>
          <w:sz w:val="28"/>
          <w:szCs w:val="28"/>
        </w:rPr>
      </w:pPr>
      <w:r w:rsidRPr="001B5DF4">
        <w:rPr>
          <w:b/>
          <w:bCs/>
          <w:sz w:val="28"/>
          <w:szCs w:val="28"/>
        </w:rPr>
        <w:t xml:space="preserve"> </w:t>
      </w:r>
      <w:r w:rsidR="00AF55BE" w:rsidRPr="001B5DF4">
        <w:rPr>
          <w:b/>
          <w:bCs/>
          <w:sz w:val="28"/>
          <w:szCs w:val="28"/>
        </w:rPr>
        <w:tab/>
      </w:r>
      <w:r w:rsidR="001830F0">
        <w:rPr>
          <w:b/>
          <w:bCs/>
          <w:sz w:val="28"/>
          <w:szCs w:val="28"/>
        </w:rPr>
        <w:t>Vorschlag</w:t>
      </w:r>
    </w:p>
    <w:p w14:paraId="45FB3094" w14:textId="77777777" w:rsidR="001830F0" w:rsidRDefault="001830F0" w:rsidP="001830F0">
      <w:pPr>
        <w:tabs>
          <w:tab w:val="left" w:pos="1701"/>
        </w:tabs>
        <w:ind w:left="1134" w:right="-1"/>
        <w:jc w:val="both"/>
      </w:pPr>
    </w:p>
    <w:p w14:paraId="5D524628" w14:textId="3C70946F" w:rsidR="001830F0" w:rsidRPr="002B7CD9" w:rsidRDefault="001830F0" w:rsidP="001830F0">
      <w:pPr>
        <w:tabs>
          <w:tab w:val="left" w:pos="1701"/>
        </w:tabs>
        <w:ind w:left="1134" w:right="-1"/>
        <w:jc w:val="both"/>
      </w:pPr>
      <w:r w:rsidRPr="001830F0">
        <w:t>6.</w:t>
      </w:r>
      <w:r w:rsidRPr="001830F0">
        <w:tab/>
      </w:r>
      <w:r w:rsidRPr="002B7CD9">
        <w:t xml:space="preserve">In 7.2.3.51.4 wird der Ausdruck „, 9.3.x.51 c)“ gestrichen. </w:t>
      </w:r>
    </w:p>
    <w:p w14:paraId="1F239C35" w14:textId="77777777" w:rsidR="00F44D36" w:rsidRDefault="00F44D36" w:rsidP="007A2FED">
      <w:pPr>
        <w:suppressAutoHyphens w:val="0"/>
        <w:spacing w:line="240" w:lineRule="auto"/>
        <w:ind w:left="2268" w:right="-1" w:hanging="1134"/>
        <w:rPr>
          <w:snapToGrid/>
        </w:rPr>
      </w:pPr>
    </w:p>
    <w:p w14:paraId="0828B439" w14:textId="77777777" w:rsidR="004C25A6" w:rsidRDefault="004C25A6" w:rsidP="007A2FED">
      <w:pPr>
        <w:suppressAutoHyphens w:val="0"/>
        <w:spacing w:line="240" w:lineRule="auto"/>
        <w:ind w:left="2268" w:right="-1" w:hanging="1134"/>
        <w:rPr>
          <w:snapToGrid/>
        </w:rPr>
      </w:pPr>
    </w:p>
    <w:p w14:paraId="19624E97" w14:textId="5E096DEB" w:rsidR="004C25A6" w:rsidRDefault="004C25A6" w:rsidP="007233EF">
      <w:pPr>
        <w:tabs>
          <w:tab w:val="left" w:pos="1701"/>
        </w:tabs>
        <w:spacing w:after="120"/>
        <w:ind w:left="1134" w:right="-1" w:hanging="567"/>
        <w:jc w:val="both"/>
        <w:rPr>
          <w:b/>
          <w:bCs/>
          <w:sz w:val="28"/>
          <w:szCs w:val="28"/>
        </w:rPr>
      </w:pPr>
      <w:r w:rsidRPr="001B5DF4">
        <w:rPr>
          <w:b/>
          <w:bCs/>
          <w:sz w:val="28"/>
          <w:szCs w:val="28"/>
        </w:rPr>
        <w:tab/>
      </w:r>
      <w:r>
        <w:rPr>
          <w:b/>
          <w:bCs/>
          <w:sz w:val="28"/>
          <w:szCs w:val="28"/>
        </w:rPr>
        <w:t>Begründung</w:t>
      </w:r>
    </w:p>
    <w:p w14:paraId="320AF3A6" w14:textId="77777777" w:rsidR="004C25A6" w:rsidRPr="001B5DF4" w:rsidRDefault="004C25A6" w:rsidP="007A2FED">
      <w:pPr>
        <w:suppressAutoHyphens w:val="0"/>
        <w:spacing w:line="240" w:lineRule="auto"/>
        <w:ind w:left="2268" w:right="-1" w:hanging="1134"/>
        <w:rPr>
          <w:snapToGrid/>
        </w:rPr>
      </w:pPr>
    </w:p>
    <w:p w14:paraId="342C6E41" w14:textId="77EAA047" w:rsidR="00BB77E8" w:rsidRPr="0084102C" w:rsidRDefault="00BB77E8" w:rsidP="007233EF">
      <w:pPr>
        <w:tabs>
          <w:tab w:val="left" w:pos="1701"/>
        </w:tabs>
        <w:spacing w:after="120"/>
        <w:ind w:left="1134" w:right="-1"/>
        <w:jc w:val="both"/>
        <w:rPr>
          <w:b/>
          <w:bCs/>
          <w:sz w:val="24"/>
          <w:szCs w:val="24"/>
        </w:rPr>
      </w:pPr>
      <w:bookmarkStart w:id="1" w:name="_Hlk146890147"/>
      <w:r w:rsidRPr="0084102C">
        <w:rPr>
          <w:b/>
          <w:bCs/>
          <w:sz w:val="24"/>
          <w:szCs w:val="24"/>
        </w:rPr>
        <w:t>Sicherheit</w:t>
      </w:r>
    </w:p>
    <w:bookmarkEnd w:id="1"/>
    <w:p w14:paraId="278E74A7" w14:textId="77777777" w:rsidR="00B15D12" w:rsidRPr="001B5DF4" w:rsidRDefault="00B15D12" w:rsidP="007A2FED">
      <w:pPr>
        <w:tabs>
          <w:tab w:val="left" w:pos="1701"/>
        </w:tabs>
        <w:ind w:left="1134" w:right="-1"/>
        <w:jc w:val="both"/>
      </w:pPr>
    </w:p>
    <w:p w14:paraId="10EE994A" w14:textId="61902D7E" w:rsidR="001830F0" w:rsidRPr="002B7CD9" w:rsidRDefault="00920554" w:rsidP="004C25A6">
      <w:pPr>
        <w:tabs>
          <w:tab w:val="left" w:pos="1701"/>
        </w:tabs>
        <w:ind w:left="1134" w:right="-1"/>
        <w:jc w:val="both"/>
      </w:pPr>
      <w:r>
        <w:t>7.</w:t>
      </w:r>
      <w:r>
        <w:tab/>
      </w:r>
      <w:r w:rsidR="004C25A6">
        <w:t>D</w:t>
      </w:r>
      <w:r w:rsidR="001830F0" w:rsidRPr="002B7CD9">
        <w:t>ie Sicherheit wird durch die Streichung einer ins Leere gehenden Betriebsvorschrift nicht beeinträchtigt. Das Risiko von falschen Auslegungen wird reduziert.</w:t>
      </w:r>
    </w:p>
    <w:p w14:paraId="3D68EBC0" w14:textId="77777777" w:rsidR="00BC2D0F" w:rsidRDefault="00BC2D0F" w:rsidP="004C25A6">
      <w:pPr>
        <w:tabs>
          <w:tab w:val="left" w:pos="1701"/>
        </w:tabs>
        <w:ind w:left="1134" w:right="-1"/>
        <w:jc w:val="both"/>
      </w:pPr>
    </w:p>
    <w:p w14:paraId="3BE496D3" w14:textId="77777777" w:rsidR="004C25A6" w:rsidRDefault="004C25A6" w:rsidP="004C25A6">
      <w:pPr>
        <w:tabs>
          <w:tab w:val="left" w:pos="1701"/>
        </w:tabs>
        <w:ind w:left="1134" w:right="-1"/>
        <w:jc w:val="both"/>
      </w:pPr>
    </w:p>
    <w:p w14:paraId="7D28FF43" w14:textId="05841339" w:rsidR="0010490F" w:rsidRPr="0084102C" w:rsidRDefault="001830F0" w:rsidP="007233EF">
      <w:pPr>
        <w:tabs>
          <w:tab w:val="left" w:pos="1701"/>
        </w:tabs>
        <w:spacing w:after="120"/>
        <w:ind w:left="1134" w:right="-1"/>
        <w:jc w:val="both"/>
        <w:rPr>
          <w:b/>
          <w:bCs/>
          <w:sz w:val="24"/>
          <w:szCs w:val="24"/>
        </w:rPr>
      </w:pPr>
      <w:r w:rsidRPr="0084102C">
        <w:rPr>
          <w:b/>
          <w:bCs/>
          <w:sz w:val="24"/>
          <w:szCs w:val="24"/>
        </w:rPr>
        <w:t>Übergangsfrist</w:t>
      </w:r>
    </w:p>
    <w:p w14:paraId="28D5975D" w14:textId="77777777" w:rsidR="00B15D12" w:rsidRPr="00EC58E6" w:rsidRDefault="00B15D12" w:rsidP="007A2FED">
      <w:pPr>
        <w:tabs>
          <w:tab w:val="left" w:pos="1701"/>
        </w:tabs>
        <w:ind w:left="1134" w:right="-1"/>
        <w:jc w:val="both"/>
      </w:pPr>
    </w:p>
    <w:p w14:paraId="5706DE3E" w14:textId="59041F48" w:rsidR="00C124D5" w:rsidRPr="00EC58E6" w:rsidRDefault="00920554" w:rsidP="007A2FED">
      <w:pPr>
        <w:tabs>
          <w:tab w:val="left" w:pos="1701"/>
        </w:tabs>
        <w:ind w:left="1134" w:right="-1"/>
        <w:jc w:val="both"/>
      </w:pPr>
      <w:r>
        <w:t>8.</w:t>
      </w:r>
      <w:r>
        <w:tab/>
      </w:r>
      <w:r w:rsidR="001830F0" w:rsidRPr="002B7CD9">
        <w:t>Es ist keine Übergangsfrist erforderlich</w:t>
      </w:r>
      <w:r w:rsidR="001830F0" w:rsidRPr="004C25A6">
        <w:t>.</w:t>
      </w:r>
    </w:p>
    <w:p w14:paraId="3D88E530" w14:textId="77777777" w:rsidR="00937E27" w:rsidRDefault="00937E27" w:rsidP="004C25A6">
      <w:pPr>
        <w:tabs>
          <w:tab w:val="left" w:pos="1701"/>
        </w:tabs>
        <w:ind w:left="1134" w:right="-1"/>
        <w:jc w:val="both"/>
      </w:pPr>
    </w:p>
    <w:p w14:paraId="465D9C4F" w14:textId="77777777" w:rsidR="004C25A6" w:rsidRPr="00020110" w:rsidRDefault="004C25A6" w:rsidP="004C25A6">
      <w:pPr>
        <w:tabs>
          <w:tab w:val="left" w:pos="1701"/>
        </w:tabs>
        <w:ind w:left="1134" w:right="-1"/>
        <w:jc w:val="both"/>
      </w:pPr>
    </w:p>
    <w:p w14:paraId="47CD3528" w14:textId="1C72554A" w:rsidR="00677890" w:rsidRPr="0084102C" w:rsidRDefault="004C25A6" w:rsidP="007233EF">
      <w:pPr>
        <w:tabs>
          <w:tab w:val="left" w:pos="1701"/>
        </w:tabs>
        <w:spacing w:after="120"/>
        <w:ind w:left="1134" w:right="-1"/>
        <w:jc w:val="both"/>
        <w:rPr>
          <w:b/>
          <w:bCs/>
          <w:sz w:val="24"/>
          <w:szCs w:val="24"/>
        </w:rPr>
      </w:pPr>
      <w:r w:rsidRPr="0084102C">
        <w:rPr>
          <w:b/>
          <w:bCs/>
          <w:sz w:val="24"/>
          <w:szCs w:val="24"/>
        </w:rPr>
        <w:t>D</w:t>
      </w:r>
      <w:r w:rsidR="001830F0" w:rsidRPr="0084102C">
        <w:rPr>
          <w:b/>
          <w:bCs/>
          <w:sz w:val="24"/>
          <w:szCs w:val="24"/>
        </w:rPr>
        <w:t>urchsetzbarkeit</w:t>
      </w:r>
    </w:p>
    <w:p w14:paraId="267D2DC1" w14:textId="77777777" w:rsidR="009111BB" w:rsidRPr="00920554" w:rsidRDefault="009111BB" w:rsidP="007A2FED">
      <w:pPr>
        <w:tabs>
          <w:tab w:val="left" w:pos="1701"/>
        </w:tabs>
        <w:ind w:left="1134" w:right="-1"/>
        <w:jc w:val="both"/>
        <w:rPr>
          <w:b/>
          <w:bCs/>
        </w:rPr>
      </w:pPr>
    </w:p>
    <w:p w14:paraId="0D5D0CEE" w14:textId="0EE8CB1E" w:rsidR="001830F0" w:rsidRPr="002B7CD9" w:rsidRDefault="00920554" w:rsidP="004C25A6">
      <w:pPr>
        <w:tabs>
          <w:tab w:val="left" w:pos="1701"/>
        </w:tabs>
        <w:ind w:left="1134" w:right="-1"/>
        <w:jc w:val="both"/>
      </w:pPr>
      <w:r>
        <w:t>9.</w:t>
      </w:r>
      <w:r>
        <w:tab/>
      </w:r>
      <w:r w:rsidR="001830F0" w:rsidRPr="002B7CD9">
        <w:t>Auch für Kontrollbehörden wird der Text durch die Streichung klarer.</w:t>
      </w:r>
    </w:p>
    <w:p w14:paraId="30D3299C" w14:textId="77777777" w:rsidR="003205B3" w:rsidRPr="001B5DF4" w:rsidRDefault="003205B3" w:rsidP="007A2FED">
      <w:pPr>
        <w:tabs>
          <w:tab w:val="left" w:pos="1701"/>
        </w:tabs>
        <w:ind w:left="1134" w:right="-1"/>
      </w:pPr>
    </w:p>
    <w:p w14:paraId="2FF012A0" w14:textId="77777777" w:rsidR="00226A0B" w:rsidRPr="001B5DF4" w:rsidRDefault="005B4493" w:rsidP="007A2FED">
      <w:pPr>
        <w:tabs>
          <w:tab w:val="left" w:pos="1701"/>
        </w:tabs>
        <w:ind w:left="1134" w:right="-1"/>
        <w:jc w:val="center"/>
      </w:pPr>
      <w:r w:rsidRPr="001B5DF4">
        <w:t>***</w:t>
      </w:r>
    </w:p>
    <w:sectPr w:rsidR="00226A0B" w:rsidRPr="001B5DF4" w:rsidSect="00677890">
      <w:headerReference w:type="even" r:id="rId9"/>
      <w:headerReference w:type="default" r:id="rId10"/>
      <w:footerReference w:type="even" r:id="rId11"/>
      <w:footerReference w:type="first" r:id="rId12"/>
      <w:endnotePr>
        <w:numFmt w:val="decimal"/>
      </w:endnotePr>
      <w:pgSz w:w="11907" w:h="16840" w:code="9"/>
      <w:pgMar w:top="1701" w:right="1418" w:bottom="993" w:left="1418"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1DDF" w14:textId="77777777" w:rsidR="00E20F51" w:rsidRDefault="00E20F51">
      <w:pPr>
        <w:rPr>
          <w:szCs w:val="24"/>
        </w:rPr>
      </w:pPr>
    </w:p>
  </w:endnote>
  <w:endnote w:type="continuationSeparator" w:id="0">
    <w:p w14:paraId="73C647B6" w14:textId="77777777" w:rsidR="00E20F51" w:rsidRDefault="00E20F51">
      <w:pPr>
        <w:rPr>
          <w:szCs w:val="24"/>
        </w:rPr>
      </w:pPr>
    </w:p>
  </w:endnote>
  <w:endnote w:type="continuationNotice" w:id="1">
    <w:p w14:paraId="342354F4" w14:textId="77777777" w:rsidR="00E20F51" w:rsidRDefault="00E20F51">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E126" w14:textId="7B1E46AB" w:rsidR="00C40C5F" w:rsidRDefault="00C40C5F" w:rsidP="005C2737">
    <w:pPr>
      <w:spacing w:line="240" w:lineRule="auto"/>
      <w:jc w:val="right"/>
      <w:rPr>
        <w:rFonts w:ascii="Arial" w:hAnsi="Arial"/>
        <w:sz w:val="12"/>
        <w:lang w:val="en-US"/>
      </w:rPr>
    </w:pPr>
    <w:r w:rsidRPr="005C2737">
      <w:rPr>
        <w:rFonts w:ascii="Arial" w:hAnsi="Arial"/>
        <w:sz w:val="12"/>
        <w:lang w:val="en-US"/>
      </w:rPr>
      <w:t>mm/adn_wp15_ac2_2024_</w:t>
    </w:r>
    <w:r w:rsidR="005C2737" w:rsidRPr="005C2737">
      <w:rPr>
        <w:rFonts w:ascii="Arial" w:hAnsi="Arial"/>
        <w:sz w:val="12"/>
        <w:lang w:val="en-US"/>
      </w:rPr>
      <w:t>2</w:t>
    </w:r>
    <w:r w:rsidR="00920554">
      <w:rPr>
        <w:rFonts w:ascii="Arial" w:hAnsi="Arial"/>
        <w:sz w:val="12"/>
        <w:lang w:val="en-US"/>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B1DF" w14:textId="77777777" w:rsidR="004920BF" w:rsidRDefault="004920BF">
    <w:pPr>
      <w:pStyle w:val="Pieddepage"/>
    </w:pPr>
    <w:r>
      <w:rPr>
        <w:noProof/>
        <w:snapToGrid/>
        <w:lang w:eastAsia="de-DE"/>
      </w:rPr>
      <mc:AlternateContent>
        <mc:Choice Requires="wps">
          <w:drawing>
            <wp:anchor distT="0" distB="0" distL="114300" distR="114300" simplePos="0" relativeHeight="251654656" behindDoc="0" locked="0" layoutInCell="0" allowOverlap="1" wp14:anchorId="58F2B9BB" wp14:editId="72CC2EEB">
              <wp:simplePos x="0" y="0"/>
              <wp:positionH relativeFrom="page">
                <wp:posOffset>0</wp:posOffset>
              </wp:positionH>
              <wp:positionV relativeFrom="page">
                <wp:posOffset>10236200</wp:posOffset>
              </wp:positionV>
              <wp:extent cx="7560945" cy="266700"/>
              <wp:effectExtent l="0" t="0" r="0" b="0"/>
              <wp:wrapNone/>
              <wp:docPr id="2" name="MSIPCM8e8d4a21afa151e2efd6d636" descr="{&quot;HashCode&quot;:208298749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BFCB7" w14:textId="77777777" w:rsidR="004920BF" w:rsidRPr="00520EDF" w:rsidRDefault="004920BF" w:rsidP="00520EDF">
                          <w:pPr>
                            <w:jc w:val="center"/>
                            <w:rPr>
                              <w:rFonts w:ascii="Arial" w:hAnsi="Arial"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F2B9BB" id="_x0000_t202" coordsize="21600,21600" o:spt="202" path="m,l,21600r21600,l21600,xe">
              <v:stroke joinstyle="miter"/>
              <v:path gradientshapeok="t" o:connecttype="rect"/>
            </v:shapetype>
            <v:shape id="MSIPCM8e8d4a21afa151e2efd6d636" o:spid="_x0000_s1026" type="#_x0000_t202" alt="{&quot;HashCode&quot;:2082987499,&quot;Height&quot;:842.0,&quot;Width&quot;:595.0,&quot;Placement&quot;:&quot;Footer&quot;,&quot;Index&quot;:&quot;FirstPage&quot;,&quot;Section&quot;:1,&quot;Top&quot;:0.0,&quot;Left&quot;:0.0}" style="position:absolute;margin-left:0;margin-top:806pt;width:595.35pt;height:21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DdFQ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" o:allowincell="f" filled="f" stroked="f" strokeweight=".5pt">
              <v:textbox inset=",0,,0">
                <w:txbxContent>
                  <w:p w14:paraId="74DBFCB7" w14:textId="77777777" w:rsidR="004920BF" w:rsidRPr="00520EDF" w:rsidRDefault="004920BF" w:rsidP="00520EDF">
                    <w:pPr>
                      <w:jc w:val="center"/>
                      <w:rPr>
                        <w:rFonts w:ascii="Arial" w:hAnsi="Arial" w:cs="Arial"/>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4E48" w14:textId="77777777" w:rsidR="00E20F51" w:rsidRDefault="00E20F51">
      <w:pPr>
        <w:tabs>
          <w:tab w:val="right" w:pos="2155"/>
        </w:tabs>
        <w:spacing w:after="80"/>
        <w:ind w:left="680"/>
        <w:rPr>
          <w:szCs w:val="24"/>
          <w:u w:val="single"/>
        </w:rPr>
      </w:pPr>
      <w:r>
        <w:rPr>
          <w:szCs w:val="24"/>
          <w:u w:val="single"/>
        </w:rPr>
        <w:tab/>
      </w:r>
    </w:p>
  </w:footnote>
  <w:footnote w:type="continuationSeparator" w:id="0">
    <w:p w14:paraId="1F226160" w14:textId="77777777" w:rsidR="00E20F51" w:rsidRDefault="00E20F51">
      <w:pPr>
        <w:tabs>
          <w:tab w:val="right" w:pos="2155"/>
        </w:tabs>
        <w:spacing w:after="80"/>
        <w:ind w:left="680"/>
        <w:rPr>
          <w:szCs w:val="24"/>
          <w:u w:val="single"/>
        </w:rPr>
      </w:pPr>
      <w:r>
        <w:rPr>
          <w:szCs w:val="24"/>
          <w:u w:val="single"/>
        </w:rPr>
        <w:tab/>
      </w:r>
    </w:p>
  </w:footnote>
  <w:footnote w:type="continuationNotice" w:id="1">
    <w:p w14:paraId="30540161" w14:textId="77777777" w:rsidR="00E20F51" w:rsidRDefault="00E20F51">
      <w:pPr>
        <w:rPr>
          <w:szCs w:val="24"/>
        </w:rPr>
      </w:pPr>
    </w:p>
  </w:footnote>
  <w:footnote w:id="2">
    <w:p w14:paraId="1E30F478" w14:textId="77777777" w:rsidR="005A1D82" w:rsidRDefault="005A1D82" w:rsidP="00264628">
      <w:pPr>
        <w:pStyle w:val="Notedebasdepage"/>
      </w:pPr>
    </w:p>
    <w:p w14:paraId="571F6640" w14:textId="0DE49F29" w:rsidR="00264628" w:rsidRPr="00264628" w:rsidRDefault="00264628" w:rsidP="00264628">
      <w:pPr>
        <w:pStyle w:val="Notedebasdepage"/>
        <w:rPr>
          <w:sz w:val="16"/>
          <w:szCs w:val="16"/>
        </w:rPr>
      </w:pPr>
      <w:r w:rsidRPr="00264628">
        <w:rPr>
          <w:rStyle w:val="Appelnotedebasdep"/>
          <w:lang w:val="de-DE"/>
        </w:rPr>
        <w:tab/>
        <w:t>*</w:t>
      </w:r>
      <w:r w:rsidRPr="00264628">
        <w:rPr>
          <w:rStyle w:val="Appelnotedebasdep"/>
          <w:lang w:val="de-DE"/>
        </w:rPr>
        <w:tab/>
      </w:r>
      <w:r w:rsidRPr="00264628">
        <w:rPr>
          <w:sz w:val="16"/>
          <w:szCs w:val="16"/>
        </w:rPr>
        <w:t>Von der UNECE in Englisch, Französisch und Russisch unter dem Aktenzeichen ECE/TRANS/WP.15/AC.2/</w:t>
      </w:r>
      <w:r w:rsidR="00920554">
        <w:rPr>
          <w:sz w:val="16"/>
          <w:szCs w:val="16"/>
        </w:rPr>
        <w:t>2024/2</w:t>
      </w:r>
      <w:r w:rsidRPr="00264628">
        <w:rPr>
          <w:sz w:val="16"/>
          <w:szCs w:val="16"/>
        </w:rPr>
        <w:t xml:space="preserve"> verteilt.</w:t>
      </w:r>
    </w:p>
  </w:footnote>
  <w:footnote w:id="3">
    <w:p w14:paraId="6AA28A1A" w14:textId="23A48B22" w:rsidR="00264628" w:rsidRDefault="00264628" w:rsidP="00264628">
      <w:pPr>
        <w:pStyle w:val="Notedebasdepage"/>
        <w:rPr>
          <w:sz w:val="16"/>
          <w:szCs w:val="16"/>
        </w:rPr>
      </w:pPr>
      <w:r w:rsidRPr="00264628">
        <w:rPr>
          <w:rStyle w:val="Appelnotedebasdep"/>
          <w:lang w:val="de-DE"/>
        </w:rPr>
        <w:tab/>
        <w:t>**</w:t>
      </w:r>
      <w:r w:rsidRPr="00264628">
        <w:rPr>
          <w:rStyle w:val="Appelnotedebasdep"/>
          <w:lang w:val="de-DE"/>
        </w:rPr>
        <w:tab/>
      </w:r>
      <w:r w:rsidR="001E254A" w:rsidRPr="002B7CD9">
        <w:rPr>
          <w:snapToGrid/>
          <w:sz w:val="16"/>
          <w:szCs w:val="16"/>
        </w:rPr>
        <w:t>A/7</w:t>
      </w:r>
      <w:r w:rsidR="0084102C">
        <w:rPr>
          <w:snapToGrid/>
          <w:sz w:val="16"/>
          <w:szCs w:val="16"/>
        </w:rPr>
        <w:t>8</w:t>
      </w:r>
      <w:r w:rsidR="001E254A" w:rsidRPr="002B7CD9">
        <w:rPr>
          <w:snapToGrid/>
          <w:sz w:val="16"/>
          <w:szCs w:val="16"/>
        </w:rPr>
        <w:t>/6 (Kap. 20) Tabelle 20.</w:t>
      </w:r>
      <w:r w:rsidR="0084102C">
        <w:rPr>
          <w:snapToGrid/>
          <w:sz w:val="16"/>
          <w:szCs w:val="16"/>
        </w:rPr>
        <w:t>5</w:t>
      </w:r>
      <w:r w:rsidR="00256050" w:rsidRPr="00256050">
        <w:rPr>
          <w:sz w:val="16"/>
          <w:szCs w:val="16"/>
        </w:rPr>
        <w:t>.</w:t>
      </w:r>
    </w:p>
    <w:p w14:paraId="1ED61EDD" w14:textId="77777777" w:rsidR="005A1D82" w:rsidRPr="00264628" w:rsidRDefault="005A1D82" w:rsidP="00264628">
      <w:pPr>
        <w:pStyle w:val="Notedebasdepag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F8A0" w14:textId="575A7679" w:rsidR="004920BF" w:rsidRPr="004C25A6" w:rsidRDefault="004920BF">
    <w:pPr>
      <w:tabs>
        <w:tab w:val="center" w:pos="4320"/>
        <w:tab w:val="right" w:pos="8640"/>
      </w:tabs>
      <w:suppressAutoHyphens w:val="0"/>
      <w:spacing w:line="240" w:lineRule="auto"/>
      <w:rPr>
        <w:rFonts w:ascii="Arial" w:hAnsi="Arial"/>
        <w:sz w:val="16"/>
        <w:szCs w:val="24"/>
        <w:lang w:val="en-US"/>
      </w:rPr>
    </w:pPr>
    <w:r w:rsidRPr="004C25A6">
      <w:rPr>
        <w:rFonts w:ascii="Arial" w:hAnsi="Arial"/>
        <w:sz w:val="16"/>
        <w:szCs w:val="24"/>
        <w:lang w:val="en-US"/>
      </w:rPr>
      <w:t>CCNR-ZKR/ADN/WP.15/AC.2/202</w:t>
    </w:r>
    <w:r w:rsidR="004910F8" w:rsidRPr="004C25A6">
      <w:rPr>
        <w:rFonts w:ascii="Arial" w:hAnsi="Arial"/>
        <w:sz w:val="16"/>
        <w:szCs w:val="24"/>
        <w:lang w:val="en-US"/>
      </w:rPr>
      <w:t>4</w:t>
    </w:r>
    <w:r w:rsidR="005E6762" w:rsidRPr="004C25A6">
      <w:rPr>
        <w:rFonts w:ascii="Arial" w:hAnsi="Arial"/>
        <w:sz w:val="16"/>
        <w:szCs w:val="24"/>
        <w:lang w:val="en-US"/>
      </w:rPr>
      <w:t>/</w:t>
    </w:r>
    <w:r w:rsidR="004C25A6">
      <w:rPr>
        <w:rFonts w:ascii="Arial" w:hAnsi="Arial"/>
        <w:sz w:val="16"/>
        <w:szCs w:val="24"/>
        <w:lang w:val="en-US"/>
      </w:rPr>
      <w:t>2</w:t>
    </w:r>
  </w:p>
  <w:p w14:paraId="376FFD6C" w14:textId="77777777" w:rsidR="004920BF" w:rsidRDefault="004920BF">
    <w:pPr>
      <w:tabs>
        <w:tab w:val="center" w:pos="4320"/>
        <w:tab w:val="right" w:pos="8640"/>
      </w:tabs>
      <w:suppressAutoHyphens w:val="0"/>
      <w:spacing w:line="240" w:lineRule="auto"/>
      <w:rPr>
        <w:rFonts w:ascii="Arial" w:hAnsi="Arial"/>
        <w:sz w:val="16"/>
        <w:szCs w:val="24"/>
        <w:lang w:val="en-GB"/>
      </w:rPr>
    </w:pPr>
    <w:r>
      <w:rPr>
        <w:rFonts w:ascii="Arial" w:hAnsi="Arial"/>
        <w:sz w:val="16"/>
        <w:szCs w:val="24"/>
        <w:lang w:val="en-GB"/>
      </w:rPr>
      <w:t xml:space="preserve">Seite </w:t>
    </w:r>
    <w:r>
      <w:rPr>
        <w:rFonts w:ascii="Arial" w:hAnsi="Arial"/>
        <w:sz w:val="16"/>
        <w:szCs w:val="24"/>
        <w:lang w:val="en-GB"/>
      </w:rPr>
      <w:fldChar w:fldCharType="begin"/>
    </w:r>
    <w:r>
      <w:rPr>
        <w:rFonts w:ascii="Arial" w:hAnsi="Arial"/>
        <w:sz w:val="16"/>
        <w:szCs w:val="24"/>
        <w:lang w:val="en-GB"/>
      </w:rPr>
      <w:instrText xml:space="preserve"> PAGE  \* MERGEFORMAT </w:instrText>
    </w:r>
    <w:r>
      <w:rPr>
        <w:rFonts w:ascii="Arial" w:hAnsi="Arial"/>
        <w:sz w:val="16"/>
        <w:szCs w:val="24"/>
        <w:lang w:val="en-GB"/>
      </w:rPr>
      <w:fldChar w:fldCharType="separate"/>
    </w:r>
    <w:r w:rsidRPr="00657A42">
      <w:rPr>
        <w:rFonts w:ascii="Arial" w:hAnsi="Arial"/>
        <w:noProof/>
        <w:sz w:val="16"/>
        <w:szCs w:val="24"/>
      </w:rPr>
      <w:t>8</w:t>
    </w:r>
    <w:r>
      <w:rPr>
        <w:rFonts w:ascii="Arial" w:hAnsi="Arial"/>
        <w:sz w:val="16"/>
        <w:szCs w:val="2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8D55" w14:textId="77777777" w:rsidR="004920BF" w:rsidRPr="00264628" w:rsidRDefault="004920BF">
    <w:pPr>
      <w:tabs>
        <w:tab w:val="center" w:pos="4320"/>
        <w:tab w:val="right" w:pos="8640"/>
      </w:tabs>
      <w:suppressAutoHyphens w:val="0"/>
      <w:spacing w:line="240" w:lineRule="auto"/>
      <w:jc w:val="right"/>
      <w:rPr>
        <w:rFonts w:ascii="Arial" w:hAnsi="Arial"/>
        <w:sz w:val="16"/>
        <w:szCs w:val="24"/>
        <w:lang w:val="fr-FR"/>
      </w:rPr>
    </w:pPr>
    <w:r w:rsidRPr="00264628">
      <w:rPr>
        <w:rFonts w:ascii="Arial" w:hAnsi="Arial"/>
        <w:sz w:val="16"/>
        <w:szCs w:val="24"/>
        <w:lang w:val="fr-FR"/>
      </w:rPr>
      <w:t>CCNR-ZKR/ADN/WP.15/AC.2/</w:t>
    </w:r>
    <w:r w:rsidR="005E6762">
      <w:rPr>
        <w:rFonts w:ascii="Arial" w:hAnsi="Arial"/>
        <w:sz w:val="16"/>
        <w:szCs w:val="24"/>
        <w:lang w:val="fr-FR"/>
      </w:rPr>
      <w:t>202</w:t>
    </w:r>
    <w:r w:rsidR="004910F8">
      <w:rPr>
        <w:rFonts w:ascii="Arial" w:hAnsi="Arial"/>
        <w:sz w:val="16"/>
        <w:szCs w:val="24"/>
        <w:lang w:val="fr-FR"/>
      </w:rPr>
      <w:t>4</w:t>
    </w:r>
    <w:r w:rsidR="005E6762">
      <w:rPr>
        <w:rFonts w:ascii="Arial" w:hAnsi="Arial"/>
        <w:sz w:val="16"/>
        <w:szCs w:val="24"/>
        <w:lang w:val="fr-FR"/>
      </w:rPr>
      <w:t>/</w:t>
    </w:r>
    <w:r w:rsidR="004910F8">
      <w:rPr>
        <w:rFonts w:ascii="Arial" w:hAnsi="Arial"/>
        <w:sz w:val="16"/>
        <w:szCs w:val="24"/>
        <w:lang w:val="fr-FR"/>
      </w:rPr>
      <w:t>DE-8</w:t>
    </w:r>
  </w:p>
  <w:p w14:paraId="6CBFCEAB" w14:textId="77777777" w:rsidR="004920BF" w:rsidRDefault="004920BF">
    <w:pPr>
      <w:tabs>
        <w:tab w:val="center" w:pos="4320"/>
        <w:tab w:val="right" w:pos="8640"/>
      </w:tabs>
      <w:suppressAutoHyphens w:val="0"/>
      <w:spacing w:line="240" w:lineRule="auto"/>
      <w:jc w:val="right"/>
      <w:rPr>
        <w:rFonts w:ascii="Arial" w:hAnsi="Arial"/>
        <w:sz w:val="16"/>
        <w:szCs w:val="24"/>
        <w:lang w:val="en-GB"/>
      </w:rPr>
    </w:pPr>
    <w:r>
      <w:rPr>
        <w:rFonts w:ascii="Arial" w:hAnsi="Arial"/>
        <w:sz w:val="16"/>
        <w:szCs w:val="24"/>
        <w:lang w:val="en-GB"/>
      </w:rPr>
      <w:t xml:space="preserve">Seite </w:t>
    </w:r>
    <w:r>
      <w:rPr>
        <w:rFonts w:ascii="Arial" w:hAnsi="Arial"/>
        <w:sz w:val="16"/>
        <w:szCs w:val="24"/>
        <w:lang w:val="en-GB"/>
      </w:rPr>
      <w:fldChar w:fldCharType="begin"/>
    </w:r>
    <w:r>
      <w:rPr>
        <w:rFonts w:ascii="Arial" w:hAnsi="Arial"/>
        <w:sz w:val="16"/>
        <w:szCs w:val="24"/>
        <w:lang w:val="en-GB"/>
      </w:rPr>
      <w:instrText xml:space="preserve"> PAGE  \* MERGEFORMAT </w:instrText>
    </w:r>
    <w:r>
      <w:rPr>
        <w:rFonts w:ascii="Arial" w:hAnsi="Arial"/>
        <w:sz w:val="16"/>
        <w:szCs w:val="24"/>
        <w:lang w:val="en-GB"/>
      </w:rPr>
      <w:fldChar w:fldCharType="separate"/>
    </w:r>
    <w:r w:rsidRPr="00657A42">
      <w:rPr>
        <w:rFonts w:ascii="Arial" w:hAnsi="Arial"/>
        <w:noProof/>
        <w:sz w:val="16"/>
        <w:szCs w:val="24"/>
      </w:rPr>
      <w:t>9</w:t>
    </w:r>
    <w:r>
      <w:rPr>
        <w:rFonts w:ascii="Arial" w:hAnsi="Arial"/>
        <w:sz w:val="16"/>
        <w:szCs w:val="24"/>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292"/>
    <w:multiLevelType w:val="hybridMultilevel"/>
    <w:tmpl w:val="932A5358"/>
    <w:lvl w:ilvl="0" w:tplc="3F2000E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 w15:restartNumberingAfterBreak="0">
    <w:nsid w:val="06726CC4"/>
    <w:multiLevelType w:val="hybridMultilevel"/>
    <w:tmpl w:val="BC660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54418"/>
    <w:multiLevelType w:val="hybridMultilevel"/>
    <w:tmpl w:val="E794B27A"/>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273B4"/>
    <w:multiLevelType w:val="hybridMultilevel"/>
    <w:tmpl w:val="536004E6"/>
    <w:lvl w:ilvl="0" w:tplc="44D4FC86">
      <w:numFmt w:val="bullet"/>
      <w:lvlText w:val="-"/>
      <w:lvlJc w:val="left"/>
      <w:pPr>
        <w:ind w:left="720" w:hanging="360"/>
      </w:pPr>
      <w:rPr>
        <w:rFonts w:ascii="Times New Roman" w:eastAsia="Times New Roman" w:hAnsi="Times New Roman" w:cs="Times New Roman"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B57E45"/>
    <w:multiLevelType w:val="hybridMultilevel"/>
    <w:tmpl w:val="CC7A144C"/>
    <w:lvl w:ilvl="0" w:tplc="04070001">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8675B9"/>
    <w:multiLevelType w:val="hybridMultilevel"/>
    <w:tmpl w:val="0D26BDF6"/>
    <w:lvl w:ilvl="0" w:tplc="04070001">
      <w:start w:val="1"/>
      <w:numFmt w:val="bullet"/>
      <w:lvlText w:val=""/>
      <w:lvlJc w:val="left"/>
      <w:pPr>
        <w:ind w:left="1854" w:hanging="360"/>
      </w:pPr>
      <w:rPr>
        <w:rFonts w:ascii="Symbol" w:hAnsi="Symbol" w:hint="default"/>
      </w:rPr>
    </w:lvl>
    <w:lvl w:ilvl="1" w:tplc="04070001">
      <w:start w:val="1"/>
      <w:numFmt w:val="bullet"/>
      <w:lvlText w:val=""/>
      <w:lvlJc w:val="left"/>
      <w:pPr>
        <w:ind w:left="2574" w:hanging="360"/>
      </w:pPr>
      <w:rPr>
        <w:rFonts w:ascii="Symbol" w:hAnsi="Symbol"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1D5D31EE"/>
    <w:multiLevelType w:val="hybridMultilevel"/>
    <w:tmpl w:val="8CB0D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78065C"/>
    <w:multiLevelType w:val="hybridMultilevel"/>
    <w:tmpl w:val="F2ECE80E"/>
    <w:lvl w:ilvl="0" w:tplc="8C9CD4EC">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AF1ED1"/>
    <w:multiLevelType w:val="hybridMultilevel"/>
    <w:tmpl w:val="EED28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933D2D"/>
    <w:multiLevelType w:val="hybridMultilevel"/>
    <w:tmpl w:val="4000A490"/>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1">
      <w:start w:val="1"/>
      <w:numFmt w:val="bullet"/>
      <w:lvlText w:val=""/>
      <w:lvlJc w:val="left"/>
      <w:pPr>
        <w:ind w:left="3294" w:hanging="360"/>
      </w:pPr>
      <w:rPr>
        <w:rFonts w:ascii="Symbol" w:hAnsi="Symbol"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 w15:restartNumberingAfterBreak="0">
    <w:nsid w:val="37237352"/>
    <w:multiLevelType w:val="hybridMultilevel"/>
    <w:tmpl w:val="F31AB494"/>
    <w:lvl w:ilvl="0" w:tplc="97DEB40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1" w15:restartNumberingAfterBreak="0">
    <w:nsid w:val="3A1577D2"/>
    <w:multiLevelType w:val="hybridMultilevel"/>
    <w:tmpl w:val="A216ABA8"/>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Times New Roman" w:hAnsi="Times New Roman" w:hint="default"/>
      </w:rPr>
    </w:lvl>
    <w:lvl w:ilvl="3" w:tplc="040C0001" w:tentative="1">
      <w:start w:val="1"/>
      <w:numFmt w:val="bullet"/>
      <w:lvlText w:val=""/>
      <w:lvlJc w:val="left"/>
      <w:pPr>
        <w:tabs>
          <w:tab w:val="num" w:pos="5148"/>
        </w:tabs>
        <w:ind w:left="5148" w:hanging="360"/>
      </w:pPr>
      <w:rPr>
        <w:rFonts w:ascii="Times New Roman" w:hAnsi="Times New Roman"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Times New Roman" w:hAnsi="Times New Roman" w:hint="default"/>
      </w:rPr>
    </w:lvl>
    <w:lvl w:ilvl="6" w:tplc="040C0001" w:tentative="1">
      <w:start w:val="1"/>
      <w:numFmt w:val="bullet"/>
      <w:lvlText w:val=""/>
      <w:lvlJc w:val="left"/>
      <w:pPr>
        <w:tabs>
          <w:tab w:val="num" w:pos="7308"/>
        </w:tabs>
        <w:ind w:left="7308" w:hanging="360"/>
      </w:pPr>
      <w:rPr>
        <w:rFonts w:ascii="Times New Roman" w:hAnsi="Times New Roman"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Times New Roman" w:hAnsi="Times New Roman" w:hint="default"/>
      </w:rPr>
    </w:lvl>
  </w:abstractNum>
  <w:abstractNum w:abstractNumId="13" w15:restartNumberingAfterBreak="0">
    <w:nsid w:val="3B915C66"/>
    <w:multiLevelType w:val="hybridMultilevel"/>
    <w:tmpl w:val="0C92C148"/>
    <w:lvl w:ilvl="0" w:tplc="37E4B0C4">
      <w:numFmt w:val="bullet"/>
      <w:lvlText w:val="-"/>
      <w:lvlJc w:val="left"/>
      <w:pPr>
        <w:ind w:left="2988" w:hanging="360"/>
      </w:pPr>
      <w:rPr>
        <w:rFonts w:ascii="Times New Roman" w:eastAsia="Times New Roman" w:hAnsi="Times New Roman" w:cs="Times New Roman"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4" w15:restartNumberingAfterBreak="0">
    <w:nsid w:val="40106491"/>
    <w:multiLevelType w:val="hybridMultilevel"/>
    <w:tmpl w:val="9B520A44"/>
    <w:lvl w:ilvl="0" w:tplc="37E4B0C4">
      <w:numFmt w:val="bullet"/>
      <w:lvlText w:val="-"/>
      <w:lvlJc w:val="left"/>
      <w:pPr>
        <w:ind w:left="2628" w:hanging="360"/>
      </w:pPr>
      <w:rPr>
        <w:rFonts w:ascii="Times New Roman" w:eastAsia="Times New Rom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5" w15:restartNumberingAfterBreak="0">
    <w:nsid w:val="40926D1D"/>
    <w:multiLevelType w:val="hybridMultilevel"/>
    <w:tmpl w:val="6A12BF6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252684"/>
    <w:multiLevelType w:val="hybridMultilevel"/>
    <w:tmpl w:val="A244A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6268B0"/>
    <w:multiLevelType w:val="hybridMultilevel"/>
    <w:tmpl w:val="F2BA8428"/>
    <w:lvl w:ilvl="0" w:tplc="9440F95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0C3C66"/>
    <w:multiLevelType w:val="hybridMultilevel"/>
    <w:tmpl w:val="53C66AC6"/>
    <w:lvl w:ilvl="0" w:tplc="2AB016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9A402E"/>
    <w:multiLevelType w:val="hybridMultilevel"/>
    <w:tmpl w:val="E6A27B88"/>
    <w:lvl w:ilvl="0" w:tplc="37E4B0C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065E22"/>
    <w:multiLevelType w:val="hybridMultilevel"/>
    <w:tmpl w:val="176E3B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45178B3"/>
    <w:multiLevelType w:val="hybridMultilevel"/>
    <w:tmpl w:val="5F7482AC"/>
    <w:lvl w:ilvl="0" w:tplc="FFFFFFFF">
      <w:start w:val="1"/>
      <w:numFmt w:val="bullet"/>
      <w:lvlText w:val=""/>
      <w:lvlJc w:val="left"/>
      <w:pPr>
        <w:ind w:left="1854" w:hanging="360"/>
      </w:pPr>
      <w:rPr>
        <w:rFonts w:ascii="Symbol" w:hAnsi="Symbol" w:hint="default"/>
      </w:rPr>
    </w:lvl>
    <w:lvl w:ilvl="1" w:tplc="37E4B0C4">
      <w:numFmt w:val="bullet"/>
      <w:lvlText w:val="-"/>
      <w:lvlJc w:val="left"/>
      <w:pPr>
        <w:ind w:left="2574" w:hanging="360"/>
      </w:pPr>
      <w:rPr>
        <w:rFonts w:ascii="Times New Roman" w:eastAsia="Times New Roman" w:hAnsi="Times New Roman" w:cs="Times New Roman" w:hint="default"/>
      </w:rPr>
    </w:lvl>
    <w:lvl w:ilvl="2" w:tplc="FFFFFFFF">
      <w:start w:val="1"/>
      <w:numFmt w:val="bullet"/>
      <w:lvlText w:val=""/>
      <w:lvlJc w:val="left"/>
      <w:pPr>
        <w:ind w:left="3294" w:hanging="360"/>
      </w:pPr>
      <w:rPr>
        <w:rFonts w:ascii="Symbol" w:hAnsi="Symbol"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2" w15:restartNumberingAfterBreak="0">
    <w:nsid w:val="5EB21C28"/>
    <w:multiLevelType w:val="hybridMultilevel"/>
    <w:tmpl w:val="B6927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3B3751"/>
    <w:multiLevelType w:val="hybridMultilevel"/>
    <w:tmpl w:val="1EF61334"/>
    <w:lvl w:ilvl="0" w:tplc="A004534C">
      <w:start w:val="1"/>
      <w:numFmt w:val="low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4" w15:restartNumberingAfterBreak="0">
    <w:nsid w:val="673D61B8"/>
    <w:multiLevelType w:val="hybridMultilevel"/>
    <w:tmpl w:val="2278B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Times New Roman" w:hAnsi="Times New Roman" w:hint="default"/>
      </w:rPr>
    </w:lvl>
    <w:lvl w:ilvl="3" w:tplc="040C0001" w:tentative="1">
      <w:start w:val="1"/>
      <w:numFmt w:val="bullet"/>
      <w:lvlText w:val=""/>
      <w:lvlJc w:val="left"/>
      <w:pPr>
        <w:tabs>
          <w:tab w:val="num" w:pos="4581"/>
        </w:tabs>
        <w:ind w:left="4581" w:hanging="360"/>
      </w:pPr>
      <w:rPr>
        <w:rFonts w:ascii="Times New Roman" w:hAnsi="Times New Roman"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Times New Roman" w:hAnsi="Times New Roman" w:hint="default"/>
      </w:rPr>
    </w:lvl>
    <w:lvl w:ilvl="6" w:tplc="040C0001" w:tentative="1">
      <w:start w:val="1"/>
      <w:numFmt w:val="bullet"/>
      <w:lvlText w:val=""/>
      <w:lvlJc w:val="left"/>
      <w:pPr>
        <w:tabs>
          <w:tab w:val="num" w:pos="6741"/>
        </w:tabs>
        <w:ind w:left="6741" w:hanging="360"/>
      </w:pPr>
      <w:rPr>
        <w:rFonts w:ascii="Times New Roman" w:hAnsi="Times New Roman"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Times New Roman" w:hAnsi="Times New Roman" w:hint="default"/>
      </w:rPr>
    </w:lvl>
  </w:abstractNum>
  <w:abstractNum w:abstractNumId="26" w15:restartNumberingAfterBreak="0">
    <w:nsid w:val="700B3697"/>
    <w:multiLevelType w:val="hybridMultilevel"/>
    <w:tmpl w:val="ED78A5FC"/>
    <w:lvl w:ilvl="0" w:tplc="9F4CBC80">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7" w15:restartNumberingAfterBreak="0">
    <w:nsid w:val="7528580D"/>
    <w:multiLevelType w:val="hybridMultilevel"/>
    <w:tmpl w:val="967E08C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70084E"/>
    <w:multiLevelType w:val="hybridMultilevel"/>
    <w:tmpl w:val="FE0E0D1E"/>
    <w:lvl w:ilvl="0" w:tplc="37E4B0C4">
      <w:numFmt w:val="bullet"/>
      <w:lvlText w:val="-"/>
      <w:lvlJc w:val="left"/>
      <w:pPr>
        <w:ind w:left="2061" w:hanging="360"/>
      </w:pPr>
      <w:rPr>
        <w:rFonts w:ascii="Times New Roman" w:eastAsia="Times New Roman"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9" w15:restartNumberingAfterBreak="0">
    <w:nsid w:val="79656822"/>
    <w:multiLevelType w:val="hybridMultilevel"/>
    <w:tmpl w:val="7E6A4AAA"/>
    <w:lvl w:ilvl="0" w:tplc="9440F95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B286EE6"/>
    <w:multiLevelType w:val="hybridMultilevel"/>
    <w:tmpl w:val="7A800D0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1" w15:restartNumberingAfterBreak="0">
    <w:nsid w:val="7DA33858"/>
    <w:multiLevelType w:val="hybridMultilevel"/>
    <w:tmpl w:val="90C8EF98"/>
    <w:lvl w:ilvl="0" w:tplc="9440F95A">
      <w:numFmt w:val="bullet"/>
      <w:lvlText w:val="-"/>
      <w:lvlJc w:val="left"/>
      <w:pPr>
        <w:ind w:left="720" w:hanging="360"/>
      </w:pPr>
      <w:rPr>
        <w:rFonts w:ascii="Calibri" w:eastAsia="Calibri" w:hAnsi="Calibri" w:cs="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674365">
    <w:abstractNumId w:val="25"/>
  </w:num>
  <w:num w:numId="2" w16cid:durableId="1640112557">
    <w:abstractNumId w:val="12"/>
  </w:num>
  <w:num w:numId="3" w16cid:durableId="262037820">
    <w:abstractNumId w:val="24"/>
  </w:num>
  <w:num w:numId="4" w16cid:durableId="1864398150">
    <w:abstractNumId w:val="7"/>
  </w:num>
  <w:num w:numId="5" w16cid:durableId="67382457">
    <w:abstractNumId w:val="11"/>
  </w:num>
  <w:num w:numId="6" w16cid:durableId="219902675">
    <w:abstractNumId w:val="20"/>
  </w:num>
  <w:num w:numId="7" w16cid:durableId="1481463078">
    <w:abstractNumId w:val="1"/>
  </w:num>
  <w:num w:numId="8" w16cid:durableId="1429158664">
    <w:abstractNumId w:val="3"/>
  </w:num>
  <w:num w:numId="9" w16cid:durableId="1999797427">
    <w:abstractNumId w:val="4"/>
  </w:num>
  <w:num w:numId="10" w16cid:durableId="1618676757">
    <w:abstractNumId w:val="17"/>
  </w:num>
  <w:num w:numId="11" w16cid:durableId="2136560054">
    <w:abstractNumId w:val="29"/>
  </w:num>
  <w:num w:numId="12" w16cid:durableId="1770663604">
    <w:abstractNumId w:val="31"/>
  </w:num>
  <w:num w:numId="13" w16cid:durableId="472871589">
    <w:abstractNumId w:val="22"/>
  </w:num>
  <w:num w:numId="14" w16cid:durableId="1215581376">
    <w:abstractNumId w:val="8"/>
  </w:num>
  <w:num w:numId="15" w16cid:durableId="297800976">
    <w:abstractNumId w:val="18"/>
  </w:num>
  <w:num w:numId="16" w16cid:durableId="1886670773">
    <w:abstractNumId w:val="26"/>
  </w:num>
  <w:num w:numId="17" w16cid:durableId="174268024">
    <w:abstractNumId w:val="10"/>
  </w:num>
  <w:num w:numId="18" w16cid:durableId="276571438">
    <w:abstractNumId w:val="15"/>
  </w:num>
  <w:num w:numId="19" w16cid:durableId="583221740">
    <w:abstractNumId w:val="23"/>
  </w:num>
  <w:num w:numId="20" w16cid:durableId="1179661255">
    <w:abstractNumId w:val="30"/>
  </w:num>
  <w:num w:numId="21" w16cid:durableId="418716688">
    <w:abstractNumId w:val="9"/>
  </w:num>
  <w:num w:numId="22" w16cid:durableId="666133807">
    <w:abstractNumId w:val="5"/>
  </w:num>
  <w:num w:numId="23" w16cid:durableId="1093430705">
    <w:abstractNumId w:val="6"/>
  </w:num>
  <w:num w:numId="24" w16cid:durableId="1082220528">
    <w:abstractNumId w:val="28"/>
  </w:num>
  <w:num w:numId="25" w16cid:durableId="899681029">
    <w:abstractNumId w:val="27"/>
  </w:num>
  <w:num w:numId="26" w16cid:durableId="1253516854">
    <w:abstractNumId w:val="2"/>
  </w:num>
  <w:num w:numId="27" w16cid:durableId="1063866705">
    <w:abstractNumId w:val="13"/>
  </w:num>
  <w:num w:numId="28" w16cid:durableId="469830875">
    <w:abstractNumId w:val="0"/>
  </w:num>
  <w:num w:numId="29" w16cid:durableId="1665425701">
    <w:abstractNumId w:val="16"/>
  </w:num>
  <w:num w:numId="30" w16cid:durableId="1264680702">
    <w:abstractNumId w:val="19"/>
  </w:num>
  <w:num w:numId="31" w16cid:durableId="627978420">
    <w:abstractNumId w:val="21"/>
  </w:num>
  <w:num w:numId="32" w16cid:durableId="45410349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evenAndOddHeaders/>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51"/>
    <w:rsid w:val="0000105D"/>
    <w:rsid w:val="00006E45"/>
    <w:rsid w:val="0001227F"/>
    <w:rsid w:val="00020110"/>
    <w:rsid w:val="00021967"/>
    <w:rsid w:val="0002688A"/>
    <w:rsid w:val="00040213"/>
    <w:rsid w:val="00047B4F"/>
    <w:rsid w:val="000505E5"/>
    <w:rsid w:val="00054000"/>
    <w:rsid w:val="00054417"/>
    <w:rsid w:val="00054522"/>
    <w:rsid w:val="00056434"/>
    <w:rsid w:val="000669CD"/>
    <w:rsid w:val="00066D20"/>
    <w:rsid w:val="000728DD"/>
    <w:rsid w:val="0007391F"/>
    <w:rsid w:val="000800A0"/>
    <w:rsid w:val="00080604"/>
    <w:rsid w:val="00081DAE"/>
    <w:rsid w:val="00087575"/>
    <w:rsid w:val="00091C02"/>
    <w:rsid w:val="000940F4"/>
    <w:rsid w:val="00094678"/>
    <w:rsid w:val="00096963"/>
    <w:rsid w:val="00096ECF"/>
    <w:rsid w:val="00097827"/>
    <w:rsid w:val="000A23E2"/>
    <w:rsid w:val="000A4834"/>
    <w:rsid w:val="000A5196"/>
    <w:rsid w:val="000A61D3"/>
    <w:rsid w:val="000B4486"/>
    <w:rsid w:val="000B531A"/>
    <w:rsid w:val="000C57E8"/>
    <w:rsid w:val="000C6F42"/>
    <w:rsid w:val="000C7A53"/>
    <w:rsid w:val="000D18D8"/>
    <w:rsid w:val="000D5558"/>
    <w:rsid w:val="000E1197"/>
    <w:rsid w:val="000E206E"/>
    <w:rsid w:val="000E245A"/>
    <w:rsid w:val="000E493D"/>
    <w:rsid w:val="000F0B87"/>
    <w:rsid w:val="000F3804"/>
    <w:rsid w:val="000F3F68"/>
    <w:rsid w:val="000F4134"/>
    <w:rsid w:val="000F526A"/>
    <w:rsid w:val="000F6798"/>
    <w:rsid w:val="00100169"/>
    <w:rsid w:val="0010188E"/>
    <w:rsid w:val="00101F3A"/>
    <w:rsid w:val="0010285A"/>
    <w:rsid w:val="0010411B"/>
    <w:rsid w:val="001042F8"/>
    <w:rsid w:val="00104445"/>
    <w:rsid w:val="0010490F"/>
    <w:rsid w:val="00112200"/>
    <w:rsid w:val="0011280B"/>
    <w:rsid w:val="00113033"/>
    <w:rsid w:val="0011353C"/>
    <w:rsid w:val="00120A62"/>
    <w:rsid w:val="00120DE5"/>
    <w:rsid w:val="001219A7"/>
    <w:rsid w:val="00122491"/>
    <w:rsid w:val="00122C2D"/>
    <w:rsid w:val="00125155"/>
    <w:rsid w:val="001277FE"/>
    <w:rsid w:val="00130C48"/>
    <w:rsid w:val="00131B7B"/>
    <w:rsid w:val="00132AAD"/>
    <w:rsid w:val="00133C0C"/>
    <w:rsid w:val="001350FD"/>
    <w:rsid w:val="001354AC"/>
    <w:rsid w:val="00135E95"/>
    <w:rsid w:val="001372A5"/>
    <w:rsid w:val="00144D78"/>
    <w:rsid w:val="00147A7E"/>
    <w:rsid w:val="00150257"/>
    <w:rsid w:val="00151BC9"/>
    <w:rsid w:val="00156FA7"/>
    <w:rsid w:val="00157614"/>
    <w:rsid w:val="00157FC7"/>
    <w:rsid w:val="001607F6"/>
    <w:rsid w:val="001616F5"/>
    <w:rsid w:val="00162D05"/>
    <w:rsid w:val="001645B6"/>
    <w:rsid w:val="0017256D"/>
    <w:rsid w:val="001745D5"/>
    <w:rsid w:val="00180F33"/>
    <w:rsid w:val="001830F0"/>
    <w:rsid w:val="00184E9E"/>
    <w:rsid w:val="00185403"/>
    <w:rsid w:val="00186EAF"/>
    <w:rsid w:val="0018778A"/>
    <w:rsid w:val="00187A1E"/>
    <w:rsid w:val="00192F4B"/>
    <w:rsid w:val="00194F7D"/>
    <w:rsid w:val="00195F1C"/>
    <w:rsid w:val="001A0C2A"/>
    <w:rsid w:val="001A11CC"/>
    <w:rsid w:val="001A140D"/>
    <w:rsid w:val="001A5F58"/>
    <w:rsid w:val="001B1A22"/>
    <w:rsid w:val="001B5DF4"/>
    <w:rsid w:val="001B68A2"/>
    <w:rsid w:val="001C1240"/>
    <w:rsid w:val="001C1827"/>
    <w:rsid w:val="001C3F4A"/>
    <w:rsid w:val="001D4EF8"/>
    <w:rsid w:val="001D639C"/>
    <w:rsid w:val="001D6721"/>
    <w:rsid w:val="001D7195"/>
    <w:rsid w:val="001E254A"/>
    <w:rsid w:val="001E5ED7"/>
    <w:rsid w:val="001F00D6"/>
    <w:rsid w:val="001F1700"/>
    <w:rsid w:val="001F2464"/>
    <w:rsid w:val="001F34A6"/>
    <w:rsid w:val="002142CD"/>
    <w:rsid w:val="00216870"/>
    <w:rsid w:val="002179D8"/>
    <w:rsid w:val="00221FB6"/>
    <w:rsid w:val="00226A0B"/>
    <w:rsid w:val="002279FD"/>
    <w:rsid w:val="0023397D"/>
    <w:rsid w:val="0023569D"/>
    <w:rsid w:val="00242ABA"/>
    <w:rsid w:val="002469B3"/>
    <w:rsid w:val="00252468"/>
    <w:rsid w:val="00255516"/>
    <w:rsid w:val="00255AA5"/>
    <w:rsid w:val="00255B42"/>
    <w:rsid w:val="00256050"/>
    <w:rsid w:val="0026439D"/>
    <w:rsid w:val="00264628"/>
    <w:rsid w:val="00267D98"/>
    <w:rsid w:val="002701F2"/>
    <w:rsid w:val="00272038"/>
    <w:rsid w:val="00275717"/>
    <w:rsid w:val="002773A3"/>
    <w:rsid w:val="00280D2B"/>
    <w:rsid w:val="00282133"/>
    <w:rsid w:val="0028250D"/>
    <w:rsid w:val="002A192E"/>
    <w:rsid w:val="002A2479"/>
    <w:rsid w:val="002A3F79"/>
    <w:rsid w:val="002A52FA"/>
    <w:rsid w:val="002A7856"/>
    <w:rsid w:val="002A7DE3"/>
    <w:rsid w:val="002B0FBD"/>
    <w:rsid w:val="002B59CE"/>
    <w:rsid w:val="002B6C46"/>
    <w:rsid w:val="002B7CD9"/>
    <w:rsid w:val="002C206D"/>
    <w:rsid w:val="002C24EF"/>
    <w:rsid w:val="002C319D"/>
    <w:rsid w:val="002C5361"/>
    <w:rsid w:val="002C58EE"/>
    <w:rsid w:val="002C7C76"/>
    <w:rsid w:val="002D4DCA"/>
    <w:rsid w:val="002D6515"/>
    <w:rsid w:val="002D7991"/>
    <w:rsid w:val="002E420A"/>
    <w:rsid w:val="002E6811"/>
    <w:rsid w:val="00302096"/>
    <w:rsid w:val="00302794"/>
    <w:rsid w:val="00307B57"/>
    <w:rsid w:val="00307F03"/>
    <w:rsid w:val="00310EE4"/>
    <w:rsid w:val="00311EE7"/>
    <w:rsid w:val="003159A0"/>
    <w:rsid w:val="00316840"/>
    <w:rsid w:val="00317892"/>
    <w:rsid w:val="003179A4"/>
    <w:rsid w:val="00317CB9"/>
    <w:rsid w:val="003205B3"/>
    <w:rsid w:val="00322AD8"/>
    <w:rsid w:val="00324ECC"/>
    <w:rsid w:val="0033107F"/>
    <w:rsid w:val="00331140"/>
    <w:rsid w:val="00331E51"/>
    <w:rsid w:val="003341CE"/>
    <w:rsid w:val="00336948"/>
    <w:rsid w:val="00340590"/>
    <w:rsid w:val="00341A4C"/>
    <w:rsid w:val="0034776F"/>
    <w:rsid w:val="003525C7"/>
    <w:rsid w:val="003563DA"/>
    <w:rsid w:val="00360227"/>
    <w:rsid w:val="00362B03"/>
    <w:rsid w:val="00362EB6"/>
    <w:rsid w:val="0036330C"/>
    <w:rsid w:val="003664BF"/>
    <w:rsid w:val="0036709E"/>
    <w:rsid w:val="00374701"/>
    <w:rsid w:val="00375FD4"/>
    <w:rsid w:val="00376F8D"/>
    <w:rsid w:val="00384261"/>
    <w:rsid w:val="00385016"/>
    <w:rsid w:val="003957FB"/>
    <w:rsid w:val="00396AD0"/>
    <w:rsid w:val="003A45B1"/>
    <w:rsid w:val="003A6C7E"/>
    <w:rsid w:val="003B2F10"/>
    <w:rsid w:val="003B4E6C"/>
    <w:rsid w:val="003B537E"/>
    <w:rsid w:val="003B5B54"/>
    <w:rsid w:val="003C0CCD"/>
    <w:rsid w:val="003C1156"/>
    <w:rsid w:val="003C23F4"/>
    <w:rsid w:val="003C298E"/>
    <w:rsid w:val="003C7B82"/>
    <w:rsid w:val="003E2D46"/>
    <w:rsid w:val="003E2E1E"/>
    <w:rsid w:val="003E5713"/>
    <w:rsid w:val="003E6494"/>
    <w:rsid w:val="003F35D1"/>
    <w:rsid w:val="003F39E4"/>
    <w:rsid w:val="003F41B4"/>
    <w:rsid w:val="003F5D6F"/>
    <w:rsid w:val="004027E1"/>
    <w:rsid w:val="00404F6E"/>
    <w:rsid w:val="004057E4"/>
    <w:rsid w:val="00405893"/>
    <w:rsid w:val="004060C5"/>
    <w:rsid w:val="004102C7"/>
    <w:rsid w:val="0042111B"/>
    <w:rsid w:val="0042217A"/>
    <w:rsid w:val="00422C51"/>
    <w:rsid w:val="004250F8"/>
    <w:rsid w:val="004301E1"/>
    <w:rsid w:val="004315E6"/>
    <w:rsid w:val="00431D2E"/>
    <w:rsid w:val="00433253"/>
    <w:rsid w:val="00433811"/>
    <w:rsid w:val="00433EDB"/>
    <w:rsid w:val="004352FA"/>
    <w:rsid w:val="00437B96"/>
    <w:rsid w:val="00445D42"/>
    <w:rsid w:val="00445F92"/>
    <w:rsid w:val="00445FB8"/>
    <w:rsid w:val="0045027F"/>
    <w:rsid w:val="0045180A"/>
    <w:rsid w:val="004528B3"/>
    <w:rsid w:val="00452B27"/>
    <w:rsid w:val="00453DAB"/>
    <w:rsid w:val="004551CF"/>
    <w:rsid w:val="00457025"/>
    <w:rsid w:val="00461E30"/>
    <w:rsid w:val="00464320"/>
    <w:rsid w:val="00464D4F"/>
    <w:rsid w:val="00466248"/>
    <w:rsid w:val="004667C1"/>
    <w:rsid w:val="00474D38"/>
    <w:rsid w:val="0047684D"/>
    <w:rsid w:val="0048487D"/>
    <w:rsid w:val="0048621E"/>
    <w:rsid w:val="004900F5"/>
    <w:rsid w:val="0049037C"/>
    <w:rsid w:val="00490650"/>
    <w:rsid w:val="00490E12"/>
    <w:rsid w:val="004910F8"/>
    <w:rsid w:val="004920BF"/>
    <w:rsid w:val="00493450"/>
    <w:rsid w:val="00495139"/>
    <w:rsid w:val="004A20F6"/>
    <w:rsid w:val="004A2B2E"/>
    <w:rsid w:val="004A3A8D"/>
    <w:rsid w:val="004A5D9C"/>
    <w:rsid w:val="004B3978"/>
    <w:rsid w:val="004B4F1C"/>
    <w:rsid w:val="004B5F48"/>
    <w:rsid w:val="004C25A6"/>
    <w:rsid w:val="004C7267"/>
    <w:rsid w:val="004C7EA2"/>
    <w:rsid w:val="004D0FC3"/>
    <w:rsid w:val="004D123C"/>
    <w:rsid w:val="004D26AE"/>
    <w:rsid w:val="004D6528"/>
    <w:rsid w:val="004E14E0"/>
    <w:rsid w:val="004E4B0C"/>
    <w:rsid w:val="004E6F5C"/>
    <w:rsid w:val="004E7E53"/>
    <w:rsid w:val="004F0733"/>
    <w:rsid w:val="004F2E0A"/>
    <w:rsid w:val="004F43C9"/>
    <w:rsid w:val="004F51E3"/>
    <w:rsid w:val="00500C1C"/>
    <w:rsid w:val="00501CEC"/>
    <w:rsid w:val="00501F38"/>
    <w:rsid w:val="00502705"/>
    <w:rsid w:val="005064B5"/>
    <w:rsid w:val="005071F9"/>
    <w:rsid w:val="005076D7"/>
    <w:rsid w:val="00511083"/>
    <w:rsid w:val="00513B11"/>
    <w:rsid w:val="0051536C"/>
    <w:rsid w:val="00520EDF"/>
    <w:rsid w:val="005243CC"/>
    <w:rsid w:val="0052478E"/>
    <w:rsid w:val="00525080"/>
    <w:rsid w:val="00526F99"/>
    <w:rsid w:val="00541B7D"/>
    <w:rsid w:val="00543EBE"/>
    <w:rsid w:val="005456BA"/>
    <w:rsid w:val="00545C26"/>
    <w:rsid w:val="00547544"/>
    <w:rsid w:val="00547F5E"/>
    <w:rsid w:val="0056236B"/>
    <w:rsid w:val="005646BB"/>
    <w:rsid w:val="005736C8"/>
    <w:rsid w:val="00575F83"/>
    <w:rsid w:val="00576621"/>
    <w:rsid w:val="0058087E"/>
    <w:rsid w:val="005808BC"/>
    <w:rsid w:val="005828C3"/>
    <w:rsid w:val="00586DCC"/>
    <w:rsid w:val="00590FC0"/>
    <w:rsid w:val="005977A1"/>
    <w:rsid w:val="00597CD0"/>
    <w:rsid w:val="005A0230"/>
    <w:rsid w:val="005A1D82"/>
    <w:rsid w:val="005A26C7"/>
    <w:rsid w:val="005A4BD9"/>
    <w:rsid w:val="005A6537"/>
    <w:rsid w:val="005B2CE4"/>
    <w:rsid w:val="005B4493"/>
    <w:rsid w:val="005B6DE3"/>
    <w:rsid w:val="005B6FDF"/>
    <w:rsid w:val="005C0C86"/>
    <w:rsid w:val="005C2269"/>
    <w:rsid w:val="005C2737"/>
    <w:rsid w:val="005C3775"/>
    <w:rsid w:val="005C56CE"/>
    <w:rsid w:val="005D2332"/>
    <w:rsid w:val="005D5AD5"/>
    <w:rsid w:val="005D6325"/>
    <w:rsid w:val="005D7941"/>
    <w:rsid w:val="005E4799"/>
    <w:rsid w:val="005E6437"/>
    <w:rsid w:val="005E6762"/>
    <w:rsid w:val="005F1B7A"/>
    <w:rsid w:val="005F3E6C"/>
    <w:rsid w:val="005F7764"/>
    <w:rsid w:val="006018C7"/>
    <w:rsid w:val="0060461A"/>
    <w:rsid w:val="00612514"/>
    <w:rsid w:val="00612757"/>
    <w:rsid w:val="00615116"/>
    <w:rsid w:val="00617235"/>
    <w:rsid w:val="00630376"/>
    <w:rsid w:val="006316EF"/>
    <w:rsid w:val="00634906"/>
    <w:rsid w:val="00636A2C"/>
    <w:rsid w:val="00637726"/>
    <w:rsid w:val="006421DD"/>
    <w:rsid w:val="00642C5F"/>
    <w:rsid w:val="00645965"/>
    <w:rsid w:val="006473D2"/>
    <w:rsid w:val="006477B5"/>
    <w:rsid w:val="00651EE7"/>
    <w:rsid w:val="006534A4"/>
    <w:rsid w:val="00654BB5"/>
    <w:rsid w:val="00657A42"/>
    <w:rsid w:val="00660857"/>
    <w:rsid w:val="00662275"/>
    <w:rsid w:val="00663EFD"/>
    <w:rsid w:val="00665EB7"/>
    <w:rsid w:val="00670EF7"/>
    <w:rsid w:val="006774E5"/>
    <w:rsid w:val="00677890"/>
    <w:rsid w:val="00682C24"/>
    <w:rsid w:val="00683600"/>
    <w:rsid w:val="00684876"/>
    <w:rsid w:val="006852B0"/>
    <w:rsid w:val="0068783E"/>
    <w:rsid w:val="00695A78"/>
    <w:rsid w:val="00696BCC"/>
    <w:rsid w:val="006A007F"/>
    <w:rsid w:val="006A1271"/>
    <w:rsid w:val="006A2D54"/>
    <w:rsid w:val="006A50B7"/>
    <w:rsid w:val="006A75AA"/>
    <w:rsid w:val="006B2332"/>
    <w:rsid w:val="006B4EE9"/>
    <w:rsid w:val="006B787E"/>
    <w:rsid w:val="006B7E45"/>
    <w:rsid w:val="006C066C"/>
    <w:rsid w:val="006C095E"/>
    <w:rsid w:val="006C1B74"/>
    <w:rsid w:val="006C2F2D"/>
    <w:rsid w:val="006D1177"/>
    <w:rsid w:val="006D5371"/>
    <w:rsid w:val="006E161D"/>
    <w:rsid w:val="006E22A1"/>
    <w:rsid w:val="006E2C98"/>
    <w:rsid w:val="006E44E6"/>
    <w:rsid w:val="006E4D95"/>
    <w:rsid w:val="006E53A7"/>
    <w:rsid w:val="006E78FC"/>
    <w:rsid w:val="006F26B5"/>
    <w:rsid w:val="00700375"/>
    <w:rsid w:val="00701DA3"/>
    <w:rsid w:val="00703A40"/>
    <w:rsid w:val="00703C12"/>
    <w:rsid w:val="00704583"/>
    <w:rsid w:val="00705B5F"/>
    <w:rsid w:val="007060CE"/>
    <w:rsid w:val="0070721D"/>
    <w:rsid w:val="00707D75"/>
    <w:rsid w:val="0071010E"/>
    <w:rsid w:val="00710B6F"/>
    <w:rsid w:val="007117FD"/>
    <w:rsid w:val="00720875"/>
    <w:rsid w:val="007233EF"/>
    <w:rsid w:val="007234BA"/>
    <w:rsid w:val="007330A5"/>
    <w:rsid w:val="00736559"/>
    <w:rsid w:val="00736ADB"/>
    <w:rsid w:val="007373C3"/>
    <w:rsid w:val="0074223F"/>
    <w:rsid w:val="00743B6E"/>
    <w:rsid w:val="007500DB"/>
    <w:rsid w:val="00753D1D"/>
    <w:rsid w:val="00756255"/>
    <w:rsid w:val="00760EDE"/>
    <w:rsid w:val="00762963"/>
    <w:rsid w:val="007725FB"/>
    <w:rsid w:val="0077332E"/>
    <w:rsid w:val="0077386D"/>
    <w:rsid w:val="007739C2"/>
    <w:rsid w:val="007746C7"/>
    <w:rsid w:val="00774DF3"/>
    <w:rsid w:val="0077566E"/>
    <w:rsid w:val="00775FCD"/>
    <w:rsid w:val="00780031"/>
    <w:rsid w:val="00783314"/>
    <w:rsid w:val="00784A9B"/>
    <w:rsid w:val="00785509"/>
    <w:rsid w:val="007858F7"/>
    <w:rsid w:val="00790154"/>
    <w:rsid w:val="00796CBF"/>
    <w:rsid w:val="00796EBD"/>
    <w:rsid w:val="007A04E2"/>
    <w:rsid w:val="007A27D5"/>
    <w:rsid w:val="007A2FED"/>
    <w:rsid w:val="007A4A05"/>
    <w:rsid w:val="007B2166"/>
    <w:rsid w:val="007B2734"/>
    <w:rsid w:val="007B3872"/>
    <w:rsid w:val="007B70DC"/>
    <w:rsid w:val="007B733A"/>
    <w:rsid w:val="007B7E49"/>
    <w:rsid w:val="007C068B"/>
    <w:rsid w:val="007C3109"/>
    <w:rsid w:val="007C52BC"/>
    <w:rsid w:val="007D1070"/>
    <w:rsid w:val="007D367E"/>
    <w:rsid w:val="007D4382"/>
    <w:rsid w:val="007D4EA5"/>
    <w:rsid w:val="007E00DF"/>
    <w:rsid w:val="007E0E00"/>
    <w:rsid w:val="007E1E55"/>
    <w:rsid w:val="007E280D"/>
    <w:rsid w:val="007E3D28"/>
    <w:rsid w:val="007E4827"/>
    <w:rsid w:val="007E6071"/>
    <w:rsid w:val="007F1098"/>
    <w:rsid w:val="007F1113"/>
    <w:rsid w:val="007F18A0"/>
    <w:rsid w:val="007F683E"/>
    <w:rsid w:val="007F6D90"/>
    <w:rsid w:val="007F781E"/>
    <w:rsid w:val="00803A5D"/>
    <w:rsid w:val="00803EED"/>
    <w:rsid w:val="00804F05"/>
    <w:rsid w:val="00807B96"/>
    <w:rsid w:val="008114A9"/>
    <w:rsid w:val="008126F5"/>
    <w:rsid w:val="008207E2"/>
    <w:rsid w:val="0082162A"/>
    <w:rsid w:val="00821636"/>
    <w:rsid w:val="00821ECE"/>
    <w:rsid w:val="008237E3"/>
    <w:rsid w:val="00826DC1"/>
    <w:rsid w:val="00830524"/>
    <w:rsid w:val="0083770D"/>
    <w:rsid w:val="0084102C"/>
    <w:rsid w:val="008411EB"/>
    <w:rsid w:val="00841D5C"/>
    <w:rsid w:val="00843BCA"/>
    <w:rsid w:val="0085221B"/>
    <w:rsid w:val="00855269"/>
    <w:rsid w:val="00857537"/>
    <w:rsid w:val="00861CEB"/>
    <w:rsid w:val="008642B4"/>
    <w:rsid w:val="008660F3"/>
    <w:rsid w:val="00867DE4"/>
    <w:rsid w:val="00870982"/>
    <w:rsid w:val="00873F26"/>
    <w:rsid w:val="00882A9B"/>
    <w:rsid w:val="00883386"/>
    <w:rsid w:val="00887D7E"/>
    <w:rsid w:val="00890EDB"/>
    <w:rsid w:val="00893026"/>
    <w:rsid w:val="00893BFE"/>
    <w:rsid w:val="008A018D"/>
    <w:rsid w:val="008A09C2"/>
    <w:rsid w:val="008A29C9"/>
    <w:rsid w:val="008A3E70"/>
    <w:rsid w:val="008A627B"/>
    <w:rsid w:val="008A6F70"/>
    <w:rsid w:val="008B1D0A"/>
    <w:rsid w:val="008B768D"/>
    <w:rsid w:val="008C100F"/>
    <w:rsid w:val="008C1ADA"/>
    <w:rsid w:val="008C1BDD"/>
    <w:rsid w:val="008D2386"/>
    <w:rsid w:val="008D3A69"/>
    <w:rsid w:val="008D42E0"/>
    <w:rsid w:val="008D4CA3"/>
    <w:rsid w:val="008D6EB3"/>
    <w:rsid w:val="008D725F"/>
    <w:rsid w:val="008D7F64"/>
    <w:rsid w:val="008E1B5F"/>
    <w:rsid w:val="008E2E45"/>
    <w:rsid w:val="008E306F"/>
    <w:rsid w:val="008E3E6D"/>
    <w:rsid w:val="008E4DFC"/>
    <w:rsid w:val="008E71D0"/>
    <w:rsid w:val="008F4C65"/>
    <w:rsid w:val="009111BB"/>
    <w:rsid w:val="00911F85"/>
    <w:rsid w:val="00912AE0"/>
    <w:rsid w:val="00913FDE"/>
    <w:rsid w:val="00915C21"/>
    <w:rsid w:val="00920554"/>
    <w:rsid w:val="0092498B"/>
    <w:rsid w:val="00926CBA"/>
    <w:rsid w:val="00932333"/>
    <w:rsid w:val="00932F48"/>
    <w:rsid w:val="00937E27"/>
    <w:rsid w:val="00937F54"/>
    <w:rsid w:val="00940541"/>
    <w:rsid w:val="00940D2B"/>
    <w:rsid w:val="00941C5C"/>
    <w:rsid w:val="009442E4"/>
    <w:rsid w:val="00944E02"/>
    <w:rsid w:val="0094739B"/>
    <w:rsid w:val="00947799"/>
    <w:rsid w:val="00950B72"/>
    <w:rsid w:val="00951850"/>
    <w:rsid w:val="009521FE"/>
    <w:rsid w:val="00954256"/>
    <w:rsid w:val="00954869"/>
    <w:rsid w:val="009605EF"/>
    <w:rsid w:val="00960652"/>
    <w:rsid w:val="00960998"/>
    <w:rsid w:val="00960B28"/>
    <w:rsid w:val="009616B8"/>
    <w:rsid w:val="009618AC"/>
    <w:rsid w:val="00961D16"/>
    <w:rsid w:val="009654B4"/>
    <w:rsid w:val="00965933"/>
    <w:rsid w:val="0097154F"/>
    <w:rsid w:val="0097328D"/>
    <w:rsid w:val="009742A7"/>
    <w:rsid w:val="00977110"/>
    <w:rsid w:val="00977785"/>
    <w:rsid w:val="00980266"/>
    <w:rsid w:val="0098154A"/>
    <w:rsid w:val="009822C2"/>
    <w:rsid w:val="00982E96"/>
    <w:rsid w:val="009849E0"/>
    <w:rsid w:val="0099218A"/>
    <w:rsid w:val="009928BC"/>
    <w:rsid w:val="009948CB"/>
    <w:rsid w:val="00997599"/>
    <w:rsid w:val="009A0283"/>
    <w:rsid w:val="009A1657"/>
    <w:rsid w:val="009A5E17"/>
    <w:rsid w:val="009A7C9C"/>
    <w:rsid w:val="009B2309"/>
    <w:rsid w:val="009B66EC"/>
    <w:rsid w:val="009C1639"/>
    <w:rsid w:val="009C1A0F"/>
    <w:rsid w:val="009C3B59"/>
    <w:rsid w:val="009C695B"/>
    <w:rsid w:val="009D0A5D"/>
    <w:rsid w:val="009D151D"/>
    <w:rsid w:val="009D3020"/>
    <w:rsid w:val="009D47EC"/>
    <w:rsid w:val="009D5A31"/>
    <w:rsid w:val="009D6949"/>
    <w:rsid w:val="009F1FF4"/>
    <w:rsid w:val="009F2898"/>
    <w:rsid w:val="009F4FFF"/>
    <w:rsid w:val="009F5B87"/>
    <w:rsid w:val="00A057D9"/>
    <w:rsid w:val="00A07B8E"/>
    <w:rsid w:val="00A13DCE"/>
    <w:rsid w:val="00A20F0F"/>
    <w:rsid w:val="00A240FF"/>
    <w:rsid w:val="00A249CD"/>
    <w:rsid w:val="00A344B1"/>
    <w:rsid w:val="00A3688D"/>
    <w:rsid w:val="00A42DD5"/>
    <w:rsid w:val="00A47AEC"/>
    <w:rsid w:val="00A51F99"/>
    <w:rsid w:val="00A52EED"/>
    <w:rsid w:val="00A5739A"/>
    <w:rsid w:val="00A62F0E"/>
    <w:rsid w:val="00A634E2"/>
    <w:rsid w:val="00A648B4"/>
    <w:rsid w:val="00A65E0B"/>
    <w:rsid w:val="00A6682F"/>
    <w:rsid w:val="00A703D0"/>
    <w:rsid w:val="00A830D6"/>
    <w:rsid w:val="00A865BE"/>
    <w:rsid w:val="00A87A40"/>
    <w:rsid w:val="00A950E6"/>
    <w:rsid w:val="00A95B45"/>
    <w:rsid w:val="00AA44DB"/>
    <w:rsid w:val="00AA4AEB"/>
    <w:rsid w:val="00AA4D9F"/>
    <w:rsid w:val="00AA539C"/>
    <w:rsid w:val="00AB0016"/>
    <w:rsid w:val="00AB03C1"/>
    <w:rsid w:val="00AB626F"/>
    <w:rsid w:val="00AB7E9A"/>
    <w:rsid w:val="00AC2036"/>
    <w:rsid w:val="00AC373C"/>
    <w:rsid w:val="00AC3886"/>
    <w:rsid w:val="00AC50A9"/>
    <w:rsid w:val="00AC6CE1"/>
    <w:rsid w:val="00AD7705"/>
    <w:rsid w:val="00AE048C"/>
    <w:rsid w:val="00AE16CB"/>
    <w:rsid w:val="00AE3337"/>
    <w:rsid w:val="00AE5C98"/>
    <w:rsid w:val="00AE72CD"/>
    <w:rsid w:val="00AE7651"/>
    <w:rsid w:val="00AF0BF2"/>
    <w:rsid w:val="00AF1284"/>
    <w:rsid w:val="00AF1733"/>
    <w:rsid w:val="00AF1A7E"/>
    <w:rsid w:val="00AF3A54"/>
    <w:rsid w:val="00AF55BE"/>
    <w:rsid w:val="00B02F2C"/>
    <w:rsid w:val="00B051CC"/>
    <w:rsid w:val="00B14C02"/>
    <w:rsid w:val="00B15D12"/>
    <w:rsid w:val="00B176A3"/>
    <w:rsid w:val="00B22B65"/>
    <w:rsid w:val="00B27C70"/>
    <w:rsid w:val="00B27FCB"/>
    <w:rsid w:val="00B34398"/>
    <w:rsid w:val="00B36F17"/>
    <w:rsid w:val="00B42344"/>
    <w:rsid w:val="00B42FDD"/>
    <w:rsid w:val="00B47C9C"/>
    <w:rsid w:val="00B519B0"/>
    <w:rsid w:val="00B51A9A"/>
    <w:rsid w:val="00B52247"/>
    <w:rsid w:val="00B5228D"/>
    <w:rsid w:val="00B543D3"/>
    <w:rsid w:val="00B55CB1"/>
    <w:rsid w:val="00B57940"/>
    <w:rsid w:val="00B626EA"/>
    <w:rsid w:val="00B637FE"/>
    <w:rsid w:val="00B641B7"/>
    <w:rsid w:val="00B71F3F"/>
    <w:rsid w:val="00B724BE"/>
    <w:rsid w:val="00B7373B"/>
    <w:rsid w:val="00B80362"/>
    <w:rsid w:val="00B87400"/>
    <w:rsid w:val="00B93894"/>
    <w:rsid w:val="00B96B73"/>
    <w:rsid w:val="00B96BC9"/>
    <w:rsid w:val="00BA09B9"/>
    <w:rsid w:val="00BB1817"/>
    <w:rsid w:val="00BB77E8"/>
    <w:rsid w:val="00BB7C53"/>
    <w:rsid w:val="00BC118F"/>
    <w:rsid w:val="00BC1E66"/>
    <w:rsid w:val="00BC1F34"/>
    <w:rsid w:val="00BC272E"/>
    <w:rsid w:val="00BC2D0F"/>
    <w:rsid w:val="00BC7BFE"/>
    <w:rsid w:val="00BD0AF7"/>
    <w:rsid w:val="00BD1585"/>
    <w:rsid w:val="00BD296E"/>
    <w:rsid w:val="00BD3101"/>
    <w:rsid w:val="00BD388B"/>
    <w:rsid w:val="00BE02F0"/>
    <w:rsid w:val="00BE41F9"/>
    <w:rsid w:val="00BE7100"/>
    <w:rsid w:val="00BE75AE"/>
    <w:rsid w:val="00BE7E78"/>
    <w:rsid w:val="00BF14FC"/>
    <w:rsid w:val="00BF349B"/>
    <w:rsid w:val="00C00CE0"/>
    <w:rsid w:val="00C0364E"/>
    <w:rsid w:val="00C124D5"/>
    <w:rsid w:val="00C14B0C"/>
    <w:rsid w:val="00C153F5"/>
    <w:rsid w:val="00C15CE6"/>
    <w:rsid w:val="00C170C4"/>
    <w:rsid w:val="00C1772A"/>
    <w:rsid w:val="00C22C55"/>
    <w:rsid w:val="00C26DC4"/>
    <w:rsid w:val="00C33C8B"/>
    <w:rsid w:val="00C40C5F"/>
    <w:rsid w:val="00C40C8A"/>
    <w:rsid w:val="00C437AD"/>
    <w:rsid w:val="00C43835"/>
    <w:rsid w:val="00C43E56"/>
    <w:rsid w:val="00C46049"/>
    <w:rsid w:val="00C47BE7"/>
    <w:rsid w:val="00C530A9"/>
    <w:rsid w:val="00C554EE"/>
    <w:rsid w:val="00C63C5F"/>
    <w:rsid w:val="00C6578B"/>
    <w:rsid w:val="00C707F6"/>
    <w:rsid w:val="00C73182"/>
    <w:rsid w:val="00C76029"/>
    <w:rsid w:val="00C80C0B"/>
    <w:rsid w:val="00C83210"/>
    <w:rsid w:val="00C852EC"/>
    <w:rsid w:val="00C86C69"/>
    <w:rsid w:val="00C91C70"/>
    <w:rsid w:val="00CA1C63"/>
    <w:rsid w:val="00CA5A7A"/>
    <w:rsid w:val="00CA7067"/>
    <w:rsid w:val="00CA7E6D"/>
    <w:rsid w:val="00CB3137"/>
    <w:rsid w:val="00CB66A9"/>
    <w:rsid w:val="00CB7081"/>
    <w:rsid w:val="00CC3099"/>
    <w:rsid w:val="00CC618C"/>
    <w:rsid w:val="00CD1222"/>
    <w:rsid w:val="00CD16C1"/>
    <w:rsid w:val="00CD6D39"/>
    <w:rsid w:val="00CE1FDE"/>
    <w:rsid w:val="00CE36FF"/>
    <w:rsid w:val="00CE6312"/>
    <w:rsid w:val="00CE68F6"/>
    <w:rsid w:val="00CF3E87"/>
    <w:rsid w:val="00CF4339"/>
    <w:rsid w:val="00CF62AA"/>
    <w:rsid w:val="00D019AA"/>
    <w:rsid w:val="00D0481C"/>
    <w:rsid w:val="00D05712"/>
    <w:rsid w:val="00D0646F"/>
    <w:rsid w:val="00D06FD8"/>
    <w:rsid w:val="00D12380"/>
    <w:rsid w:val="00D1252B"/>
    <w:rsid w:val="00D12F8C"/>
    <w:rsid w:val="00D13906"/>
    <w:rsid w:val="00D147EE"/>
    <w:rsid w:val="00D14A03"/>
    <w:rsid w:val="00D14A8C"/>
    <w:rsid w:val="00D150C3"/>
    <w:rsid w:val="00D20077"/>
    <w:rsid w:val="00D24209"/>
    <w:rsid w:val="00D24808"/>
    <w:rsid w:val="00D26751"/>
    <w:rsid w:val="00D317C2"/>
    <w:rsid w:val="00D32497"/>
    <w:rsid w:val="00D33F5A"/>
    <w:rsid w:val="00D34321"/>
    <w:rsid w:val="00D37129"/>
    <w:rsid w:val="00D42145"/>
    <w:rsid w:val="00D60242"/>
    <w:rsid w:val="00D625E3"/>
    <w:rsid w:val="00D63AEF"/>
    <w:rsid w:val="00D7294B"/>
    <w:rsid w:val="00D72AC5"/>
    <w:rsid w:val="00D814A7"/>
    <w:rsid w:val="00D82CF9"/>
    <w:rsid w:val="00D83CA9"/>
    <w:rsid w:val="00D84C17"/>
    <w:rsid w:val="00D8537C"/>
    <w:rsid w:val="00D868D3"/>
    <w:rsid w:val="00D907A7"/>
    <w:rsid w:val="00D91F18"/>
    <w:rsid w:val="00DA0941"/>
    <w:rsid w:val="00DA251A"/>
    <w:rsid w:val="00DB1A71"/>
    <w:rsid w:val="00DB2D5D"/>
    <w:rsid w:val="00DB4950"/>
    <w:rsid w:val="00DB577B"/>
    <w:rsid w:val="00DB585E"/>
    <w:rsid w:val="00DB6204"/>
    <w:rsid w:val="00DC1740"/>
    <w:rsid w:val="00DC4E2B"/>
    <w:rsid w:val="00DD04BC"/>
    <w:rsid w:val="00DD0AAD"/>
    <w:rsid w:val="00DD17F7"/>
    <w:rsid w:val="00DD2083"/>
    <w:rsid w:val="00DD58C5"/>
    <w:rsid w:val="00DD5F79"/>
    <w:rsid w:val="00DD605D"/>
    <w:rsid w:val="00DE423D"/>
    <w:rsid w:val="00DE666B"/>
    <w:rsid w:val="00DF1527"/>
    <w:rsid w:val="00E01C20"/>
    <w:rsid w:val="00E02C41"/>
    <w:rsid w:val="00E03892"/>
    <w:rsid w:val="00E069EE"/>
    <w:rsid w:val="00E0744E"/>
    <w:rsid w:val="00E13A66"/>
    <w:rsid w:val="00E15A53"/>
    <w:rsid w:val="00E20F51"/>
    <w:rsid w:val="00E23D04"/>
    <w:rsid w:val="00E26685"/>
    <w:rsid w:val="00E30B11"/>
    <w:rsid w:val="00E30B41"/>
    <w:rsid w:val="00E32132"/>
    <w:rsid w:val="00E32965"/>
    <w:rsid w:val="00E32FB1"/>
    <w:rsid w:val="00E3611D"/>
    <w:rsid w:val="00E42136"/>
    <w:rsid w:val="00E5463F"/>
    <w:rsid w:val="00E55A6E"/>
    <w:rsid w:val="00E66452"/>
    <w:rsid w:val="00E67894"/>
    <w:rsid w:val="00E71372"/>
    <w:rsid w:val="00E71EE5"/>
    <w:rsid w:val="00E73605"/>
    <w:rsid w:val="00E810F5"/>
    <w:rsid w:val="00E848A5"/>
    <w:rsid w:val="00E921A3"/>
    <w:rsid w:val="00E924DF"/>
    <w:rsid w:val="00E9666A"/>
    <w:rsid w:val="00E97189"/>
    <w:rsid w:val="00EA5F15"/>
    <w:rsid w:val="00EA76EE"/>
    <w:rsid w:val="00EB67AD"/>
    <w:rsid w:val="00EC02FC"/>
    <w:rsid w:val="00EC1C4C"/>
    <w:rsid w:val="00EC51AD"/>
    <w:rsid w:val="00EC58E6"/>
    <w:rsid w:val="00ED2FDE"/>
    <w:rsid w:val="00ED3884"/>
    <w:rsid w:val="00ED5C15"/>
    <w:rsid w:val="00EE1682"/>
    <w:rsid w:val="00EE236B"/>
    <w:rsid w:val="00EE6C62"/>
    <w:rsid w:val="00EF0390"/>
    <w:rsid w:val="00EF338C"/>
    <w:rsid w:val="00EF5A9B"/>
    <w:rsid w:val="00F007DA"/>
    <w:rsid w:val="00F01EAE"/>
    <w:rsid w:val="00F0645F"/>
    <w:rsid w:val="00F07F38"/>
    <w:rsid w:val="00F10FB7"/>
    <w:rsid w:val="00F16DB1"/>
    <w:rsid w:val="00F17898"/>
    <w:rsid w:val="00F20EAD"/>
    <w:rsid w:val="00F23D0D"/>
    <w:rsid w:val="00F44D36"/>
    <w:rsid w:val="00F5374B"/>
    <w:rsid w:val="00F553EB"/>
    <w:rsid w:val="00F61718"/>
    <w:rsid w:val="00F650ED"/>
    <w:rsid w:val="00F651F5"/>
    <w:rsid w:val="00F670E2"/>
    <w:rsid w:val="00F70673"/>
    <w:rsid w:val="00F7236C"/>
    <w:rsid w:val="00F72780"/>
    <w:rsid w:val="00F7312D"/>
    <w:rsid w:val="00F73772"/>
    <w:rsid w:val="00F744FC"/>
    <w:rsid w:val="00F840A1"/>
    <w:rsid w:val="00F871E1"/>
    <w:rsid w:val="00F942B1"/>
    <w:rsid w:val="00F95A69"/>
    <w:rsid w:val="00F95F50"/>
    <w:rsid w:val="00F97157"/>
    <w:rsid w:val="00F973E4"/>
    <w:rsid w:val="00FA01FF"/>
    <w:rsid w:val="00FA59DF"/>
    <w:rsid w:val="00FA610E"/>
    <w:rsid w:val="00FB31A0"/>
    <w:rsid w:val="00FC0A01"/>
    <w:rsid w:val="00FC3F50"/>
    <w:rsid w:val="00FC6662"/>
    <w:rsid w:val="00FD09AD"/>
    <w:rsid w:val="00FD1C2A"/>
    <w:rsid w:val="00FD618C"/>
    <w:rsid w:val="00FD65FB"/>
    <w:rsid w:val="00FE0B8E"/>
    <w:rsid w:val="00FE1208"/>
    <w:rsid w:val="00FE2512"/>
    <w:rsid w:val="00FE5F7D"/>
    <w:rsid w:val="00FE677B"/>
    <w:rsid w:val="00FF118A"/>
    <w:rsid w:val="00FF6E7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D15780F"/>
  <w15:docId w15:val="{BA4EAF8F-8373-4101-A83B-824BD9D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0F0"/>
    <w:pPr>
      <w:suppressAutoHyphens/>
      <w:spacing w:line="240" w:lineRule="atLeast"/>
    </w:pPr>
    <w:rPr>
      <w:snapToGrid w:val="0"/>
      <w:lang w:eastAsia="fr-FR"/>
    </w:rPr>
  </w:style>
  <w:style w:type="paragraph" w:styleId="Titre1">
    <w:name w:val="heading 1"/>
    <w:aliases w:val="Table_G"/>
    <w:basedOn w:val="SingleTxtG"/>
    <w:next w:val="SingleTxtG"/>
    <w:link w:val="Titre1Car"/>
    <w:uiPriority w:val="9"/>
    <w:qFormat/>
    <w:pPr>
      <w:keepNext/>
      <w:keepLines/>
      <w:spacing w:after="0" w:line="240" w:lineRule="auto"/>
      <w:ind w:right="0"/>
      <w:jc w:val="left"/>
      <w:outlineLvl w:val="0"/>
    </w:pPr>
  </w:style>
  <w:style w:type="paragraph" w:styleId="Titre2">
    <w:name w:val="heading 2"/>
    <w:basedOn w:val="Normal"/>
    <w:next w:val="Normal"/>
    <w:link w:val="Titre2Car"/>
    <w:uiPriority w:val="9"/>
    <w:qFormat/>
    <w:pPr>
      <w:outlineLvl w:val="1"/>
    </w:pPr>
  </w:style>
  <w:style w:type="paragraph" w:styleId="Titre3">
    <w:name w:val="heading 3"/>
    <w:basedOn w:val="Normal"/>
    <w:next w:val="Normal"/>
    <w:link w:val="Titre3Car"/>
    <w:uiPriority w:val="9"/>
    <w:qFormat/>
    <w:pPr>
      <w:outlineLvl w:val="2"/>
    </w:pPr>
  </w:style>
  <w:style w:type="paragraph" w:styleId="Titre4">
    <w:name w:val="heading 4"/>
    <w:basedOn w:val="Normal"/>
    <w:next w:val="Normal"/>
    <w:link w:val="Titre4Car"/>
    <w:uiPriority w:val="9"/>
    <w:qFormat/>
    <w:pPr>
      <w:outlineLvl w:val="3"/>
    </w:pPr>
  </w:style>
  <w:style w:type="paragraph" w:styleId="Titre5">
    <w:name w:val="heading 5"/>
    <w:basedOn w:val="Normal"/>
    <w:next w:val="Normal"/>
    <w:link w:val="Titre5Car"/>
    <w:uiPriority w:val="9"/>
    <w:qFormat/>
    <w:pPr>
      <w:outlineLvl w:val="4"/>
    </w:pPr>
  </w:style>
  <w:style w:type="paragraph" w:styleId="Titre6">
    <w:name w:val="heading 6"/>
    <w:basedOn w:val="Normal"/>
    <w:next w:val="Normal"/>
    <w:link w:val="Titre6Car"/>
    <w:qFormat/>
    <w:pPr>
      <w:outlineLvl w:val="5"/>
    </w:pPr>
  </w:style>
  <w:style w:type="paragraph" w:styleId="Titre7">
    <w:name w:val="heading 7"/>
    <w:basedOn w:val="Normal"/>
    <w:next w:val="Normal"/>
    <w:link w:val="Titre7Car"/>
    <w:uiPriority w:val="9"/>
    <w:qFormat/>
    <w:pPr>
      <w:outlineLvl w:val="6"/>
    </w:pPr>
  </w:style>
  <w:style w:type="paragraph" w:styleId="Titre8">
    <w:name w:val="heading 8"/>
    <w:basedOn w:val="Normal"/>
    <w:next w:val="Normal"/>
    <w:link w:val="Titre8Car"/>
    <w:uiPriority w:val="9"/>
    <w:qFormat/>
    <w:pPr>
      <w:outlineLvl w:val="7"/>
    </w:pPr>
  </w:style>
  <w:style w:type="paragraph" w:styleId="Titre9">
    <w:name w:val="heading 9"/>
    <w:basedOn w:val="Normal"/>
    <w:next w:val="Normal"/>
    <w:link w:val="Titre9Car"/>
    <w:uiPriority w:val="9"/>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
    <w:name w:val="_ Single Txt_G"/>
    <w:basedOn w:val="Normal"/>
    <w:pPr>
      <w:spacing w:after="120"/>
      <w:ind w:left="1134" w:right="1134"/>
      <w:jc w:val="both"/>
    </w:p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Bullet2G">
    <w:name w:val="_Bullet 2_G"/>
    <w:basedOn w:val="Normal"/>
    <w:pPr>
      <w:numPr>
        <w:numId w:val="2"/>
      </w:numPr>
      <w:spacing w:after="120"/>
      <w:ind w:right="1134"/>
      <w:jc w:val="both"/>
    </w:pPr>
  </w:style>
  <w:style w:type="character" w:styleId="Appelnotedebasdep">
    <w:name w:val="footnote reference"/>
    <w:aliases w:val="4_G,Footnote Reference/"/>
    <w:qFormat/>
    <w:rPr>
      <w:rFonts w:ascii="Times New Roman" w:hAnsi="Times New Roman"/>
      <w:sz w:val="18"/>
      <w:vertAlign w:val="superscript"/>
      <w:lang w:val="fr-CH"/>
    </w:rPr>
  </w:style>
  <w:style w:type="character" w:styleId="Appeldenotedefin">
    <w:name w:val="endnote reference"/>
    <w:aliases w:val="1_G"/>
    <w:semiHidden/>
    <w:rPr>
      <w:rFonts w:ascii="Times New Roman" w:hAnsi="Times New Roman" w:cs="Times New Roman"/>
      <w:sz w:val="18"/>
      <w:vertAlign w:val="superscript"/>
      <w:lang w:val="fr-CH"/>
    </w:rPr>
  </w:style>
  <w:style w:type="paragraph" w:styleId="En-tte">
    <w:name w:val="header"/>
    <w:aliases w:val="6_G"/>
    <w:basedOn w:val="Normal"/>
    <w:next w:val="Normal"/>
    <w:pPr>
      <w:pBdr>
        <w:bottom w:val="single" w:sz="4" w:space="4" w:color="auto"/>
      </w:pBdr>
      <w:spacing w:line="240" w:lineRule="auto"/>
    </w:pPr>
    <w:rPr>
      <w:b/>
      <w:sz w:val="18"/>
    </w:rPr>
  </w:style>
  <w:style w:type="paragraph" w:styleId="Notedebasdepage">
    <w:name w:val="footnote text"/>
    <w:aliases w:val="5_G"/>
    <w:basedOn w:val="Normal"/>
    <w:link w:val="NotedebasdepageCar"/>
    <w:qFormat/>
    <w:pPr>
      <w:tabs>
        <w:tab w:val="right" w:pos="1021"/>
      </w:tabs>
      <w:spacing w:line="220" w:lineRule="exact"/>
      <w:ind w:left="1134" w:right="1134" w:hanging="1134"/>
    </w:pPr>
    <w:rPr>
      <w:sz w:val="18"/>
    </w:rPr>
  </w:style>
  <w:style w:type="paragraph" w:styleId="Notedefin">
    <w:name w:val="endnote text"/>
    <w:aliases w:val="2_G"/>
    <w:basedOn w:val="Notedebasdepage"/>
    <w:semiHidden/>
  </w:style>
  <w:style w:type="character" w:styleId="Numrodepage">
    <w:name w:val="page number"/>
    <w:aliases w:val="7_G"/>
    <w:rPr>
      <w:rFonts w:ascii="Times New Roman" w:hAnsi="Times New Roman"/>
      <w:b/>
      <w:sz w:val="18"/>
      <w:lang w:val="fr-CH"/>
    </w:rPr>
  </w:style>
  <w:style w:type="paragraph" w:styleId="Pieddepage">
    <w:name w:val="footer"/>
    <w:aliases w:val="3_G"/>
    <w:basedOn w:val="Normal"/>
    <w:next w:val="Normal"/>
    <w:pPr>
      <w:spacing w:line="240" w:lineRule="auto"/>
    </w:pPr>
    <w:rPr>
      <w:sz w:val="16"/>
    </w:rPr>
  </w:style>
  <w:style w:type="character" w:styleId="Lienhypertexte">
    <w:name w:val="Hyperlink"/>
    <w:rPr>
      <w:color w:val="auto"/>
      <w:u w:val="none"/>
    </w:rPr>
  </w:style>
  <w:style w:type="character" w:customStyle="1" w:styleId="BesuchterHyperlink1">
    <w:name w:val="BesuchterHyperlink1"/>
    <w:rPr>
      <w:color w:val="auto"/>
      <w:u w:val="none"/>
    </w:rPr>
  </w:style>
  <w:style w:type="paragraph" w:customStyle="1" w:styleId="Default">
    <w:name w:val="Default"/>
    <w:pPr>
      <w:autoSpaceDE w:val="0"/>
      <w:autoSpaceDN w:val="0"/>
      <w:adjustRightInd w:val="0"/>
    </w:pPr>
    <w:rPr>
      <w:color w:val="000000"/>
      <w:sz w:val="24"/>
      <w:szCs w:val="24"/>
      <w:lang w:eastAsia="fr-FR"/>
    </w:rPr>
  </w:style>
  <w:style w:type="table" w:styleId="Grilledutableau">
    <w:name w:val="Table Grid"/>
    <w:basedOn w:val="TableauNormal"/>
    <w:pPr>
      <w:suppressAutoHyphens/>
      <w:spacing w:line="240" w:lineRule="atLeast"/>
    </w:pPr>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pPr>
      <w:spacing w:line="240" w:lineRule="auto"/>
    </w:pPr>
    <w:rPr>
      <w:sz w:val="16"/>
      <w:szCs w:val="16"/>
    </w:rPr>
  </w:style>
  <w:style w:type="character" w:customStyle="1" w:styleId="CarCar">
    <w:name w:val="Car Car"/>
    <w:locked/>
    <w:rPr>
      <w:rFonts w:ascii="Times New Roman" w:hAnsi="Times New Roman"/>
      <w:sz w:val="16"/>
      <w:lang w:val="fr-CH"/>
    </w:rPr>
  </w:style>
  <w:style w:type="paragraph" w:styleId="Rvision">
    <w:name w:val="Revision"/>
    <w:hidden/>
    <w:semiHidden/>
    <w:rPr>
      <w:snapToGrid w:val="0"/>
      <w:lang w:val="fr-CH" w:eastAsia="fr-FR"/>
    </w:rPr>
  </w:style>
  <w:style w:type="character" w:customStyle="1" w:styleId="H1GChar">
    <w:name w:val="_ H_1_G Char"/>
    <w:locked/>
    <w:rPr>
      <w:b/>
      <w:sz w:val="24"/>
      <w:lang w:val="fr-CH"/>
    </w:rPr>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styleId="Objetducommentaire">
    <w:name w:val="annotation subject"/>
    <w:basedOn w:val="Commentaire"/>
    <w:next w:val="Commentaire"/>
    <w:semiHidden/>
    <w:rPr>
      <w:b/>
      <w:bC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brut">
    <w:name w:val="Plain Text"/>
    <w:basedOn w:val="Normal"/>
    <w:link w:val="TextebrutCar"/>
    <w:uiPriority w:val="99"/>
    <w:unhideWhenUsed/>
    <w:rsid w:val="008D7F64"/>
    <w:pPr>
      <w:suppressAutoHyphens w:val="0"/>
      <w:spacing w:line="240" w:lineRule="auto"/>
    </w:pPr>
    <w:rPr>
      <w:rFonts w:ascii="Calibri" w:eastAsia="Calibri" w:hAnsi="Calibri"/>
      <w:snapToGrid/>
      <w:sz w:val="22"/>
      <w:szCs w:val="21"/>
      <w:lang w:val="fr-FR" w:eastAsia="en-US"/>
    </w:rPr>
  </w:style>
  <w:style w:type="character" w:customStyle="1" w:styleId="TextebrutCar">
    <w:name w:val="Texte brut Car"/>
    <w:link w:val="Textebrut"/>
    <w:uiPriority w:val="99"/>
    <w:rsid w:val="008D7F64"/>
    <w:rPr>
      <w:rFonts w:ascii="Calibri" w:eastAsia="Calibri" w:hAnsi="Calibri"/>
      <w:sz w:val="22"/>
      <w:szCs w:val="21"/>
      <w:lang w:eastAsia="en-US"/>
    </w:rPr>
  </w:style>
  <w:style w:type="character" w:customStyle="1" w:styleId="Titre1Car">
    <w:name w:val="Titre 1 Car"/>
    <w:aliases w:val="Table_G Car"/>
    <w:link w:val="Titre1"/>
    <w:uiPriority w:val="9"/>
    <w:rsid w:val="007746C7"/>
    <w:rPr>
      <w:snapToGrid w:val="0"/>
      <w:lang w:val="fr-CH" w:eastAsia="fr-FR"/>
    </w:rPr>
  </w:style>
  <w:style w:type="character" w:customStyle="1" w:styleId="Titre2Car">
    <w:name w:val="Titre 2 Car"/>
    <w:link w:val="Titre2"/>
    <w:uiPriority w:val="9"/>
    <w:rsid w:val="007746C7"/>
    <w:rPr>
      <w:snapToGrid w:val="0"/>
      <w:lang w:val="fr-CH" w:eastAsia="fr-FR"/>
    </w:rPr>
  </w:style>
  <w:style w:type="character" w:customStyle="1" w:styleId="Titre3Car">
    <w:name w:val="Titre 3 Car"/>
    <w:link w:val="Titre3"/>
    <w:uiPriority w:val="9"/>
    <w:rsid w:val="007746C7"/>
    <w:rPr>
      <w:snapToGrid w:val="0"/>
      <w:lang w:val="fr-CH" w:eastAsia="fr-FR"/>
    </w:rPr>
  </w:style>
  <w:style w:type="character" w:customStyle="1" w:styleId="Titre4Car">
    <w:name w:val="Titre 4 Car"/>
    <w:link w:val="Titre4"/>
    <w:uiPriority w:val="9"/>
    <w:rsid w:val="007746C7"/>
    <w:rPr>
      <w:snapToGrid w:val="0"/>
      <w:lang w:val="fr-CH" w:eastAsia="fr-FR"/>
    </w:rPr>
  </w:style>
  <w:style w:type="character" w:customStyle="1" w:styleId="Titre5Car">
    <w:name w:val="Titre 5 Car"/>
    <w:link w:val="Titre5"/>
    <w:uiPriority w:val="9"/>
    <w:rsid w:val="007746C7"/>
    <w:rPr>
      <w:snapToGrid w:val="0"/>
      <w:lang w:val="fr-CH" w:eastAsia="fr-FR"/>
    </w:rPr>
  </w:style>
  <w:style w:type="character" w:customStyle="1" w:styleId="Titre6Car">
    <w:name w:val="Titre 6 Car"/>
    <w:link w:val="Titre6"/>
    <w:rsid w:val="007746C7"/>
    <w:rPr>
      <w:snapToGrid w:val="0"/>
      <w:lang w:val="fr-CH" w:eastAsia="fr-FR"/>
    </w:rPr>
  </w:style>
  <w:style w:type="character" w:customStyle="1" w:styleId="Titre7Car">
    <w:name w:val="Titre 7 Car"/>
    <w:link w:val="Titre7"/>
    <w:uiPriority w:val="9"/>
    <w:rsid w:val="007746C7"/>
    <w:rPr>
      <w:snapToGrid w:val="0"/>
      <w:lang w:val="fr-CH" w:eastAsia="fr-FR"/>
    </w:rPr>
  </w:style>
  <w:style w:type="character" w:customStyle="1" w:styleId="Titre8Car">
    <w:name w:val="Titre 8 Car"/>
    <w:link w:val="Titre8"/>
    <w:uiPriority w:val="9"/>
    <w:rsid w:val="007746C7"/>
    <w:rPr>
      <w:snapToGrid w:val="0"/>
      <w:lang w:val="fr-CH" w:eastAsia="fr-FR"/>
    </w:rPr>
  </w:style>
  <w:style w:type="character" w:customStyle="1" w:styleId="Titre9Car">
    <w:name w:val="Titre 9 Car"/>
    <w:link w:val="Titre9"/>
    <w:uiPriority w:val="9"/>
    <w:rsid w:val="007746C7"/>
    <w:rPr>
      <w:snapToGrid w:val="0"/>
      <w:lang w:val="fr-CH" w:eastAsia="fr-FR"/>
    </w:rPr>
  </w:style>
  <w:style w:type="paragraph" w:customStyle="1" w:styleId="ADN11">
    <w:name w:val="ADN_1_1"/>
    <w:basedOn w:val="Normal"/>
    <w:rsid w:val="007B2166"/>
    <w:pPr>
      <w:widowControl w:val="0"/>
      <w:suppressAutoHyphens w:val="0"/>
      <w:overflowPunct w:val="0"/>
      <w:autoSpaceDE w:val="0"/>
      <w:autoSpaceDN w:val="0"/>
      <w:adjustRightInd w:val="0"/>
      <w:ind w:left="1134" w:hanging="1134"/>
      <w:jc w:val="both"/>
      <w:textAlignment w:val="baseline"/>
    </w:pPr>
    <w:rPr>
      <w:rFonts w:ascii="Arial" w:hAnsi="Arial"/>
      <w:b/>
      <w:snapToGrid/>
      <w:sz w:val="18"/>
      <w:szCs w:val="18"/>
    </w:rPr>
  </w:style>
  <w:style w:type="paragraph" w:styleId="Paragraphedeliste">
    <w:name w:val="List Paragraph"/>
    <w:basedOn w:val="Normal"/>
    <w:uiPriority w:val="34"/>
    <w:qFormat/>
    <w:rsid w:val="00720875"/>
    <w:pPr>
      <w:ind w:left="720"/>
      <w:contextualSpacing/>
    </w:pPr>
  </w:style>
  <w:style w:type="character" w:customStyle="1" w:styleId="CommentaireCar">
    <w:name w:val="Commentaire Car"/>
    <w:basedOn w:val="Policepardfaut"/>
    <w:link w:val="Commentaire"/>
    <w:semiHidden/>
    <w:rsid w:val="001F2464"/>
    <w:rPr>
      <w:snapToGrid w:val="0"/>
      <w:lang w:val="fr-CH" w:eastAsia="fr-FR"/>
    </w:rPr>
  </w:style>
  <w:style w:type="paragraph" w:styleId="NormalWeb">
    <w:name w:val="Normal (Web)"/>
    <w:basedOn w:val="Normal"/>
    <w:uiPriority w:val="99"/>
    <w:unhideWhenUsed/>
    <w:rsid w:val="00C153F5"/>
    <w:pPr>
      <w:suppressAutoHyphens w:val="0"/>
      <w:spacing w:before="100" w:beforeAutospacing="1" w:after="100" w:afterAutospacing="1" w:line="240" w:lineRule="auto"/>
    </w:pPr>
    <w:rPr>
      <w:snapToGrid/>
      <w:sz w:val="24"/>
      <w:szCs w:val="24"/>
      <w:lang w:eastAsia="zh-CN"/>
    </w:rPr>
  </w:style>
  <w:style w:type="character" w:customStyle="1" w:styleId="NotedebasdepageCar">
    <w:name w:val="Note de bas de page Car"/>
    <w:aliases w:val="5_G Car"/>
    <w:basedOn w:val="Policepardfaut"/>
    <w:link w:val="Notedebasdepage"/>
    <w:rsid w:val="003205B3"/>
    <w:rPr>
      <w:snapToGrid w:val="0"/>
      <w:sz w:val="18"/>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332">
      <w:bodyDiv w:val="1"/>
      <w:marLeft w:val="0"/>
      <w:marRight w:val="0"/>
      <w:marTop w:val="0"/>
      <w:marBottom w:val="0"/>
      <w:divBdr>
        <w:top w:val="none" w:sz="0" w:space="0" w:color="auto"/>
        <w:left w:val="none" w:sz="0" w:space="0" w:color="auto"/>
        <w:bottom w:val="none" w:sz="0" w:space="0" w:color="auto"/>
        <w:right w:val="none" w:sz="0" w:space="0" w:color="auto"/>
      </w:divBdr>
    </w:div>
    <w:div w:id="27921804">
      <w:bodyDiv w:val="1"/>
      <w:marLeft w:val="0"/>
      <w:marRight w:val="0"/>
      <w:marTop w:val="0"/>
      <w:marBottom w:val="0"/>
      <w:divBdr>
        <w:top w:val="none" w:sz="0" w:space="0" w:color="auto"/>
        <w:left w:val="none" w:sz="0" w:space="0" w:color="auto"/>
        <w:bottom w:val="none" w:sz="0" w:space="0" w:color="auto"/>
        <w:right w:val="none" w:sz="0" w:space="0" w:color="auto"/>
      </w:divBdr>
    </w:div>
    <w:div w:id="254943302">
      <w:bodyDiv w:val="1"/>
      <w:marLeft w:val="0"/>
      <w:marRight w:val="0"/>
      <w:marTop w:val="0"/>
      <w:marBottom w:val="0"/>
      <w:divBdr>
        <w:top w:val="none" w:sz="0" w:space="0" w:color="auto"/>
        <w:left w:val="none" w:sz="0" w:space="0" w:color="auto"/>
        <w:bottom w:val="none" w:sz="0" w:space="0" w:color="auto"/>
        <w:right w:val="none" w:sz="0" w:space="0" w:color="auto"/>
      </w:divBdr>
    </w:div>
    <w:div w:id="471365945">
      <w:bodyDiv w:val="1"/>
      <w:marLeft w:val="0"/>
      <w:marRight w:val="0"/>
      <w:marTop w:val="0"/>
      <w:marBottom w:val="0"/>
      <w:divBdr>
        <w:top w:val="none" w:sz="0" w:space="0" w:color="auto"/>
        <w:left w:val="none" w:sz="0" w:space="0" w:color="auto"/>
        <w:bottom w:val="none" w:sz="0" w:space="0" w:color="auto"/>
        <w:right w:val="none" w:sz="0" w:space="0" w:color="auto"/>
      </w:divBdr>
    </w:div>
    <w:div w:id="522861919">
      <w:bodyDiv w:val="1"/>
      <w:marLeft w:val="0"/>
      <w:marRight w:val="0"/>
      <w:marTop w:val="0"/>
      <w:marBottom w:val="0"/>
      <w:divBdr>
        <w:top w:val="none" w:sz="0" w:space="0" w:color="auto"/>
        <w:left w:val="none" w:sz="0" w:space="0" w:color="auto"/>
        <w:bottom w:val="none" w:sz="0" w:space="0" w:color="auto"/>
        <w:right w:val="none" w:sz="0" w:space="0" w:color="auto"/>
      </w:divBdr>
    </w:div>
    <w:div w:id="706374674">
      <w:bodyDiv w:val="1"/>
      <w:marLeft w:val="0"/>
      <w:marRight w:val="0"/>
      <w:marTop w:val="0"/>
      <w:marBottom w:val="0"/>
      <w:divBdr>
        <w:top w:val="none" w:sz="0" w:space="0" w:color="auto"/>
        <w:left w:val="none" w:sz="0" w:space="0" w:color="auto"/>
        <w:bottom w:val="none" w:sz="0" w:space="0" w:color="auto"/>
        <w:right w:val="none" w:sz="0" w:space="0" w:color="auto"/>
      </w:divBdr>
    </w:div>
    <w:div w:id="707149326">
      <w:bodyDiv w:val="1"/>
      <w:marLeft w:val="0"/>
      <w:marRight w:val="0"/>
      <w:marTop w:val="0"/>
      <w:marBottom w:val="0"/>
      <w:divBdr>
        <w:top w:val="none" w:sz="0" w:space="0" w:color="auto"/>
        <w:left w:val="none" w:sz="0" w:space="0" w:color="auto"/>
        <w:bottom w:val="none" w:sz="0" w:space="0" w:color="auto"/>
        <w:right w:val="none" w:sz="0" w:space="0" w:color="auto"/>
      </w:divBdr>
    </w:div>
    <w:div w:id="1194462551">
      <w:bodyDiv w:val="1"/>
      <w:marLeft w:val="0"/>
      <w:marRight w:val="0"/>
      <w:marTop w:val="0"/>
      <w:marBottom w:val="0"/>
      <w:divBdr>
        <w:top w:val="none" w:sz="0" w:space="0" w:color="auto"/>
        <w:left w:val="none" w:sz="0" w:space="0" w:color="auto"/>
        <w:bottom w:val="none" w:sz="0" w:space="0" w:color="auto"/>
        <w:right w:val="none" w:sz="0" w:space="0" w:color="auto"/>
      </w:divBdr>
    </w:div>
    <w:div w:id="1820463668">
      <w:bodyDiv w:val="1"/>
      <w:marLeft w:val="0"/>
      <w:marRight w:val="0"/>
      <w:marTop w:val="0"/>
      <w:marBottom w:val="0"/>
      <w:divBdr>
        <w:top w:val="none" w:sz="0" w:space="0" w:color="auto"/>
        <w:left w:val="none" w:sz="0" w:space="0" w:color="auto"/>
        <w:bottom w:val="none" w:sz="0" w:space="0" w:color="auto"/>
        <w:right w:val="none" w:sz="0" w:space="0" w:color="auto"/>
      </w:divBdr>
    </w:div>
    <w:div w:id="1942178702">
      <w:bodyDiv w:val="1"/>
      <w:marLeft w:val="0"/>
      <w:marRight w:val="0"/>
      <w:marTop w:val="0"/>
      <w:marBottom w:val="0"/>
      <w:divBdr>
        <w:top w:val="none" w:sz="0" w:space="0" w:color="auto"/>
        <w:left w:val="none" w:sz="0" w:space="0" w:color="auto"/>
        <w:bottom w:val="none" w:sz="0" w:space="0" w:color="auto"/>
        <w:right w:val="none" w:sz="0" w:space="0" w:color="auto"/>
      </w:divBdr>
    </w:div>
    <w:div w:id="213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E7CAF31-4297-45FE-823D-AF01A59998EE}">
  <ds:schemaRefs>
    <ds:schemaRef ds:uri="http://schemas.openxmlformats.org/officeDocument/2006/bibliography"/>
  </ds:schemaRefs>
</ds:datastoreItem>
</file>

<file path=customXml/itemProps2.xml><?xml version="1.0" encoding="utf-8"?>
<ds:datastoreItem xmlns:ds="http://schemas.openxmlformats.org/officeDocument/2006/customXml" ds:itemID="{F676BFC1-6274-45A3-8A76-FE9A96EC6997}"/>
</file>

<file path=customXml/itemProps3.xml><?xml version="1.0" encoding="utf-8"?>
<ds:datastoreItem xmlns:ds="http://schemas.openxmlformats.org/officeDocument/2006/customXml" ds:itemID="{ACAD4FA3-9EE5-4BBB-985E-2433C2DBA68F}"/>
</file>

<file path=customXml/itemProps4.xml><?xml version="1.0" encoding="utf-8"?>
<ds:datastoreItem xmlns:ds="http://schemas.openxmlformats.org/officeDocument/2006/customXml" ds:itemID="{C43F5184-36F2-4F39-9149-AA200B79E6CC}"/>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2417</Characters>
  <Application>Microsoft Office Word</Application>
  <DocSecurity>0</DocSecurity>
  <Lines>20</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ECE/TRANS/WP.15/AC.2/2011/20</vt:lpstr>
      <vt:lpstr>ECE/TRANS/WP.15/AC.2/2011/20</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Widerspruch zwischen 9.3.x.51 und 7.2.3.51.4</dc:title>
  <dc:subject/>
  <dc:creator/>
  <cp:lastModifiedBy>Martine Moench</cp:lastModifiedBy>
  <cp:revision>3</cp:revision>
  <cp:lastPrinted>2022-05-10T09:41:00Z</cp:lastPrinted>
  <dcterms:created xsi:type="dcterms:W3CDTF">2023-11-10T08:31:00Z</dcterms:created>
  <dcterms:modified xsi:type="dcterms:W3CDTF">2023-11-10T08:31:00Z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ACKERMK@BASFAD.BASF.NET</vt:lpwstr>
  </property>
  <property fmtid="{D5CDD505-2E9C-101B-9397-08002B2CF9AE}" pid="5" name="MSIP_Label_c8c00982-80e1-41e6-a03a-12f4ca954faf_SetDate">
    <vt:lpwstr>2021-07-02T11:33:23.5877585Z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494fc9a7-ab4d-4ce8-aa8f-9a33c01d37db</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ACKERMK@BASFAD.BASF.NET</vt:lpwstr>
  </property>
  <property fmtid="{D5CDD505-2E9C-101B-9397-08002B2CF9AE}" pid="13" name="MSIP_Label_06530cf4-8573-4c29-a912-bbcdac835909_SetDate">
    <vt:lpwstr>2021-07-02T11:33:23.5877585Z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494fc9a7-ab4d-4ce8-aa8f-9a33c01d37db</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y fmtid="{D5CDD505-2E9C-101B-9397-08002B2CF9AE}" pid="21" name="ContentTypeId">
    <vt:lpwstr>0x0101003B8422D08C252547BB1CFA7F78E2CB83</vt:lpwstr>
  </property>
</Properties>
</file>