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2C3878A8" w14:textId="77777777" w:rsidTr="00387CD4">
        <w:trPr>
          <w:trHeight w:hRule="exact" w:val="851"/>
        </w:trPr>
        <w:tc>
          <w:tcPr>
            <w:tcW w:w="142" w:type="dxa"/>
            <w:tcBorders>
              <w:bottom w:val="single" w:sz="4" w:space="0" w:color="auto"/>
            </w:tcBorders>
          </w:tcPr>
          <w:p w14:paraId="3781BF96" w14:textId="77777777" w:rsidR="002D5AAC" w:rsidRDefault="002D5AAC" w:rsidP="00217D57">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079FAFC4"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1426B69E" w14:textId="35E3D0FE" w:rsidR="002D5AAC" w:rsidRDefault="00217D57" w:rsidP="00217D57">
            <w:pPr>
              <w:jc w:val="right"/>
            </w:pPr>
            <w:r w:rsidRPr="00217D57">
              <w:rPr>
                <w:sz w:val="40"/>
              </w:rPr>
              <w:t>ECE</w:t>
            </w:r>
            <w:r>
              <w:t>/MP.EIA/SEA/2023/9</w:t>
            </w:r>
          </w:p>
        </w:tc>
      </w:tr>
      <w:tr w:rsidR="002D5AAC" w:rsidRPr="00ED26C5" w14:paraId="1B5A2FF3" w14:textId="77777777" w:rsidTr="00387CD4">
        <w:trPr>
          <w:trHeight w:hRule="exact" w:val="2835"/>
        </w:trPr>
        <w:tc>
          <w:tcPr>
            <w:tcW w:w="1280" w:type="dxa"/>
            <w:gridSpan w:val="2"/>
            <w:tcBorders>
              <w:top w:val="single" w:sz="4" w:space="0" w:color="auto"/>
              <w:bottom w:val="single" w:sz="12" w:space="0" w:color="auto"/>
            </w:tcBorders>
          </w:tcPr>
          <w:p w14:paraId="0D7993C9" w14:textId="77777777" w:rsidR="002D5AAC" w:rsidRDefault="002E5067" w:rsidP="00387CD4">
            <w:pPr>
              <w:spacing w:before="120"/>
              <w:jc w:val="center"/>
            </w:pPr>
            <w:r>
              <w:rPr>
                <w:noProof/>
                <w:lang w:val="fr-CH" w:eastAsia="fr-CH"/>
              </w:rPr>
              <w:drawing>
                <wp:inline distT="0" distB="0" distL="0" distR="0" wp14:anchorId="63A4A550" wp14:editId="3E66CDD2">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0C2735D4"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AEC4F62" w14:textId="77777777" w:rsidR="002D5AAC" w:rsidRDefault="00217D57" w:rsidP="00387CD4">
            <w:pPr>
              <w:spacing w:before="240"/>
              <w:rPr>
                <w:lang w:val="en-US"/>
              </w:rPr>
            </w:pPr>
            <w:r>
              <w:rPr>
                <w:lang w:val="en-US"/>
              </w:rPr>
              <w:t>Distr.: General</w:t>
            </w:r>
          </w:p>
          <w:p w14:paraId="47B72FC1" w14:textId="77777777" w:rsidR="00217D57" w:rsidRDefault="00217D57" w:rsidP="00217D57">
            <w:pPr>
              <w:spacing w:line="240" w:lineRule="exact"/>
              <w:rPr>
                <w:lang w:val="en-US"/>
              </w:rPr>
            </w:pPr>
            <w:r>
              <w:rPr>
                <w:lang w:val="en-US"/>
              </w:rPr>
              <w:t>3 October 2023</w:t>
            </w:r>
          </w:p>
          <w:p w14:paraId="713DB12F" w14:textId="77777777" w:rsidR="00217D57" w:rsidRDefault="00217D57" w:rsidP="00217D57">
            <w:pPr>
              <w:spacing w:line="240" w:lineRule="exact"/>
              <w:rPr>
                <w:lang w:val="en-US"/>
              </w:rPr>
            </w:pPr>
            <w:r>
              <w:rPr>
                <w:lang w:val="en-US"/>
              </w:rPr>
              <w:t>Russian</w:t>
            </w:r>
          </w:p>
          <w:p w14:paraId="5748B525" w14:textId="6BF991C0" w:rsidR="00217D57" w:rsidRPr="008D53B6" w:rsidRDefault="00217D57" w:rsidP="00217D57">
            <w:pPr>
              <w:spacing w:line="240" w:lineRule="exact"/>
              <w:rPr>
                <w:lang w:val="en-US"/>
              </w:rPr>
            </w:pPr>
            <w:r>
              <w:rPr>
                <w:lang w:val="en-US"/>
              </w:rPr>
              <w:t>Original: English</w:t>
            </w:r>
          </w:p>
        </w:tc>
      </w:tr>
    </w:tbl>
    <w:p w14:paraId="6DEE3924"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3C380EB" w14:textId="77777777" w:rsidR="00D14B9B" w:rsidRPr="00D232E0" w:rsidRDefault="00D14B9B" w:rsidP="00D14B9B">
      <w:pPr>
        <w:spacing w:before="120"/>
        <w:ind w:right="1842"/>
        <w:rPr>
          <w:sz w:val="28"/>
          <w:szCs w:val="28"/>
        </w:rPr>
      </w:pPr>
      <w:r w:rsidRPr="00D232E0">
        <w:rPr>
          <w:sz w:val="28"/>
          <w:szCs w:val="28"/>
        </w:rPr>
        <w:t xml:space="preserve">Совещание Сторон Конвенции об оценке </w:t>
      </w:r>
      <w:r w:rsidRPr="00D232E0">
        <w:rPr>
          <w:sz w:val="28"/>
          <w:szCs w:val="28"/>
        </w:rPr>
        <w:br/>
        <w:t xml:space="preserve">воздействия на окружающую среду </w:t>
      </w:r>
      <w:r w:rsidRPr="00D232E0">
        <w:rPr>
          <w:sz w:val="28"/>
          <w:szCs w:val="28"/>
        </w:rPr>
        <w:br/>
        <w:t>в трансграничном контексте</w:t>
      </w:r>
    </w:p>
    <w:p w14:paraId="3E35848C" w14:textId="77777777" w:rsidR="00D14B9B" w:rsidRPr="00D232E0" w:rsidRDefault="00D14B9B" w:rsidP="00D14B9B">
      <w:pPr>
        <w:spacing w:before="120"/>
        <w:ind w:right="1842"/>
        <w:rPr>
          <w:b/>
          <w:bCs/>
          <w:szCs w:val="20"/>
        </w:rPr>
      </w:pPr>
      <w:r w:rsidRPr="00D232E0">
        <w:rPr>
          <w:b/>
          <w:bCs/>
          <w:szCs w:val="20"/>
        </w:rPr>
        <w:t>Девятая сессия</w:t>
      </w:r>
    </w:p>
    <w:p w14:paraId="262ACC26" w14:textId="77777777" w:rsidR="00D14B9B" w:rsidRPr="00D95FC0" w:rsidRDefault="00D14B9B" w:rsidP="00D14B9B">
      <w:pPr>
        <w:autoSpaceDE w:val="0"/>
        <w:autoSpaceDN w:val="0"/>
        <w:adjustRightInd w:val="0"/>
        <w:spacing w:before="120"/>
        <w:rPr>
          <w:sz w:val="28"/>
          <w:szCs w:val="28"/>
        </w:rPr>
      </w:pPr>
      <w:r w:rsidRPr="00D95FC0">
        <w:rPr>
          <w:sz w:val="28"/>
          <w:szCs w:val="28"/>
        </w:rPr>
        <w:t xml:space="preserve">Совещание Сторон Конвенции об оценке </w:t>
      </w:r>
      <w:r w:rsidRPr="00D95FC0">
        <w:rPr>
          <w:sz w:val="28"/>
          <w:szCs w:val="28"/>
        </w:rPr>
        <w:br/>
        <w:t xml:space="preserve">воздействия на окружающую среду </w:t>
      </w:r>
      <w:r w:rsidRPr="00D95FC0">
        <w:rPr>
          <w:sz w:val="28"/>
          <w:szCs w:val="28"/>
        </w:rPr>
        <w:br/>
        <w:t xml:space="preserve">в трансграничном контексте, действующее </w:t>
      </w:r>
      <w:r w:rsidRPr="00D95FC0">
        <w:rPr>
          <w:sz w:val="28"/>
          <w:szCs w:val="28"/>
        </w:rPr>
        <w:br/>
        <w:t xml:space="preserve">в качестве Совещания Сторон Протокола </w:t>
      </w:r>
      <w:r w:rsidRPr="00D95FC0">
        <w:rPr>
          <w:sz w:val="28"/>
          <w:szCs w:val="28"/>
        </w:rPr>
        <w:br/>
        <w:t>по стратегической экологической оценке</w:t>
      </w:r>
    </w:p>
    <w:p w14:paraId="52E686C0" w14:textId="77777777" w:rsidR="00D14B9B" w:rsidRPr="00D95FC0" w:rsidRDefault="00D14B9B" w:rsidP="00D95FC0">
      <w:pPr>
        <w:autoSpaceDE w:val="0"/>
        <w:autoSpaceDN w:val="0"/>
        <w:adjustRightInd w:val="0"/>
        <w:spacing w:before="120" w:after="120"/>
        <w:rPr>
          <w:b/>
          <w:bCs/>
          <w:szCs w:val="20"/>
        </w:rPr>
      </w:pPr>
      <w:r w:rsidRPr="00D95FC0">
        <w:rPr>
          <w:b/>
          <w:bCs/>
          <w:szCs w:val="20"/>
        </w:rPr>
        <w:t>Пятая сессия</w:t>
      </w:r>
    </w:p>
    <w:p w14:paraId="690E686C" w14:textId="77777777" w:rsidR="00D14B9B" w:rsidRPr="00BC5410" w:rsidRDefault="00D14B9B" w:rsidP="00D14B9B">
      <w:r>
        <w:t>Женева, 12–15 декабря 2023 года</w:t>
      </w:r>
    </w:p>
    <w:p w14:paraId="68C8E0F5" w14:textId="77777777" w:rsidR="00D14B9B" w:rsidRDefault="00D14B9B" w:rsidP="00752B89">
      <w:pPr>
        <w:spacing w:after="120"/>
      </w:pPr>
      <w:r>
        <w:t>Пункты 3</w:t>
      </w:r>
      <w:r>
        <w:rPr>
          <w:rFonts w:eastAsiaTheme="minorEastAsia"/>
          <w:lang w:val="en-US" w:eastAsia="zh-CN"/>
        </w:rPr>
        <w:t> c</w:t>
      </w:r>
      <w:r w:rsidRPr="008912CD">
        <w:rPr>
          <w:rFonts w:eastAsiaTheme="minorEastAsia"/>
          <w:lang w:eastAsia="zh-CN"/>
        </w:rPr>
        <w:t xml:space="preserve">) </w:t>
      </w:r>
      <w:r>
        <w:rPr>
          <w:rFonts w:eastAsiaTheme="minorEastAsia"/>
          <w:lang w:eastAsia="zh-CN"/>
        </w:rPr>
        <w:t>и 8 </w:t>
      </w:r>
      <w:r>
        <w:rPr>
          <w:rFonts w:eastAsiaTheme="minorEastAsia"/>
          <w:lang w:val="en-US" w:eastAsia="zh-CN"/>
        </w:rPr>
        <w:t>c</w:t>
      </w:r>
      <w:r w:rsidRPr="008912CD">
        <w:rPr>
          <w:rFonts w:eastAsiaTheme="minorEastAsia"/>
          <w:lang w:eastAsia="zh-CN"/>
        </w:rPr>
        <w:t>)</w:t>
      </w:r>
      <w:r>
        <w:t xml:space="preserve"> предварительной повестки дня</w:t>
      </w:r>
    </w:p>
    <w:p w14:paraId="7D6AFC27" w14:textId="3092926F" w:rsidR="00D14B9B" w:rsidRDefault="00D14B9B" w:rsidP="00752B89">
      <w:pPr>
        <w:spacing w:after="120"/>
        <w:rPr>
          <w:b/>
          <w:bCs/>
        </w:rPr>
      </w:pPr>
      <w:r w:rsidRPr="00AA6086">
        <w:rPr>
          <w:b/>
          <w:bCs/>
        </w:rPr>
        <w:t>Нерешенные вопросы</w:t>
      </w:r>
      <w:r>
        <w:rPr>
          <w:b/>
          <w:bCs/>
        </w:rPr>
        <w:t xml:space="preserve">: </w:t>
      </w:r>
      <w:r w:rsidRPr="00AA6086">
        <w:rPr>
          <w:b/>
          <w:bCs/>
        </w:rPr>
        <w:t>проекты решений</w:t>
      </w:r>
      <w:r w:rsidR="00752B89">
        <w:rPr>
          <w:b/>
          <w:bCs/>
        </w:rPr>
        <w:br/>
      </w:r>
      <w:r w:rsidRPr="00AA6086">
        <w:rPr>
          <w:b/>
          <w:bCs/>
        </w:rPr>
        <w:t>Совещания Сторон Протокола</w:t>
      </w:r>
      <w:r w:rsidRPr="00AA6086" w:rsidDel="00AA6086">
        <w:rPr>
          <w:b/>
          <w:bCs/>
        </w:rPr>
        <w:t xml:space="preserve"> </w:t>
      </w:r>
    </w:p>
    <w:p w14:paraId="0C586C9E" w14:textId="197D888C" w:rsidR="00D14B9B" w:rsidRPr="00AA6086" w:rsidRDefault="00D14B9B" w:rsidP="00D14B9B">
      <w:pPr>
        <w:rPr>
          <w:b/>
          <w:bCs/>
        </w:rPr>
      </w:pPr>
      <w:r w:rsidRPr="008912CD">
        <w:rPr>
          <w:b/>
          <w:bCs/>
        </w:rPr>
        <w:t>Утверждение решений</w:t>
      </w:r>
      <w:r w:rsidRPr="00AA6086">
        <w:rPr>
          <w:b/>
          <w:bCs/>
        </w:rPr>
        <w:t xml:space="preserve">: </w:t>
      </w:r>
      <w:r w:rsidRPr="008912CD">
        <w:rPr>
          <w:b/>
          <w:bCs/>
        </w:rPr>
        <w:t>решения, принимаемые</w:t>
      </w:r>
      <w:r w:rsidR="00752B89">
        <w:rPr>
          <w:b/>
          <w:bCs/>
        </w:rPr>
        <w:br/>
      </w:r>
      <w:r w:rsidRPr="008912CD">
        <w:rPr>
          <w:b/>
          <w:bCs/>
        </w:rPr>
        <w:t>Совещанием Сторон Протокола</w:t>
      </w:r>
    </w:p>
    <w:p w14:paraId="374B9409" w14:textId="77777777" w:rsidR="00D14B9B" w:rsidRPr="00752B89" w:rsidRDefault="00D14B9B" w:rsidP="00752B89">
      <w:pPr>
        <w:pStyle w:val="HChG"/>
      </w:pPr>
      <w:r w:rsidRPr="00752B89">
        <w:tab/>
      </w:r>
      <w:r w:rsidRPr="00752B89">
        <w:tab/>
        <w:t xml:space="preserve">Четвертый обзор осуществления Протокола </w:t>
      </w:r>
      <w:r w:rsidRPr="00752B89">
        <w:br/>
        <w:t xml:space="preserve">по стратегической экологической оценке </w:t>
      </w:r>
    </w:p>
    <w:p w14:paraId="17D1ED80" w14:textId="08BA33BB" w:rsidR="006C2EFC" w:rsidRPr="006C2EFC" w:rsidRDefault="00D14B9B" w:rsidP="006C2EFC">
      <w:pPr>
        <w:pStyle w:val="H1G"/>
      </w:pPr>
      <w:r w:rsidRPr="00752B89">
        <w:tab/>
      </w:r>
      <w:r w:rsidRPr="00752B89">
        <w:tab/>
        <w:t>Записка Рабочей группы по оценке воздействия на окружающую среду и стратегической экологической оценке</w:t>
      </w:r>
      <w:r w:rsidRPr="00752B89" w:rsidDel="005654F3">
        <w:t xml:space="preserve"> </w:t>
      </w:r>
    </w:p>
    <w:tbl>
      <w:tblPr>
        <w:tblStyle w:val="ac"/>
        <w:tblW w:w="0" w:type="auto"/>
        <w:jc w:val="center"/>
        <w:tblLook w:val="05E0" w:firstRow="1" w:lastRow="1" w:firstColumn="1" w:lastColumn="1" w:noHBand="0" w:noVBand="1"/>
      </w:tblPr>
      <w:tblGrid>
        <w:gridCol w:w="9628"/>
      </w:tblGrid>
      <w:tr w:rsidR="00D14B9B" w:rsidRPr="00665747" w14:paraId="44A9540C" w14:textId="77777777" w:rsidTr="00B02DF3">
        <w:trPr>
          <w:jc w:val="center"/>
        </w:trPr>
        <w:tc>
          <w:tcPr>
            <w:tcW w:w="9637" w:type="dxa"/>
            <w:tcBorders>
              <w:bottom w:val="nil"/>
            </w:tcBorders>
          </w:tcPr>
          <w:p w14:paraId="29AF49A7" w14:textId="77777777" w:rsidR="00D14B9B" w:rsidRPr="00665747" w:rsidRDefault="00D14B9B" w:rsidP="00B02DF3">
            <w:pPr>
              <w:tabs>
                <w:tab w:val="left" w:pos="255"/>
              </w:tabs>
              <w:spacing w:before="240" w:after="120"/>
              <w:rPr>
                <w:rFonts w:cs="Times New Roman"/>
                <w:sz w:val="24"/>
              </w:rPr>
            </w:pPr>
            <w:r w:rsidRPr="00665747">
              <w:rPr>
                <w:rFonts w:cs="Times New Roman"/>
              </w:rPr>
              <w:tab/>
            </w:r>
            <w:r w:rsidRPr="00665747">
              <w:rPr>
                <w:rFonts w:cs="Times New Roman"/>
                <w:i/>
                <w:sz w:val="24"/>
              </w:rPr>
              <w:t>Резюме</w:t>
            </w:r>
          </w:p>
        </w:tc>
      </w:tr>
      <w:tr w:rsidR="00D14B9B" w:rsidRPr="00665747" w14:paraId="36ADD96C" w14:textId="77777777" w:rsidTr="00B02DF3">
        <w:trPr>
          <w:jc w:val="center"/>
        </w:trPr>
        <w:tc>
          <w:tcPr>
            <w:tcW w:w="9637" w:type="dxa"/>
            <w:tcBorders>
              <w:top w:val="nil"/>
              <w:bottom w:val="nil"/>
            </w:tcBorders>
            <w:shd w:val="clear" w:color="auto" w:fill="auto"/>
          </w:tcPr>
          <w:p w14:paraId="2F0A3C08" w14:textId="0AC5D05D" w:rsidR="00D14B9B" w:rsidRPr="00665747" w:rsidRDefault="00D14B9B" w:rsidP="00B02DF3">
            <w:pPr>
              <w:pStyle w:val="SingleTxtG"/>
            </w:pPr>
            <w:r>
              <w:tab/>
              <w:t>Совещание Сторон Конвенции об оценке воздействия на окружающую среду в трансграничном контексте, действующее в качестве Совещания Сторон Протокола по стратегической экологической оценке, постановило, что четвертый обзор осуществления Протокола в период 2019–2021 годов, основанный на докладах Сторон, будет представлен на пятой сессии Совещания Сторон (Женева,</w:t>
            </w:r>
            <w:r w:rsidR="006C2EFC">
              <w:br/>
            </w:r>
            <w:r>
              <w:t>12–15 декабря 2023 года) (ECE/MP.EIA/30/Add.1</w:t>
            </w:r>
            <w:r w:rsidR="006C2EFC">
              <w:t>–</w:t>
            </w:r>
            <w:r>
              <w:t>ECE/MP.EIA/SEA/13/Add.1, решение VIII/2</w:t>
            </w:r>
            <w:r w:rsidR="00AD20BD">
              <w:t>–</w:t>
            </w:r>
            <w:r>
              <w:t>IV/2).</w:t>
            </w:r>
          </w:p>
        </w:tc>
      </w:tr>
      <w:tr w:rsidR="00D14B9B" w:rsidRPr="00665747" w14:paraId="70038127" w14:textId="77777777" w:rsidTr="00B02DF3">
        <w:trPr>
          <w:jc w:val="center"/>
        </w:trPr>
        <w:tc>
          <w:tcPr>
            <w:tcW w:w="9637" w:type="dxa"/>
            <w:tcBorders>
              <w:top w:val="nil"/>
              <w:bottom w:val="nil"/>
            </w:tcBorders>
            <w:shd w:val="clear" w:color="auto" w:fill="auto"/>
          </w:tcPr>
          <w:p w14:paraId="6F5376DA" w14:textId="3F42B9EF" w:rsidR="00D14B9B" w:rsidRPr="002A2C57" w:rsidRDefault="00D14B9B" w:rsidP="002A2C57">
            <w:pPr>
              <w:pStyle w:val="SingleTxtG"/>
              <w:rPr>
                <w:spacing w:val="-2"/>
              </w:rPr>
            </w:pPr>
            <w:r w:rsidRPr="002A2C57">
              <w:rPr>
                <w:spacing w:val="-2"/>
              </w:rPr>
              <w:tab/>
              <w:t xml:space="preserve">В настоящей записке представлены результаты четвертого обзора, подготовленного на основе национальных докладов, которые были получены до 30 июня 2022 года. Окончательный вариант итогового документа обзора был </w:t>
            </w:r>
            <w:r w:rsidR="002A2C57" w:rsidRPr="002A2C57">
              <w:rPr>
                <w:spacing w:val="-2"/>
              </w:rPr>
              <w:t>составлен</w:t>
            </w:r>
          </w:p>
        </w:tc>
      </w:tr>
      <w:tr w:rsidR="002A2C57" w:rsidRPr="00665747" w14:paraId="27AE9541" w14:textId="77777777" w:rsidTr="00B02DF3">
        <w:trPr>
          <w:jc w:val="center"/>
        </w:trPr>
        <w:tc>
          <w:tcPr>
            <w:tcW w:w="9637" w:type="dxa"/>
            <w:tcBorders>
              <w:top w:val="nil"/>
              <w:bottom w:val="nil"/>
            </w:tcBorders>
            <w:shd w:val="clear" w:color="auto" w:fill="auto"/>
          </w:tcPr>
          <w:p w14:paraId="5B60B28C" w14:textId="2C31ABAE" w:rsidR="002A2C57" w:rsidRDefault="002A2C57" w:rsidP="002A2C57">
            <w:pPr>
              <w:pStyle w:val="SingleTxtG"/>
              <w:pageBreakBefore/>
            </w:pPr>
            <w:r>
              <w:lastRenderedPageBreak/>
              <w:t>с учетом замечаний, сделанных во время и после завершения одиннадцатого совещания Рабочей группы по оценке воздействия на окружающую среду и стратегической экологической оценке (Женева, 19</w:t>
            </w:r>
            <w:r w:rsidR="006C2EFC">
              <w:t>–</w:t>
            </w:r>
            <w:r>
              <w:t>21 декабря 2022 года), и дополнительных корректировок, согласованных Рабочей группой на ее двенадцатом совещании (Женева, 13</w:t>
            </w:r>
            <w:r w:rsidR="006C2EFC">
              <w:t>–</w:t>
            </w:r>
            <w:r>
              <w:t>15 июня 2023 года).</w:t>
            </w:r>
          </w:p>
        </w:tc>
      </w:tr>
      <w:tr w:rsidR="002A2C57" w:rsidRPr="00665747" w14:paraId="198A1766" w14:textId="77777777" w:rsidTr="00B02DF3">
        <w:trPr>
          <w:jc w:val="center"/>
        </w:trPr>
        <w:tc>
          <w:tcPr>
            <w:tcW w:w="9637" w:type="dxa"/>
            <w:tcBorders>
              <w:top w:val="nil"/>
              <w:bottom w:val="nil"/>
            </w:tcBorders>
            <w:shd w:val="clear" w:color="auto" w:fill="auto"/>
          </w:tcPr>
          <w:p w14:paraId="320F8C67" w14:textId="54E97C4A" w:rsidR="002A2C57" w:rsidRDefault="002A2C57" w:rsidP="006C2EFC">
            <w:pPr>
              <w:pStyle w:val="SingleTxtG"/>
              <w:spacing w:after="0"/>
            </w:pPr>
            <w:r>
              <w:tab/>
              <w:t xml:space="preserve">Совещанию Сторон Протокола предлагается рассмотреть вопрос об утверждении итогов четвертого обзора хода осуществления Протокола своим решением </w:t>
            </w:r>
            <w:r>
              <w:rPr>
                <w:rFonts w:eastAsiaTheme="minorEastAsia"/>
                <w:lang w:val="en-US" w:eastAsia="zh-CN"/>
              </w:rPr>
              <w:t>V</w:t>
            </w:r>
            <w:r w:rsidRPr="008912CD">
              <w:rPr>
                <w:rFonts w:eastAsiaTheme="minorEastAsia"/>
                <w:lang w:eastAsia="zh-CN"/>
              </w:rPr>
              <w:t>/5</w:t>
            </w:r>
            <w:r>
              <w:rPr>
                <w:rFonts w:eastAsiaTheme="minorEastAsia"/>
                <w:lang w:eastAsia="zh-CN"/>
              </w:rPr>
              <w:t>.</w:t>
            </w:r>
          </w:p>
        </w:tc>
      </w:tr>
      <w:tr w:rsidR="00D14B9B" w:rsidRPr="00665747" w14:paraId="03E71BF0" w14:textId="77777777" w:rsidTr="00B02DF3">
        <w:trPr>
          <w:jc w:val="center"/>
        </w:trPr>
        <w:tc>
          <w:tcPr>
            <w:tcW w:w="9637" w:type="dxa"/>
            <w:tcBorders>
              <w:top w:val="nil"/>
            </w:tcBorders>
          </w:tcPr>
          <w:p w14:paraId="517EAE07" w14:textId="77777777" w:rsidR="00D14B9B" w:rsidRPr="00665747" w:rsidRDefault="00D14B9B" w:rsidP="00B02DF3">
            <w:pPr>
              <w:rPr>
                <w:rFonts w:cs="Times New Roman"/>
              </w:rPr>
            </w:pPr>
          </w:p>
        </w:tc>
      </w:tr>
    </w:tbl>
    <w:p w14:paraId="44D923BF" w14:textId="77777777" w:rsidR="00D14B9B" w:rsidRDefault="00D14B9B">
      <w:pPr>
        <w:suppressAutoHyphens w:val="0"/>
        <w:spacing w:line="240" w:lineRule="auto"/>
      </w:pPr>
      <w:r>
        <w:br w:type="page"/>
      </w:r>
    </w:p>
    <w:p w14:paraId="1CDA176A" w14:textId="77777777" w:rsidR="00123BFA" w:rsidRPr="00BC5410" w:rsidRDefault="00123BFA" w:rsidP="00123BFA">
      <w:pPr>
        <w:pStyle w:val="HChG"/>
      </w:pPr>
      <w:r>
        <w:lastRenderedPageBreak/>
        <w:tab/>
      </w:r>
      <w:r>
        <w:tab/>
      </w:r>
      <w:r>
        <w:tab/>
      </w:r>
      <w:r>
        <w:rPr>
          <w:bCs/>
        </w:rPr>
        <w:t>Введение</w:t>
      </w:r>
    </w:p>
    <w:p w14:paraId="75C10FC7" w14:textId="77777777" w:rsidR="00123BFA" w:rsidRPr="00BC5410" w:rsidRDefault="00123BFA" w:rsidP="00123BFA">
      <w:pPr>
        <w:pStyle w:val="SingleTxtG"/>
        <w:rPr>
          <w:rFonts w:eastAsia="Times"/>
        </w:rPr>
      </w:pPr>
      <w:r>
        <w:t>1.</w:t>
      </w:r>
      <w:r>
        <w:tab/>
        <w:t>В настоящем докладе представлен четвертый обзор осуществления Протокола по стратегической экологической оценке. В нем анализируются ответы на вопросник по правовым аспектам осуществления Протокола Сторонами и их практический опыт в этой области, накопленный в период 2019–2021 годов, с целью активизации работы по осуществлению и соблюдению правовых положений Протокола.</w:t>
      </w:r>
    </w:p>
    <w:p w14:paraId="0A873012" w14:textId="77777777" w:rsidR="00123BFA" w:rsidRPr="00BC5410" w:rsidRDefault="00123BFA" w:rsidP="00123BFA">
      <w:pPr>
        <w:pStyle w:val="SingleTxtG"/>
        <w:rPr>
          <w:u w:val="single"/>
        </w:rPr>
      </w:pPr>
      <w:r>
        <w:t>2.</w:t>
      </w:r>
      <w:r>
        <w:tab/>
        <w:t xml:space="preserve">Методология, лежащая в основе четвертого обзора, изложена в разделе I. </w:t>
      </w:r>
      <w:r>
        <w:br/>
        <w:t>В разделе II содержится обзор ряда аспектов национальной административно-правовой основы Сторон, обеспечивающей осуществление Протокола. В разделе III представлен обзор практического применения Протокола Сторонами и накопленного ими за отчетный период опыта в этой области. Раздел IV содержит резюме основных выводов четвертого обзора.</w:t>
      </w:r>
    </w:p>
    <w:p w14:paraId="7F4BCFDE" w14:textId="77777777" w:rsidR="00123BFA" w:rsidRPr="00BC5410" w:rsidRDefault="00123BFA" w:rsidP="00123BFA">
      <w:pPr>
        <w:pStyle w:val="SingleTxtG"/>
      </w:pPr>
      <w:r>
        <w:t>3.</w:t>
      </w:r>
      <w:r>
        <w:tab/>
        <w:t>В связи с ограничением объема настоящего доклада дополнительная информация будет размещена на веб-сайте Протокола</w:t>
      </w:r>
      <w:r>
        <w:rPr>
          <w:rStyle w:val="aa"/>
        </w:rPr>
        <w:footnoteReference w:id="1"/>
      </w:r>
      <w:r>
        <w:t>.</w:t>
      </w:r>
    </w:p>
    <w:p w14:paraId="1A7273BB" w14:textId="77777777" w:rsidR="00123BFA" w:rsidRPr="00BC5410" w:rsidRDefault="00123BFA" w:rsidP="00123BFA">
      <w:pPr>
        <w:pStyle w:val="HChG"/>
      </w:pPr>
      <w:bookmarkStart w:id="0" w:name="_Toc14170009"/>
      <w:r>
        <w:rPr>
          <w:bCs/>
        </w:rPr>
        <w:tab/>
        <w:t>I.</w:t>
      </w:r>
      <w:r>
        <w:tab/>
      </w:r>
      <w:r>
        <w:rPr>
          <w:bCs/>
        </w:rPr>
        <w:t>Методология</w:t>
      </w:r>
      <w:bookmarkEnd w:id="0"/>
    </w:p>
    <w:p w14:paraId="33CE9EFB" w14:textId="1B17E1A0" w:rsidR="00123BFA" w:rsidRPr="00BC5410" w:rsidRDefault="00123BFA" w:rsidP="00123BFA">
      <w:pPr>
        <w:pStyle w:val="SingleTxtG"/>
      </w:pPr>
      <w:bookmarkStart w:id="1" w:name="_uyfop1ssokq6" w:colFirst="0" w:colLast="0"/>
      <w:bookmarkEnd w:id="1"/>
      <w:r>
        <w:t>4.</w:t>
      </w:r>
      <w:r>
        <w:tab/>
        <w:t>Четвертый обзор осуществления Протокола был подготовлен в соответствии с планом работы, утвержденным Совещанием Сторон на его четвертой сессии (ECE/MP.EIA/30/Add.1</w:t>
      </w:r>
      <w:r w:rsidR="009075B0">
        <w:t>–</w:t>
      </w:r>
      <w:r>
        <w:t>ECE/MP.EIA/SEA/13/Add.1, решение VIII/2</w:t>
      </w:r>
      <w:r w:rsidR="0095719F">
        <w:t>–</w:t>
      </w:r>
      <w:r>
        <w:t>IV/2). Стороны предоставили информацию о своей деятельности по осуществлению Протокола и накопленном в этой связи практическом опыте, ответив на вопросник, который был подготовлен Комитетом по осуществлению и утвержден Рабочей группой по оценке воздействия на окружающую среду и стратегической экологической оценке</w:t>
      </w:r>
      <w:r w:rsidRPr="009075B0">
        <w:rPr>
          <w:sz w:val="18"/>
          <w:szCs w:val="18"/>
          <w:vertAlign w:val="superscript"/>
        </w:rPr>
        <w:footnoteReference w:id="2"/>
      </w:r>
      <w:r>
        <w:t>.</w:t>
      </w:r>
      <w:bookmarkStart w:id="2" w:name="_Ref9933233"/>
      <w:bookmarkEnd w:id="2"/>
    </w:p>
    <w:p w14:paraId="18B5D90E" w14:textId="77777777" w:rsidR="00123BFA" w:rsidRPr="00BC5410" w:rsidRDefault="00123BFA" w:rsidP="00123BFA">
      <w:pPr>
        <w:pStyle w:val="SingleTxtG"/>
      </w:pPr>
      <w:r>
        <w:t>5.</w:t>
      </w:r>
      <w:r>
        <w:tab/>
        <w:t>На основе заполненных вопросников, полученных к 30 июня 2022 года, секретариат при содействии консультанта подготовил обзор для рассмотрения Рабочей группой по оценке воздействия на окружающую среду и стратегической экологической оценке на ее одиннадцатом совещании (Женева, 19–21 декабря 2022</w:t>
      </w:r>
      <w:r>
        <w:rPr>
          <w:lang w:val="en-US"/>
        </w:rPr>
        <w:t> </w:t>
      </w:r>
      <w:r>
        <w:t>года). Затем итоговый документ обзора был окончательно доработан с учетом замечаний, высказанных Сторонами в ходе и после одиннадцатого совещания Рабочей группы, и представлен Совещанию Сторон Конвенции для принятия на его следующей сессии (Женева, 12–15 декабря 2023 года).</w:t>
      </w:r>
    </w:p>
    <w:p w14:paraId="1354A7B5" w14:textId="23F1B984" w:rsidR="00123BFA" w:rsidRPr="00BC5410" w:rsidRDefault="00123BFA" w:rsidP="00123BFA">
      <w:pPr>
        <w:pStyle w:val="SingleTxtG"/>
        <w:rPr>
          <w:rFonts w:eastAsia="Times"/>
        </w:rPr>
      </w:pPr>
      <w:r>
        <w:t>6.</w:t>
      </w:r>
      <w:r>
        <w:tab/>
        <w:t>К установленному сроку, 30 апреля 2022 года, свои ответы представили лишь чуть более чем 50 </w:t>
      </w:r>
      <w:r w:rsidRPr="00DC33CE">
        <w:t>%</w:t>
      </w:r>
      <w:r w:rsidR="009075B0">
        <w:t xml:space="preserve"> </w:t>
      </w:r>
      <w:r>
        <w:t>Сторон. К 30 июня заполненные вопросники были получены от 22 из 33 Сторон Протокола, а также от Грузии и Казахстана, которые в настоящее время не являются Сторонами Протокола. Всего было получено 24 индивидуальных ответа, которые включены в настоящий обзор.</w:t>
      </w:r>
    </w:p>
    <w:p w14:paraId="31B29861" w14:textId="77777777" w:rsidR="00123BFA" w:rsidRPr="00BC5410" w:rsidRDefault="00123BFA" w:rsidP="00123BFA">
      <w:pPr>
        <w:pStyle w:val="SingleTxtG"/>
      </w:pPr>
      <w:r>
        <w:t>7.</w:t>
      </w:r>
      <w:r>
        <w:tab/>
        <w:t>Не все Стороны предоставили ответы на все вопросы; соответственно, количество ответов (т. е. «кол-во»), представленных в настоящем документе по отдельным вопросам, иногда меньше максимального количества Сторон, предоставивших заполненный вопросник. Следует отметить, что на некоторые вопросы респонденты могли давать несколько ответов. Кроме того, некоторые Стороны предоставили несколько ответов на вопросы, варианты ответов на которые носят взаимоисключающий характер. Ввиду этого общее количество ответов на вопрос может превышать количество респондентов.</w:t>
      </w:r>
    </w:p>
    <w:p w14:paraId="2B8CA1F9" w14:textId="77777777" w:rsidR="00123BFA" w:rsidRPr="00BC5410" w:rsidRDefault="00123BFA" w:rsidP="00123BFA">
      <w:pPr>
        <w:pStyle w:val="SingleTxtG"/>
      </w:pPr>
      <w:r>
        <w:t>8.</w:t>
      </w:r>
      <w:r>
        <w:tab/>
        <w:t>Болгария, Германия, Италия, Кипр, Нидерланды, Португалия,</w:t>
      </w:r>
      <w:r w:rsidRPr="00DC33CE">
        <w:t xml:space="preserve"> </w:t>
      </w:r>
      <w:r>
        <w:t>Северная Македония, Сербия, Словения и Украина не представили заполненный вопросник</w:t>
      </w:r>
      <w:r w:rsidRPr="00EC2A6D">
        <w:t xml:space="preserve"> </w:t>
      </w:r>
      <w:r>
        <w:t xml:space="preserve">в период с июля по сентябрь 2022 года. Германия, Италия, Кипр, Нидерланды, </w:t>
      </w:r>
      <w:r>
        <w:lastRenderedPageBreak/>
        <w:t xml:space="preserve">Португалия, Словения и Украина представили свои заполненные вопросники после истечения указанного периода. Информация, содержащаяся в заполненных вопросниках, которые были представлены с опозданием, не отражена в настоящем обзоре хода осуществления, однако с этими вопросниками можно ознакомиться на веб-сайте Протокола. </w:t>
      </w:r>
    </w:p>
    <w:p w14:paraId="4D2E940A" w14:textId="77777777" w:rsidR="00123BFA" w:rsidRPr="00BC5410" w:rsidRDefault="00123BFA" w:rsidP="00123BFA">
      <w:pPr>
        <w:pStyle w:val="SingleTxtG"/>
      </w:pPr>
      <w:r>
        <w:t>9.</w:t>
      </w:r>
      <w:r>
        <w:tab/>
        <w:t>Европейский союз не заполнил вопросник</w:t>
      </w:r>
      <w:r w:rsidRPr="000C02C5">
        <w:rPr>
          <w:sz w:val="18"/>
          <w:vertAlign w:val="superscript"/>
        </w:rPr>
        <w:footnoteReference w:id="3"/>
      </w:r>
      <w:r>
        <w:t>. Вместо этого он предоставил информацию о применении законодательства Европейского союза, касающегося стратегической экологической оценки; результатах своей первой внутренней оценки Директивы Европейского союза о стратегической экологической оценке</w:t>
      </w:r>
      <w:r w:rsidRPr="000C02C5">
        <w:rPr>
          <w:rFonts w:eastAsia="Times"/>
          <w:sz w:val="18"/>
          <w:vertAlign w:val="superscript"/>
        </w:rPr>
        <w:footnoteReference w:id="4"/>
      </w:r>
      <w:r>
        <w:t>; исполнении указанной Директивы; и четырех постановлениях Суда Европейского союза, касающихся стратегической экологической оценки.</w:t>
      </w:r>
    </w:p>
    <w:p w14:paraId="0EF22185" w14:textId="77777777" w:rsidR="00123BFA" w:rsidRPr="00BC5410" w:rsidRDefault="00123BFA" w:rsidP="00123BFA">
      <w:pPr>
        <w:pStyle w:val="HChG"/>
      </w:pPr>
      <w:bookmarkStart w:id="3" w:name="_Toc14170010"/>
      <w:r>
        <w:rPr>
          <w:bCs/>
        </w:rPr>
        <w:tab/>
        <w:t>II.</w:t>
      </w:r>
      <w:r>
        <w:tab/>
      </w:r>
      <w:r>
        <w:rPr>
          <w:bCs/>
        </w:rPr>
        <w:t>Обзор хода осуществления Сторонами</w:t>
      </w:r>
      <w:bookmarkEnd w:id="3"/>
    </w:p>
    <w:p w14:paraId="79FCB5A4" w14:textId="77777777" w:rsidR="00123BFA" w:rsidRPr="00BC5410" w:rsidRDefault="00123BFA" w:rsidP="00123BFA">
      <w:pPr>
        <w:pStyle w:val="SingleTxtG"/>
        <w:rPr>
          <w:rFonts w:eastAsia="Times"/>
        </w:rPr>
      </w:pPr>
      <w:r>
        <w:t>10.</w:t>
      </w:r>
      <w:r>
        <w:tab/>
        <w:t>В настоящем разделе доклада рассматриваются основные выводы, относящиеся к первой части вопросника, в которой главное внимание уделяется национальной административно-правовой основе Сторон, обеспечивающей осуществление Протокола.</w:t>
      </w:r>
    </w:p>
    <w:p w14:paraId="6ED15BF9" w14:textId="77777777" w:rsidR="00123BFA" w:rsidRPr="00BC5410" w:rsidRDefault="00123BFA" w:rsidP="00123BFA">
      <w:pPr>
        <w:pStyle w:val="H1G"/>
      </w:pPr>
      <w:bookmarkStart w:id="4" w:name="_Toc14170011"/>
      <w:r>
        <w:rPr>
          <w:bCs/>
        </w:rPr>
        <w:tab/>
        <w:t>A.</w:t>
      </w:r>
      <w:r>
        <w:tab/>
        <w:t>Общие положения</w:t>
      </w:r>
      <w:bookmarkEnd w:id="4"/>
    </w:p>
    <w:p w14:paraId="70C241FC" w14:textId="77777777" w:rsidR="00123BFA" w:rsidRPr="00BC5410" w:rsidRDefault="00123BFA" w:rsidP="00123BFA">
      <w:pPr>
        <w:pStyle w:val="SingleTxtG"/>
        <w:rPr>
          <w:rFonts w:eastAsia="Times"/>
        </w:rPr>
      </w:pPr>
      <w:r>
        <w:t>11.</w:t>
      </w:r>
      <w:r>
        <w:tab/>
        <w:t>Вопрос I.3 призван выяснить, каким образом Стороны ввели Протокол в действие на национальном уровне. Большинство респондентов (23) приняли нормативную базу для осуществления Протокола либо непосредственно в рамках одного закона, либо в рамках более широкого экологического законодательства, связанного с законодательством об оценке воздействия на окружающую среду и/или другим законодательством (например, с законодательством по вопросам планирования, землепользования или строительства). Мальта осуществляет положения Протокола с помощью правил стратегической экологической оценки.</w:t>
      </w:r>
    </w:p>
    <w:p w14:paraId="676A5B5A" w14:textId="77777777" w:rsidR="00123BFA" w:rsidRPr="00BC5410" w:rsidRDefault="00123BFA" w:rsidP="00123BFA">
      <w:pPr>
        <w:pStyle w:val="SingleTxtG"/>
        <w:rPr>
          <w:rFonts w:eastAsia="Times"/>
        </w:rPr>
      </w:pPr>
      <w:r>
        <w:t>12.</w:t>
      </w:r>
      <w:r>
        <w:tab/>
        <w:t>Ряд Сторон сообщили о том, что они также внесли изменения в различные секторальные законодательные акты (например, по вопросам землепользования, планирования, строительства, охраны природы и ландшафта, управления отходами и водными ресурсами), с тем чтобы привести их в соответствие с законодательством о стратегической экологической оценке. Большинство Сторон также приняли соответствующие подзаконные акты и/или руководящие указания. Например, Австрия сообщила о наличии в общей сложности около 39 законов, направленных на осуществление стратегической экологической оценки, а также нескольких постановлений.</w:t>
      </w:r>
    </w:p>
    <w:p w14:paraId="763F80CE" w14:textId="77777777" w:rsidR="00123BFA" w:rsidRPr="00BC5410" w:rsidRDefault="00123BFA" w:rsidP="00123BFA">
      <w:pPr>
        <w:pStyle w:val="H1G"/>
      </w:pPr>
      <w:r>
        <w:rPr>
          <w:bCs/>
        </w:rPr>
        <w:tab/>
        <w:t>B.</w:t>
      </w:r>
      <w:r>
        <w:tab/>
      </w:r>
      <w:r>
        <w:rPr>
          <w:bCs/>
        </w:rPr>
        <w:t>Сфера применения в отношении планов и программ</w:t>
      </w:r>
    </w:p>
    <w:p w14:paraId="7D3D5B5D" w14:textId="4EC23989" w:rsidR="00123BFA" w:rsidRPr="00BC5410" w:rsidRDefault="00123BFA" w:rsidP="00123BFA">
      <w:pPr>
        <w:pStyle w:val="SingleTxtG"/>
        <w:rPr>
          <w:rFonts w:eastAsia="Times"/>
        </w:rPr>
      </w:pPr>
      <w:r>
        <w:t>13.</w:t>
      </w:r>
      <w:r>
        <w:tab/>
        <w:t>В вопросе I.4.1 Сторонам предлагается перечислить типы планов и программ, требующих проведения стратегической экологической оценки согласно их национальному законодательству. В качестве планов и программ респонденты чаще всего называли планы и программы, конкретно перечисленные в пункте 2 статьи 4. Несколько Сторон не включают либо один</w:t>
      </w:r>
      <w:r w:rsidR="00BC358E">
        <w:t>,</w:t>
      </w:r>
      <w:r>
        <w:t xml:space="preserve"> либо несколько секторов, указанных в пункте 2 статьи 4, в свое внутреннее законодательство, а именно: региональное развитие (Мальта), а также туризм и землепользование (Армения). Ряд респондентов включают в свое внутреннее законодательство другие сектора: например, отдых и услуги (Армения), дорожное движение (Венгрия), управление прибрежной зоной (Черногория), аквакультура (Румыния), использование общественных прибрежных территорий и морской среды (Испания) и окружающая среда (Словакия). Швеция </w:t>
      </w:r>
      <w:r>
        <w:lastRenderedPageBreak/>
        <w:t xml:space="preserve">также включает морские стратегии, программу мер по достижению своих стандартов качества окружающей среды и план современных условий выдачи экологических разрешений. Государства — члены Европейского союза учли возможность воздействия на природоохранные зоны, входящие в сеть «Натура 2000». </w:t>
      </w:r>
    </w:p>
    <w:p w14:paraId="35E6FACB" w14:textId="77777777" w:rsidR="00123BFA" w:rsidRPr="00BC5410" w:rsidRDefault="00123BFA" w:rsidP="00123BFA">
      <w:pPr>
        <w:pStyle w:val="SingleTxtG"/>
        <w:rPr>
          <w:rFonts w:eastAsia="Times"/>
        </w:rPr>
      </w:pPr>
      <w:r>
        <w:t>14.</w:t>
      </w:r>
      <w:r>
        <w:tab/>
        <w:t>Норвегия не указывает охватываемые сектора, но требует проведения стратегической экологической оценки для планов/программ, которые устанавливают рамки для перечисленных проектов.</w:t>
      </w:r>
    </w:p>
    <w:p w14:paraId="793008E5" w14:textId="77777777" w:rsidR="00123BFA" w:rsidRPr="00BC5410" w:rsidRDefault="00123BFA" w:rsidP="00123BFA">
      <w:pPr>
        <w:pStyle w:val="SingleTxtG"/>
        <w:rPr>
          <w:rFonts w:eastAsia="Times"/>
        </w:rPr>
      </w:pPr>
      <w:r>
        <w:t>15.</w:t>
      </w:r>
      <w:r>
        <w:tab/>
        <w:t xml:space="preserve">Некоторые Стороны определяют в своем внутреннем законодательстве </w:t>
      </w:r>
      <w:r>
        <w:br/>
        <w:t>(на национальном или региональном уровне) конкретные типы планов и программ, которые неизменно (или как правило) подпадают под процедуры стратегической экологической оценки (Австрия, Венгрия, Норвегия, Финляндия и Швеция). В Албании решением Совета министров был принят подробный перечень планов и программ, оказывающих значительное негативное воздействие на окружающую среду и подлежащих стратегической экологической оценке. Такой подход сочетается с использованием критериев и/или индивидуального анализа для других планов или программ, которые не перечислены во внутреннем законодательстве, но которые, как считается, могут иметь существенные экологические последствия или создать основу для выдачи в будущем разрешений на реализацию (например, Венгрия, Румыния и Словакия). Дания сообщила, что, несмотря на перечисление конкретных планов и программ, ее законодательство не исключает и не сужает концепцию планов и программ в соответствии с целями Протокола (и Директивы Европейского союза о стратегической экологической оценке), а именно с обеспечением высокого уровня защиты окружающей среды.</w:t>
      </w:r>
    </w:p>
    <w:p w14:paraId="42D24083" w14:textId="77777777" w:rsidR="00123BFA" w:rsidRPr="00BC5410" w:rsidRDefault="00123BFA" w:rsidP="00123BFA">
      <w:pPr>
        <w:pStyle w:val="SingleTxtG"/>
        <w:rPr>
          <w:rFonts w:eastAsia="Times"/>
        </w:rPr>
      </w:pPr>
      <w:bookmarkStart w:id="5" w:name="_Hlk16873090"/>
      <w:r>
        <w:t>16.</w:t>
      </w:r>
      <w:r>
        <w:tab/>
        <w:t>Большинство респондентов (20 из 23) не дают четкого определения в своем внутреннем законодательстве, что означает формулировка «определяет ли какой-либо план или какая-либо программа основу для выдачи в будущем разрешений на реализацию» (вопрос I.4.2); вместо этого для осуществления данного положения они используют различные толкования и подходы. Некоторые респонденты перенесли эту формулировку из Протокола непосредственно в национальное законодательство (например, Хорватия). Большинство респондентов толкуют эту формулировку как определяющую основу для проектов, определяющую основу для выдачи в будущем разрешений на строительство или определяющую основу/условия для утверждения проектов/выдачи разрешений на проекты, в отношении которых может потребоваться проведение оценки воздействия на окружающую среду, не приводя никаких уточнений (например, Босния и Герцеговина, Норвегия, Польша и Черногория).</w:t>
      </w:r>
      <w:bookmarkStart w:id="6" w:name="_Hlk16873110"/>
      <w:bookmarkEnd w:id="5"/>
      <w:bookmarkEnd w:id="6"/>
    </w:p>
    <w:p w14:paraId="1701BD3B" w14:textId="7B38C29B" w:rsidR="00123BFA" w:rsidRPr="00BC5410" w:rsidRDefault="00123BFA" w:rsidP="00123BFA">
      <w:pPr>
        <w:pStyle w:val="SingleTxtG"/>
        <w:rPr>
          <w:rFonts w:eastAsia="Times"/>
        </w:rPr>
      </w:pPr>
      <w:r>
        <w:t>17.</w:t>
      </w:r>
      <w:r>
        <w:tab/>
        <w:t>Некоторые респонденты предоставили дополнительные критерии или пояснения в отношении того, что, по их мнению, определяет основу для выдачи в будущем разрешений на реализацию. Например, она может быть определена на основании: степени, в которой в плане/программе установлено местоположение будущих проектов; характера и условий эксплуатации; или распределения ресурсов</w:t>
      </w:r>
      <w:r w:rsidR="00992C50">
        <w:t> </w:t>
      </w:r>
      <w:r>
        <w:t>(Грузия, Латвия, Финляндия, Чехия и Эстония). Некоторые респонденты</w:t>
      </w:r>
      <w:r w:rsidR="00992C50">
        <w:t> </w:t>
      </w:r>
      <w:r>
        <w:t>(например, Албания, Латвия, Литва, Люксембург, Мальта и Словакия) определяют планы или программы как основу для выдачи в будущем разрешений на реализацию на индивидуальной основе, тогда как в Армении все планы и программы в перечисленных сферах (секторах) подлежат стратегической экологической оценке.</w:t>
      </w:r>
    </w:p>
    <w:p w14:paraId="38C53988" w14:textId="2E3B108B" w:rsidR="00123BFA" w:rsidRPr="00264544" w:rsidRDefault="00123BFA" w:rsidP="00123BFA">
      <w:pPr>
        <w:pStyle w:val="SingleTxtG"/>
      </w:pPr>
      <w:r>
        <w:t>18.</w:t>
      </w:r>
      <w:r>
        <w:tab/>
        <w:t>Аналогичным образом большинство респондентов (19 из 23), судя по всему, конкретно не определили в своем законодательстве значение формулировки «планы и программы, которые определяют использование небольших территорий на местном уровне» в контексте пункта 4 статьи 4 (вопрос I.4.3). Вместо этого они обычно определяют планы и программы, в отношении которых может потребоваться проведение стратегической экологической оценки, в своем законодательстве или принимают решения на индивидуальной основе, используя применимые национальные и/или местные критерии.</w:t>
      </w:r>
    </w:p>
    <w:p w14:paraId="013CD99F" w14:textId="77777777" w:rsidR="00123BFA" w:rsidRPr="00BC5410" w:rsidRDefault="00123BFA" w:rsidP="00123BFA">
      <w:pPr>
        <w:pStyle w:val="SingleTxtG"/>
        <w:rPr>
          <w:rFonts w:eastAsia="Times"/>
        </w:rPr>
      </w:pPr>
      <w:r>
        <w:t>19.</w:t>
      </w:r>
      <w:r>
        <w:tab/>
        <w:t>Некоторые Стороны привели примеры того, как формулировка «небольшие территории на местном уровне» определяется или толкуется на национальном уровне:</w:t>
      </w:r>
    </w:p>
    <w:p w14:paraId="1675599E" w14:textId="77777777" w:rsidR="00123BFA" w:rsidRPr="00BC5410" w:rsidRDefault="00123BFA" w:rsidP="00123BFA">
      <w:pPr>
        <w:pStyle w:val="SingleTxtG"/>
      </w:pPr>
      <w:r>
        <w:lastRenderedPageBreak/>
        <w:tab/>
        <w:t>a)</w:t>
      </w:r>
      <w:r>
        <w:tab/>
        <w:t xml:space="preserve">планы/программы, площадь выделяемой территории под которые составляет 10 км² или менее (Литва); </w:t>
      </w:r>
    </w:p>
    <w:p w14:paraId="2EFBC65C" w14:textId="77777777" w:rsidR="00123BFA" w:rsidRPr="00BC5410" w:rsidRDefault="00123BFA" w:rsidP="00123BFA">
      <w:pPr>
        <w:pStyle w:val="SingleTxtG"/>
        <w:ind w:firstLine="567"/>
      </w:pPr>
      <w:r>
        <w:t>b)</w:t>
      </w:r>
      <w:r>
        <w:tab/>
        <w:t>планы городского развития, принимаемые на местном уровне (Хорватия);</w:t>
      </w:r>
    </w:p>
    <w:p w14:paraId="0BF5931A" w14:textId="77777777" w:rsidR="00123BFA" w:rsidRPr="00BC5410" w:rsidRDefault="00123BFA" w:rsidP="00123BFA">
      <w:pPr>
        <w:pStyle w:val="SingleTxtG"/>
        <w:ind w:firstLine="567"/>
      </w:pPr>
      <w:r>
        <w:t>c)</w:t>
      </w:r>
      <w:r>
        <w:tab/>
        <w:t>площадь, меньшая по размеру, чем вся кадастровая площадь муниципалитета, которая выделяется на местном уровне в отдельную зону (Словакия);</w:t>
      </w:r>
    </w:p>
    <w:p w14:paraId="6718F5D7" w14:textId="56A020CF" w:rsidR="00123BFA" w:rsidRPr="00BC5410" w:rsidRDefault="00123BFA" w:rsidP="00123BFA">
      <w:pPr>
        <w:pStyle w:val="SingleTxtG"/>
        <w:ind w:firstLine="567"/>
        <w:rPr>
          <w:rFonts w:eastAsia="Times"/>
        </w:rPr>
      </w:pPr>
      <w:r>
        <w:t>d)</w:t>
      </w:r>
      <w:r>
        <w:tab/>
        <w:t>территория в пределах коммуны/муниципалитета (</w:t>
      </w:r>
      <w:r w:rsidR="0090381B">
        <w:t xml:space="preserve">Испания и </w:t>
      </w:r>
      <w:r>
        <w:t>Польша).</w:t>
      </w:r>
    </w:p>
    <w:p w14:paraId="439C33CD" w14:textId="77777777" w:rsidR="00123BFA" w:rsidRPr="00BC5410" w:rsidRDefault="00123BFA" w:rsidP="00123BFA">
      <w:pPr>
        <w:pStyle w:val="SingleTxtG"/>
        <w:rPr>
          <w:rFonts w:eastAsia="Times"/>
        </w:rPr>
      </w:pPr>
      <w:r>
        <w:t>20.</w:t>
      </w:r>
      <w:r>
        <w:tab/>
        <w:t>Дания заявила, что «использование небольших территорий на местном уровне» должно определяться с учетом размера соответствующей территории, если выполняются следующие условия: план/программа разрабатывается и/или принимается местным органом власти, а не региональным или национальным органом власти; соответствующая территория, находящаяся в пределах территориальной юрисдикции местного органа власти, невелика по сравнению с территорией юрисдикции.</w:t>
      </w:r>
    </w:p>
    <w:p w14:paraId="5A7C16D6" w14:textId="77777777" w:rsidR="00123BFA" w:rsidRPr="00BC5410" w:rsidRDefault="00123BFA" w:rsidP="00123BFA">
      <w:pPr>
        <w:pStyle w:val="SingleTxtG"/>
        <w:rPr>
          <w:rFonts w:eastAsia="Times"/>
        </w:rPr>
      </w:pPr>
      <w:r>
        <w:t>21.</w:t>
      </w:r>
      <w:r>
        <w:tab/>
        <w:t xml:space="preserve">В Армении все планы и программы подлежат стратегической экологической оценке, хотя на практике решения о предварительной оценке принимаются на индивидуальной основе. </w:t>
      </w:r>
    </w:p>
    <w:p w14:paraId="65850800" w14:textId="5250FF50" w:rsidR="00123BFA" w:rsidRPr="00BC5410" w:rsidRDefault="00123BFA" w:rsidP="00123BFA">
      <w:pPr>
        <w:pStyle w:val="SingleTxtG"/>
        <w:rPr>
          <w:rFonts w:eastAsia="Times"/>
        </w:rPr>
      </w:pPr>
      <w:r>
        <w:t>22.</w:t>
      </w:r>
      <w:r>
        <w:tab/>
        <w:t>Только две Стороны (</w:t>
      </w:r>
      <w:r w:rsidR="0090381B">
        <w:t xml:space="preserve">Испания и </w:t>
      </w:r>
      <w:r>
        <w:t xml:space="preserve">Черногория) и Грузия определяют термин «незначительные изменения» (вопрос I.4.4). В Грузии этот термин толкуется как относящийся к тем изменениям, которые концептуально не меняют содержания планов и программ, в то время как в Черногории «незначительные изменения» означают любые изменения, которые затрагивают или меняют план или программу. Оба респондента применяют индивидуальный подход в каждом конкретном случае для определения того, считать ли запланированные изменения незначительными. </w:t>
      </w:r>
      <w:r>
        <w:br/>
        <w:t>В Испании этот термин определяется как «изменения в характеристиках уже утвержденных или принятых планов или программ, которые не являются изменениями стратегий, руководящих принципов, предложений или их хронологии, но которые приводят к различиям в характеристиках ожидаемых последствий или области влияния».</w:t>
      </w:r>
    </w:p>
    <w:p w14:paraId="3B90D64C" w14:textId="77777777" w:rsidR="00123BFA" w:rsidRPr="00BC5410" w:rsidRDefault="00123BFA" w:rsidP="00123BFA">
      <w:pPr>
        <w:pStyle w:val="SingleTxtG"/>
        <w:rPr>
          <w:rFonts w:eastAsia="Times"/>
        </w:rPr>
      </w:pPr>
      <w:r>
        <w:t>23.</w:t>
      </w:r>
      <w:r>
        <w:tab/>
        <w:t>Большинство респондентов (19 из 22) не дают определения термина «незначительные изменения». Вместо этого они проводят предварительную оценку путем индивидуального изучения и/или с использованием критериев. Австрия сообщила, что в целом типы планов и программ, в которые могут быть внесены незначительные изменения, определены во внутреннем законодательстве. В случае некоторых из этих определенных планов и программ пороговые значения используются в сочетании с другими критериями, например конкретным видом землепользования.</w:t>
      </w:r>
    </w:p>
    <w:p w14:paraId="3E79E379" w14:textId="77777777" w:rsidR="00123BFA" w:rsidRPr="00BC5410" w:rsidRDefault="00123BFA" w:rsidP="00123BFA">
      <w:pPr>
        <w:pStyle w:val="SingleTxtG"/>
        <w:rPr>
          <w:rFonts w:eastAsia="Times"/>
        </w:rPr>
      </w:pPr>
      <w:r>
        <w:t>24.</w:t>
      </w:r>
      <w:r>
        <w:tab/>
        <w:t>Армения сообщила, что незначительные изменения в плане или программе не регулируются ее законодательством.</w:t>
      </w:r>
    </w:p>
    <w:p w14:paraId="651865D5" w14:textId="77777777" w:rsidR="00123BFA" w:rsidRPr="00BC5410" w:rsidRDefault="00123BFA" w:rsidP="00123BFA">
      <w:pPr>
        <w:pStyle w:val="H1G"/>
      </w:pPr>
      <w:r>
        <w:rPr>
          <w:bCs/>
        </w:rPr>
        <w:tab/>
        <w:t>C.</w:t>
      </w:r>
      <w:r>
        <w:tab/>
        <w:t>Предварительная оценка</w:t>
      </w:r>
    </w:p>
    <w:p w14:paraId="74078427" w14:textId="77777777" w:rsidR="00123BFA" w:rsidRPr="00BC5410" w:rsidRDefault="00123BFA" w:rsidP="00123BFA">
      <w:pPr>
        <w:pStyle w:val="SingleTxtG"/>
      </w:pPr>
      <w:r>
        <w:t>25.</w:t>
      </w:r>
      <w:r>
        <w:tab/>
        <w:t>На рис. I показано, как респонденты определяют, какие другие планы и программы должны подлежать стратегической экологической оценке в соответствии с пунктами 3 и 4 статьи 4 и пунктом 1 статьи 5 (вопрос I.5.1). Одиннадцать респондентов определяют это на индивидуальной основе, в то время как Республика Молдова и Норвегия — посредством указания типов планов и программ, требующих проведения стратегической экологической оценки. Двенадцать респондентов используют комбинацию этих двух методов. Армения в своем пояснении отметила, что, хотя, согласно законодательству, все планы и программы подпадают под требование о проведении стратегической экологической оценки, на практике решения о предварительной оценке принимаются на индивидуальной основе.</w:t>
      </w:r>
    </w:p>
    <w:p w14:paraId="5F65BBF6" w14:textId="77777777" w:rsidR="00123BFA" w:rsidRDefault="00123BFA" w:rsidP="00123BFA">
      <w:pPr>
        <w:ind w:left="1134" w:right="1134"/>
      </w:pPr>
      <w:r>
        <w:br w:type="page"/>
      </w:r>
    </w:p>
    <w:p w14:paraId="5CE8A681" w14:textId="77777777" w:rsidR="00123BFA" w:rsidRPr="00300689" w:rsidRDefault="00123BFA" w:rsidP="00123BFA">
      <w:pPr>
        <w:pStyle w:val="H23G"/>
        <w:rPr>
          <w:rFonts w:eastAsia="Times"/>
        </w:rPr>
      </w:pPr>
      <w:r>
        <w:lastRenderedPageBreak/>
        <w:tab/>
      </w:r>
      <w:r w:rsidRPr="00665747">
        <w:rPr>
          <w:b w:val="0"/>
          <w:bCs/>
        </w:rPr>
        <w:tab/>
        <w:t>Рис. I</w:t>
      </w:r>
      <w:r>
        <w:br/>
        <w:t xml:space="preserve">Ответы на вопрос I.5.1: </w:t>
      </w:r>
      <w:r w:rsidRPr="00300689">
        <w:t xml:space="preserve">«Каким образом вы определяете, какие другие планы </w:t>
      </w:r>
      <w:r>
        <w:br/>
      </w:r>
      <w:r w:rsidRPr="00300689">
        <w:t>и программы должны подлежать [стратеги</w:t>
      </w:r>
      <w:r>
        <w:t>ческой экологической оценке]?»</w:t>
      </w:r>
      <w:r w:rsidRPr="00300689">
        <w:t xml:space="preserve"> (кол-во =</w:t>
      </w:r>
      <w:r>
        <w:t xml:space="preserve"> </w:t>
      </w:r>
      <w:r w:rsidRPr="00300689">
        <w:t>24)</w:t>
      </w:r>
    </w:p>
    <w:p w14:paraId="64489068" w14:textId="77777777" w:rsidR="00123BFA" w:rsidRDefault="00123BFA" w:rsidP="00123BFA">
      <w:pPr>
        <w:ind w:left="1134"/>
      </w:pPr>
      <w:r w:rsidRPr="002E639A">
        <w:rPr>
          <w:b/>
          <w:i/>
          <w:noProof/>
          <w:lang w:val="en-US" w:eastAsia="ru-RU"/>
        </w:rPr>
        <w:drawing>
          <wp:inline distT="0" distB="0" distL="0" distR="0" wp14:anchorId="4D95FBD5" wp14:editId="6810E8B6">
            <wp:extent cx="4662872" cy="2463800"/>
            <wp:effectExtent l="0" t="0" r="4445" b="12700"/>
            <wp:docPr id="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D8D50D" w14:textId="77777777" w:rsidR="00123BFA" w:rsidRPr="00BC5410" w:rsidRDefault="00123BFA" w:rsidP="00123BFA">
      <w:pPr>
        <w:pStyle w:val="SingleTxtG"/>
        <w:spacing w:before="120"/>
      </w:pPr>
      <w:r>
        <w:t>26.</w:t>
      </w:r>
      <w:r>
        <w:tab/>
        <w:t xml:space="preserve">Двадцать (из 24) респондентов определяют в своем национальном законодательстве положения о консультациях с природоохранными органами и органами здравоохранения на этапе предварительной оценки (вопрос I.5.2). </w:t>
      </w:r>
      <w:r>
        <w:br/>
        <w:t xml:space="preserve">Три респондента (Дания, Казахстан и Люксембург) определяют органы, с которыми необходимо консультироваться на индивидуальной основе, а двое других (Эстония и Финляндия) указали, что органы, с которыми необходимо консультироваться, частично определены в законодательстве, а частично определяются в каждом конкретном случае. В Норвегии нет положений о необходимости проведения консультаций с природоохранными органами и органами здравоохранения на этапе предварительной оценки. </w:t>
      </w:r>
    </w:p>
    <w:p w14:paraId="6F722372" w14:textId="77777777" w:rsidR="00123BFA" w:rsidRPr="00BC5410" w:rsidRDefault="00123BFA" w:rsidP="00123BFA">
      <w:pPr>
        <w:pStyle w:val="SingleTxtG"/>
        <w:rPr>
          <w:rFonts w:eastAsia="Times"/>
        </w:rPr>
      </w:pPr>
      <w:bookmarkStart w:id="7" w:name="_Hlk16864328"/>
      <w:r>
        <w:t>27.</w:t>
      </w:r>
      <w:r>
        <w:tab/>
        <w:t>Более половины респондентов (13 из 24) в своем законодательстве предусматривают возможность участия заинтересованной общественности в предварительной оценке планов и программ (вопрос I.5.3). Однако Латвия отметила, что на этапе предварительной оценки к «заинтересованной общественности» относятся только неправительственные организации (НПО). Некоторые респонденты информируют население только о результатах предварительной оценки (Венгрия, Литва, Мальта, Польша и Хорватия). Австрия ответила «нет» на вопрос об участии заинтересованной общественности в предварительной оценке, но отметила, что в некоторых случаях общественность может комментировать ее результаты. В</w:t>
      </w:r>
      <w:r w:rsidRPr="009807CC">
        <w:t xml:space="preserve"> </w:t>
      </w:r>
      <w:r>
        <w:t>случае когда респонденты предусматривают возможность участия, они в основном делают это посредством предоставления общественности возможности направлять письменные замечания соответствующему органу или принимать участие в общественных слушаниях (см. рис</w:t>
      </w:r>
      <w:r w:rsidRPr="009807CC">
        <w:t>.</w:t>
      </w:r>
      <w:r>
        <w:t xml:space="preserve"> II ниже). Литва и Люксембург указали возможность оспорить решение об отказе от проведения стратегической экологической оценки.</w:t>
      </w:r>
    </w:p>
    <w:bookmarkEnd w:id="7"/>
    <w:p w14:paraId="08C6B072" w14:textId="77777777" w:rsidR="00123BFA" w:rsidRDefault="00123BFA" w:rsidP="00123BFA">
      <w:pPr>
        <w:ind w:left="1134" w:right="1134"/>
      </w:pPr>
      <w:r>
        <w:br w:type="page"/>
      </w:r>
    </w:p>
    <w:p w14:paraId="496BCBC5" w14:textId="77777777" w:rsidR="00123BFA" w:rsidRPr="00BC5410" w:rsidRDefault="00123BFA" w:rsidP="00123BFA">
      <w:pPr>
        <w:pStyle w:val="H23G"/>
        <w:rPr>
          <w:rFonts w:eastAsia="Times"/>
        </w:rPr>
      </w:pPr>
      <w:r>
        <w:lastRenderedPageBreak/>
        <w:tab/>
      </w:r>
      <w:r>
        <w:tab/>
      </w:r>
      <w:r w:rsidRPr="0083034A">
        <w:rPr>
          <w:b w:val="0"/>
          <w:bCs/>
        </w:rPr>
        <w:t>Рис. II</w:t>
      </w:r>
      <w:r w:rsidRPr="00665747">
        <w:rPr>
          <w:b w:val="0"/>
          <w:bCs/>
        </w:rPr>
        <w:t xml:space="preserve"> </w:t>
      </w:r>
      <w:r>
        <w:br/>
      </w:r>
      <w:r w:rsidRPr="009A26A5">
        <w:t xml:space="preserve">Ответы на вопрос I.5.3: «Укажите, предусмотрена ли законодательством </w:t>
      </w:r>
      <w:r>
        <w:br/>
      </w:r>
      <w:r w:rsidRPr="009A26A5">
        <w:t xml:space="preserve">вашей страны возможность участия затрагиваемой общественности </w:t>
      </w:r>
      <w:r>
        <w:br/>
      </w:r>
      <w:r w:rsidRPr="009A26A5">
        <w:t>в предварительной оценке планов и программ и если да, то каким образом»</w:t>
      </w:r>
      <w:r>
        <w:br/>
      </w:r>
      <w:r w:rsidRPr="009A26A5">
        <w:rPr>
          <w:bCs/>
        </w:rPr>
        <w:t>(</w:t>
      </w:r>
      <w:r w:rsidRPr="009A26A5">
        <w:t xml:space="preserve">кол-во </w:t>
      </w:r>
      <w:r w:rsidRPr="009A26A5">
        <w:rPr>
          <w:bCs/>
        </w:rPr>
        <w:t>=</w:t>
      </w:r>
      <w:r>
        <w:rPr>
          <w:bCs/>
        </w:rPr>
        <w:t xml:space="preserve"> </w:t>
      </w:r>
      <w:r w:rsidRPr="009A26A5">
        <w:rPr>
          <w:bCs/>
        </w:rPr>
        <w:t>24)</w:t>
      </w:r>
    </w:p>
    <w:p w14:paraId="477533E9" w14:textId="77777777" w:rsidR="00123BFA" w:rsidRDefault="00123BFA" w:rsidP="00123BFA">
      <w:pPr>
        <w:ind w:left="1134"/>
      </w:pPr>
      <w:r w:rsidRPr="002E639A">
        <w:rPr>
          <w:b/>
          <w:i/>
          <w:noProof/>
          <w:lang w:val="en-US" w:eastAsia="ru-RU"/>
        </w:rPr>
        <w:drawing>
          <wp:inline distT="0" distB="0" distL="0" distR="0" wp14:anchorId="0865E881" wp14:editId="7C86EE2B">
            <wp:extent cx="4662872" cy="2463800"/>
            <wp:effectExtent l="0" t="0" r="4445" b="12700"/>
            <wp:docPr id="4"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554855" w14:textId="77777777" w:rsidR="00123BFA" w:rsidRPr="00BC5410" w:rsidRDefault="00123BFA" w:rsidP="00123BFA">
      <w:pPr>
        <w:pStyle w:val="H1G"/>
      </w:pPr>
      <w:r>
        <w:rPr>
          <w:bCs/>
        </w:rPr>
        <w:tab/>
        <w:t>D.</w:t>
      </w:r>
      <w:r>
        <w:tab/>
        <w:t>Определение сферы охвата</w:t>
      </w:r>
      <w:bookmarkStart w:id="8" w:name="_Toc14170013"/>
      <w:bookmarkEnd w:id="8"/>
    </w:p>
    <w:p w14:paraId="40C4EB27" w14:textId="77777777" w:rsidR="00123BFA" w:rsidRPr="00BC5410" w:rsidRDefault="00123BFA" w:rsidP="00123BFA">
      <w:pPr>
        <w:pStyle w:val="SingleTxtG"/>
        <w:rPr>
          <w:rFonts w:eastAsia="Times"/>
        </w:rPr>
      </w:pPr>
      <w:r>
        <w:t>28.</w:t>
      </w:r>
      <w:r>
        <w:tab/>
        <w:t>Вопрос I.6.1 призван выяснить, каким образом Стороны определяют информацию, подлежащую включению в доклад о воздействии на окружающую среду. Все респонденты определяют требования к информации в своем законодательстве и/или руководящих документах. Большинство респондентов также указали, что требуемое содержание приведено в соответствие с приложением IV к Протоколу. Кроме того, 13 из 24 респондентов учитывают результаты консультаций с соответствующими органами и общественностью (если такая возможность предоставляется на этапе определения сферы охвата) при определении соответствующей информации, подлежащей включению в доклад о воздействии на окружающую среду.</w:t>
      </w:r>
    </w:p>
    <w:p w14:paraId="5D7DFDD3" w14:textId="04F41D15" w:rsidR="00123BFA" w:rsidRPr="00BC5410" w:rsidRDefault="00123BFA" w:rsidP="00123BFA">
      <w:pPr>
        <w:pStyle w:val="SingleTxtG"/>
      </w:pPr>
      <w:r>
        <w:t>29.</w:t>
      </w:r>
      <w:r>
        <w:tab/>
        <w:t>Почти все респонденты (22) определяют в своем законодательстве положения о консультациях с природоохранными органами и органами здравоохранения на этапе определения сферы охвата (вопрос I.6.2). Два респондента (Дания и Казахстан) определяют органы, с которыми необходимо консультироваться, на индивидуальной основе, а три респондента (</w:t>
      </w:r>
      <w:r w:rsidR="00541EF7">
        <w:t xml:space="preserve">Норвегия, Финляндия и </w:t>
      </w:r>
      <w:r>
        <w:t>Эстония) указали, что органы, с которыми необходимо консультироваться, частично определены в законодательстве, а частично определяются в каждом конкретном случае. Норвегия отметила, что в ее законодательстве не указано, с какими органами необходимо проводить консультации, но с природоохранными органами всегда проводятся консультации, как и, при необходимости, с органами здравоохранения. В Румынии определение соответствующей информации, которая подлежит включению в доклад о воздействии на окружающую среду, осуществляется специальной рабочей группой, состоящей из представителей органа, ответственного за планирование, компетентных природоохранных органов и органов здравоохранения, других заинтересованных органов, физических или юридических лиц, сертифицированных в соответствии с законодательными положениями, и привлеченных экспертов в случае необходимости.</w:t>
      </w:r>
    </w:p>
    <w:p w14:paraId="457F6C81" w14:textId="77777777" w:rsidR="00123BFA" w:rsidRPr="00BC5410" w:rsidRDefault="00123BFA" w:rsidP="00123BFA">
      <w:pPr>
        <w:pStyle w:val="SingleTxtG"/>
        <w:rPr>
          <w:rFonts w:eastAsia="Times"/>
        </w:rPr>
      </w:pPr>
      <w:r>
        <w:t>30.</w:t>
      </w:r>
      <w:r>
        <w:tab/>
        <w:t xml:space="preserve">Семнадцать (из 23) Сторон в своем законодательстве предусматривают возможность участия заинтересованной общественности в определении сферы охвата планов и программ (вопрос I.6.3). Австрия ответила «нет» на вопрос об участии заинтересованной общественности в определении сферы охвата, но отметила, что в некоторых случаях общественность может комментировать его результаты. </w:t>
      </w:r>
      <w:r>
        <w:br/>
        <w:t xml:space="preserve">Те респонденты, которые предусматривают возможность участия, делают это в основном посредством предоставления общественности возможности направлять </w:t>
      </w:r>
      <w:r>
        <w:lastRenderedPageBreak/>
        <w:t>письменные замечания соответствующему органу. Девять респондентов также разрешают общественности принимать участие в общественных слушаниях. Швеция сообщила, что используются все варианты a)</w:t>
      </w:r>
      <w:r w:rsidRPr="009807CC">
        <w:t>–</w:t>
      </w:r>
      <w:r>
        <w:t>c) (см. рис</w:t>
      </w:r>
      <w:r w:rsidRPr="009807CC">
        <w:t>.</w:t>
      </w:r>
      <w:r>
        <w:t xml:space="preserve"> III).</w:t>
      </w:r>
    </w:p>
    <w:p w14:paraId="44727D6F" w14:textId="77777777" w:rsidR="00123BFA" w:rsidRPr="00983740" w:rsidRDefault="00123BFA" w:rsidP="00123BFA">
      <w:pPr>
        <w:pStyle w:val="H23G"/>
        <w:rPr>
          <w:rFonts w:eastAsia="Times"/>
        </w:rPr>
      </w:pPr>
      <w:r>
        <w:tab/>
      </w:r>
      <w:r>
        <w:tab/>
      </w:r>
      <w:r w:rsidRPr="00A52F1B">
        <w:rPr>
          <w:b w:val="0"/>
          <w:bCs/>
        </w:rPr>
        <w:t>Рис. III</w:t>
      </w:r>
      <w:r>
        <w:br/>
        <w:t>Ответы на вопрос I.6.3: «</w:t>
      </w:r>
      <w:r w:rsidRPr="00983740">
        <w:t xml:space="preserve">Укажите, предусмотрена ли в законодательстве </w:t>
      </w:r>
      <w:r>
        <w:br/>
      </w:r>
      <w:r w:rsidRPr="00983740">
        <w:t xml:space="preserve">вашей страны возможность участия заинтересованной общественности </w:t>
      </w:r>
      <w:r>
        <w:br/>
      </w:r>
      <w:r w:rsidRPr="00983740">
        <w:t>в определении охвата планов и программ и если да, то каким образом</w:t>
      </w:r>
      <w:r>
        <w:t>»</w:t>
      </w:r>
      <w:r>
        <w:br/>
      </w:r>
      <w:r w:rsidRPr="00983740">
        <w:rPr>
          <w:bCs/>
        </w:rPr>
        <w:t>(</w:t>
      </w:r>
      <w:r w:rsidRPr="00983740">
        <w:t xml:space="preserve">кол-во </w:t>
      </w:r>
      <w:r w:rsidRPr="00983740">
        <w:rPr>
          <w:bCs/>
        </w:rPr>
        <w:t>=</w:t>
      </w:r>
      <w:r>
        <w:rPr>
          <w:bCs/>
        </w:rPr>
        <w:t xml:space="preserve"> </w:t>
      </w:r>
      <w:r w:rsidRPr="00983740">
        <w:rPr>
          <w:bCs/>
        </w:rPr>
        <w:t>17)</w:t>
      </w:r>
    </w:p>
    <w:p w14:paraId="7742ECBA" w14:textId="77777777" w:rsidR="00123BFA" w:rsidRDefault="00123BFA" w:rsidP="00123BFA">
      <w:pPr>
        <w:ind w:left="1134"/>
      </w:pPr>
      <w:r w:rsidRPr="002E639A">
        <w:rPr>
          <w:b/>
          <w:i/>
          <w:noProof/>
          <w:lang w:val="en-US" w:eastAsia="ru-RU"/>
        </w:rPr>
        <w:drawing>
          <wp:inline distT="0" distB="0" distL="0" distR="0" wp14:anchorId="2354A9FC" wp14:editId="7D865CF0">
            <wp:extent cx="4662805" cy="2305050"/>
            <wp:effectExtent l="0" t="0" r="4445" b="0"/>
            <wp:docPr id="5"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80A0DE" w14:textId="77777777" w:rsidR="00123BFA" w:rsidRPr="00BC5410" w:rsidRDefault="00123BFA" w:rsidP="00123BFA">
      <w:pPr>
        <w:pStyle w:val="H1G"/>
      </w:pPr>
      <w:r>
        <w:rPr>
          <w:bCs/>
        </w:rPr>
        <w:tab/>
        <w:t>E.</w:t>
      </w:r>
      <w:r>
        <w:tab/>
        <w:t>Экологический доклад</w:t>
      </w:r>
    </w:p>
    <w:p w14:paraId="2AA843E2" w14:textId="411D3866" w:rsidR="00123BFA" w:rsidRPr="00BC5410" w:rsidRDefault="00123BFA" w:rsidP="00123BFA">
      <w:pPr>
        <w:pStyle w:val="SingleTxtG"/>
        <w:rPr>
          <w:rFonts w:eastAsia="Times"/>
        </w:rPr>
      </w:pPr>
      <w:r>
        <w:t>31.</w:t>
      </w:r>
      <w:r>
        <w:tab/>
        <w:t>На рис</w:t>
      </w:r>
      <w:r w:rsidRPr="009807CC">
        <w:t>.</w:t>
      </w:r>
      <w:r>
        <w:t xml:space="preserve"> IV показано, как Стороны определяют «разумные альтернативы» в контексте экологического доклада, т. е. доклада о воздействии проекта/программы на окружающую среду (вопрос I.7.1). Семнадцать (из 24) Сторон определяют их на индивидуальной основе; три используют национальное законодательство (Босния и Герцеговина, Венгрия и Республика Молдова); а пять (Албания, Армения, Мальта, Хорватия и Черногория) сочетают законодательные требования с индивидуальным подходом к выбору разумных альтернатив. Австрия и Польша не определяют ни разумные альтернативы, ни требования в отношении количества альтернатив, которые должны быть рассмотрены.</w:t>
      </w:r>
    </w:p>
    <w:p w14:paraId="144109C6" w14:textId="77777777" w:rsidR="00123BFA" w:rsidRPr="00983740" w:rsidRDefault="00123BFA" w:rsidP="00123BFA">
      <w:pPr>
        <w:pStyle w:val="H23G"/>
        <w:rPr>
          <w:rFonts w:eastAsia="Times"/>
          <w:bCs/>
          <w:i/>
        </w:rPr>
      </w:pPr>
      <w:r>
        <w:tab/>
      </w:r>
      <w:r w:rsidRPr="000D73B1">
        <w:rPr>
          <w:b w:val="0"/>
          <w:bCs/>
        </w:rPr>
        <w:tab/>
      </w:r>
      <w:r w:rsidRPr="00A260DD">
        <w:rPr>
          <w:b w:val="0"/>
          <w:bCs/>
        </w:rPr>
        <w:t>Рис. IV</w:t>
      </w:r>
      <w:r>
        <w:br/>
      </w:r>
      <w:r w:rsidRPr="00983740">
        <w:t>Ответы на вопрос I.7.1: «</w:t>
      </w:r>
      <w:r>
        <w:t xml:space="preserve">Как вы определяете </w:t>
      </w:r>
      <w:r w:rsidRPr="0061559A">
        <w:t>“</w:t>
      </w:r>
      <w:r>
        <w:t>разумные альтернативы</w:t>
      </w:r>
      <w:r w:rsidRPr="0061559A">
        <w:t>”</w:t>
      </w:r>
      <w:r w:rsidRPr="00983740">
        <w:t xml:space="preserve"> </w:t>
      </w:r>
      <w:r>
        <w:br/>
      </w:r>
      <w:r w:rsidRPr="00983740">
        <w:t xml:space="preserve">в контексте </w:t>
      </w:r>
      <w:r>
        <w:t xml:space="preserve">экологического </w:t>
      </w:r>
      <w:r w:rsidRPr="00983740">
        <w:t>доклада?»</w:t>
      </w:r>
      <w:r>
        <w:t xml:space="preserve"> </w:t>
      </w:r>
      <w:r w:rsidRPr="00983740">
        <w:t>(кол-во =</w:t>
      </w:r>
      <w:r>
        <w:t xml:space="preserve"> </w:t>
      </w:r>
      <w:r w:rsidRPr="00983740">
        <w:t>24)</w:t>
      </w:r>
    </w:p>
    <w:p w14:paraId="1E20AE26" w14:textId="77777777" w:rsidR="00123BFA" w:rsidRDefault="00123BFA" w:rsidP="00123BFA">
      <w:pPr>
        <w:ind w:left="1134"/>
      </w:pPr>
      <w:r w:rsidRPr="00AC2633">
        <w:rPr>
          <w:noProof/>
          <w:lang w:val="en-US" w:eastAsia="ru-RU"/>
        </w:rPr>
        <w:drawing>
          <wp:inline distT="0" distB="0" distL="0" distR="0" wp14:anchorId="548BE753" wp14:editId="766D393C">
            <wp:extent cx="4605655" cy="2546350"/>
            <wp:effectExtent l="0" t="0" r="4445" b="6350"/>
            <wp:docPr id="19"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C5AAA4" w14:textId="37A2489B" w:rsidR="00123BFA" w:rsidRPr="00BC5410" w:rsidRDefault="00123BFA" w:rsidP="00123BFA">
      <w:pPr>
        <w:pStyle w:val="SingleTxtG"/>
        <w:spacing w:before="120"/>
        <w:rPr>
          <w:rFonts w:eastAsia="Times"/>
        </w:rPr>
      </w:pPr>
      <w:r>
        <w:lastRenderedPageBreak/>
        <w:t>32.</w:t>
      </w:r>
      <w:r>
        <w:tab/>
        <w:t xml:space="preserve">Вопрос I.7.2 призван выяснить, каким образом та или иная Сторона «обеспечивает достаточное качество докладов». В большинстве случаев (17 из 23; </w:t>
      </w:r>
      <w:r>
        <w:br/>
        <w:t>см. рис</w:t>
      </w:r>
      <w:r w:rsidRPr="009807CC">
        <w:t>.</w:t>
      </w:r>
      <w:r>
        <w:t xml:space="preserve"> V ниже) компетентный орган проверяет предоставленную информацию и как минимум перед ее представлением для замечаний обеспечивает наличие в ней всех сведений, предусмотренных в приложении IV. Австрия и Румыния также используют контрольные перечни мер проверки качества.</w:t>
      </w:r>
    </w:p>
    <w:p w14:paraId="48303051" w14:textId="77777777" w:rsidR="00123BFA" w:rsidRPr="0040163D" w:rsidRDefault="00123BFA" w:rsidP="00123BFA">
      <w:pPr>
        <w:pStyle w:val="H23G"/>
        <w:rPr>
          <w:bCs/>
        </w:rPr>
      </w:pPr>
      <w:r>
        <w:tab/>
      </w:r>
      <w:r w:rsidRPr="000D73B1">
        <w:rPr>
          <w:b w:val="0"/>
          <w:bCs/>
        </w:rPr>
        <w:tab/>
        <w:t>Рис. V</w:t>
      </w:r>
      <w:r>
        <w:br/>
      </w:r>
      <w:r w:rsidRPr="0040163D">
        <w:t xml:space="preserve">Ответы на вопрос I.7.2: «Каким образом вы обеспечиваете достаточное </w:t>
      </w:r>
      <w:r>
        <w:br/>
      </w:r>
      <w:r w:rsidRPr="0040163D">
        <w:t>качество докладов?»</w:t>
      </w:r>
      <w:r>
        <w:t xml:space="preserve"> </w:t>
      </w:r>
      <w:r w:rsidRPr="0040163D">
        <w:rPr>
          <w:bCs/>
        </w:rPr>
        <w:t>(</w:t>
      </w:r>
      <w:r w:rsidRPr="0040163D">
        <w:t xml:space="preserve">кол-во </w:t>
      </w:r>
      <w:r w:rsidRPr="0040163D">
        <w:rPr>
          <w:bCs/>
        </w:rPr>
        <w:t>=</w:t>
      </w:r>
      <w:r>
        <w:rPr>
          <w:bCs/>
          <w:lang w:val="en-US"/>
        </w:rPr>
        <w:t xml:space="preserve"> </w:t>
      </w:r>
      <w:r w:rsidRPr="0040163D">
        <w:rPr>
          <w:bCs/>
        </w:rPr>
        <w:t>24)</w:t>
      </w:r>
    </w:p>
    <w:p w14:paraId="7BBA6BFD" w14:textId="77777777" w:rsidR="00123BFA" w:rsidRDefault="00123BFA" w:rsidP="009E5544">
      <w:pPr>
        <w:spacing w:after="120"/>
        <w:ind w:left="1134"/>
      </w:pPr>
      <w:r w:rsidRPr="00AC2633">
        <w:rPr>
          <w:b/>
          <w:noProof/>
          <w:sz w:val="28"/>
          <w:lang w:val="en-US" w:eastAsia="ru-RU"/>
        </w:rPr>
        <w:drawing>
          <wp:inline distT="0" distB="0" distL="0" distR="0" wp14:anchorId="3CB7ED9E" wp14:editId="077C2CEF">
            <wp:extent cx="4632341" cy="4028930"/>
            <wp:effectExtent l="0" t="0" r="15875" b="10160"/>
            <wp:docPr id="20"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CDBD93" w14:textId="77777777" w:rsidR="00123BFA" w:rsidRPr="00BC5410" w:rsidRDefault="00123BFA" w:rsidP="00123BFA">
      <w:pPr>
        <w:pStyle w:val="SingleTxtG"/>
        <w:spacing w:before="120"/>
        <w:rPr>
          <w:rFonts w:eastAsia="Times"/>
        </w:rPr>
      </w:pPr>
      <w:r>
        <w:t>33.</w:t>
      </w:r>
      <w:r>
        <w:tab/>
        <w:t xml:space="preserve">Десять респондентов указали другие способы обеспечения качества, включая использование руководящих принципов проверки качества докладов (Австрия, Румыния и Финляндия) или привлечение сертифицированных/квалифицированных экспертов (например, Босния и Герцеговина, Венгрия, Люксембург, Польша, Хорватия, Чехия и Эстония). Несколько респондентов отметили, что проверка качества на деле проводится в ходе консультаций с компетентными органами и/или общественностью (Албания, Венгрия, Казахстан, Литва, Люксембург, Норвегия, Польша, Румыния и Черногория). В Хорватии и Черногории могут быть созданы специальные рабочие группы/комитеты по оценке для анализа доклада о стратегической экологической оценке, а в Дании и Румынии для проверки качества могут быть привлечены внешние консультанты. </w:t>
      </w:r>
      <w:bookmarkStart w:id="9" w:name="_Hlk16866152"/>
    </w:p>
    <w:bookmarkEnd w:id="9"/>
    <w:p w14:paraId="24EE8333" w14:textId="77777777" w:rsidR="00123BFA" w:rsidRPr="00BC5410" w:rsidRDefault="00123BFA" w:rsidP="00123BFA">
      <w:pPr>
        <w:pStyle w:val="H1G"/>
      </w:pPr>
      <w:r>
        <w:rPr>
          <w:bCs/>
        </w:rPr>
        <w:tab/>
        <w:t>F.</w:t>
      </w:r>
      <w:r>
        <w:tab/>
        <w:t>Участие общественности</w:t>
      </w:r>
    </w:p>
    <w:p w14:paraId="6D2C0A59" w14:textId="77777777" w:rsidR="00123BFA" w:rsidRPr="00BC5410" w:rsidRDefault="00123BFA" w:rsidP="00123BFA">
      <w:pPr>
        <w:pStyle w:val="SingleTxtG"/>
        <w:rPr>
          <w:rFonts w:eastAsia="Times"/>
        </w:rPr>
      </w:pPr>
      <w:r>
        <w:t>34.</w:t>
      </w:r>
      <w:r>
        <w:tab/>
        <w:t>На рис</w:t>
      </w:r>
      <w:r w:rsidRPr="009807CC">
        <w:t>.</w:t>
      </w:r>
      <w:r>
        <w:t xml:space="preserve"> VI показано, что практически все респонденты обеспечивают доведение до сведения общественности информации о наличии проектов планов, программ и экологического доклада и предоставляют доступ к этим документам как посредством публичных уведомлений, так и при помощи электронных средств массовой информации. Кроме того, Эстония заявила, что используются и другие средства, например публикация в электронном журнале официальных объявлений, публикация в газетах и рассылка писем, а Норвегия использует также электронную почту.</w:t>
      </w:r>
    </w:p>
    <w:p w14:paraId="09E210F9" w14:textId="77777777" w:rsidR="007B3C83" w:rsidRPr="003C7F0F" w:rsidRDefault="007B3C83" w:rsidP="007B3C83">
      <w:pPr>
        <w:pStyle w:val="H23G"/>
      </w:pPr>
      <w:r>
        <w:lastRenderedPageBreak/>
        <w:tab/>
      </w:r>
      <w:r>
        <w:tab/>
      </w:r>
      <w:r w:rsidRPr="000D73B1">
        <w:rPr>
          <w:b w:val="0"/>
          <w:bCs/>
        </w:rPr>
        <w:t>Рис. VI</w:t>
      </w:r>
      <w:r>
        <w:br/>
      </w:r>
      <w:r w:rsidRPr="003C7F0F">
        <w:t xml:space="preserve">Ответы на вопрос I.8.1: </w:t>
      </w:r>
      <w:r>
        <w:t xml:space="preserve">«Каким образом вы обеспечиваете </w:t>
      </w:r>
      <w:r w:rsidRPr="003C7F0F">
        <w:t>доведе</w:t>
      </w:r>
      <w:r>
        <w:t xml:space="preserve">ние </w:t>
      </w:r>
      <w:r>
        <w:br/>
        <w:t xml:space="preserve">до сведения общественности проектов планов и программ и экологических </w:t>
      </w:r>
      <w:r w:rsidRPr="003C7F0F">
        <w:t>доклад</w:t>
      </w:r>
      <w:r>
        <w:t>ов</w:t>
      </w:r>
      <w:r w:rsidRPr="003C7F0F">
        <w:t>?</w:t>
      </w:r>
      <w:r w:rsidRPr="0061559A">
        <w:t>»</w:t>
      </w:r>
      <w:r>
        <w:t xml:space="preserve"> </w:t>
      </w:r>
      <w:r w:rsidRPr="003C7F0F">
        <w:t>(кол-во =</w:t>
      </w:r>
      <w:r w:rsidRPr="008912CD">
        <w:t xml:space="preserve"> </w:t>
      </w:r>
      <w:r w:rsidRPr="003C7F0F">
        <w:t>24)</w:t>
      </w:r>
    </w:p>
    <w:p w14:paraId="40B1CBD7" w14:textId="77777777" w:rsidR="007B3C83" w:rsidRDefault="007B3C83" w:rsidP="007B3C83">
      <w:pPr>
        <w:ind w:left="1134"/>
      </w:pPr>
      <w:r w:rsidRPr="00AC2633">
        <w:rPr>
          <w:b/>
          <w:noProof/>
          <w:sz w:val="28"/>
          <w:lang w:val="en-US" w:eastAsia="ru-RU"/>
        </w:rPr>
        <w:drawing>
          <wp:inline distT="0" distB="0" distL="0" distR="0" wp14:anchorId="666BD438" wp14:editId="4BE549EF">
            <wp:extent cx="4685030" cy="2165300"/>
            <wp:effectExtent l="0" t="0" r="1270" b="6985"/>
            <wp:docPr id="21"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E5D776" w14:textId="59EBE0DE" w:rsidR="007B3C83" w:rsidRPr="00BC5410" w:rsidRDefault="007B3C83" w:rsidP="007B3C83">
      <w:pPr>
        <w:pStyle w:val="SingleTxtG"/>
        <w:spacing w:before="120"/>
        <w:rPr>
          <w:rFonts w:eastAsia="Times"/>
        </w:rPr>
      </w:pPr>
      <w:r>
        <w:t>35.</w:t>
      </w:r>
      <w:r>
        <w:tab/>
        <w:t>Большинство респондентов определяют заинтересованную общественность</w:t>
      </w:r>
      <w:r w:rsidR="003712D9">
        <w:t xml:space="preserve"> </w:t>
      </w:r>
      <w:r>
        <w:t>(вопрос I.8.2) на основе географического местоположения предлагаемого плана/ программы и/или посредством предоставления информации всей общественности и обеспечения ей возможности самоопределиться в качестве заинтересованной общественности (см. рис</w:t>
      </w:r>
      <w:r w:rsidRPr="009807CC">
        <w:t>.</w:t>
      </w:r>
      <w:r>
        <w:rPr>
          <w:lang w:val="en-US"/>
        </w:rPr>
        <w:t> </w:t>
      </w:r>
      <w:r>
        <w:t xml:space="preserve">VII). Пятнадцать (из 24) Сторон также определяют заинтересованную общественность на основе характера экологического воздействия плана/программы (масштаб воздействия, затрагиваемая территория, накопление </w:t>
      </w:r>
      <w:r>
        <w:br/>
        <w:t>и т.</w:t>
      </w:r>
      <w:r>
        <w:rPr>
          <w:lang w:val="en-US"/>
        </w:rPr>
        <w:t> </w:t>
      </w:r>
      <w:r>
        <w:t>д.). Несколько Сторон (3) позволяют любому представителю общественности высказать свое мнение о плане/программе, если он того пожелает. В качестве «других средств» Венгрия указывает, что органы, ответственные за планирование, могут также определять другие заинтересованные группы общественности.</w:t>
      </w:r>
    </w:p>
    <w:p w14:paraId="2F87BA56" w14:textId="77777777" w:rsidR="007B3C83" w:rsidRPr="00205B87" w:rsidRDefault="007B3C83" w:rsidP="007B3C83">
      <w:pPr>
        <w:pStyle w:val="H23G"/>
        <w:rPr>
          <w:rFonts w:eastAsia="Times"/>
          <w:i/>
          <w:iCs/>
        </w:rPr>
      </w:pPr>
      <w:r>
        <w:tab/>
      </w:r>
      <w:r w:rsidRPr="000D73B1">
        <w:rPr>
          <w:b w:val="0"/>
          <w:bCs/>
        </w:rPr>
        <w:tab/>
        <w:t>Рис. VII</w:t>
      </w:r>
      <w:r>
        <w:br/>
      </w:r>
      <w:r w:rsidRPr="00205B87">
        <w:t>Ответы на вопрос I.8.2: «Каким образом вы определяете заинтересованную общественность?»</w:t>
      </w:r>
      <w:r>
        <w:t xml:space="preserve"> </w:t>
      </w:r>
      <w:r w:rsidRPr="00205B87">
        <w:t>(кол-во =</w:t>
      </w:r>
      <w:r>
        <w:rPr>
          <w:lang w:val="fr-CH"/>
        </w:rPr>
        <w:t xml:space="preserve"> </w:t>
      </w:r>
      <w:r w:rsidRPr="00205B87">
        <w:t>24)</w:t>
      </w:r>
    </w:p>
    <w:p w14:paraId="05044173" w14:textId="77777777" w:rsidR="007B3C83" w:rsidRDefault="007B3C83" w:rsidP="007B3C83">
      <w:pPr>
        <w:ind w:left="1134"/>
      </w:pPr>
      <w:r w:rsidRPr="00AC2633">
        <w:rPr>
          <w:rFonts w:ascii="Times" w:hAnsi="Times"/>
          <w:b/>
          <w:bCs/>
          <w:i/>
          <w:iCs/>
          <w:noProof/>
          <w:lang w:val="en-US" w:eastAsia="ru-RU"/>
        </w:rPr>
        <w:drawing>
          <wp:inline distT="0" distB="0" distL="0" distR="0" wp14:anchorId="4D940975" wp14:editId="7D1F15C7">
            <wp:extent cx="4693285" cy="3087014"/>
            <wp:effectExtent l="0" t="0" r="12065" b="18415"/>
            <wp:docPr id="24"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4F81D7" w14:textId="77777777" w:rsidR="007B3C83" w:rsidRPr="00BC5410" w:rsidRDefault="007B3C83" w:rsidP="007B3C83">
      <w:pPr>
        <w:pStyle w:val="SingleTxtG"/>
        <w:spacing w:before="240"/>
        <w:rPr>
          <w:rFonts w:eastAsia="Times"/>
        </w:rPr>
      </w:pPr>
      <w:r>
        <w:t>36.</w:t>
      </w:r>
      <w:r>
        <w:tab/>
        <w:t>На рис</w:t>
      </w:r>
      <w:r w:rsidRPr="009807CC">
        <w:t>.</w:t>
      </w:r>
      <w:r>
        <w:t xml:space="preserve"> VIII показано, каким образом заинтересованная общественность может выразить свое мнение по проектам планов и программ и докладу о воздействии на окружающую среду (пункт 4 статьи 8) (вопрос I.8.3). Данные показывают, что во всех </w:t>
      </w:r>
      <w:r>
        <w:lastRenderedPageBreak/>
        <w:t xml:space="preserve">ответивших Сторонах и государствах, не являющихся Сторонами, общественность может направлять замечания соответствующему органу или координационному центру, а в большинстве из них она также может принимать участие в общественных слушаниях (19). Армения, Венгрия и Польша также предоставляют общественности возможность выразить свое мнение с помощью вопросника. </w:t>
      </w:r>
      <w:bookmarkStart w:id="10" w:name="_Hlk18264762"/>
    </w:p>
    <w:bookmarkEnd w:id="10"/>
    <w:p w14:paraId="7834DD42" w14:textId="77777777" w:rsidR="007B3C83" w:rsidRPr="00DF2E0F" w:rsidRDefault="007B3C83" w:rsidP="007B3C83">
      <w:pPr>
        <w:pStyle w:val="H23G"/>
        <w:rPr>
          <w:rFonts w:eastAsia="Times"/>
          <w:bCs/>
        </w:rPr>
      </w:pPr>
      <w:r>
        <w:tab/>
      </w:r>
      <w:r>
        <w:tab/>
      </w:r>
      <w:r w:rsidRPr="000D73B1">
        <w:rPr>
          <w:b w:val="0"/>
          <w:bCs/>
        </w:rPr>
        <w:t>Рис. VIII</w:t>
      </w:r>
      <w:r>
        <w:br/>
      </w:r>
      <w:r w:rsidRPr="00DF2E0F">
        <w:t>Ответы на вопрос I.8.3</w:t>
      </w:r>
      <w:r>
        <w:t>:</w:t>
      </w:r>
      <w:r w:rsidRPr="0061559A">
        <w:t xml:space="preserve"> «</w:t>
      </w:r>
      <w:r w:rsidRPr="00DF2E0F">
        <w:t xml:space="preserve">Каким образом заинтересованная общественность может выразить свое мнение по проектам планов и программ и </w:t>
      </w:r>
      <w:r>
        <w:t xml:space="preserve">экологическому </w:t>
      </w:r>
      <w:r w:rsidRPr="00DF2E0F">
        <w:t>докладу?</w:t>
      </w:r>
      <w:r w:rsidRPr="0061559A">
        <w:t>»</w:t>
      </w:r>
      <w:r w:rsidRPr="00DF2E0F">
        <w:t xml:space="preserve"> (кол-во =</w:t>
      </w:r>
      <w:r>
        <w:t xml:space="preserve"> </w:t>
      </w:r>
      <w:r w:rsidRPr="00DF2E0F">
        <w:t>24)</w:t>
      </w:r>
    </w:p>
    <w:p w14:paraId="1F192A1C" w14:textId="42E951FF" w:rsidR="007B3C83" w:rsidRDefault="00ED26C5" w:rsidP="007B3C83">
      <w:pPr>
        <w:ind w:left="1134"/>
      </w:pPr>
      <w:r>
        <w:rPr>
          <w:noProof/>
          <w:lang w:eastAsia="ru-RU"/>
        </w:rPr>
        <w:drawing>
          <wp:inline distT="0" distB="0" distL="0" distR="0" wp14:anchorId="0BFB887E" wp14:editId="4BB00FFB">
            <wp:extent cx="5257800" cy="3274321"/>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0215" cy="3294508"/>
                    </a:xfrm>
                    <a:prstGeom prst="rect">
                      <a:avLst/>
                    </a:prstGeom>
                    <a:noFill/>
                  </pic:spPr>
                </pic:pic>
              </a:graphicData>
            </a:graphic>
          </wp:inline>
        </w:drawing>
      </w:r>
    </w:p>
    <w:p w14:paraId="237134D6" w14:textId="77777777" w:rsidR="007B3C83" w:rsidRPr="00BC5410" w:rsidRDefault="007B3C83" w:rsidP="003712D9">
      <w:pPr>
        <w:spacing w:before="120" w:after="120"/>
        <w:ind w:left="1134" w:right="1134"/>
        <w:jc w:val="both"/>
        <w:rPr>
          <w:rFonts w:eastAsia="Times"/>
        </w:rPr>
      </w:pPr>
      <w:r>
        <w:t>37.</w:t>
      </w:r>
      <w:r>
        <w:tab/>
        <w:t xml:space="preserve">Швеция организует общественные слушания только по определенным типам планов/программ. В Чехии национальное законодательство допускает отказ от проведения общественного слушания в определенных обстоятельствах (решение принимается на индивидуальной основе в зависимости от содержания подлежащего оценке плана/программы и участия общественности в его/ее предварительной оценке). Что касается планов землепользования, то по ним в Чехии общественные слушания необходимо проводить во всех случаях. </w:t>
      </w:r>
    </w:p>
    <w:p w14:paraId="4904C637" w14:textId="77777777" w:rsidR="007B3C83" w:rsidRPr="00BC5410" w:rsidRDefault="007B3C83" w:rsidP="007B3C83">
      <w:pPr>
        <w:spacing w:after="120"/>
        <w:ind w:left="1134" w:right="1134"/>
        <w:jc w:val="both"/>
        <w:rPr>
          <w:rFonts w:eastAsia="Times"/>
        </w:rPr>
      </w:pPr>
      <w:r>
        <w:t>38.</w:t>
      </w:r>
      <w:r>
        <w:tab/>
        <w:t>Вопрос I.8.4 призван выяснить, как участники определяют термин «в разумные сроки». Большинство респондентов (20 из 24) не используют конкретного определения термина «в разумные сроки»; на практике чаще всего сроки определяются количеством дней, выделяемых для конкретного раунда консультаций. В некоторых случаях (4) сроки определяются на индивидуальной основе.</w:t>
      </w:r>
    </w:p>
    <w:p w14:paraId="573508F7" w14:textId="77777777" w:rsidR="007B3C83" w:rsidRPr="00BC5410" w:rsidRDefault="007B3C83" w:rsidP="007B3C83">
      <w:pPr>
        <w:pStyle w:val="H1G"/>
      </w:pPr>
      <w:bookmarkStart w:id="11" w:name="_Toc14170016"/>
      <w:r>
        <w:rPr>
          <w:bCs/>
        </w:rPr>
        <w:tab/>
        <w:t>G.</w:t>
      </w:r>
      <w:r>
        <w:tab/>
        <w:t>Согласование с природоохранными органами и органами здравоохранения</w:t>
      </w:r>
      <w:bookmarkEnd w:id="11"/>
    </w:p>
    <w:p w14:paraId="28A5D588" w14:textId="77777777" w:rsidR="007B3C83" w:rsidRPr="00BC5410" w:rsidRDefault="007B3C83" w:rsidP="007B3C83">
      <w:pPr>
        <w:pStyle w:val="SingleTxtG"/>
      </w:pPr>
      <w:r>
        <w:t>39.</w:t>
      </w:r>
      <w:r>
        <w:tab/>
        <w:t>Большинство респондентов (20 из 24, вопрос I.9.1) указывают природоохранные органы и органы здравоохранения (пункт 1 статьи 9) в своем внутреннем законодательстве. Четыре респондента сообщили, что эти органы определяются на индивидуальной основе (Дания, Казахстан, Люксембург и Швеция), а некоторые (Армения, Босния и Герцеговина, Испания, Норвегия, Словакия, Финляндия, Хорватия, Черногория, Чехия и Эстония) сочетают эти подходы.</w:t>
      </w:r>
    </w:p>
    <w:p w14:paraId="7CFD8829" w14:textId="77777777" w:rsidR="007B3C83" w:rsidRPr="00BC5410" w:rsidRDefault="007B3C83" w:rsidP="007B3C83">
      <w:pPr>
        <w:pStyle w:val="SingleTxtG"/>
        <w:rPr>
          <w:rFonts w:eastAsia="Times"/>
        </w:rPr>
      </w:pPr>
      <w:r>
        <w:t>40.</w:t>
      </w:r>
      <w:r>
        <w:tab/>
        <w:t xml:space="preserve">Отвечая на вопрос I.9.2, большинство респондентов (20 из 24) сообщили о том, что механизмы информирования природоохранных органов и органов здравоохранения и консультирования с ними определены в их национальном </w:t>
      </w:r>
      <w:r>
        <w:lastRenderedPageBreak/>
        <w:t>законодательстве. Четыре Стороны (Дания, Люксембург, Мальта и Швеция) определяют механизмы информирования на индивидуальной основе. Норвегия использует оба подхода.</w:t>
      </w:r>
    </w:p>
    <w:p w14:paraId="255D9138" w14:textId="77777777" w:rsidR="007B3C83" w:rsidRPr="00BC5410" w:rsidRDefault="007B3C83" w:rsidP="007B3C83">
      <w:pPr>
        <w:pStyle w:val="SingleTxtG"/>
        <w:rPr>
          <w:rFonts w:eastAsia="Times"/>
        </w:rPr>
      </w:pPr>
      <w:r>
        <w:t>41.</w:t>
      </w:r>
      <w:r>
        <w:tab/>
        <w:t xml:space="preserve">Все респонденты сообщили о том, что их национальное законодательство требует проведения консультаций с природоохранными органами и органами здравоохранения (вопрос I.9.3). </w:t>
      </w:r>
    </w:p>
    <w:p w14:paraId="1198E2CB" w14:textId="77777777" w:rsidR="007B3C83" w:rsidRPr="00BC5410" w:rsidRDefault="007B3C83" w:rsidP="007B3C83">
      <w:pPr>
        <w:pStyle w:val="SingleTxtG"/>
        <w:rPr>
          <w:rFonts w:eastAsia="Times"/>
        </w:rPr>
      </w:pPr>
      <w:r>
        <w:t>42.</w:t>
      </w:r>
      <w:r>
        <w:tab/>
        <w:t xml:space="preserve">Все респонденты указали, что природоохранные органы и органы здравоохранения могут выразить свое мнение, представив письменные замечания </w:t>
      </w:r>
      <w:r>
        <w:br/>
        <w:t>(см. рис</w:t>
      </w:r>
      <w:r w:rsidRPr="009807CC">
        <w:t>.</w:t>
      </w:r>
      <w:r>
        <w:t xml:space="preserve"> IX ниже). Кроме того, более половины респондентов (14 из 23) сообщили, что могут быть организованы встречи с соответствующими органами. В Румынии для проведения консультаций формируется специальная рабочая группа, состоящая из представителей органа, ответственного за соответствующий план или программу, компетентных природоохранных органов и органов здравоохранения, других органов, озабоченных последствиями реализации плана/программы, одного или нескольких физических или юридических лиц, сертифицированных в соответствии с положениями законодательства, и привлеченных экспертов, по мере необходимости. Все члены рабочей группы представляют свои мнения по экологическому докладу в природоохранный орган, который учитывает их при принятии финального решения. Окончательный вариант плана/программы может быть принят только в том случае, если он одобрен природоохранным органом.</w:t>
      </w:r>
    </w:p>
    <w:p w14:paraId="31414A3B" w14:textId="77777777" w:rsidR="007B3C83" w:rsidRPr="00644940" w:rsidRDefault="007B3C83" w:rsidP="007B3C83">
      <w:pPr>
        <w:pStyle w:val="H23G"/>
        <w:rPr>
          <w:rFonts w:eastAsia="Times"/>
          <w:bCs/>
        </w:rPr>
      </w:pPr>
      <w:r>
        <w:tab/>
      </w:r>
      <w:r>
        <w:tab/>
      </w:r>
      <w:r w:rsidRPr="000D73B1">
        <w:rPr>
          <w:b w:val="0"/>
          <w:bCs/>
        </w:rPr>
        <w:t>Рис. IX</w:t>
      </w:r>
      <w:r>
        <w:br/>
      </w:r>
      <w:r w:rsidRPr="00644940">
        <w:t>Ответы на вопрос I.9.4: «Как природоохранные органы по охране окружающей среды и органы здравоохранения могут выразить свое мнение?»</w:t>
      </w:r>
      <w:r>
        <w:t xml:space="preserve"> </w:t>
      </w:r>
      <w:r w:rsidRPr="00644940">
        <w:t>(кол-во =</w:t>
      </w:r>
      <w:r>
        <w:t xml:space="preserve"> </w:t>
      </w:r>
      <w:r w:rsidRPr="00644940">
        <w:t>24)</w:t>
      </w:r>
    </w:p>
    <w:p w14:paraId="30C99406" w14:textId="77777777" w:rsidR="007B3C83" w:rsidRDefault="007B3C83" w:rsidP="007B3C83">
      <w:pPr>
        <w:ind w:left="1134"/>
      </w:pPr>
      <w:r w:rsidRPr="00E24DE7">
        <w:rPr>
          <w:noProof/>
          <w:lang w:val="en-US" w:eastAsia="ru-RU"/>
        </w:rPr>
        <w:drawing>
          <wp:inline distT="0" distB="0" distL="0" distR="0" wp14:anchorId="7B883357" wp14:editId="1A7F38A6">
            <wp:extent cx="4675632" cy="2451100"/>
            <wp:effectExtent l="0" t="0" r="10795" b="6350"/>
            <wp:docPr id="27"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4074CF" w14:textId="77777777" w:rsidR="007B3C83" w:rsidRPr="00BC5410" w:rsidRDefault="007B3C83" w:rsidP="007B3C83">
      <w:pPr>
        <w:pStyle w:val="H1G"/>
      </w:pPr>
      <w:r>
        <w:rPr>
          <w:bCs/>
        </w:rPr>
        <w:tab/>
        <w:t>H.</w:t>
      </w:r>
      <w:r>
        <w:tab/>
        <w:t>Трансграничные консультации</w:t>
      </w:r>
    </w:p>
    <w:p w14:paraId="03CDFFBF" w14:textId="77777777" w:rsidR="007B3C83" w:rsidRPr="00BC5410" w:rsidRDefault="007B3C83" w:rsidP="007B3C83">
      <w:pPr>
        <w:pStyle w:val="SingleTxtG"/>
        <w:rPr>
          <w:rFonts w:eastAsia="Times"/>
        </w:rPr>
      </w:pPr>
      <w:bookmarkStart w:id="12" w:name="_Hlk18265156"/>
      <w:r>
        <w:t>43.</w:t>
      </w:r>
      <w:r>
        <w:tab/>
        <w:t>Вопрос I.10.1 призван выяснить, на каком этапе Стороны в качестве Стороны происхождения уведомляют затрагиваемые Стороны в соответствии со статьей 10 Протокола. Более половины респондентов (13 из 24) уведомляют затрагиваемые Стороны на этапе определения сферы охвата. Шестнадцать респондентов указали, что уведомление направляется, когда был подготовлен проект плана или программы и доклада о воздействии на окружающую среду; 7 из этих 16 респондентов выбрали оба варианта: а) «Во время определения сферы охвата» и b) «Когда был подготовлен проект плана или программы и экологический доклад». Финляндия уведомляет потенциально затрагиваемые Стороны во время определения сферы охвата планов землепользования, но в отношении других планов/программ это делается только после подготовки проекта плана или программы и экологического доклада.</w:t>
      </w:r>
    </w:p>
    <w:bookmarkEnd w:id="12"/>
    <w:p w14:paraId="10D8EE00" w14:textId="77777777" w:rsidR="007B3C83" w:rsidRPr="00BC5410" w:rsidRDefault="007B3C83" w:rsidP="00DB3B77">
      <w:pPr>
        <w:pStyle w:val="SingleTxtG"/>
        <w:spacing w:line="234" w:lineRule="atLeast"/>
        <w:rPr>
          <w:rFonts w:eastAsia="Times"/>
        </w:rPr>
      </w:pPr>
      <w:r>
        <w:t>44.</w:t>
      </w:r>
      <w:r>
        <w:tab/>
        <w:t xml:space="preserve">Несколько Сторон заявили, что они могут неофициально информировать потенциально затрагиваемую Сторону/затрагиваемые Стороны до отправки </w:t>
      </w:r>
      <w:r>
        <w:lastRenderedPageBreak/>
        <w:t>официального уведомления (например, Австрия и Литва). Словакия уведомляет потенциально затрагиваемые Стороны, как только узнает, что план/программа может иметь трансграничное воздействие.</w:t>
      </w:r>
    </w:p>
    <w:p w14:paraId="6D2F1E89" w14:textId="77777777" w:rsidR="007B3C83" w:rsidRPr="00BC5410" w:rsidRDefault="007B3C83" w:rsidP="00DB3B77">
      <w:pPr>
        <w:pStyle w:val="SingleTxtG"/>
        <w:spacing w:line="234" w:lineRule="atLeast"/>
        <w:rPr>
          <w:rFonts w:eastAsia="Times"/>
        </w:rPr>
      </w:pPr>
      <w:r>
        <w:t>45.</w:t>
      </w:r>
      <w:r>
        <w:tab/>
        <w:t>Вопрос I.10.2 призван выяснить, какую информацию Стороны включают в уведомление. Большинство респондентов (18 из 24) поясняли, что в качестве Стороны происхождения они включают информацию, предусмотренную в пункте 2 статьи 10. Шесть респондентов также включают дополнительную информацию, а именно:</w:t>
      </w:r>
    </w:p>
    <w:p w14:paraId="43B351E0" w14:textId="77777777" w:rsidR="007B3C83" w:rsidRPr="00BC5410" w:rsidRDefault="007B3C83" w:rsidP="00DB3B77">
      <w:pPr>
        <w:pStyle w:val="SingleTxtG"/>
        <w:spacing w:line="234" w:lineRule="atLeast"/>
        <w:ind w:firstLine="567"/>
        <w:rPr>
          <w:rFonts w:eastAsia="Times"/>
        </w:rPr>
      </w:pPr>
      <w:r>
        <w:t>a)</w:t>
      </w:r>
      <w:r>
        <w:tab/>
        <w:t>название и описание документа стратегического планирования, информацию об органах, готовящих и принимающих этот документ, график подготовки документа и проведения стратегической экологической оценки, краткое описание вероятных последствий для окружающей среды и сроки для представления ответа на уведомление и замечаний по нему (Эстония). При необходимости может быть включена дополнительная информация (например, о вовлеченных национальных органах и их задачах и т.</w:t>
      </w:r>
      <w:r>
        <w:rPr>
          <w:lang w:val="fr-CH"/>
        </w:rPr>
        <w:t> </w:t>
      </w:r>
      <w:r>
        <w:t>д.);</w:t>
      </w:r>
    </w:p>
    <w:p w14:paraId="5158CBA0" w14:textId="77777777" w:rsidR="007B3C83" w:rsidRPr="00BC5410" w:rsidRDefault="007B3C83" w:rsidP="00DB3B77">
      <w:pPr>
        <w:pStyle w:val="SingleTxtG"/>
        <w:spacing w:line="234" w:lineRule="atLeast"/>
        <w:ind w:firstLine="567"/>
      </w:pPr>
      <w:r>
        <w:t>b)</w:t>
      </w:r>
      <w:r>
        <w:tab/>
        <w:t>всю справочную документацию по плану/программе, экологический доклад, описание процесса принятия решений, информацию об участии общественности и просьбу представить ответ, а также, где это необходимо, дополнительную справочную информацию (Венгрия).</w:t>
      </w:r>
    </w:p>
    <w:p w14:paraId="56889D61" w14:textId="77777777" w:rsidR="007B3C83" w:rsidRPr="00BC5410" w:rsidRDefault="007B3C83" w:rsidP="00DB3B77">
      <w:pPr>
        <w:pStyle w:val="SingleTxtG"/>
        <w:spacing w:line="234" w:lineRule="atLeast"/>
        <w:rPr>
          <w:rFonts w:eastAsia="Times"/>
        </w:rPr>
      </w:pPr>
      <w:bookmarkStart w:id="13" w:name="_Hlk18266102"/>
      <w:r>
        <w:t>46.</w:t>
      </w:r>
      <w:r>
        <w:tab/>
        <w:t>Пятнадцать (из 24) респондентов сообщили, что в их законодательстве как законодательстве Стороны происхождения не определен разумный срок для представления замечаний затрагиваемой Стороной (вопрос 1.10.3). Многие из этих респондентов указали, что сроки согласовываются совместно с затрагиваемой Стороной. Некоторые респонденты указали, что, согласно их внутреннему законодательству, этот срок составляет от 1 до 3 месяцев (см. таблицу 1).</w:t>
      </w:r>
      <w:bookmarkStart w:id="14" w:name="_Hlk16869790"/>
      <w:bookmarkEnd w:id="14"/>
    </w:p>
    <w:p w14:paraId="520A6D6D" w14:textId="77777777" w:rsidR="007B3C83" w:rsidRPr="00C4637B" w:rsidRDefault="007B3C83" w:rsidP="007B3C83">
      <w:pPr>
        <w:pStyle w:val="H23G"/>
        <w:rPr>
          <w:rFonts w:ascii="Times" w:eastAsia="Times" w:hAnsi="Times" w:cs="Times"/>
          <w:i/>
        </w:rPr>
      </w:pPr>
      <w:r>
        <w:tab/>
      </w:r>
      <w:r w:rsidRPr="000D73B1">
        <w:rPr>
          <w:b w:val="0"/>
          <w:bCs/>
        </w:rPr>
        <w:tab/>
      </w:r>
      <w:r w:rsidRPr="00896A5F">
        <w:rPr>
          <w:b w:val="0"/>
          <w:bCs/>
        </w:rPr>
        <w:t>Таблица 1</w:t>
      </w:r>
      <w:r>
        <w:br/>
      </w:r>
      <w:r w:rsidRPr="00C4637B">
        <w:t>Ответ</w:t>
      </w:r>
      <w:r>
        <w:t>ы на вопрос I.10.3: «</w:t>
      </w:r>
      <w:r w:rsidRPr="00C4637B">
        <w:t>Предусмотрен</w:t>
      </w:r>
      <w:r>
        <w:t>ы</w:t>
      </w:r>
      <w:r w:rsidRPr="00C4637B">
        <w:t xml:space="preserve"> ли в законодательстве вашей страны как законодательстве Стороны пр</w:t>
      </w:r>
      <w:r>
        <w:t>оисхождения разумные сроки (в днях, неделях, месяцах</w:t>
      </w:r>
      <w:r w:rsidRPr="00C4637B">
        <w:t>) для представления замечаний затрагиваемой Стороной?</w:t>
      </w:r>
      <w:r>
        <w:t xml:space="preserve">» </w:t>
      </w:r>
      <w:r>
        <w:br/>
      </w:r>
      <w:r w:rsidRPr="00C4637B">
        <w:t>(кол-во =</w:t>
      </w:r>
      <w:r>
        <w:rPr>
          <w:lang w:val="en-US"/>
        </w:rPr>
        <w:t xml:space="preserve"> </w:t>
      </w:r>
      <w:r w:rsidRPr="00C4637B">
        <w:t>24)</w:t>
      </w:r>
    </w:p>
    <w:tbl>
      <w:tblPr>
        <w:tblW w:w="7370" w:type="dxa"/>
        <w:tblInd w:w="1134" w:type="dxa"/>
        <w:tblLayout w:type="fixed"/>
        <w:tblCellMar>
          <w:left w:w="0" w:type="dxa"/>
          <w:right w:w="0" w:type="dxa"/>
        </w:tblCellMar>
        <w:tblLook w:val="0620" w:firstRow="1" w:lastRow="0" w:firstColumn="0" w:lastColumn="0" w:noHBand="1" w:noVBand="1"/>
      </w:tblPr>
      <w:tblGrid>
        <w:gridCol w:w="2072"/>
        <w:gridCol w:w="763"/>
        <w:gridCol w:w="4535"/>
      </w:tblGrid>
      <w:tr w:rsidR="007B3C83" w:rsidRPr="005721A3" w14:paraId="30249B8A" w14:textId="77777777" w:rsidTr="00B02DF3">
        <w:trPr>
          <w:tblHeader/>
        </w:trPr>
        <w:tc>
          <w:tcPr>
            <w:tcW w:w="2072" w:type="dxa"/>
            <w:tcBorders>
              <w:top w:val="single" w:sz="4" w:space="0" w:color="auto"/>
              <w:bottom w:val="single" w:sz="12" w:space="0" w:color="auto"/>
            </w:tcBorders>
            <w:shd w:val="clear" w:color="auto" w:fill="auto"/>
            <w:vAlign w:val="bottom"/>
          </w:tcPr>
          <w:p w14:paraId="7514CA9B" w14:textId="77777777" w:rsidR="007B3C83" w:rsidRPr="005721A3" w:rsidRDefault="007B3C83" w:rsidP="00B02DF3">
            <w:pPr>
              <w:spacing w:before="80" w:after="80" w:line="200" w:lineRule="exact"/>
              <w:ind w:left="17" w:right="113"/>
              <w:rPr>
                <w:rFonts w:eastAsia="Times"/>
                <w:i/>
                <w:sz w:val="16"/>
              </w:rPr>
            </w:pPr>
          </w:p>
        </w:tc>
        <w:tc>
          <w:tcPr>
            <w:tcW w:w="763" w:type="dxa"/>
            <w:tcBorders>
              <w:top w:val="single" w:sz="4" w:space="0" w:color="auto"/>
              <w:bottom w:val="single" w:sz="12" w:space="0" w:color="auto"/>
            </w:tcBorders>
            <w:shd w:val="clear" w:color="auto" w:fill="auto"/>
            <w:vAlign w:val="bottom"/>
          </w:tcPr>
          <w:p w14:paraId="39AD9E9C" w14:textId="77777777" w:rsidR="007B3C83" w:rsidRPr="0047313D" w:rsidRDefault="007B3C83" w:rsidP="00B02DF3">
            <w:pPr>
              <w:spacing w:before="80" w:after="80" w:line="200" w:lineRule="exact"/>
              <w:ind w:left="17" w:right="113"/>
              <w:rPr>
                <w:rFonts w:eastAsia="Times"/>
                <w:i/>
                <w:sz w:val="16"/>
              </w:rPr>
            </w:pPr>
            <w:r w:rsidRPr="0047313D">
              <w:rPr>
                <w:i/>
                <w:iCs/>
                <w:sz w:val="16"/>
              </w:rPr>
              <w:t>Да/нет</w:t>
            </w:r>
            <w:r>
              <w:rPr>
                <w:i/>
                <w:iCs/>
                <w:sz w:val="16"/>
              </w:rPr>
              <w:br/>
            </w:r>
            <w:r w:rsidRPr="0047313D">
              <w:rPr>
                <w:i/>
                <w:iCs/>
                <w:sz w:val="16"/>
              </w:rPr>
              <w:t>(9/15)</w:t>
            </w:r>
          </w:p>
        </w:tc>
        <w:tc>
          <w:tcPr>
            <w:tcW w:w="4535" w:type="dxa"/>
            <w:tcBorders>
              <w:top w:val="single" w:sz="4" w:space="0" w:color="auto"/>
              <w:bottom w:val="single" w:sz="12" w:space="0" w:color="auto"/>
            </w:tcBorders>
            <w:shd w:val="clear" w:color="auto" w:fill="auto"/>
            <w:vAlign w:val="bottom"/>
          </w:tcPr>
          <w:p w14:paraId="54AA9BB7" w14:textId="77777777" w:rsidR="007B3C83" w:rsidRPr="0047313D" w:rsidRDefault="007B3C83" w:rsidP="00B02DF3">
            <w:pPr>
              <w:spacing w:before="80" w:after="80" w:line="200" w:lineRule="exact"/>
              <w:ind w:left="17" w:right="113"/>
              <w:rPr>
                <w:rFonts w:eastAsia="Times"/>
                <w:i/>
                <w:sz w:val="16"/>
              </w:rPr>
            </w:pPr>
            <w:r w:rsidRPr="0047313D">
              <w:rPr>
                <w:i/>
                <w:iCs/>
                <w:sz w:val="16"/>
              </w:rPr>
              <w:t>Сроки представления замечаний</w:t>
            </w:r>
          </w:p>
        </w:tc>
      </w:tr>
      <w:tr w:rsidR="007B3C83" w:rsidRPr="005721A3" w14:paraId="4FAC0845" w14:textId="77777777" w:rsidTr="00B02DF3">
        <w:trPr>
          <w:trHeight w:hRule="exact" w:val="113"/>
          <w:tblHeader/>
        </w:trPr>
        <w:tc>
          <w:tcPr>
            <w:tcW w:w="2072" w:type="dxa"/>
            <w:tcBorders>
              <w:top w:val="single" w:sz="12" w:space="0" w:color="auto"/>
            </w:tcBorders>
            <w:shd w:val="clear" w:color="auto" w:fill="auto"/>
          </w:tcPr>
          <w:p w14:paraId="076FD1BB" w14:textId="77777777" w:rsidR="007B3C83" w:rsidRPr="005721A3" w:rsidRDefault="007B3C83" w:rsidP="00B02DF3">
            <w:pPr>
              <w:spacing w:before="40" w:after="120"/>
              <w:ind w:left="17" w:right="113"/>
              <w:rPr>
                <w:rFonts w:eastAsia="Times"/>
              </w:rPr>
            </w:pPr>
          </w:p>
        </w:tc>
        <w:tc>
          <w:tcPr>
            <w:tcW w:w="763" w:type="dxa"/>
            <w:tcBorders>
              <w:top w:val="single" w:sz="12" w:space="0" w:color="auto"/>
            </w:tcBorders>
            <w:shd w:val="clear" w:color="auto" w:fill="auto"/>
          </w:tcPr>
          <w:p w14:paraId="67CDA92E" w14:textId="77777777" w:rsidR="007B3C83" w:rsidRPr="005721A3" w:rsidRDefault="007B3C83" w:rsidP="00B02DF3">
            <w:pPr>
              <w:spacing w:before="40" w:after="120"/>
              <w:ind w:left="17" w:right="113"/>
              <w:rPr>
                <w:rFonts w:eastAsia="Times"/>
              </w:rPr>
            </w:pPr>
          </w:p>
        </w:tc>
        <w:tc>
          <w:tcPr>
            <w:tcW w:w="4535" w:type="dxa"/>
            <w:tcBorders>
              <w:top w:val="single" w:sz="12" w:space="0" w:color="auto"/>
            </w:tcBorders>
            <w:shd w:val="clear" w:color="auto" w:fill="auto"/>
          </w:tcPr>
          <w:p w14:paraId="57E03708" w14:textId="77777777" w:rsidR="007B3C83" w:rsidRPr="005721A3" w:rsidRDefault="007B3C83" w:rsidP="00B02DF3">
            <w:pPr>
              <w:spacing w:before="40" w:after="120"/>
              <w:ind w:left="17" w:right="113"/>
              <w:rPr>
                <w:rFonts w:eastAsia="Times"/>
              </w:rPr>
            </w:pPr>
          </w:p>
        </w:tc>
      </w:tr>
      <w:tr w:rsidR="007B3C83" w:rsidRPr="005721A3" w14:paraId="50AA5E4A" w14:textId="77777777" w:rsidTr="00B02DF3">
        <w:tc>
          <w:tcPr>
            <w:tcW w:w="2072" w:type="dxa"/>
            <w:shd w:val="clear" w:color="auto" w:fill="auto"/>
          </w:tcPr>
          <w:p w14:paraId="15C61B28" w14:textId="77777777" w:rsidR="007B3C83" w:rsidRPr="005721A3" w:rsidRDefault="007B3C83" w:rsidP="00DB3B77">
            <w:pPr>
              <w:spacing w:before="40" w:after="100" w:line="234" w:lineRule="atLeast"/>
              <w:ind w:left="17" w:right="113"/>
              <w:rPr>
                <w:rFonts w:eastAsia="Times"/>
              </w:rPr>
            </w:pPr>
            <w:r>
              <w:t>Албания</w:t>
            </w:r>
          </w:p>
        </w:tc>
        <w:tc>
          <w:tcPr>
            <w:tcW w:w="763" w:type="dxa"/>
            <w:shd w:val="clear" w:color="auto" w:fill="auto"/>
          </w:tcPr>
          <w:p w14:paraId="6C0C8A12" w14:textId="77777777" w:rsidR="007B3C83" w:rsidRPr="005721A3" w:rsidRDefault="007B3C83" w:rsidP="00DB3B77">
            <w:pPr>
              <w:spacing w:before="40" w:after="100" w:line="234" w:lineRule="atLeast"/>
              <w:ind w:left="17" w:right="113"/>
              <w:rPr>
                <w:rFonts w:eastAsia="Times"/>
              </w:rPr>
            </w:pPr>
            <w:r>
              <w:t>Да</w:t>
            </w:r>
          </w:p>
        </w:tc>
        <w:tc>
          <w:tcPr>
            <w:tcW w:w="4535" w:type="dxa"/>
            <w:shd w:val="clear" w:color="auto" w:fill="auto"/>
          </w:tcPr>
          <w:p w14:paraId="3819CBC0" w14:textId="77777777" w:rsidR="007B3C83" w:rsidRPr="005721A3" w:rsidRDefault="007B3C83" w:rsidP="00DB3B77">
            <w:pPr>
              <w:spacing w:before="40" w:after="100" w:line="234" w:lineRule="atLeast"/>
              <w:ind w:left="17" w:right="113"/>
              <w:rPr>
                <w:rFonts w:eastAsia="Times"/>
              </w:rPr>
            </w:pPr>
            <w:r>
              <w:t>7 недель</w:t>
            </w:r>
          </w:p>
        </w:tc>
      </w:tr>
      <w:tr w:rsidR="007B3C83" w:rsidRPr="005721A3" w14:paraId="3356EB80" w14:textId="77777777" w:rsidTr="00B02DF3">
        <w:tc>
          <w:tcPr>
            <w:tcW w:w="2072" w:type="dxa"/>
            <w:shd w:val="clear" w:color="auto" w:fill="auto"/>
          </w:tcPr>
          <w:p w14:paraId="32F0190C" w14:textId="77777777" w:rsidR="007B3C83" w:rsidRPr="005721A3" w:rsidRDefault="007B3C83" w:rsidP="00DB3B77">
            <w:pPr>
              <w:spacing w:before="40" w:after="100" w:line="234" w:lineRule="atLeast"/>
              <w:ind w:left="17" w:right="113"/>
              <w:rPr>
                <w:rFonts w:eastAsia="Times"/>
              </w:rPr>
            </w:pPr>
            <w:r>
              <w:t>Армения</w:t>
            </w:r>
          </w:p>
        </w:tc>
        <w:tc>
          <w:tcPr>
            <w:tcW w:w="763" w:type="dxa"/>
            <w:shd w:val="clear" w:color="auto" w:fill="auto"/>
          </w:tcPr>
          <w:p w14:paraId="3FFDA4DF" w14:textId="77777777" w:rsidR="007B3C83" w:rsidRPr="005721A3" w:rsidRDefault="007B3C83" w:rsidP="00DB3B77">
            <w:pPr>
              <w:spacing w:before="40" w:after="100" w:line="234" w:lineRule="atLeast"/>
              <w:ind w:left="17" w:right="113"/>
              <w:rPr>
                <w:rFonts w:eastAsia="Times"/>
              </w:rPr>
            </w:pPr>
            <w:r>
              <w:t>Да</w:t>
            </w:r>
          </w:p>
        </w:tc>
        <w:tc>
          <w:tcPr>
            <w:tcW w:w="4535" w:type="dxa"/>
            <w:shd w:val="clear" w:color="auto" w:fill="auto"/>
          </w:tcPr>
          <w:p w14:paraId="00AACBBE" w14:textId="77777777" w:rsidR="007B3C83" w:rsidRPr="005721A3" w:rsidRDefault="007B3C83" w:rsidP="00DB3B77">
            <w:pPr>
              <w:spacing w:before="40" w:after="100" w:line="234" w:lineRule="atLeast"/>
              <w:ind w:left="17" w:right="113"/>
              <w:rPr>
                <w:rFonts w:eastAsia="Times"/>
              </w:rPr>
            </w:pPr>
            <w:r>
              <w:t>60 рабочих дней</w:t>
            </w:r>
          </w:p>
        </w:tc>
      </w:tr>
      <w:tr w:rsidR="007B3C83" w:rsidRPr="005721A3" w14:paraId="5243906A" w14:textId="77777777" w:rsidTr="00B02DF3">
        <w:tc>
          <w:tcPr>
            <w:tcW w:w="2072" w:type="dxa"/>
            <w:shd w:val="clear" w:color="auto" w:fill="auto"/>
          </w:tcPr>
          <w:p w14:paraId="28955F2D" w14:textId="77777777" w:rsidR="007B3C83" w:rsidRPr="005721A3" w:rsidRDefault="007B3C83" w:rsidP="00DB3B77">
            <w:pPr>
              <w:spacing w:before="40" w:after="100" w:line="234" w:lineRule="atLeast"/>
              <w:ind w:left="17" w:right="113"/>
              <w:rPr>
                <w:rFonts w:eastAsia="Times"/>
              </w:rPr>
            </w:pPr>
            <w:r>
              <w:t>Австрия</w:t>
            </w:r>
          </w:p>
        </w:tc>
        <w:tc>
          <w:tcPr>
            <w:tcW w:w="763" w:type="dxa"/>
            <w:shd w:val="clear" w:color="auto" w:fill="auto"/>
          </w:tcPr>
          <w:p w14:paraId="0570FFE1" w14:textId="77777777" w:rsidR="007B3C83" w:rsidRPr="005721A3" w:rsidRDefault="007B3C83" w:rsidP="00DB3B77">
            <w:pPr>
              <w:spacing w:before="40" w:after="100" w:line="234" w:lineRule="atLeast"/>
              <w:ind w:left="17" w:right="113"/>
              <w:rPr>
                <w:rFonts w:eastAsia="Times"/>
              </w:rPr>
            </w:pPr>
            <w:r>
              <w:t>Нет</w:t>
            </w:r>
          </w:p>
        </w:tc>
        <w:tc>
          <w:tcPr>
            <w:tcW w:w="4535" w:type="dxa"/>
            <w:shd w:val="clear" w:color="auto" w:fill="auto"/>
          </w:tcPr>
          <w:p w14:paraId="5B15113F" w14:textId="77777777" w:rsidR="007B3C83" w:rsidRPr="005721A3" w:rsidRDefault="007B3C83" w:rsidP="00DB3B77">
            <w:pPr>
              <w:spacing w:before="40" w:after="100" w:line="234" w:lineRule="atLeast"/>
              <w:ind w:left="17" w:right="113"/>
              <w:rPr>
                <w:rFonts w:eastAsia="Times"/>
              </w:rPr>
            </w:pPr>
          </w:p>
        </w:tc>
      </w:tr>
      <w:tr w:rsidR="007B3C83" w:rsidRPr="005721A3" w14:paraId="7C803FBB" w14:textId="77777777" w:rsidTr="00B02DF3">
        <w:tc>
          <w:tcPr>
            <w:tcW w:w="2072" w:type="dxa"/>
            <w:shd w:val="clear" w:color="auto" w:fill="auto"/>
          </w:tcPr>
          <w:p w14:paraId="050811AC" w14:textId="77777777" w:rsidR="007B3C83" w:rsidRPr="005721A3" w:rsidRDefault="007B3C83" w:rsidP="00DB3B77">
            <w:pPr>
              <w:spacing w:before="40" w:after="100" w:line="234" w:lineRule="atLeast"/>
              <w:ind w:left="17" w:right="113"/>
              <w:rPr>
                <w:rFonts w:eastAsia="Times"/>
              </w:rPr>
            </w:pPr>
            <w:r>
              <w:t>Босния и Герцеговина</w:t>
            </w:r>
          </w:p>
        </w:tc>
        <w:tc>
          <w:tcPr>
            <w:tcW w:w="763" w:type="dxa"/>
            <w:shd w:val="clear" w:color="auto" w:fill="auto"/>
          </w:tcPr>
          <w:p w14:paraId="219A9AD3" w14:textId="77777777" w:rsidR="007B3C83" w:rsidRPr="005721A3" w:rsidRDefault="007B3C83" w:rsidP="00DB3B77">
            <w:pPr>
              <w:spacing w:before="40" w:after="100" w:line="234" w:lineRule="atLeast"/>
              <w:ind w:left="17" w:right="113"/>
              <w:rPr>
                <w:rFonts w:eastAsia="Times"/>
              </w:rPr>
            </w:pPr>
            <w:r>
              <w:t>Нет</w:t>
            </w:r>
          </w:p>
        </w:tc>
        <w:tc>
          <w:tcPr>
            <w:tcW w:w="4535" w:type="dxa"/>
            <w:shd w:val="clear" w:color="auto" w:fill="auto"/>
          </w:tcPr>
          <w:p w14:paraId="433251FD" w14:textId="77777777" w:rsidR="007B3C83" w:rsidRPr="005721A3" w:rsidRDefault="007B3C83" w:rsidP="00DB3B77">
            <w:pPr>
              <w:spacing w:before="40" w:after="100" w:line="234" w:lineRule="atLeast"/>
              <w:ind w:left="17" w:right="113"/>
              <w:rPr>
                <w:rFonts w:eastAsia="Times"/>
              </w:rPr>
            </w:pPr>
          </w:p>
        </w:tc>
      </w:tr>
      <w:tr w:rsidR="007B3C83" w:rsidRPr="005721A3" w14:paraId="5ACE7107" w14:textId="77777777" w:rsidTr="00B02DF3">
        <w:tc>
          <w:tcPr>
            <w:tcW w:w="2072" w:type="dxa"/>
            <w:shd w:val="clear" w:color="auto" w:fill="auto"/>
          </w:tcPr>
          <w:p w14:paraId="5F19ED8E" w14:textId="77777777" w:rsidR="007B3C83" w:rsidRPr="005721A3" w:rsidRDefault="007B3C83" w:rsidP="00DB3B77">
            <w:pPr>
              <w:spacing w:before="40" w:after="100" w:line="234" w:lineRule="atLeast"/>
              <w:ind w:left="17" w:right="113"/>
              <w:rPr>
                <w:rFonts w:eastAsia="Times"/>
              </w:rPr>
            </w:pPr>
            <w:r>
              <w:t>Хорватия</w:t>
            </w:r>
          </w:p>
        </w:tc>
        <w:tc>
          <w:tcPr>
            <w:tcW w:w="763" w:type="dxa"/>
            <w:shd w:val="clear" w:color="auto" w:fill="auto"/>
          </w:tcPr>
          <w:p w14:paraId="00BB4DE9" w14:textId="77777777" w:rsidR="007B3C83" w:rsidRPr="005721A3" w:rsidRDefault="007B3C83" w:rsidP="00DB3B77">
            <w:pPr>
              <w:spacing w:before="40" w:after="100" w:line="234" w:lineRule="atLeast"/>
              <w:ind w:left="17" w:right="113"/>
              <w:rPr>
                <w:rFonts w:eastAsia="Times"/>
              </w:rPr>
            </w:pPr>
            <w:r>
              <w:t>Да</w:t>
            </w:r>
          </w:p>
        </w:tc>
        <w:tc>
          <w:tcPr>
            <w:tcW w:w="4535" w:type="dxa"/>
            <w:shd w:val="clear" w:color="auto" w:fill="auto"/>
          </w:tcPr>
          <w:p w14:paraId="2CA897A5" w14:textId="77777777" w:rsidR="007B3C83" w:rsidRPr="005721A3" w:rsidRDefault="007B3C83" w:rsidP="00DB3B77">
            <w:pPr>
              <w:spacing w:before="40" w:after="100" w:line="234" w:lineRule="atLeast"/>
              <w:ind w:left="17" w:right="113"/>
              <w:rPr>
                <w:rFonts w:eastAsia="Times"/>
              </w:rPr>
            </w:pPr>
            <w:r>
              <w:t xml:space="preserve">30 дней </w:t>
            </w:r>
          </w:p>
        </w:tc>
      </w:tr>
      <w:tr w:rsidR="007B3C83" w:rsidRPr="005721A3" w14:paraId="1867573B" w14:textId="77777777" w:rsidTr="00B02DF3">
        <w:tc>
          <w:tcPr>
            <w:tcW w:w="2072" w:type="dxa"/>
            <w:shd w:val="clear" w:color="auto" w:fill="auto"/>
          </w:tcPr>
          <w:p w14:paraId="3CD307F3" w14:textId="77777777" w:rsidR="007B3C83" w:rsidRPr="005721A3" w:rsidRDefault="007B3C83" w:rsidP="00DB3B77">
            <w:pPr>
              <w:spacing w:before="40" w:after="100" w:line="234" w:lineRule="atLeast"/>
              <w:ind w:left="17" w:right="113"/>
              <w:rPr>
                <w:rFonts w:eastAsia="Times"/>
              </w:rPr>
            </w:pPr>
            <w:r>
              <w:t>Чехия</w:t>
            </w:r>
          </w:p>
        </w:tc>
        <w:tc>
          <w:tcPr>
            <w:tcW w:w="763" w:type="dxa"/>
            <w:shd w:val="clear" w:color="auto" w:fill="auto"/>
          </w:tcPr>
          <w:p w14:paraId="06E4D4BD" w14:textId="77777777" w:rsidR="007B3C83" w:rsidRPr="005721A3" w:rsidRDefault="007B3C83" w:rsidP="00DB3B77">
            <w:pPr>
              <w:spacing w:before="40" w:after="100" w:line="234" w:lineRule="atLeast"/>
              <w:ind w:left="17" w:right="113"/>
              <w:rPr>
                <w:rFonts w:eastAsia="Times"/>
              </w:rPr>
            </w:pPr>
            <w:r>
              <w:t>Нет</w:t>
            </w:r>
          </w:p>
        </w:tc>
        <w:tc>
          <w:tcPr>
            <w:tcW w:w="4535" w:type="dxa"/>
            <w:shd w:val="clear" w:color="auto" w:fill="auto"/>
          </w:tcPr>
          <w:p w14:paraId="13C219E0" w14:textId="77777777" w:rsidR="007B3C83" w:rsidRPr="005721A3" w:rsidRDefault="007B3C83" w:rsidP="00DB3B77">
            <w:pPr>
              <w:spacing w:before="40" w:after="100" w:line="234" w:lineRule="atLeast"/>
              <w:ind w:left="17" w:right="113"/>
              <w:rPr>
                <w:rFonts w:eastAsia="Times"/>
              </w:rPr>
            </w:pPr>
          </w:p>
        </w:tc>
      </w:tr>
      <w:tr w:rsidR="007B3C83" w:rsidRPr="00BC5410" w14:paraId="521DEDC2" w14:textId="77777777" w:rsidTr="00B02DF3">
        <w:tc>
          <w:tcPr>
            <w:tcW w:w="2072" w:type="dxa"/>
            <w:shd w:val="clear" w:color="auto" w:fill="auto"/>
          </w:tcPr>
          <w:p w14:paraId="4F8A3665" w14:textId="77777777" w:rsidR="007B3C83" w:rsidRPr="005721A3" w:rsidRDefault="007B3C83" w:rsidP="00DB3B77">
            <w:pPr>
              <w:spacing w:before="40" w:after="100" w:line="234" w:lineRule="atLeast"/>
              <w:ind w:left="17" w:right="113"/>
              <w:rPr>
                <w:rFonts w:eastAsia="Times"/>
              </w:rPr>
            </w:pPr>
            <w:r>
              <w:t>Дания</w:t>
            </w:r>
          </w:p>
        </w:tc>
        <w:tc>
          <w:tcPr>
            <w:tcW w:w="763" w:type="dxa"/>
            <w:shd w:val="clear" w:color="auto" w:fill="auto"/>
          </w:tcPr>
          <w:p w14:paraId="045590DE" w14:textId="77777777" w:rsidR="007B3C83" w:rsidRPr="005721A3" w:rsidRDefault="007B3C83" w:rsidP="00DB3B77">
            <w:pPr>
              <w:spacing w:before="40" w:after="100" w:line="234" w:lineRule="atLeast"/>
              <w:ind w:left="17" w:right="113"/>
              <w:rPr>
                <w:rFonts w:eastAsia="Times"/>
              </w:rPr>
            </w:pPr>
            <w:r>
              <w:t>Нет</w:t>
            </w:r>
          </w:p>
        </w:tc>
        <w:tc>
          <w:tcPr>
            <w:tcW w:w="4535" w:type="dxa"/>
            <w:shd w:val="clear" w:color="auto" w:fill="auto"/>
          </w:tcPr>
          <w:p w14:paraId="61A355C2" w14:textId="77777777" w:rsidR="007B3C83" w:rsidRPr="00BC5410" w:rsidRDefault="007B3C83" w:rsidP="00DB3B77">
            <w:pPr>
              <w:spacing w:before="40" w:after="100" w:line="234" w:lineRule="atLeast"/>
              <w:ind w:left="17" w:right="113"/>
              <w:rPr>
                <w:rFonts w:eastAsia="Times"/>
              </w:rPr>
            </w:pPr>
            <w:r>
              <w:t xml:space="preserve">В определенном (отраслевом) законодательстве могут устанавливаться рамки и сроки для проведения консультаций с общественностью </w:t>
            </w:r>
          </w:p>
        </w:tc>
      </w:tr>
      <w:tr w:rsidR="007B3C83" w:rsidRPr="00BC5410" w14:paraId="48F0CB9A" w14:textId="77777777" w:rsidTr="00B02DF3">
        <w:tc>
          <w:tcPr>
            <w:tcW w:w="2072" w:type="dxa"/>
            <w:shd w:val="clear" w:color="auto" w:fill="auto"/>
          </w:tcPr>
          <w:p w14:paraId="61371619" w14:textId="77777777" w:rsidR="007B3C83" w:rsidRPr="005721A3" w:rsidRDefault="007B3C83" w:rsidP="00DB3B77">
            <w:pPr>
              <w:spacing w:before="40" w:after="100" w:line="234" w:lineRule="atLeast"/>
              <w:ind w:left="17" w:right="113"/>
              <w:rPr>
                <w:rFonts w:eastAsia="Times"/>
              </w:rPr>
            </w:pPr>
            <w:r>
              <w:t>Эстония</w:t>
            </w:r>
          </w:p>
        </w:tc>
        <w:tc>
          <w:tcPr>
            <w:tcW w:w="763" w:type="dxa"/>
            <w:shd w:val="clear" w:color="auto" w:fill="auto"/>
          </w:tcPr>
          <w:p w14:paraId="1957A922" w14:textId="77777777" w:rsidR="007B3C83" w:rsidRPr="005721A3" w:rsidRDefault="007B3C83" w:rsidP="00DB3B77">
            <w:pPr>
              <w:spacing w:before="40" w:after="100" w:line="234" w:lineRule="atLeast"/>
              <w:ind w:left="17" w:right="113"/>
              <w:rPr>
                <w:rFonts w:eastAsia="Times"/>
              </w:rPr>
            </w:pPr>
            <w:r>
              <w:t>Нет</w:t>
            </w:r>
          </w:p>
        </w:tc>
        <w:tc>
          <w:tcPr>
            <w:tcW w:w="4535" w:type="dxa"/>
            <w:shd w:val="clear" w:color="auto" w:fill="auto"/>
          </w:tcPr>
          <w:p w14:paraId="53002DFB" w14:textId="77777777" w:rsidR="007B3C83" w:rsidRPr="00BC5410" w:rsidRDefault="007B3C83" w:rsidP="00DB3B77">
            <w:pPr>
              <w:spacing w:before="40" w:after="100" w:line="234" w:lineRule="atLeast"/>
              <w:ind w:left="17" w:right="113"/>
              <w:rPr>
                <w:rFonts w:eastAsia="Times"/>
              </w:rPr>
            </w:pPr>
            <w:r>
              <w:t xml:space="preserve">Минимум 30 дней. На практике Стороной происхождения обычно предлагаются сроки в </w:t>
            </w:r>
            <w:r>
              <w:br/>
              <w:t xml:space="preserve">30–60 дней </w:t>
            </w:r>
          </w:p>
        </w:tc>
      </w:tr>
      <w:tr w:rsidR="007B3C83" w:rsidRPr="005721A3" w14:paraId="1D4EEAD4" w14:textId="77777777" w:rsidTr="00B02DF3">
        <w:tc>
          <w:tcPr>
            <w:tcW w:w="2072" w:type="dxa"/>
            <w:shd w:val="clear" w:color="auto" w:fill="auto"/>
          </w:tcPr>
          <w:p w14:paraId="58BFAF7B" w14:textId="77777777" w:rsidR="007B3C83" w:rsidRPr="005721A3" w:rsidRDefault="007B3C83" w:rsidP="00DB3B77">
            <w:pPr>
              <w:spacing w:before="40" w:after="100" w:line="234" w:lineRule="atLeast"/>
              <w:ind w:left="17" w:right="113"/>
              <w:rPr>
                <w:rFonts w:eastAsia="Times"/>
              </w:rPr>
            </w:pPr>
            <w:r>
              <w:t>Финляндия</w:t>
            </w:r>
          </w:p>
        </w:tc>
        <w:tc>
          <w:tcPr>
            <w:tcW w:w="763" w:type="dxa"/>
            <w:shd w:val="clear" w:color="auto" w:fill="auto"/>
          </w:tcPr>
          <w:p w14:paraId="4CBBE809" w14:textId="77777777" w:rsidR="007B3C83" w:rsidRPr="005721A3" w:rsidRDefault="007B3C83" w:rsidP="00DB3B77">
            <w:pPr>
              <w:spacing w:before="40" w:after="100" w:line="234" w:lineRule="atLeast"/>
              <w:ind w:left="17" w:right="113"/>
              <w:rPr>
                <w:rFonts w:eastAsia="Times"/>
              </w:rPr>
            </w:pPr>
            <w:r>
              <w:t>Нет</w:t>
            </w:r>
          </w:p>
        </w:tc>
        <w:tc>
          <w:tcPr>
            <w:tcW w:w="4535" w:type="dxa"/>
            <w:shd w:val="clear" w:color="auto" w:fill="auto"/>
          </w:tcPr>
          <w:p w14:paraId="5FC17FC1" w14:textId="77777777" w:rsidR="007B3C83" w:rsidRPr="005721A3" w:rsidRDefault="007B3C83" w:rsidP="00DB3B77">
            <w:pPr>
              <w:spacing w:before="40" w:after="100" w:line="234" w:lineRule="atLeast"/>
              <w:ind w:left="17" w:right="113"/>
              <w:rPr>
                <w:rFonts w:eastAsia="Times"/>
              </w:rPr>
            </w:pPr>
            <w:r>
              <w:t xml:space="preserve">60-дневный срок для всех планов и программ и </w:t>
            </w:r>
            <w:r>
              <w:br/>
            </w:r>
            <w:r w:rsidRPr="00EE7C07">
              <w:t>30-</w:t>
            </w:r>
            <w:r>
              <w:t>дневный срок для планов землепользования для того, чтобы сообщить, что затрагиваемая Сторона желает вступить в консультации. Если консультации начались — предоставляются разумные сроки для представления замечаний</w:t>
            </w:r>
          </w:p>
        </w:tc>
      </w:tr>
      <w:tr w:rsidR="007B3C83" w:rsidRPr="00BC5410" w14:paraId="6BB571F1" w14:textId="77777777" w:rsidTr="00B02DF3">
        <w:tc>
          <w:tcPr>
            <w:tcW w:w="2072" w:type="dxa"/>
            <w:shd w:val="clear" w:color="auto" w:fill="auto"/>
          </w:tcPr>
          <w:p w14:paraId="77938714" w14:textId="77777777" w:rsidR="007B3C83" w:rsidRPr="005721A3" w:rsidRDefault="007B3C83" w:rsidP="00B02DF3">
            <w:pPr>
              <w:spacing w:before="40" w:after="120"/>
              <w:ind w:left="17" w:right="113"/>
              <w:rPr>
                <w:rFonts w:eastAsia="Times"/>
              </w:rPr>
            </w:pPr>
            <w:r>
              <w:lastRenderedPageBreak/>
              <w:t>Грузия</w:t>
            </w:r>
          </w:p>
        </w:tc>
        <w:tc>
          <w:tcPr>
            <w:tcW w:w="763" w:type="dxa"/>
            <w:shd w:val="clear" w:color="auto" w:fill="auto"/>
          </w:tcPr>
          <w:p w14:paraId="71B1EFB7" w14:textId="77777777" w:rsidR="007B3C83" w:rsidRPr="005721A3" w:rsidRDefault="007B3C83" w:rsidP="00B02DF3">
            <w:pPr>
              <w:spacing w:before="40" w:after="120"/>
              <w:ind w:left="17" w:right="113"/>
              <w:rPr>
                <w:rFonts w:eastAsia="Times"/>
              </w:rPr>
            </w:pPr>
            <w:r>
              <w:t>Да</w:t>
            </w:r>
          </w:p>
        </w:tc>
        <w:tc>
          <w:tcPr>
            <w:tcW w:w="4535" w:type="dxa"/>
            <w:shd w:val="clear" w:color="auto" w:fill="auto"/>
          </w:tcPr>
          <w:p w14:paraId="52463D96" w14:textId="77777777" w:rsidR="007B3C83" w:rsidRPr="00BC5410" w:rsidRDefault="007B3C83" w:rsidP="00B02DF3">
            <w:pPr>
              <w:spacing w:before="40" w:after="120"/>
              <w:ind w:left="17" w:right="113"/>
              <w:rPr>
                <w:rFonts w:eastAsia="Times"/>
              </w:rPr>
            </w:pPr>
            <w:r>
              <w:t xml:space="preserve">Согласовывается с затрагиваемой Стороной в каждом конкретном случае </w:t>
            </w:r>
          </w:p>
        </w:tc>
      </w:tr>
      <w:tr w:rsidR="007B3C83" w:rsidRPr="005721A3" w14:paraId="4F19C7C9" w14:textId="77777777" w:rsidTr="00B02DF3">
        <w:tc>
          <w:tcPr>
            <w:tcW w:w="2072" w:type="dxa"/>
            <w:shd w:val="clear" w:color="auto" w:fill="auto"/>
          </w:tcPr>
          <w:p w14:paraId="2AE10B36" w14:textId="77777777" w:rsidR="007B3C83" w:rsidRPr="005721A3" w:rsidRDefault="007B3C83" w:rsidP="00B02DF3">
            <w:pPr>
              <w:spacing w:before="40" w:after="120"/>
              <w:ind w:left="17" w:right="113"/>
              <w:rPr>
                <w:rFonts w:eastAsia="Times"/>
              </w:rPr>
            </w:pPr>
            <w:r>
              <w:t>Венгрия</w:t>
            </w:r>
          </w:p>
        </w:tc>
        <w:tc>
          <w:tcPr>
            <w:tcW w:w="763" w:type="dxa"/>
            <w:shd w:val="clear" w:color="auto" w:fill="auto"/>
          </w:tcPr>
          <w:p w14:paraId="1677D662" w14:textId="77777777" w:rsidR="007B3C83" w:rsidRPr="005721A3" w:rsidRDefault="007B3C83" w:rsidP="00B02DF3">
            <w:pPr>
              <w:spacing w:before="40" w:after="120"/>
              <w:ind w:left="17" w:right="113"/>
              <w:rPr>
                <w:rFonts w:eastAsia="Times"/>
              </w:rPr>
            </w:pPr>
            <w:r>
              <w:t>Да</w:t>
            </w:r>
          </w:p>
        </w:tc>
        <w:tc>
          <w:tcPr>
            <w:tcW w:w="4535" w:type="dxa"/>
            <w:shd w:val="clear" w:color="auto" w:fill="auto"/>
          </w:tcPr>
          <w:p w14:paraId="0E68372F" w14:textId="77777777" w:rsidR="007B3C83" w:rsidRPr="005721A3" w:rsidRDefault="007B3C83" w:rsidP="00B02DF3">
            <w:pPr>
              <w:spacing w:before="40" w:after="120"/>
              <w:ind w:left="17" w:right="113"/>
              <w:rPr>
                <w:rFonts w:eastAsia="Times"/>
              </w:rPr>
            </w:pPr>
            <w:r>
              <w:t>Не менее 30 дней. Согласовывается в каждом конкретном случае. На практике 45–50 дней</w:t>
            </w:r>
          </w:p>
        </w:tc>
      </w:tr>
      <w:tr w:rsidR="007B3C83" w:rsidRPr="005721A3" w14:paraId="297C5E12" w14:textId="77777777" w:rsidTr="00B02DF3">
        <w:tc>
          <w:tcPr>
            <w:tcW w:w="2072" w:type="dxa"/>
            <w:shd w:val="clear" w:color="auto" w:fill="auto"/>
          </w:tcPr>
          <w:p w14:paraId="2B124F53" w14:textId="77777777" w:rsidR="007B3C83" w:rsidRPr="005721A3" w:rsidRDefault="007B3C83" w:rsidP="00B02DF3">
            <w:pPr>
              <w:spacing w:before="40" w:after="120"/>
              <w:ind w:left="17" w:right="113"/>
              <w:rPr>
                <w:rFonts w:eastAsia="Times"/>
              </w:rPr>
            </w:pPr>
            <w:r>
              <w:t>Казахстан</w:t>
            </w:r>
          </w:p>
        </w:tc>
        <w:tc>
          <w:tcPr>
            <w:tcW w:w="763" w:type="dxa"/>
            <w:shd w:val="clear" w:color="auto" w:fill="auto"/>
          </w:tcPr>
          <w:p w14:paraId="7879ECCE" w14:textId="77777777" w:rsidR="007B3C83" w:rsidRPr="005721A3" w:rsidRDefault="007B3C83" w:rsidP="00B02DF3">
            <w:pPr>
              <w:spacing w:before="40" w:after="120"/>
              <w:ind w:left="17" w:right="113"/>
              <w:rPr>
                <w:rFonts w:eastAsia="Times"/>
              </w:rPr>
            </w:pPr>
            <w:r>
              <w:t>Нет</w:t>
            </w:r>
          </w:p>
        </w:tc>
        <w:tc>
          <w:tcPr>
            <w:tcW w:w="4535" w:type="dxa"/>
            <w:shd w:val="clear" w:color="auto" w:fill="auto"/>
          </w:tcPr>
          <w:p w14:paraId="787E89E0" w14:textId="77777777" w:rsidR="007B3C83" w:rsidRPr="005721A3" w:rsidRDefault="007B3C83" w:rsidP="00B02DF3">
            <w:pPr>
              <w:spacing w:before="40" w:after="120"/>
              <w:ind w:left="17" w:right="113"/>
              <w:rPr>
                <w:rFonts w:eastAsia="Times"/>
              </w:rPr>
            </w:pPr>
            <w:r>
              <w:t>Согласовывается с затрагиваемой Стороной</w:t>
            </w:r>
          </w:p>
        </w:tc>
      </w:tr>
      <w:tr w:rsidR="007B3C83" w:rsidRPr="005721A3" w14:paraId="1C4CFAA1" w14:textId="77777777" w:rsidTr="00B02DF3">
        <w:tc>
          <w:tcPr>
            <w:tcW w:w="2072" w:type="dxa"/>
            <w:shd w:val="clear" w:color="auto" w:fill="auto"/>
          </w:tcPr>
          <w:p w14:paraId="2331B095" w14:textId="77777777" w:rsidR="007B3C83" w:rsidRPr="005721A3" w:rsidRDefault="007B3C83" w:rsidP="00B02DF3">
            <w:pPr>
              <w:spacing w:before="40" w:after="120"/>
              <w:ind w:left="17" w:right="113"/>
              <w:rPr>
                <w:rFonts w:eastAsia="Times"/>
              </w:rPr>
            </w:pPr>
            <w:r>
              <w:t>Латвия</w:t>
            </w:r>
          </w:p>
        </w:tc>
        <w:tc>
          <w:tcPr>
            <w:tcW w:w="763" w:type="dxa"/>
            <w:shd w:val="clear" w:color="auto" w:fill="auto"/>
          </w:tcPr>
          <w:p w14:paraId="44500804" w14:textId="77777777" w:rsidR="007B3C83" w:rsidRPr="005721A3" w:rsidRDefault="007B3C83" w:rsidP="00B02DF3">
            <w:pPr>
              <w:spacing w:before="40" w:after="120"/>
              <w:ind w:left="17" w:right="113"/>
              <w:rPr>
                <w:rFonts w:eastAsia="Times"/>
              </w:rPr>
            </w:pPr>
            <w:r>
              <w:t>Нет</w:t>
            </w:r>
          </w:p>
        </w:tc>
        <w:tc>
          <w:tcPr>
            <w:tcW w:w="4535" w:type="dxa"/>
            <w:shd w:val="clear" w:color="auto" w:fill="auto"/>
          </w:tcPr>
          <w:p w14:paraId="4D504AA8" w14:textId="77777777" w:rsidR="007B3C83" w:rsidRPr="005721A3" w:rsidRDefault="007B3C83" w:rsidP="00B02DF3">
            <w:pPr>
              <w:spacing w:before="40" w:after="120"/>
              <w:ind w:left="17" w:right="113"/>
              <w:rPr>
                <w:rFonts w:eastAsia="Times"/>
              </w:rPr>
            </w:pPr>
          </w:p>
        </w:tc>
      </w:tr>
      <w:tr w:rsidR="007B3C83" w:rsidRPr="005721A3" w14:paraId="43178835" w14:textId="77777777" w:rsidTr="00B02DF3">
        <w:tc>
          <w:tcPr>
            <w:tcW w:w="2072" w:type="dxa"/>
            <w:shd w:val="clear" w:color="auto" w:fill="auto"/>
          </w:tcPr>
          <w:p w14:paraId="5037C608" w14:textId="77777777" w:rsidR="007B3C83" w:rsidRPr="005721A3" w:rsidRDefault="007B3C83" w:rsidP="00B02DF3">
            <w:pPr>
              <w:spacing w:before="40" w:after="120"/>
              <w:ind w:left="17" w:right="113"/>
              <w:rPr>
                <w:rFonts w:eastAsia="Times"/>
              </w:rPr>
            </w:pPr>
            <w:r>
              <w:t>Литва</w:t>
            </w:r>
          </w:p>
        </w:tc>
        <w:tc>
          <w:tcPr>
            <w:tcW w:w="763" w:type="dxa"/>
            <w:shd w:val="clear" w:color="auto" w:fill="auto"/>
          </w:tcPr>
          <w:p w14:paraId="06B50F0E" w14:textId="77777777" w:rsidR="007B3C83" w:rsidRPr="005721A3" w:rsidRDefault="007B3C83" w:rsidP="00B02DF3">
            <w:pPr>
              <w:spacing w:before="40" w:after="120"/>
              <w:ind w:left="17" w:right="113"/>
              <w:rPr>
                <w:rFonts w:eastAsia="Times"/>
              </w:rPr>
            </w:pPr>
            <w:r>
              <w:t>Нет</w:t>
            </w:r>
          </w:p>
        </w:tc>
        <w:tc>
          <w:tcPr>
            <w:tcW w:w="4535" w:type="dxa"/>
            <w:shd w:val="clear" w:color="auto" w:fill="auto"/>
          </w:tcPr>
          <w:p w14:paraId="6B0F4002" w14:textId="77777777" w:rsidR="007B3C83" w:rsidRPr="005721A3" w:rsidRDefault="007B3C83" w:rsidP="00B02DF3">
            <w:pPr>
              <w:spacing w:before="40" w:after="120"/>
              <w:ind w:left="17" w:right="113"/>
              <w:rPr>
                <w:rFonts w:eastAsia="Times"/>
              </w:rPr>
            </w:pPr>
            <w:r>
              <w:t xml:space="preserve">Консультации с затрагиваемой Стороной </w:t>
            </w:r>
          </w:p>
        </w:tc>
      </w:tr>
      <w:tr w:rsidR="007B3C83" w:rsidRPr="005721A3" w14:paraId="2372DE80" w14:textId="77777777" w:rsidTr="00B02DF3">
        <w:tc>
          <w:tcPr>
            <w:tcW w:w="2072" w:type="dxa"/>
            <w:shd w:val="clear" w:color="auto" w:fill="auto"/>
          </w:tcPr>
          <w:p w14:paraId="78D14047" w14:textId="77777777" w:rsidR="007B3C83" w:rsidRPr="005721A3" w:rsidRDefault="007B3C83" w:rsidP="00B02DF3">
            <w:pPr>
              <w:spacing w:before="40" w:after="120"/>
              <w:ind w:left="17" w:right="113"/>
              <w:rPr>
                <w:rFonts w:eastAsia="Times"/>
              </w:rPr>
            </w:pPr>
            <w:r>
              <w:t>Люксембург</w:t>
            </w:r>
          </w:p>
        </w:tc>
        <w:tc>
          <w:tcPr>
            <w:tcW w:w="763" w:type="dxa"/>
            <w:shd w:val="clear" w:color="auto" w:fill="auto"/>
          </w:tcPr>
          <w:p w14:paraId="0E9BDAA2" w14:textId="77777777" w:rsidR="007B3C83" w:rsidRPr="005721A3" w:rsidRDefault="007B3C83" w:rsidP="00B02DF3">
            <w:pPr>
              <w:spacing w:before="40" w:after="120"/>
              <w:ind w:left="17" w:right="113"/>
              <w:rPr>
                <w:rFonts w:eastAsia="Times"/>
              </w:rPr>
            </w:pPr>
            <w:r>
              <w:t>Нет</w:t>
            </w:r>
          </w:p>
        </w:tc>
        <w:tc>
          <w:tcPr>
            <w:tcW w:w="4535" w:type="dxa"/>
            <w:shd w:val="clear" w:color="auto" w:fill="auto"/>
          </w:tcPr>
          <w:p w14:paraId="0C1F2FA1" w14:textId="77777777" w:rsidR="007B3C83" w:rsidRPr="005721A3" w:rsidRDefault="007B3C83" w:rsidP="00B02DF3">
            <w:pPr>
              <w:spacing w:before="40" w:after="120"/>
              <w:ind w:left="17" w:right="113"/>
              <w:rPr>
                <w:rFonts w:eastAsia="Times"/>
              </w:rPr>
            </w:pPr>
            <w:r>
              <w:t xml:space="preserve">Консультации с затрагиваемой Стороной </w:t>
            </w:r>
          </w:p>
        </w:tc>
      </w:tr>
      <w:tr w:rsidR="007B3C83" w:rsidRPr="00BC5410" w14:paraId="61712EBA" w14:textId="77777777" w:rsidTr="00B02DF3">
        <w:tc>
          <w:tcPr>
            <w:tcW w:w="2072" w:type="dxa"/>
            <w:shd w:val="clear" w:color="auto" w:fill="auto"/>
          </w:tcPr>
          <w:p w14:paraId="08CE9205" w14:textId="77777777" w:rsidR="007B3C83" w:rsidRPr="005721A3" w:rsidRDefault="007B3C83" w:rsidP="00B02DF3">
            <w:pPr>
              <w:spacing w:before="40" w:after="120"/>
              <w:ind w:left="17" w:right="113"/>
              <w:rPr>
                <w:rFonts w:eastAsia="Times"/>
              </w:rPr>
            </w:pPr>
            <w:r>
              <w:t>Мальта</w:t>
            </w:r>
          </w:p>
        </w:tc>
        <w:tc>
          <w:tcPr>
            <w:tcW w:w="763" w:type="dxa"/>
            <w:shd w:val="clear" w:color="auto" w:fill="auto"/>
          </w:tcPr>
          <w:p w14:paraId="77C48229" w14:textId="77777777" w:rsidR="007B3C83" w:rsidRPr="005721A3" w:rsidRDefault="007B3C83" w:rsidP="00B02DF3">
            <w:pPr>
              <w:spacing w:before="40" w:after="120"/>
              <w:ind w:left="17" w:right="113"/>
              <w:rPr>
                <w:rFonts w:eastAsia="Times"/>
              </w:rPr>
            </w:pPr>
            <w:r>
              <w:t>Нет</w:t>
            </w:r>
          </w:p>
        </w:tc>
        <w:tc>
          <w:tcPr>
            <w:tcW w:w="4535" w:type="dxa"/>
            <w:shd w:val="clear" w:color="auto" w:fill="auto"/>
          </w:tcPr>
          <w:p w14:paraId="48C24F83" w14:textId="77777777" w:rsidR="007B3C83" w:rsidRPr="00BC5410" w:rsidRDefault="007B3C83" w:rsidP="00B02DF3">
            <w:pPr>
              <w:spacing w:before="40" w:after="120"/>
              <w:ind w:left="17" w:right="113"/>
              <w:rPr>
                <w:rFonts w:eastAsia="Times"/>
              </w:rPr>
            </w:pPr>
            <w:r>
              <w:t>Согласовывается в каждом конкретном случае, в зависимости от плана/программы</w:t>
            </w:r>
          </w:p>
        </w:tc>
      </w:tr>
      <w:tr w:rsidR="007B3C83" w:rsidRPr="005721A3" w14:paraId="26ACD5FB" w14:textId="77777777" w:rsidTr="00B02DF3">
        <w:tc>
          <w:tcPr>
            <w:tcW w:w="2072" w:type="dxa"/>
            <w:shd w:val="clear" w:color="auto" w:fill="auto"/>
          </w:tcPr>
          <w:p w14:paraId="4E1A831D" w14:textId="77777777" w:rsidR="007B3C83" w:rsidRPr="005721A3" w:rsidRDefault="007B3C83" w:rsidP="00B02DF3">
            <w:pPr>
              <w:spacing w:before="40" w:after="120"/>
              <w:ind w:left="17" w:right="113"/>
              <w:rPr>
                <w:rFonts w:eastAsia="Times"/>
              </w:rPr>
            </w:pPr>
            <w:r>
              <w:t>Черногория</w:t>
            </w:r>
          </w:p>
        </w:tc>
        <w:tc>
          <w:tcPr>
            <w:tcW w:w="763" w:type="dxa"/>
            <w:shd w:val="clear" w:color="auto" w:fill="auto"/>
          </w:tcPr>
          <w:p w14:paraId="6A24DECD" w14:textId="77777777" w:rsidR="007B3C83" w:rsidRPr="005721A3" w:rsidRDefault="007B3C83" w:rsidP="00B02DF3">
            <w:pPr>
              <w:spacing w:before="40" w:after="120"/>
              <w:ind w:left="17" w:right="113"/>
              <w:rPr>
                <w:rFonts w:eastAsia="Times"/>
              </w:rPr>
            </w:pPr>
            <w:r>
              <w:t>Да</w:t>
            </w:r>
          </w:p>
        </w:tc>
        <w:tc>
          <w:tcPr>
            <w:tcW w:w="4535" w:type="dxa"/>
            <w:shd w:val="clear" w:color="auto" w:fill="auto"/>
          </w:tcPr>
          <w:p w14:paraId="23845490" w14:textId="77777777" w:rsidR="007B3C83" w:rsidRPr="005721A3" w:rsidRDefault="007B3C83" w:rsidP="00B02DF3">
            <w:pPr>
              <w:spacing w:before="40" w:after="120"/>
              <w:ind w:left="17" w:right="113"/>
              <w:rPr>
                <w:rFonts w:eastAsia="Times"/>
              </w:rPr>
            </w:pPr>
            <w:r>
              <w:t>30 дней, но может быть продлен по согласованию Сторон</w:t>
            </w:r>
          </w:p>
        </w:tc>
      </w:tr>
      <w:tr w:rsidR="007B3C83" w:rsidRPr="00BC5410" w14:paraId="0D175ECC" w14:textId="77777777" w:rsidTr="00B02DF3">
        <w:tc>
          <w:tcPr>
            <w:tcW w:w="2072" w:type="dxa"/>
            <w:shd w:val="clear" w:color="auto" w:fill="auto"/>
          </w:tcPr>
          <w:p w14:paraId="4F99C477" w14:textId="77777777" w:rsidR="007B3C83" w:rsidRPr="005721A3" w:rsidRDefault="007B3C83" w:rsidP="00B02DF3">
            <w:pPr>
              <w:spacing w:before="40" w:after="120"/>
              <w:ind w:left="17" w:right="113"/>
              <w:rPr>
                <w:rFonts w:eastAsia="Times"/>
              </w:rPr>
            </w:pPr>
            <w:r>
              <w:t>Норвегия</w:t>
            </w:r>
          </w:p>
        </w:tc>
        <w:tc>
          <w:tcPr>
            <w:tcW w:w="763" w:type="dxa"/>
            <w:shd w:val="clear" w:color="auto" w:fill="auto"/>
          </w:tcPr>
          <w:p w14:paraId="5912F19B" w14:textId="77777777" w:rsidR="007B3C83" w:rsidRPr="005721A3" w:rsidRDefault="007B3C83" w:rsidP="00B02DF3">
            <w:pPr>
              <w:spacing w:before="40" w:after="120"/>
              <w:ind w:left="17" w:right="113"/>
              <w:rPr>
                <w:rFonts w:eastAsia="Times"/>
              </w:rPr>
            </w:pPr>
            <w:r>
              <w:t>Нет</w:t>
            </w:r>
          </w:p>
        </w:tc>
        <w:tc>
          <w:tcPr>
            <w:tcW w:w="4535" w:type="dxa"/>
            <w:shd w:val="clear" w:color="auto" w:fill="auto"/>
          </w:tcPr>
          <w:p w14:paraId="46CBA21F" w14:textId="77777777" w:rsidR="007B3C83" w:rsidRPr="00BC5410" w:rsidRDefault="007B3C83" w:rsidP="00B02DF3">
            <w:pPr>
              <w:spacing w:before="40" w:after="120"/>
              <w:ind w:left="17" w:right="113"/>
              <w:rPr>
                <w:rFonts w:eastAsia="Times"/>
              </w:rPr>
            </w:pPr>
            <w:r>
              <w:t>В законодательстве косвенно говорится о том, что сроки должны быть равны установленным на национальном уровне срокам: т.</w:t>
            </w:r>
            <w:r>
              <w:rPr>
                <w:lang w:val="fr-CH"/>
              </w:rPr>
              <w:t> </w:t>
            </w:r>
            <w:r>
              <w:t xml:space="preserve">е. минимум </w:t>
            </w:r>
            <w:r>
              <w:br/>
              <w:t>6 недель</w:t>
            </w:r>
          </w:p>
        </w:tc>
      </w:tr>
      <w:tr w:rsidR="007B3C83" w:rsidRPr="005721A3" w14:paraId="4D3D72F8" w14:textId="77777777" w:rsidTr="00B02DF3">
        <w:tc>
          <w:tcPr>
            <w:tcW w:w="2072" w:type="dxa"/>
            <w:shd w:val="clear" w:color="auto" w:fill="auto"/>
          </w:tcPr>
          <w:p w14:paraId="549C824A" w14:textId="77777777" w:rsidR="007B3C83" w:rsidRPr="005721A3" w:rsidRDefault="007B3C83" w:rsidP="00B02DF3">
            <w:pPr>
              <w:spacing w:before="40" w:after="120"/>
              <w:ind w:left="17" w:right="113"/>
              <w:rPr>
                <w:rFonts w:eastAsia="Times"/>
              </w:rPr>
            </w:pPr>
            <w:r>
              <w:t>Польша</w:t>
            </w:r>
          </w:p>
        </w:tc>
        <w:tc>
          <w:tcPr>
            <w:tcW w:w="763" w:type="dxa"/>
            <w:shd w:val="clear" w:color="auto" w:fill="auto"/>
          </w:tcPr>
          <w:p w14:paraId="133F23FB" w14:textId="77777777" w:rsidR="007B3C83" w:rsidRPr="005721A3" w:rsidRDefault="007B3C83" w:rsidP="00B02DF3">
            <w:pPr>
              <w:spacing w:before="40" w:after="120"/>
              <w:ind w:left="17" w:right="113"/>
              <w:rPr>
                <w:rFonts w:eastAsia="Times"/>
              </w:rPr>
            </w:pPr>
            <w:r>
              <w:t>Нет</w:t>
            </w:r>
          </w:p>
        </w:tc>
        <w:tc>
          <w:tcPr>
            <w:tcW w:w="4535" w:type="dxa"/>
            <w:shd w:val="clear" w:color="auto" w:fill="auto"/>
          </w:tcPr>
          <w:p w14:paraId="78541884" w14:textId="77777777" w:rsidR="007B3C83" w:rsidRPr="005721A3" w:rsidRDefault="007B3C83" w:rsidP="00B02DF3">
            <w:pPr>
              <w:spacing w:before="40" w:after="120"/>
              <w:ind w:left="17" w:right="113"/>
              <w:rPr>
                <w:rFonts w:eastAsia="Times"/>
              </w:rPr>
            </w:pPr>
            <w:r>
              <w:t>Согласовывается с затрагиваемой Стороной</w:t>
            </w:r>
          </w:p>
        </w:tc>
      </w:tr>
      <w:tr w:rsidR="007B3C83" w:rsidRPr="005721A3" w14:paraId="3BD246B0" w14:textId="77777777" w:rsidTr="00B02DF3">
        <w:tc>
          <w:tcPr>
            <w:tcW w:w="2072" w:type="dxa"/>
            <w:shd w:val="clear" w:color="auto" w:fill="auto"/>
          </w:tcPr>
          <w:p w14:paraId="4970670A" w14:textId="77777777" w:rsidR="007B3C83" w:rsidRPr="005721A3" w:rsidRDefault="007B3C83" w:rsidP="00B02DF3">
            <w:pPr>
              <w:spacing w:before="40" w:after="120"/>
              <w:ind w:left="17" w:right="113"/>
              <w:rPr>
                <w:rFonts w:eastAsia="Times"/>
              </w:rPr>
            </w:pPr>
            <w:r>
              <w:t>Республика Молдова</w:t>
            </w:r>
          </w:p>
        </w:tc>
        <w:tc>
          <w:tcPr>
            <w:tcW w:w="763" w:type="dxa"/>
            <w:shd w:val="clear" w:color="auto" w:fill="auto"/>
          </w:tcPr>
          <w:p w14:paraId="782DC764" w14:textId="77777777" w:rsidR="007B3C83" w:rsidRPr="005721A3" w:rsidRDefault="007B3C83" w:rsidP="00B02DF3">
            <w:pPr>
              <w:spacing w:before="40" w:after="120"/>
              <w:ind w:left="17" w:right="113"/>
              <w:rPr>
                <w:rFonts w:eastAsia="Times"/>
              </w:rPr>
            </w:pPr>
            <w:r>
              <w:t>Да</w:t>
            </w:r>
          </w:p>
        </w:tc>
        <w:tc>
          <w:tcPr>
            <w:tcW w:w="4535" w:type="dxa"/>
            <w:shd w:val="clear" w:color="auto" w:fill="auto"/>
          </w:tcPr>
          <w:p w14:paraId="0F474297" w14:textId="77777777" w:rsidR="007B3C83" w:rsidRPr="005721A3" w:rsidRDefault="007B3C83" w:rsidP="00B02DF3">
            <w:pPr>
              <w:spacing w:before="40" w:after="120"/>
              <w:ind w:left="17" w:right="113"/>
              <w:rPr>
                <w:rFonts w:eastAsia="Times"/>
              </w:rPr>
            </w:pPr>
            <w:r>
              <w:t>45 дней</w:t>
            </w:r>
          </w:p>
        </w:tc>
      </w:tr>
      <w:tr w:rsidR="007B3C83" w:rsidRPr="00BC5410" w14:paraId="5D94A574" w14:textId="77777777" w:rsidTr="00B02DF3">
        <w:tc>
          <w:tcPr>
            <w:tcW w:w="2072" w:type="dxa"/>
            <w:shd w:val="clear" w:color="auto" w:fill="auto"/>
          </w:tcPr>
          <w:p w14:paraId="0CEEB1BF" w14:textId="77777777" w:rsidR="007B3C83" w:rsidRPr="005721A3" w:rsidRDefault="007B3C83" w:rsidP="00B02DF3">
            <w:pPr>
              <w:spacing w:before="40" w:after="120"/>
              <w:ind w:left="17" w:right="113"/>
              <w:rPr>
                <w:rFonts w:eastAsia="Times"/>
              </w:rPr>
            </w:pPr>
            <w:r>
              <w:t>Румыния</w:t>
            </w:r>
          </w:p>
        </w:tc>
        <w:tc>
          <w:tcPr>
            <w:tcW w:w="763" w:type="dxa"/>
            <w:shd w:val="clear" w:color="auto" w:fill="auto"/>
          </w:tcPr>
          <w:p w14:paraId="3C259DC4" w14:textId="77777777" w:rsidR="007B3C83" w:rsidRPr="005721A3" w:rsidRDefault="007B3C83" w:rsidP="00B02DF3">
            <w:pPr>
              <w:spacing w:before="40" w:after="120"/>
              <w:ind w:left="17" w:right="113"/>
              <w:rPr>
                <w:rFonts w:eastAsia="Times"/>
              </w:rPr>
            </w:pPr>
            <w:r>
              <w:t>Нет</w:t>
            </w:r>
          </w:p>
        </w:tc>
        <w:tc>
          <w:tcPr>
            <w:tcW w:w="4535" w:type="dxa"/>
            <w:shd w:val="clear" w:color="auto" w:fill="auto"/>
          </w:tcPr>
          <w:p w14:paraId="0A223695" w14:textId="77777777" w:rsidR="007B3C83" w:rsidRPr="00BC5410" w:rsidRDefault="007B3C83" w:rsidP="00B02DF3">
            <w:pPr>
              <w:spacing w:before="40" w:after="120"/>
              <w:ind w:left="17" w:right="113"/>
              <w:rPr>
                <w:rFonts w:eastAsia="Times"/>
              </w:rPr>
            </w:pPr>
            <w:r>
              <w:t xml:space="preserve">Срок в 4–5 недель обычно согласовывается с затрагиваемой Стороной </w:t>
            </w:r>
          </w:p>
        </w:tc>
      </w:tr>
      <w:tr w:rsidR="007B3C83" w:rsidRPr="005721A3" w14:paraId="50EF3081" w14:textId="77777777" w:rsidTr="00B02DF3">
        <w:tc>
          <w:tcPr>
            <w:tcW w:w="2072" w:type="dxa"/>
            <w:shd w:val="clear" w:color="auto" w:fill="auto"/>
          </w:tcPr>
          <w:p w14:paraId="2A9C3D3E" w14:textId="77777777" w:rsidR="007B3C83" w:rsidRPr="005721A3" w:rsidRDefault="007B3C83" w:rsidP="00B02DF3">
            <w:pPr>
              <w:spacing w:before="40" w:after="120"/>
              <w:ind w:left="17" w:right="113"/>
              <w:rPr>
                <w:rFonts w:eastAsia="Times"/>
              </w:rPr>
            </w:pPr>
            <w:r>
              <w:t>Словакия</w:t>
            </w:r>
          </w:p>
        </w:tc>
        <w:tc>
          <w:tcPr>
            <w:tcW w:w="763" w:type="dxa"/>
            <w:shd w:val="clear" w:color="auto" w:fill="auto"/>
          </w:tcPr>
          <w:p w14:paraId="46E62ECB" w14:textId="77777777" w:rsidR="007B3C83" w:rsidRPr="005721A3" w:rsidRDefault="007B3C83" w:rsidP="00B02DF3">
            <w:pPr>
              <w:spacing w:before="40" w:after="120"/>
              <w:ind w:left="17" w:right="113"/>
              <w:rPr>
                <w:rFonts w:eastAsia="Times"/>
              </w:rPr>
            </w:pPr>
            <w:r>
              <w:t>Нет</w:t>
            </w:r>
          </w:p>
        </w:tc>
        <w:tc>
          <w:tcPr>
            <w:tcW w:w="4535" w:type="dxa"/>
            <w:shd w:val="clear" w:color="auto" w:fill="auto"/>
          </w:tcPr>
          <w:p w14:paraId="079DEF3A" w14:textId="77777777" w:rsidR="007B3C83" w:rsidRPr="005721A3" w:rsidRDefault="007B3C83" w:rsidP="00B02DF3">
            <w:pPr>
              <w:spacing w:before="40" w:after="120"/>
              <w:ind w:left="17" w:right="113"/>
              <w:rPr>
                <w:rFonts w:eastAsia="Times"/>
              </w:rPr>
            </w:pPr>
          </w:p>
        </w:tc>
      </w:tr>
      <w:tr w:rsidR="007B3C83" w:rsidRPr="00BC5410" w14:paraId="5B6AFE50" w14:textId="77777777" w:rsidTr="00B02DF3">
        <w:tc>
          <w:tcPr>
            <w:tcW w:w="2072" w:type="dxa"/>
            <w:shd w:val="clear" w:color="auto" w:fill="auto"/>
          </w:tcPr>
          <w:p w14:paraId="032493B1" w14:textId="77777777" w:rsidR="007B3C83" w:rsidRPr="005721A3" w:rsidRDefault="007B3C83" w:rsidP="00B02DF3">
            <w:pPr>
              <w:spacing w:before="40" w:after="120"/>
              <w:ind w:left="17" w:right="113"/>
              <w:rPr>
                <w:rFonts w:eastAsia="Times"/>
              </w:rPr>
            </w:pPr>
            <w:r>
              <w:t>Испания</w:t>
            </w:r>
          </w:p>
        </w:tc>
        <w:tc>
          <w:tcPr>
            <w:tcW w:w="763" w:type="dxa"/>
            <w:shd w:val="clear" w:color="auto" w:fill="auto"/>
          </w:tcPr>
          <w:p w14:paraId="2D42A413" w14:textId="77777777" w:rsidR="007B3C83" w:rsidRPr="005721A3" w:rsidRDefault="007B3C83" w:rsidP="00B02DF3">
            <w:pPr>
              <w:spacing w:before="40" w:after="120"/>
              <w:ind w:left="17" w:right="113"/>
              <w:rPr>
                <w:rFonts w:eastAsia="Times"/>
              </w:rPr>
            </w:pPr>
            <w:r>
              <w:t>Да</w:t>
            </w:r>
          </w:p>
        </w:tc>
        <w:tc>
          <w:tcPr>
            <w:tcW w:w="4535" w:type="dxa"/>
            <w:shd w:val="clear" w:color="auto" w:fill="auto"/>
          </w:tcPr>
          <w:p w14:paraId="709D3E46" w14:textId="77777777" w:rsidR="007B3C83" w:rsidRPr="00BC5410" w:rsidRDefault="007B3C83" w:rsidP="00B02DF3">
            <w:pPr>
              <w:spacing w:before="40" w:after="120"/>
              <w:ind w:left="17" w:right="113"/>
              <w:rPr>
                <w:rFonts w:eastAsia="Times"/>
              </w:rPr>
            </w:pPr>
            <w:r>
              <w:t>Разумные сроки, не превышающие 3 месяца</w:t>
            </w:r>
          </w:p>
        </w:tc>
      </w:tr>
      <w:tr w:rsidR="007B3C83" w:rsidRPr="00BC5410" w14:paraId="6FCCB8C1" w14:textId="77777777" w:rsidTr="00B02DF3">
        <w:tc>
          <w:tcPr>
            <w:tcW w:w="2072" w:type="dxa"/>
            <w:tcBorders>
              <w:bottom w:val="single" w:sz="12" w:space="0" w:color="auto"/>
            </w:tcBorders>
            <w:shd w:val="clear" w:color="auto" w:fill="auto"/>
          </w:tcPr>
          <w:p w14:paraId="32AB18B5" w14:textId="77777777" w:rsidR="007B3C83" w:rsidRPr="005721A3" w:rsidRDefault="007B3C83" w:rsidP="00B02DF3">
            <w:pPr>
              <w:spacing w:before="40" w:after="120"/>
              <w:ind w:left="17" w:right="113"/>
              <w:rPr>
                <w:rFonts w:eastAsia="Times"/>
              </w:rPr>
            </w:pPr>
            <w:r>
              <w:t>Швеция</w:t>
            </w:r>
          </w:p>
        </w:tc>
        <w:tc>
          <w:tcPr>
            <w:tcW w:w="763" w:type="dxa"/>
            <w:tcBorders>
              <w:bottom w:val="single" w:sz="12" w:space="0" w:color="auto"/>
            </w:tcBorders>
            <w:shd w:val="clear" w:color="auto" w:fill="auto"/>
          </w:tcPr>
          <w:p w14:paraId="68DFA2D4" w14:textId="77777777" w:rsidR="007B3C83" w:rsidRPr="005721A3" w:rsidRDefault="007B3C83" w:rsidP="00B02DF3">
            <w:pPr>
              <w:spacing w:before="40" w:after="120"/>
              <w:ind w:left="17" w:right="113"/>
              <w:rPr>
                <w:rFonts w:eastAsia="Times"/>
              </w:rPr>
            </w:pPr>
            <w:r>
              <w:t>Да</w:t>
            </w:r>
          </w:p>
        </w:tc>
        <w:tc>
          <w:tcPr>
            <w:tcW w:w="4535" w:type="dxa"/>
            <w:tcBorders>
              <w:bottom w:val="single" w:sz="12" w:space="0" w:color="auto"/>
            </w:tcBorders>
            <w:shd w:val="clear" w:color="auto" w:fill="auto"/>
          </w:tcPr>
          <w:p w14:paraId="66769F5E" w14:textId="77777777" w:rsidR="007B3C83" w:rsidRPr="00BC5410" w:rsidRDefault="007B3C83" w:rsidP="00B02DF3">
            <w:pPr>
              <w:spacing w:before="40" w:after="120"/>
              <w:ind w:left="17" w:right="113"/>
              <w:rPr>
                <w:rFonts w:eastAsia="Times"/>
              </w:rPr>
            </w:pPr>
            <w:r>
              <w:t>Сроки должны быть разумными и составлять не менее 30 дней</w:t>
            </w:r>
          </w:p>
        </w:tc>
      </w:tr>
    </w:tbl>
    <w:bookmarkEnd w:id="13"/>
    <w:p w14:paraId="1BD8BBA0" w14:textId="1FDB561B" w:rsidR="007B3C83" w:rsidRPr="00BC5410" w:rsidRDefault="007B3C83" w:rsidP="007B3C83">
      <w:pPr>
        <w:pStyle w:val="SingleTxtG"/>
        <w:spacing w:before="120"/>
        <w:rPr>
          <w:rFonts w:eastAsia="Times"/>
        </w:rPr>
      </w:pPr>
      <w:r>
        <w:t>47.</w:t>
      </w:r>
      <w:r>
        <w:tab/>
        <w:t>Вопрос I.10.4 призван выяснить, каким образом с затрагиваемой Стороной согласовываются конкретные меры, включая сроки проведения консультаций (пункты 3 и 4 статьи 10). Половина респондентов указали, что эти условия соответствуют положениям внутреннего законодательства Стороны происхождения (вариант а), см. рис. X). Пять респондентов сообщили, что эти условия соответствуют положениям внутреннего законодательства затрагиваемой Стороны (вариант b)),</w:t>
      </w:r>
      <w:r>
        <w:br/>
        <w:t>а трое пояснили, что используются варианты a) и b) (Армения) или a), b) и c) (</w:t>
      </w:r>
      <w:r w:rsidR="00EF5F26">
        <w:t xml:space="preserve">Черногория и </w:t>
      </w:r>
      <w:r>
        <w:t>Эстония). Десять респондентов согласовывают условия в каждом конкретном случае. Некоторые Стороны также сообщили о двусторонних соглашениях, заключенных с другими Сторонами (Испания, Латвия, Польша и Словакия).</w:t>
      </w:r>
    </w:p>
    <w:p w14:paraId="64A2B82C" w14:textId="77777777" w:rsidR="007B3C83" w:rsidRPr="00651B11" w:rsidRDefault="007B3C83" w:rsidP="007B3C83">
      <w:pPr>
        <w:pStyle w:val="H23G"/>
        <w:rPr>
          <w:rFonts w:ascii="Times" w:eastAsia="Times" w:hAnsi="Times" w:cs="Times"/>
        </w:rPr>
      </w:pPr>
      <w:r>
        <w:lastRenderedPageBreak/>
        <w:tab/>
      </w:r>
      <w:r w:rsidRPr="000D73B1">
        <w:rPr>
          <w:b w:val="0"/>
          <w:bCs/>
        </w:rPr>
        <w:tab/>
        <w:t>Рис. X</w:t>
      </w:r>
      <w:r>
        <w:br/>
      </w:r>
      <w:r w:rsidRPr="00651B11">
        <w:t xml:space="preserve">Ответы на вопрос I.10.4: </w:t>
      </w:r>
      <w:r>
        <w:t>«Как Стороны договариваются о конкретных мерах</w:t>
      </w:r>
      <w:r w:rsidRPr="00651B11">
        <w:t>?»</w:t>
      </w:r>
      <w:r>
        <w:br/>
      </w:r>
      <w:r w:rsidRPr="00651B11">
        <w:t>(кол-во =</w:t>
      </w:r>
      <w:r>
        <w:t xml:space="preserve"> </w:t>
      </w:r>
      <w:r w:rsidRPr="00651B11">
        <w:t>24)</w:t>
      </w:r>
    </w:p>
    <w:p w14:paraId="51806206" w14:textId="77777777" w:rsidR="007B3C83" w:rsidRDefault="007B3C83" w:rsidP="007B3C83">
      <w:pPr>
        <w:ind w:left="1134"/>
      </w:pPr>
      <w:r w:rsidRPr="00CB450D">
        <w:rPr>
          <w:rFonts w:ascii="Times" w:hAnsi="Times"/>
          <w:noProof/>
          <w:lang w:val="en-US" w:eastAsia="ru-RU"/>
        </w:rPr>
        <w:drawing>
          <wp:inline distT="0" distB="0" distL="0" distR="0" wp14:anchorId="66B9C789" wp14:editId="62571638">
            <wp:extent cx="4616450" cy="2604211"/>
            <wp:effectExtent l="0" t="0" r="12700" b="5715"/>
            <wp:docPr id="28"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3D6B8D" w14:textId="77777777" w:rsidR="007B3C83" w:rsidRPr="00BC5410" w:rsidRDefault="007B3C83" w:rsidP="007B3C83">
      <w:pPr>
        <w:pStyle w:val="HChG"/>
      </w:pPr>
      <w:r>
        <w:rPr>
          <w:bCs/>
        </w:rPr>
        <w:tab/>
        <w:t>I.</w:t>
      </w:r>
      <w:r>
        <w:tab/>
        <w:t>Решение</w:t>
      </w:r>
    </w:p>
    <w:p w14:paraId="6053E539" w14:textId="77777777" w:rsidR="007B3C83" w:rsidRPr="00BC5410" w:rsidRDefault="007B3C83" w:rsidP="004D21D2">
      <w:pPr>
        <w:pStyle w:val="SingleTxtG"/>
        <w:spacing w:line="234" w:lineRule="atLeast"/>
        <w:rPr>
          <w:rFonts w:eastAsia="Times"/>
        </w:rPr>
      </w:pPr>
      <w:r>
        <w:t>48.</w:t>
      </w:r>
      <w:r>
        <w:tab/>
        <w:t>Вопрос I.11.1 касается осуществления пункта 1 статьи 11 Протокола. Практически все респонденты сообщили о том, что при утверждении плана/программы их законодательство требует обеспечить должный учет выводов, содержащихся в экологическом докладе, мер по смягчению последствий и замечаний, полученных в соответствии со статьями 8–10. Несколько респондентов также указали, что данная информация должна быть представлена в виде письменного резюме/заявления (Австрия, Дания, Люксембург, Польша и Чехия), включая информацию о том, каким образом были учтены экологический доклад, меры по смягчению последствий и некоторые другие сведения (например, как экологические соображения отражены в плане/программе, меры по мониторингу и причины принятия плана/программы в свете альтернативных вариантов). Некоторые респонденты указали, что такая информация должна быть включена в решение об утверждении плана/программы (Финляндия), в обоснование решения (Норвегия) или приложена к решению (Грузия).</w:t>
      </w:r>
    </w:p>
    <w:p w14:paraId="0D8DB638" w14:textId="77777777" w:rsidR="007B3C83" w:rsidRPr="00BC5410" w:rsidRDefault="007B3C83" w:rsidP="004D21D2">
      <w:pPr>
        <w:pStyle w:val="SingleTxtG"/>
        <w:spacing w:line="234" w:lineRule="atLeast"/>
        <w:rPr>
          <w:rFonts w:eastAsia="Times"/>
        </w:rPr>
      </w:pPr>
      <w:r>
        <w:t>49.</w:t>
      </w:r>
      <w:r>
        <w:tab/>
        <w:t>В Румынии выводы, содержащиеся в экологическом докладе, меры по смягчению последствий и замечания общественности, сочтенные «обоснованными», в том числе полученные в ходе трансграничных консультаций, включаются в выдаваемое компетентным природоохранным органом экологическое разрешение. Орган, ответственный за планирование, должен принимать план/программу только в форме, соответствующей экологическому разрешению.</w:t>
      </w:r>
    </w:p>
    <w:p w14:paraId="10943526" w14:textId="77777777" w:rsidR="007B3C83" w:rsidRPr="00BC5410" w:rsidRDefault="007B3C83" w:rsidP="004D21D2">
      <w:pPr>
        <w:spacing w:after="120" w:line="234" w:lineRule="atLeast"/>
        <w:ind w:left="1134" w:right="1134"/>
        <w:jc w:val="both"/>
        <w:rPr>
          <w:rFonts w:ascii="Times" w:hAnsi="Times"/>
          <w:noProof/>
        </w:rPr>
      </w:pPr>
      <w:r>
        <w:t>50.</w:t>
      </w:r>
      <w:r>
        <w:tab/>
        <w:t xml:space="preserve">Респонденты информируют общественность и компетентные органы (пункт 2 статьи 11) (вопрос </w:t>
      </w:r>
      <w:r>
        <w:rPr>
          <w:lang w:val="en-US"/>
        </w:rPr>
        <w:t>I</w:t>
      </w:r>
      <w:r w:rsidRPr="00B27817">
        <w:t>.11.2</w:t>
      </w:r>
      <w:r>
        <w:t xml:space="preserve">) различными способами, включая использование публичных уведомлений; соответствующих газет или журналов (например, в Испании, Латвии, Люксембурге, Мальте, Норвегии, Польше, Республике Молдова и Финляндии); и уведомлений и информации, направляемых соответствующим органам (Венгрия, Грузия, Дания, Словакия, Финляндия и Эстония) и общественности (Эстония). Большинство респондентов также используют электронные средства массовой информации, включая веб-сайты органов, ответственных за планирование, и/или природоохранных органов. Большая часть респондентов (см. рис. XI) указали, что информация, предоставляемая общественности и компетентным органам, включает: план или программу; заявление с кратким изложением того, каким образом экологические, в том числе связанные со здоровьем населения, соображения были учтены в плане или программе; объяснение того, насколько были приняты во внимание замечания; и причины принятия плана или программы в свете рассмотренных разумных альтернатив (вопрос I.11.3). </w:t>
      </w:r>
    </w:p>
    <w:p w14:paraId="20C7AC21" w14:textId="77777777" w:rsidR="007B3C83" w:rsidRPr="00170588" w:rsidRDefault="007B3C83" w:rsidP="007B3C83">
      <w:pPr>
        <w:pStyle w:val="H23G"/>
        <w:rPr>
          <w:rFonts w:ascii="Times" w:eastAsia="Times" w:hAnsi="Times" w:cs="Times"/>
        </w:rPr>
      </w:pPr>
      <w:r>
        <w:lastRenderedPageBreak/>
        <w:tab/>
      </w:r>
      <w:r>
        <w:tab/>
      </w:r>
      <w:r w:rsidRPr="00695983">
        <w:rPr>
          <w:b w:val="0"/>
          <w:bCs/>
        </w:rPr>
        <w:t>Рис. XI</w:t>
      </w:r>
      <w:r w:rsidRPr="000D73B1">
        <w:rPr>
          <w:b w:val="0"/>
          <w:bCs/>
        </w:rPr>
        <w:t xml:space="preserve"> </w:t>
      </w:r>
      <w:r>
        <w:br/>
      </w:r>
      <w:r w:rsidRPr="00170588">
        <w:t>Ответы на вопрос I.11.3: «Что включает в себя информация, предоставляемая общественности и компетентным органам?» (кол-во =</w:t>
      </w:r>
      <w:r>
        <w:t xml:space="preserve"> </w:t>
      </w:r>
      <w:r w:rsidRPr="00170588">
        <w:t>24)</w:t>
      </w:r>
    </w:p>
    <w:p w14:paraId="27231FBE" w14:textId="77777777" w:rsidR="007B3C83" w:rsidRDefault="007B3C83" w:rsidP="007B3C83">
      <w:pPr>
        <w:ind w:left="1134"/>
      </w:pPr>
      <w:r w:rsidRPr="00CB450D">
        <w:rPr>
          <w:rFonts w:ascii="Times" w:hAnsi="Times"/>
          <w:noProof/>
          <w:lang w:val="en-US" w:eastAsia="ru-RU"/>
        </w:rPr>
        <w:drawing>
          <wp:inline distT="0" distB="0" distL="0" distR="0" wp14:anchorId="34D43E70" wp14:editId="4A87A0E8">
            <wp:extent cx="4616450" cy="3686861"/>
            <wp:effectExtent l="0" t="0" r="12700" b="8890"/>
            <wp:docPr id="6"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8586E1" w14:textId="77777777" w:rsidR="007B3C83" w:rsidRPr="00BC5410" w:rsidRDefault="007B3C83" w:rsidP="007B3C83">
      <w:pPr>
        <w:pStyle w:val="SingleTxtG"/>
        <w:spacing w:before="120"/>
        <w:rPr>
          <w:rFonts w:eastAsia="Times"/>
        </w:rPr>
      </w:pPr>
      <w:r>
        <w:t>51.</w:t>
      </w:r>
      <w:r>
        <w:tab/>
        <w:t xml:space="preserve">Многие респонденты заявили, что в их законодательстве содержатся требования о непосредственном информировании природоохранных органов и/или органов, с которыми проводились консультации в процессе. Например, в Чехии орган, ответственный за планирование, уведомляет все заинтересованные стороны в течение семи дней после публикации утвержденного плана/программы и краткого отчета. </w:t>
      </w:r>
      <w:r>
        <w:br/>
        <w:t>В Эстонии орган, ответственный за планирование, сообщает о своем решении заинтересованным органам и лицам в течение четырнадцати дней после принятия решения.</w:t>
      </w:r>
    </w:p>
    <w:p w14:paraId="62942AD2" w14:textId="77777777" w:rsidR="007B3C83" w:rsidRPr="00BC5410" w:rsidRDefault="007B3C83" w:rsidP="007B3C83">
      <w:pPr>
        <w:pStyle w:val="SingleTxtG"/>
        <w:rPr>
          <w:rFonts w:eastAsia="Times"/>
        </w:rPr>
      </w:pPr>
      <w:r>
        <w:t>52.</w:t>
      </w:r>
      <w:r>
        <w:tab/>
        <w:t>Большинство респондентов (см. рис. XII) информируют Стороны, с которыми проводились консультации (пункт 2 статьи 11), о принятии плана/программы через контактный пункт</w:t>
      </w:r>
      <w:r w:rsidRPr="0017520B">
        <w:rPr>
          <w:rFonts w:eastAsia="Times"/>
          <w:sz w:val="18"/>
          <w:vertAlign w:val="superscript"/>
        </w:rPr>
        <w:footnoteReference w:id="5"/>
      </w:r>
      <w:r>
        <w:t xml:space="preserve"> (вопрос I.11.4). Некоторые респонденты также указали, что если затрагиваемая Сторона назначила контактное лицо для проведения трансграничной стратегической экологической оценки, то оно будет получать соответствующую информацию; в противном случае информация поступает через контактный пункт Конвенции об оценке воздействия на окружающую среду в трансграничном контексте (Конвенция </w:t>
      </w:r>
      <w:proofErr w:type="spellStart"/>
      <w:r>
        <w:t>Эспо</w:t>
      </w:r>
      <w:proofErr w:type="spellEnd"/>
      <w:r>
        <w:t>).</w:t>
      </w:r>
    </w:p>
    <w:p w14:paraId="693BA642" w14:textId="77777777" w:rsidR="007B3C83" w:rsidRPr="00275F86" w:rsidRDefault="007B3C83" w:rsidP="007B3C83">
      <w:pPr>
        <w:pStyle w:val="H23G"/>
        <w:rPr>
          <w:rFonts w:eastAsia="Times"/>
        </w:rPr>
      </w:pPr>
      <w:r>
        <w:lastRenderedPageBreak/>
        <w:tab/>
      </w:r>
      <w:r>
        <w:tab/>
      </w:r>
      <w:r w:rsidRPr="000D73B1">
        <w:rPr>
          <w:b w:val="0"/>
          <w:bCs/>
        </w:rPr>
        <w:t>Рис. XII</w:t>
      </w:r>
      <w:r>
        <w:br/>
        <w:t>Ответы на вопрос I.11.4: «</w:t>
      </w:r>
      <w:r w:rsidRPr="00275F86">
        <w:t>Как вы информируете Стороны, с которыми проводились консультации (пункт 2 статьи 11)?</w:t>
      </w:r>
      <w:r>
        <w:t xml:space="preserve">» </w:t>
      </w:r>
      <w:r w:rsidRPr="00275F86">
        <w:t>(кол-во =</w:t>
      </w:r>
      <w:r>
        <w:t xml:space="preserve"> </w:t>
      </w:r>
      <w:r w:rsidRPr="00275F86">
        <w:t>24)</w:t>
      </w:r>
    </w:p>
    <w:p w14:paraId="3066285D" w14:textId="77777777" w:rsidR="007B3C83" w:rsidRDefault="007B3C83" w:rsidP="007B3C83">
      <w:pPr>
        <w:ind w:left="1134"/>
      </w:pPr>
      <w:r w:rsidRPr="00112BFD">
        <w:rPr>
          <w:noProof/>
          <w:lang w:val="en-US" w:eastAsia="ru-RU"/>
        </w:rPr>
        <w:drawing>
          <wp:inline distT="0" distB="0" distL="0" distR="0" wp14:anchorId="481111F9" wp14:editId="7C1DA3F7">
            <wp:extent cx="4632325" cy="4784141"/>
            <wp:effectExtent l="0" t="0" r="15875" b="16510"/>
            <wp:docPr id="29"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275153" w14:textId="25816A25" w:rsidR="007B3C83" w:rsidRPr="000D73B1" w:rsidRDefault="007B3C83" w:rsidP="007851AD">
      <w:pPr>
        <w:pStyle w:val="SingleTxtG"/>
        <w:tabs>
          <w:tab w:val="left" w:pos="1276"/>
        </w:tabs>
        <w:spacing w:before="120" w:line="220" w:lineRule="exact"/>
        <w:ind w:firstLine="170"/>
        <w:jc w:val="left"/>
        <w:rPr>
          <w:rFonts w:eastAsia="Times"/>
          <w:sz w:val="18"/>
          <w:szCs w:val="18"/>
        </w:rPr>
      </w:pPr>
      <w:r w:rsidRPr="000D73B1">
        <w:rPr>
          <w:i/>
          <w:iCs/>
          <w:sz w:val="18"/>
          <w:szCs w:val="18"/>
        </w:rPr>
        <w:t>Сокращения:</w:t>
      </w:r>
      <w:r w:rsidRPr="000D73B1">
        <w:rPr>
          <w:sz w:val="18"/>
          <w:szCs w:val="18"/>
        </w:rPr>
        <w:t xml:space="preserve"> СЭО — стратегическая экологическая оценка.</w:t>
      </w:r>
    </w:p>
    <w:p w14:paraId="3167B951" w14:textId="77777777" w:rsidR="007B3C83" w:rsidRPr="00BC5410" w:rsidRDefault="007B3C83" w:rsidP="007B3C83">
      <w:pPr>
        <w:pStyle w:val="SingleTxtG"/>
        <w:spacing w:before="120"/>
        <w:rPr>
          <w:rFonts w:eastAsia="Times"/>
        </w:rPr>
      </w:pPr>
      <w:r>
        <w:t>53.</w:t>
      </w:r>
      <w:r>
        <w:tab/>
        <w:t>Одиннадцать респондентов информируют общественность и компетентные органы затрагиваемой Стороны через контактное лицо в ведомстве затрагиваемой Стороны, ответственном за соответствующую стратегическую экологическую оценку, которое затем следует национальным процедурам и информирует соответствующие органы и общественность; Босния и Герцеговина и Мальта выбрали только этот вариант, а девять других респондентов заявили, что информируют</w:t>
      </w:r>
      <w:r w:rsidRPr="000D73B1">
        <w:t xml:space="preserve"> </w:t>
      </w:r>
      <w:r>
        <w:t>также контактный пункт. Некоторые респонденты направляют информацию по дипломатическим каналам. Чехия и Польша указали, что порядок информирования Стороны, с которой проводятся консультации, может быть определен в соответствующих двусторонних соглашениях.</w:t>
      </w:r>
    </w:p>
    <w:p w14:paraId="733D1BEF" w14:textId="77777777" w:rsidR="007B3C83" w:rsidRPr="00BC5410" w:rsidRDefault="007B3C83" w:rsidP="007B3C83">
      <w:pPr>
        <w:pStyle w:val="H1G"/>
      </w:pPr>
      <w:r>
        <w:rPr>
          <w:bCs/>
        </w:rPr>
        <w:tab/>
        <w:t>J.</w:t>
      </w:r>
      <w:r>
        <w:tab/>
      </w:r>
      <w:r>
        <w:rPr>
          <w:bCs/>
        </w:rPr>
        <w:t>Мониторинг</w:t>
      </w:r>
      <w:bookmarkStart w:id="15" w:name="_Hlk111407502"/>
      <w:bookmarkEnd w:id="15"/>
    </w:p>
    <w:p w14:paraId="0A6592EB" w14:textId="77777777" w:rsidR="007B3C83" w:rsidRPr="00BC5410" w:rsidRDefault="007B3C83" w:rsidP="007B3C83">
      <w:pPr>
        <w:pStyle w:val="SingleTxtG"/>
        <w:rPr>
          <w:rFonts w:eastAsia="Times"/>
        </w:rPr>
      </w:pPr>
      <w:r>
        <w:t>54.</w:t>
      </w:r>
      <w:r>
        <w:tab/>
        <w:t xml:space="preserve">Вопрос I.12 предлагает Сторонам описать правовые требования, касающиеся мониторинга значительных экологических, в том числе для здоровья населения, последствий, как это предусмотрено в статье 12 Протокола. Многие респонденты предоставили информацию об органах, ответственных за мониторинг последствий реализации планов и программ. Некоторые также указали другие правовые требования, например связанные с информацией об охвате мониторинга, его продолжительности, мерах и показателях, или требование направлять данные мониторинга в природоохранные органы и/или предавать их гласности. Половина </w:t>
      </w:r>
      <w:r>
        <w:lastRenderedPageBreak/>
        <w:t>респондентов (12 из 24) разрабатывают программу/меры мониторинга в рамках доклада о стратегической экологической оценке, которые являются предметом консультаций с природоохранными органами и органами здравоохранения, а после принятия программы/плана выполняются соответствующими органами.</w:t>
      </w:r>
    </w:p>
    <w:p w14:paraId="75C1F4D8" w14:textId="77777777" w:rsidR="007B3C83" w:rsidRPr="00BC5410" w:rsidRDefault="007B3C83" w:rsidP="007B3C83">
      <w:pPr>
        <w:pStyle w:val="H1G"/>
      </w:pPr>
      <w:r>
        <w:rPr>
          <w:bCs/>
        </w:rPr>
        <w:tab/>
        <w:t>K.</w:t>
      </w:r>
      <w:r>
        <w:tab/>
      </w:r>
      <w:r>
        <w:rPr>
          <w:bCs/>
        </w:rPr>
        <w:t>Политика и законодательство</w:t>
      </w:r>
    </w:p>
    <w:p w14:paraId="2CDAFA81" w14:textId="77777777" w:rsidR="007B3C83" w:rsidRPr="00BC5410" w:rsidRDefault="007B3C83" w:rsidP="007B3C83">
      <w:pPr>
        <w:pStyle w:val="SingleTxtG"/>
        <w:rPr>
          <w:rFonts w:eastAsia="Times"/>
        </w:rPr>
      </w:pPr>
      <w:r>
        <w:t>55.</w:t>
      </w:r>
      <w:r>
        <w:tab/>
        <w:t>Двенадцать (из 23) Сторон имеют законодательство по применению принципов и элементов Протокола в отношении политики и законодательства (пункт 1 статьи 13) (вопрос I.13). Польша разъяснила, что в ее законодательстве имеются специальные положения, регулирующие вопросы стратегической экологической оценки политики. Мальта указала, что положения ее законодательства о стратегической экологической оценке применяются только к политике. Дания отметила, что</w:t>
      </w:r>
      <w:r w:rsidRPr="002E07E7">
        <w:t>,</w:t>
      </w:r>
      <w:r>
        <w:t xml:space="preserve"> согласно практике Суда Европейского союза, Директива о стратегической экологической оценке применима к предложениям в отношении политики и законодательства; поэтому соответствующие положения были перенесены в национальное законодательство страны.</w:t>
      </w:r>
    </w:p>
    <w:p w14:paraId="67C90067" w14:textId="77777777" w:rsidR="007B3C83" w:rsidRPr="00BC5410" w:rsidRDefault="007B3C83" w:rsidP="007B3C83">
      <w:pPr>
        <w:pStyle w:val="HChG"/>
      </w:pPr>
      <w:bookmarkStart w:id="16" w:name="_Toc14170020"/>
      <w:r>
        <w:rPr>
          <w:bCs/>
        </w:rPr>
        <w:tab/>
        <w:t>III.</w:t>
      </w:r>
      <w:r>
        <w:tab/>
      </w:r>
      <w:r>
        <w:rPr>
          <w:bCs/>
        </w:rPr>
        <w:t>Практическое применение</w:t>
      </w:r>
      <w:bookmarkEnd w:id="16"/>
    </w:p>
    <w:p w14:paraId="25214B95" w14:textId="77777777" w:rsidR="007B3C83" w:rsidRPr="00BC5410" w:rsidRDefault="007B3C83" w:rsidP="007B3C83">
      <w:pPr>
        <w:pStyle w:val="SingleTxtG"/>
        <w:rPr>
          <w:rFonts w:eastAsia="Times"/>
        </w:rPr>
      </w:pPr>
      <w:r>
        <w:t>56.</w:t>
      </w:r>
      <w:r>
        <w:tab/>
        <w:t>В настоящем разделе доклада рассматриваются основные выводы, касающиеся второй части вопросника, в которой главное внимание уделяется практическому опыту применения Протокола Сторонами.</w:t>
      </w:r>
    </w:p>
    <w:p w14:paraId="095D56A5" w14:textId="2921F747" w:rsidR="007B3C83" w:rsidRPr="00BC5410" w:rsidRDefault="007B3C83" w:rsidP="007B3C83">
      <w:pPr>
        <w:pStyle w:val="SingleTxtG"/>
        <w:rPr>
          <w:rFonts w:eastAsia="Times"/>
        </w:rPr>
      </w:pPr>
      <w:r>
        <w:t>57.</w:t>
      </w:r>
      <w:r>
        <w:tab/>
        <w:t xml:space="preserve">Большинство Сторон (18 из 22) предоставили данные о количестве внутренних и трансграничных процедур стратегической экологической оценки, инициированных в отчетный период, т. е. в 2019–2021 годах. О 136 трансграничных процедурах сообщили 18 Сторон; однако это число является приблизительным, поскольку некоторые респонденты предоставили оценочные данные, а многие Стороны не делали различий между трансграничными процедурами, в которых они участвовали как Сторона происхождения, и теми, в которых они выступали затрагиваемой Стороной. Данные о количестве внутренних процедур (вопрос II.3) и трансграничных процедур (вопрос II.4) обобщены в таблицах 2 и 3 соответственно. </w:t>
      </w:r>
    </w:p>
    <w:p w14:paraId="5CD19E4E" w14:textId="33073AF8" w:rsidR="007B3C83" w:rsidRPr="00BC5410" w:rsidRDefault="007B3C83" w:rsidP="007B3C83">
      <w:pPr>
        <w:pStyle w:val="SingleTxtG"/>
        <w:rPr>
          <w:rFonts w:eastAsia="Times"/>
        </w:rPr>
      </w:pPr>
      <w:r>
        <w:t>58.</w:t>
      </w:r>
      <w:r>
        <w:tab/>
        <w:t>Как можно заключить из представленных ответов, внутренние процедуры стратегической экологической оценки были наиболее распространены в следующих секторах: сельское хозяйство, энергетика, транспорт, управление водными ресурсами и городское и сельское планирование. Значительная часть внутренних процедур, о которых было заявлено, относится к сфере городского и сельского планирования</w:t>
      </w:r>
      <w:r w:rsidR="00A46B32">
        <w:t> </w:t>
      </w:r>
      <w:r>
        <w:t>(например, Финляндия (3500), Республика Молдова (88), Швеция</w:t>
      </w:r>
      <w:r w:rsidR="00A46B32">
        <w:t> </w:t>
      </w:r>
      <w:r>
        <w:t xml:space="preserve">(183)). Трансграничные процедуры стратегической экологической оценки чаще всего применялись в следующих секторах: энергетика, управление отходами и водными ресурсами и городское и сельское планирование. Большинство заявленных трансграничных процедур касались сектора управления водными ресурсами (32). </w:t>
      </w:r>
    </w:p>
    <w:p w14:paraId="70B2F02C" w14:textId="1232E731" w:rsidR="007B3C83" w:rsidRPr="00BC5410" w:rsidRDefault="007B3C83" w:rsidP="007B3C83">
      <w:pPr>
        <w:pStyle w:val="SingleTxtG"/>
        <w:rPr>
          <w:rFonts w:eastAsia="Times"/>
        </w:rPr>
      </w:pPr>
      <w:r>
        <w:t>59.</w:t>
      </w:r>
      <w:r>
        <w:tab/>
        <w:t>Пятнадцать (из 22) Сторон предоставили информацию о продолжительности своих внутренних процедур стратегической экологической оценки; данные показывают, что продолжительность варьируется от 1 месяца (Босния и Герцеговина) до 33 месяцев (Эстония)</w:t>
      </w:r>
      <w:r w:rsidR="00A46B32">
        <w:t xml:space="preserve"> </w:t>
      </w:r>
      <w:r>
        <w:t xml:space="preserve">в разных секторах. Некоторые респонденты указали максимальную/среднюю продолжительность обычной внутренней процедуры стратегической экологической оценки (Эстония, Люксембург и Испания); другие — информацию о продолжительности внутренних процедур в соответствующих секторах (см. таблицу 4 ниже). Босния и Герцеговина и Литва сообщили о сроках в шесть месяцев для трансграничных процедур в секторах управления отходами и городского и сельского планирования. Чехия указала, что продолжительность процедур, применимых к программам трансграничного сотрудничества ИНТЕРРЕГ, составляет 18 месяцев. </w:t>
      </w:r>
    </w:p>
    <w:p w14:paraId="1BB4C006" w14:textId="77777777" w:rsidR="007B3C83" w:rsidRPr="00BC5410" w:rsidRDefault="007B3C83" w:rsidP="007B3C83">
      <w:pPr>
        <w:pStyle w:val="SingleTxtG"/>
      </w:pPr>
      <w:r>
        <w:t>60.</w:t>
      </w:r>
      <w:r>
        <w:tab/>
        <w:t xml:space="preserve">Большинство Сторон заявили, что данные о затратах на процедуры стратегической экологической оценки отсутствуют. Черногория указала, что затраты </w:t>
      </w:r>
      <w:r>
        <w:lastRenderedPageBreak/>
        <w:t>на подготовку экологического доклада составляют 5–15 % от общих затрат на подготовку плана/программы, а Швеция привела примеры фактических затрат.</w:t>
      </w:r>
    </w:p>
    <w:p w14:paraId="5B2D7C4D" w14:textId="0037595C" w:rsidR="00E12C5F" w:rsidRDefault="007B3C83" w:rsidP="00A46B32">
      <w:pPr>
        <w:pStyle w:val="SingleTxtG"/>
      </w:pPr>
      <w:r>
        <w:t>61.</w:t>
      </w:r>
      <w:r>
        <w:tab/>
        <w:t>Десять Сторон (из 21) имеют реестр внутренних и трансграничных процедур стратегической экологической оценки (случаев), который доступен для других Сторон (вопрос II.4). Электронные ссылки на эти реестры включены в таблицу 5.</w:t>
      </w:r>
    </w:p>
    <w:p w14:paraId="60BFC130" w14:textId="77777777" w:rsidR="009F669A" w:rsidRDefault="009F669A" w:rsidP="007B3C83">
      <w:pPr>
        <w:sectPr w:rsidR="009F669A" w:rsidSect="00217D57">
          <w:headerReference w:type="even" r:id="rId20"/>
          <w:headerReference w:type="default" r:id="rId21"/>
          <w:footerReference w:type="even" r:id="rId22"/>
          <w:footerReference w:type="default" r:id="rId23"/>
          <w:footerReference w:type="first" r:id="rId24"/>
          <w:endnotePr>
            <w:numFmt w:val="decimal"/>
          </w:endnotePr>
          <w:pgSz w:w="11906" w:h="16838" w:code="9"/>
          <w:pgMar w:top="1418" w:right="1134" w:bottom="1134" w:left="1134" w:header="851" w:footer="567" w:gutter="0"/>
          <w:cols w:space="708"/>
          <w:titlePg/>
          <w:docGrid w:linePitch="360"/>
        </w:sectPr>
      </w:pPr>
    </w:p>
    <w:p w14:paraId="013C78FF" w14:textId="77777777" w:rsidR="00B950FD" w:rsidRPr="00BC5410" w:rsidRDefault="00B950FD" w:rsidP="00B950FD">
      <w:pPr>
        <w:pStyle w:val="H23G"/>
        <w:ind w:left="0" w:firstLine="0"/>
        <w:rPr>
          <w:bCs/>
        </w:rPr>
      </w:pPr>
      <w:r w:rsidRPr="00FD0920">
        <w:rPr>
          <w:b w:val="0"/>
          <w:bCs/>
        </w:rPr>
        <w:lastRenderedPageBreak/>
        <w:t>Таблица 2</w:t>
      </w:r>
      <w:r>
        <w:br/>
      </w:r>
      <w:r w:rsidRPr="00200714">
        <w:t>Внутренние процедуры стратегической экологической оценки, инициированные в период 2019–2021 годов</w:t>
      </w:r>
    </w:p>
    <w:tbl>
      <w:tblPr>
        <w:tblW w:w="14147" w:type="dxa"/>
        <w:tblInd w:w="28" w:type="dxa"/>
        <w:tblLayout w:type="fixed"/>
        <w:tblCellMar>
          <w:left w:w="0" w:type="dxa"/>
          <w:right w:w="0" w:type="dxa"/>
        </w:tblCellMar>
        <w:tblLook w:val="04A0" w:firstRow="1" w:lastRow="0" w:firstColumn="1" w:lastColumn="0" w:noHBand="0" w:noVBand="1"/>
      </w:tblPr>
      <w:tblGrid>
        <w:gridCol w:w="1595"/>
        <w:gridCol w:w="736"/>
        <w:gridCol w:w="601"/>
        <w:gridCol w:w="643"/>
        <w:gridCol w:w="691"/>
        <w:gridCol w:w="668"/>
        <w:gridCol w:w="850"/>
        <w:gridCol w:w="992"/>
        <w:gridCol w:w="700"/>
        <w:gridCol w:w="801"/>
        <w:gridCol w:w="669"/>
        <w:gridCol w:w="601"/>
        <w:gridCol w:w="1218"/>
        <w:gridCol w:w="919"/>
        <w:gridCol w:w="652"/>
        <w:gridCol w:w="1004"/>
        <w:gridCol w:w="807"/>
      </w:tblGrid>
      <w:tr w:rsidR="00B950FD" w:rsidRPr="00FD0920" w14:paraId="126EF6A8" w14:textId="77777777" w:rsidTr="00B02DF3">
        <w:trPr>
          <w:cantSplit/>
          <w:tblHeader/>
        </w:trPr>
        <w:tc>
          <w:tcPr>
            <w:tcW w:w="1595" w:type="dxa"/>
            <w:tcBorders>
              <w:top w:val="single" w:sz="4" w:space="0" w:color="auto"/>
              <w:bottom w:val="single" w:sz="12" w:space="0" w:color="auto"/>
            </w:tcBorders>
            <w:shd w:val="clear" w:color="auto" w:fill="auto"/>
            <w:vAlign w:val="bottom"/>
          </w:tcPr>
          <w:p w14:paraId="07FA7754" w14:textId="77777777" w:rsidR="00B950FD" w:rsidRPr="00FD0920" w:rsidRDefault="00B950FD" w:rsidP="00B02DF3">
            <w:pPr>
              <w:spacing w:before="80" w:after="80" w:line="200" w:lineRule="exact"/>
              <w:ind w:left="28"/>
              <w:rPr>
                <w:rFonts w:cs="Times New Roman"/>
                <w:i/>
                <w:sz w:val="16"/>
              </w:rPr>
            </w:pPr>
            <w:bookmarkStart w:id="17" w:name="_Hlk17713414"/>
            <w:r w:rsidRPr="00FD0920">
              <w:rPr>
                <w:rFonts w:cs="Times New Roman"/>
                <w:i/>
                <w:sz w:val="16"/>
              </w:rPr>
              <w:t>Итого/</w:t>
            </w:r>
            <w:r>
              <w:rPr>
                <w:rFonts w:cs="Times New Roman"/>
                <w:i/>
                <w:sz w:val="16"/>
              </w:rPr>
              <w:br/>
            </w:r>
            <w:r w:rsidRPr="00FD0920">
              <w:rPr>
                <w:rFonts w:cs="Times New Roman"/>
                <w:i/>
                <w:sz w:val="16"/>
              </w:rPr>
              <w:t>местный уровень/</w:t>
            </w:r>
            <w:r>
              <w:rPr>
                <w:rFonts w:cs="Times New Roman"/>
                <w:i/>
                <w:sz w:val="16"/>
              </w:rPr>
              <w:br/>
            </w:r>
            <w:r w:rsidRPr="00FD0920">
              <w:rPr>
                <w:rFonts w:cs="Times New Roman"/>
                <w:i/>
                <w:sz w:val="16"/>
              </w:rPr>
              <w:t>национальный уровень</w:t>
            </w:r>
          </w:p>
        </w:tc>
        <w:tc>
          <w:tcPr>
            <w:tcW w:w="736" w:type="dxa"/>
            <w:tcBorders>
              <w:top w:val="single" w:sz="4" w:space="0" w:color="auto"/>
              <w:bottom w:val="single" w:sz="12" w:space="0" w:color="auto"/>
            </w:tcBorders>
            <w:shd w:val="clear" w:color="auto" w:fill="auto"/>
            <w:textDirection w:val="lrTbV"/>
            <w:vAlign w:val="bottom"/>
          </w:tcPr>
          <w:p w14:paraId="2EC076D5"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С/х</w:t>
            </w:r>
          </w:p>
        </w:tc>
        <w:tc>
          <w:tcPr>
            <w:tcW w:w="601" w:type="dxa"/>
            <w:tcBorders>
              <w:top w:val="single" w:sz="4" w:space="0" w:color="auto"/>
              <w:bottom w:val="single" w:sz="12" w:space="0" w:color="auto"/>
            </w:tcBorders>
            <w:shd w:val="clear" w:color="auto" w:fill="auto"/>
            <w:textDirection w:val="lrTbV"/>
            <w:vAlign w:val="bottom"/>
          </w:tcPr>
          <w:p w14:paraId="289B99E4"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Лес.</w:t>
            </w:r>
          </w:p>
        </w:tc>
        <w:tc>
          <w:tcPr>
            <w:tcW w:w="643" w:type="dxa"/>
            <w:tcBorders>
              <w:top w:val="single" w:sz="4" w:space="0" w:color="auto"/>
              <w:bottom w:val="single" w:sz="12" w:space="0" w:color="auto"/>
            </w:tcBorders>
            <w:shd w:val="clear" w:color="auto" w:fill="auto"/>
            <w:textDirection w:val="lrTbV"/>
            <w:vAlign w:val="bottom"/>
          </w:tcPr>
          <w:p w14:paraId="746B8D1D"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Рыб.</w:t>
            </w:r>
          </w:p>
        </w:tc>
        <w:tc>
          <w:tcPr>
            <w:tcW w:w="691" w:type="dxa"/>
            <w:tcBorders>
              <w:top w:val="single" w:sz="4" w:space="0" w:color="auto"/>
              <w:bottom w:val="single" w:sz="12" w:space="0" w:color="auto"/>
            </w:tcBorders>
            <w:shd w:val="clear" w:color="auto" w:fill="auto"/>
            <w:textDirection w:val="lrTbV"/>
            <w:vAlign w:val="bottom"/>
          </w:tcPr>
          <w:p w14:paraId="5D118C74" w14:textId="77777777" w:rsidR="00B950FD" w:rsidRPr="00FD0920" w:rsidRDefault="00B950FD" w:rsidP="00B02DF3">
            <w:pPr>
              <w:spacing w:before="80" w:after="80" w:line="200" w:lineRule="exact"/>
              <w:ind w:left="28"/>
              <w:jc w:val="right"/>
              <w:rPr>
                <w:rFonts w:cs="Times New Roman"/>
                <w:i/>
                <w:sz w:val="16"/>
              </w:rPr>
            </w:pPr>
            <w:proofErr w:type="spellStart"/>
            <w:r w:rsidRPr="00FD0920">
              <w:rPr>
                <w:rFonts w:cs="Times New Roman"/>
                <w:i/>
                <w:sz w:val="16"/>
              </w:rPr>
              <w:t>Энерг</w:t>
            </w:r>
            <w:proofErr w:type="spellEnd"/>
            <w:r w:rsidRPr="00FD0920">
              <w:rPr>
                <w:rFonts w:cs="Times New Roman"/>
                <w:i/>
                <w:sz w:val="16"/>
              </w:rPr>
              <w:t>.</w:t>
            </w:r>
          </w:p>
        </w:tc>
        <w:tc>
          <w:tcPr>
            <w:tcW w:w="668" w:type="dxa"/>
            <w:tcBorders>
              <w:top w:val="single" w:sz="4" w:space="0" w:color="auto"/>
              <w:bottom w:val="single" w:sz="12" w:space="0" w:color="auto"/>
            </w:tcBorders>
            <w:shd w:val="clear" w:color="auto" w:fill="auto"/>
            <w:textDirection w:val="lrTbV"/>
            <w:vAlign w:val="bottom"/>
          </w:tcPr>
          <w:p w14:paraId="05462A91" w14:textId="77777777" w:rsidR="00B950FD" w:rsidRPr="00FD0920" w:rsidRDefault="00B950FD" w:rsidP="00B02DF3">
            <w:pPr>
              <w:spacing w:before="80" w:after="80" w:line="200" w:lineRule="exact"/>
              <w:ind w:left="28"/>
              <w:jc w:val="right"/>
              <w:rPr>
                <w:rFonts w:cs="Times New Roman"/>
                <w:i/>
                <w:sz w:val="16"/>
              </w:rPr>
            </w:pPr>
            <w:proofErr w:type="spellStart"/>
            <w:r w:rsidRPr="00FD0920">
              <w:rPr>
                <w:rFonts w:cs="Times New Roman"/>
                <w:i/>
                <w:sz w:val="16"/>
              </w:rPr>
              <w:t>Пром</w:t>
            </w:r>
            <w:proofErr w:type="spellEnd"/>
            <w:r w:rsidRPr="00FD0920">
              <w:rPr>
                <w:rFonts w:cs="Times New Roman"/>
                <w:i/>
                <w:sz w:val="16"/>
              </w:rPr>
              <w:t>.</w:t>
            </w:r>
          </w:p>
        </w:tc>
        <w:tc>
          <w:tcPr>
            <w:tcW w:w="850" w:type="dxa"/>
            <w:tcBorders>
              <w:top w:val="single" w:sz="4" w:space="0" w:color="auto"/>
              <w:bottom w:val="single" w:sz="12" w:space="0" w:color="auto"/>
            </w:tcBorders>
            <w:shd w:val="clear" w:color="auto" w:fill="auto"/>
            <w:textDirection w:val="lrTbV"/>
            <w:vAlign w:val="bottom"/>
          </w:tcPr>
          <w:p w14:paraId="6FDBA9C8"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Транс.</w:t>
            </w:r>
          </w:p>
        </w:tc>
        <w:tc>
          <w:tcPr>
            <w:tcW w:w="992" w:type="dxa"/>
            <w:tcBorders>
              <w:top w:val="single" w:sz="4" w:space="0" w:color="auto"/>
              <w:bottom w:val="single" w:sz="12" w:space="0" w:color="auto"/>
            </w:tcBorders>
            <w:shd w:val="clear" w:color="auto" w:fill="auto"/>
            <w:textDirection w:val="lrTbV"/>
            <w:vAlign w:val="bottom"/>
          </w:tcPr>
          <w:p w14:paraId="590D44D5"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 xml:space="preserve">Регион. </w:t>
            </w:r>
            <w:r>
              <w:rPr>
                <w:rFonts w:cs="Times New Roman"/>
                <w:i/>
                <w:sz w:val="16"/>
              </w:rPr>
              <w:br/>
            </w:r>
            <w:proofErr w:type="spellStart"/>
            <w:r w:rsidRPr="00FD0920">
              <w:rPr>
                <w:rFonts w:cs="Times New Roman"/>
                <w:i/>
                <w:sz w:val="16"/>
              </w:rPr>
              <w:t>разв</w:t>
            </w:r>
            <w:proofErr w:type="spellEnd"/>
            <w:r w:rsidRPr="00FD0920">
              <w:rPr>
                <w:rFonts w:cs="Times New Roman"/>
                <w:i/>
                <w:sz w:val="16"/>
              </w:rPr>
              <w:t>.</w:t>
            </w:r>
          </w:p>
        </w:tc>
        <w:tc>
          <w:tcPr>
            <w:tcW w:w="700" w:type="dxa"/>
            <w:tcBorders>
              <w:top w:val="single" w:sz="4" w:space="0" w:color="auto"/>
              <w:bottom w:val="single" w:sz="12" w:space="0" w:color="auto"/>
            </w:tcBorders>
            <w:shd w:val="clear" w:color="auto" w:fill="auto"/>
            <w:textDirection w:val="lrTbV"/>
            <w:vAlign w:val="bottom"/>
          </w:tcPr>
          <w:p w14:paraId="6D167DDC"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 xml:space="preserve">Управ. </w:t>
            </w:r>
            <w:r>
              <w:rPr>
                <w:rFonts w:cs="Times New Roman"/>
                <w:i/>
                <w:sz w:val="16"/>
              </w:rPr>
              <w:br/>
            </w:r>
            <w:r w:rsidRPr="00FD0920">
              <w:rPr>
                <w:rFonts w:cs="Times New Roman"/>
                <w:i/>
                <w:sz w:val="16"/>
              </w:rPr>
              <w:t>отход.</w:t>
            </w:r>
          </w:p>
        </w:tc>
        <w:tc>
          <w:tcPr>
            <w:tcW w:w="801" w:type="dxa"/>
            <w:tcBorders>
              <w:top w:val="single" w:sz="4" w:space="0" w:color="auto"/>
              <w:bottom w:val="single" w:sz="12" w:space="0" w:color="auto"/>
            </w:tcBorders>
            <w:shd w:val="clear" w:color="auto" w:fill="auto"/>
            <w:textDirection w:val="lrTbV"/>
            <w:vAlign w:val="bottom"/>
          </w:tcPr>
          <w:p w14:paraId="12E76300"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 xml:space="preserve">Управ. </w:t>
            </w:r>
            <w:r>
              <w:rPr>
                <w:rFonts w:cs="Times New Roman"/>
                <w:i/>
                <w:sz w:val="16"/>
              </w:rPr>
              <w:br/>
            </w:r>
            <w:r w:rsidRPr="00FD0920">
              <w:rPr>
                <w:rFonts w:cs="Times New Roman"/>
                <w:i/>
                <w:sz w:val="16"/>
              </w:rPr>
              <w:t xml:space="preserve">вод. </w:t>
            </w:r>
            <w:proofErr w:type="spellStart"/>
            <w:r w:rsidRPr="00FD0920">
              <w:rPr>
                <w:rFonts w:cs="Times New Roman"/>
                <w:i/>
                <w:sz w:val="16"/>
              </w:rPr>
              <w:t>рес</w:t>
            </w:r>
            <w:proofErr w:type="spellEnd"/>
            <w:r w:rsidRPr="00FD0920">
              <w:rPr>
                <w:rFonts w:cs="Times New Roman"/>
                <w:i/>
                <w:sz w:val="16"/>
              </w:rPr>
              <w:t>.</w:t>
            </w:r>
          </w:p>
        </w:tc>
        <w:tc>
          <w:tcPr>
            <w:tcW w:w="669" w:type="dxa"/>
            <w:tcBorders>
              <w:top w:val="single" w:sz="4" w:space="0" w:color="auto"/>
              <w:bottom w:val="single" w:sz="12" w:space="0" w:color="auto"/>
            </w:tcBorders>
            <w:shd w:val="clear" w:color="auto" w:fill="auto"/>
            <w:textDirection w:val="lrTbV"/>
            <w:vAlign w:val="bottom"/>
          </w:tcPr>
          <w:p w14:paraId="51CDB710"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Телеком.</w:t>
            </w:r>
          </w:p>
        </w:tc>
        <w:tc>
          <w:tcPr>
            <w:tcW w:w="601" w:type="dxa"/>
            <w:tcBorders>
              <w:top w:val="single" w:sz="4" w:space="0" w:color="auto"/>
              <w:bottom w:val="single" w:sz="12" w:space="0" w:color="auto"/>
            </w:tcBorders>
            <w:shd w:val="clear" w:color="auto" w:fill="auto"/>
            <w:textDirection w:val="lrTbV"/>
            <w:vAlign w:val="bottom"/>
          </w:tcPr>
          <w:p w14:paraId="5BF4C644"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Туризм</w:t>
            </w:r>
          </w:p>
        </w:tc>
        <w:tc>
          <w:tcPr>
            <w:tcW w:w="1218" w:type="dxa"/>
            <w:tcBorders>
              <w:top w:val="single" w:sz="4" w:space="0" w:color="auto"/>
              <w:bottom w:val="single" w:sz="12" w:space="0" w:color="auto"/>
            </w:tcBorders>
            <w:shd w:val="clear" w:color="auto" w:fill="auto"/>
            <w:textDirection w:val="lrTbV"/>
            <w:vAlign w:val="bottom"/>
          </w:tcPr>
          <w:p w14:paraId="5866F64B"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 xml:space="preserve">Городское </w:t>
            </w:r>
            <w:r>
              <w:rPr>
                <w:rFonts w:cs="Times New Roman"/>
                <w:i/>
                <w:sz w:val="16"/>
              </w:rPr>
              <w:br/>
            </w:r>
            <w:r w:rsidRPr="00FD0920">
              <w:rPr>
                <w:rFonts w:cs="Times New Roman"/>
                <w:i/>
                <w:sz w:val="16"/>
              </w:rPr>
              <w:t>и сельское планирование</w:t>
            </w:r>
          </w:p>
        </w:tc>
        <w:tc>
          <w:tcPr>
            <w:tcW w:w="919" w:type="dxa"/>
            <w:tcBorders>
              <w:top w:val="single" w:sz="4" w:space="0" w:color="auto"/>
              <w:bottom w:val="single" w:sz="12" w:space="0" w:color="auto"/>
            </w:tcBorders>
            <w:shd w:val="clear" w:color="auto" w:fill="auto"/>
            <w:textDirection w:val="lrTbV"/>
            <w:vAlign w:val="bottom"/>
          </w:tcPr>
          <w:p w14:paraId="0103820D"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Земле</w:t>
            </w:r>
            <w:r>
              <w:rPr>
                <w:rFonts w:cs="Times New Roman"/>
                <w:i/>
                <w:sz w:val="16"/>
              </w:rPr>
              <w:t>-</w:t>
            </w:r>
            <w:r>
              <w:rPr>
                <w:rFonts w:cs="Times New Roman"/>
                <w:i/>
                <w:sz w:val="16"/>
              </w:rPr>
              <w:br/>
            </w:r>
            <w:r w:rsidRPr="00FD0920">
              <w:rPr>
                <w:rFonts w:cs="Times New Roman"/>
                <w:i/>
                <w:sz w:val="16"/>
              </w:rPr>
              <w:t>пользование</w:t>
            </w:r>
          </w:p>
        </w:tc>
        <w:tc>
          <w:tcPr>
            <w:tcW w:w="652" w:type="dxa"/>
            <w:tcBorders>
              <w:top w:val="single" w:sz="4" w:space="0" w:color="auto"/>
              <w:bottom w:val="single" w:sz="12" w:space="0" w:color="auto"/>
            </w:tcBorders>
            <w:shd w:val="clear" w:color="auto" w:fill="auto"/>
            <w:textDirection w:val="lrTbV"/>
            <w:vAlign w:val="bottom"/>
          </w:tcPr>
          <w:p w14:paraId="7EA0E84A"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Другое</w:t>
            </w:r>
          </w:p>
        </w:tc>
        <w:tc>
          <w:tcPr>
            <w:tcW w:w="1004" w:type="dxa"/>
            <w:tcBorders>
              <w:top w:val="single" w:sz="4" w:space="0" w:color="auto"/>
              <w:bottom w:val="single" w:sz="12" w:space="0" w:color="auto"/>
            </w:tcBorders>
            <w:shd w:val="clear" w:color="auto" w:fill="auto"/>
            <w:textDirection w:val="lrTbV"/>
            <w:vAlign w:val="bottom"/>
          </w:tcPr>
          <w:p w14:paraId="7DFC483B"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 xml:space="preserve">Итого </w:t>
            </w:r>
            <w:r>
              <w:rPr>
                <w:rFonts w:cs="Times New Roman"/>
                <w:i/>
                <w:sz w:val="16"/>
              </w:rPr>
              <w:br/>
            </w:r>
            <w:r w:rsidRPr="00FD0920">
              <w:rPr>
                <w:rFonts w:cs="Times New Roman"/>
                <w:i/>
                <w:sz w:val="16"/>
              </w:rPr>
              <w:t>(все сектора)</w:t>
            </w:r>
          </w:p>
        </w:tc>
        <w:tc>
          <w:tcPr>
            <w:tcW w:w="807" w:type="dxa"/>
            <w:tcBorders>
              <w:top w:val="single" w:sz="4" w:space="0" w:color="auto"/>
              <w:bottom w:val="single" w:sz="12" w:space="0" w:color="auto"/>
            </w:tcBorders>
            <w:shd w:val="clear" w:color="auto" w:fill="auto"/>
            <w:textDirection w:val="lrTbV"/>
            <w:vAlign w:val="bottom"/>
          </w:tcPr>
          <w:p w14:paraId="526BF3A6"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 xml:space="preserve">Статист. данные (S) или </w:t>
            </w:r>
            <w:r>
              <w:rPr>
                <w:rFonts w:cs="Times New Roman"/>
                <w:i/>
                <w:sz w:val="16"/>
              </w:rPr>
              <w:br/>
            </w:r>
            <w:r w:rsidRPr="00FD0920">
              <w:rPr>
                <w:rFonts w:cs="Times New Roman"/>
                <w:i/>
                <w:sz w:val="16"/>
              </w:rPr>
              <w:t>оценки (E)</w:t>
            </w:r>
          </w:p>
        </w:tc>
      </w:tr>
      <w:tr w:rsidR="00B950FD" w:rsidRPr="00FD0920" w14:paraId="153B868B" w14:textId="77777777" w:rsidTr="00B02DF3">
        <w:tc>
          <w:tcPr>
            <w:tcW w:w="1595" w:type="dxa"/>
            <w:shd w:val="clear" w:color="auto" w:fill="auto"/>
            <w:vAlign w:val="bottom"/>
          </w:tcPr>
          <w:p w14:paraId="45F94C38"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Албания</w:t>
            </w:r>
          </w:p>
        </w:tc>
        <w:tc>
          <w:tcPr>
            <w:tcW w:w="736" w:type="dxa"/>
            <w:shd w:val="clear" w:color="auto" w:fill="auto"/>
            <w:textDirection w:val="lrTbV"/>
            <w:vAlign w:val="bottom"/>
          </w:tcPr>
          <w:p w14:paraId="07EDDB3C"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4B004CEF"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6594593E" w14:textId="77777777" w:rsidR="00B950FD" w:rsidRPr="002E07E7" w:rsidRDefault="00B950FD" w:rsidP="00B02DF3">
            <w:pPr>
              <w:spacing w:before="40" w:after="40" w:line="220" w:lineRule="exact"/>
              <w:jc w:val="right"/>
              <w:rPr>
                <w:rFonts w:cs="Times New Roman"/>
                <w:sz w:val="16"/>
                <w:szCs w:val="16"/>
              </w:rPr>
            </w:pPr>
          </w:p>
        </w:tc>
        <w:tc>
          <w:tcPr>
            <w:tcW w:w="691" w:type="dxa"/>
            <w:shd w:val="clear" w:color="auto" w:fill="auto"/>
            <w:vAlign w:val="bottom"/>
          </w:tcPr>
          <w:p w14:paraId="0730995C" w14:textId="77777777" w:rsidR="00B950FD" w:rsidRPr="002E07E7" w:rsidRDefault="00B950FD" w:rsidP="00B02DF3">
            <w:pPr>
              <w:spacing w:before="40" w:after="40" w:line="220" w:lineRule="exact"/>
              <w:jc w:val="right"/>
              <w:rPr>
                <w:rFonts w:cs="Times New Roman"/>
                <w:sz w:val="16"/>
                <w:szCs w:val="16"/>
              </w:rPr>
            </w:pPr>
          </w:p>
        </w:tc>
        <w:tc>
          <w:tcPr>
            <w:tcW w:w="668" w:type="dxa"/>
            <w:shd w:val="clear" w:color="auto" w:fill="auto"/>
            <w:vAlign w:val="bottom"/>
          </w:tcPr>
          <w:p w14:paraId="6E781F3B"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11531F36" w14:textId="77777777" w:rsidR="00B950FD" w:rsidRPr="002E07E7" w:rsidRDefault="00B950FD" w:rsidP="00B02DF3">
            <w:pPr>
              <w:spacing w:before="40" w:after="40" w:line="220" w:lineRule="exact"/>
              <w:jc w:val="right"/>
              <w:rPr>
                <w:rFonts w:cs="Times New Roman"/>
                <w:sz w:val="16"/>
                <w:szCs w:val="16"/>
              </w:rPr>
            </w:pPr>
          </w:p>
        </w:tc>
        <w:tc>
          <w:tcPr>
            <w:tcW w:w="992" w:type="dxa"/>
            <w:shd w:val="clear" w:color="auto" w:fill="auto"/>
            <w:vAlign w:val="bottom"/>
          </w:tcPr>
          <w:p w14:paraId="3CE10900" w14:textId="77777777" w:rsidR="00B950FD" w:rsidRPr="002E07E7" w:rsidRDefault="00B950FD" w:rsidP="00B02DF3">
            <w:pPr>
              <w:spacing w:before="40" w:after="40" w:line="220" w:lineRule="exact"/>
              <w:jc w:val="right"/>
              <w:rPr>
                <w:rFonts w:cs="Times New Roman"/>
                <w:sz w:val="16"/>
                <w:szCs w:val="16"/>
              </w:rPr>
            </w:pPr>
          </w:p>
        </w:tc>
        <w:tc>
          <w:tcPr>
            <w:tcW w:w="700" w:type="dxa"/>
            <w:shd w:val="clear" w:color="auto" w:fill="auto"/>
            <w:vAlign w:val="bottom"/>
          </w:tcPr>
          <w:p w14:paraId="20230930"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1/1/0</w:t>
            </w:r>
          </w:p>
        </w:tc>
        <w:tc>
          <w:tcPr>
            <w:tcW w:w="801" w:type="dxa"/>
            <w:shd w:val="clear" w:color="auto" w:fill="auto"/>
            <w:vAlign w:val="bottom"/>
          </w:tcPr>
          <w:p w14:paraId="7B243526" w14:textId="77777777" w:rsidR="00B950FD" w:rsidRPr="002E07E7" w:rsidRDefault="00B950FD" w:rsidP="00B02DF3">
            <w:pPr>
              <w:spacing w:before="40" w:after="40" w:line="220" w:lineRule="exact"/>
              <w:jc w:val="right"/>
              <w:rPr>
                <w:rFonts w:cs="Times New Roman"/>
                <w:sz w:val="16"/>
                <w:szCs w:val="16"/>
              </w:rPr>
            </w:pPr>
          </w:p>
        </w:tc>
        <w:tc>
          <w:tcPr>
            <w:tcW w:w="669" w:type="dxa"/>
            <w:shd w:val="clear" w:color="auto" w:fill="auto"/>
            <w:vAlign w:val="bottom"/>
          </w:tcPr>
          <w:p w14:paraId="3717F448"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2D034334"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6/6/0</w:t>
            </w:r>
          </w:p>
        </w:tc>
        <w:tc>
          <w:tcPr>
            <w:tcW w:w="1218" w:type="dxa"/>
            <w:shd w:val="clear" w:color="auto" w:fill="auto"/>
            <w:vAlign w:val="bottom"/>
          </w:tcPr>
          <w:p w14:paraId="7135DB95"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19/19/0</w:t>
            </w:r>
          </w:p>
        </w:tc>
        <w:tc>
          <w:tcPr>
            <w:tcW w:w="919" w:type="dxa"/>
            <w:shd w:val="clear" w:color="auto" w:fill="auto"/>
            <w:vAlign w:val="bottom"/>
          </w:tcPr>
          <w:p w14:paraId="3A35DE16"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3F95CEAE" w14:textId="77777777" w:rsidR="00B950FD" w:rsidRPr="002E07E7" w:rsidRDefault="00B950FD" w:rsidP="00B02DF3">
            <w:pPr>
              <w:spacing w:before="40" w:after="40" w:line="220" w:lineRule="exact"/>
              <w:jc w:val="right"/>
              <w:rPr>
                <w:rFonts w:cs="Times New Roman"/>
                <w:sz w:val="16"/>
                <w:szCs w:val="16"/>
              </w:rPr>
            </w:pPr>
          </w:p>
        </w:tc>
        <w:tc>
          <w:tcPr>
            <w:tcW w:w="1004" w:type="dxa"/>
            <w:shd w:val="clear" w:color="auto" w:fill="auto"/>
            <w:textDirection w:val="lrTbV"/>
            <w:vAlign w:val="bottom"/>
          </w:tcPr>
          <w:p w14:paraId="7126B722"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754C8FF4"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S</w:t>
            </w:r>
          </w:p>
        </w:tc>
      </w:tr>
      <w:tr w:rsidR="00B950FD" w:rsidRPr="00FD0920" w14:paraId="083B0DA7" w14:textId="77777777" w:rsidTr="00B02DF3">
        <w:tc>
          <w:tcPr>
            <w:tcW w:w="1595" w:type="dxa"/>
            <w:shd w:val="clear" w:color="auto" w:fill="auto"/>
            <w:vAlign w:val="bottom"/>
          </w:tcPr>
          <w:p w14:paraId="27A54290"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Австрия</w:t>
            </w:r>
          </w:p>
        </w:tc>
        <w:tc>
          <w:tcPr>
            <w:tcW w:w="736" w:type="dxa"/>
            <w:shd w:val="clear" w:color="auto" w:fill="auto"/>
            <w:textDirection w:val="lrTbV"/>
            <w:vAlign w:val="bottom"/>
          </w:tcPr>
          <w:p w14:paraId="09F74D68"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6F614002"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00E17388" w14:textId="77777777" w:rsidR="00B950FD" w:rsidRPr="002E07E7" w:rsidRDefault="00B950FD" w:rsidP="00B02DF3">
            <w:pPr>
              <w:spacing w:before="40" w:after="40" w:line="220" w:lineRule="exact"/>
              <w:jc w:val="right"/>
              <w:rPr>
                <w:rFonts w:cs="Times New Roman"/>
                <w:sz w:val="16"/>
                <w:szCs w:val="16"/>
              </w:rPr>
            </w:pPr>
          </w:p>
        </w:tc>
        <w:tc>
          <w:tcPr>
            <w:tcW w:w="691" w:type="dxa"/>
            <w:shd w:val="clear" w:color="auto" w:fill="auto"/>
            <w:vAlign w:val="bottom"/>
          </w:tcPr>
          <w:p w14:paraId="6419E3F9"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68" w:type="dxa"/>
            <w:shd w:val="clear" w:color="auto" w:fill="auto"/>
            <w:vAlign w:val="bottom"/>
          </w:tcPr>
          <w:p w14:paraId="504BB0CF"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02CAC2FB"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3/03</w:t>
            </w:r>
          </w:p>
        </w:tc>
        <w:tc>
          <w:tcPr>
            <w:tcW w:w="992" w:type="dxa"/>
            <w:shd w:val="clear" w:color="auto" w:fill="auto"/>
            <w:vAlign w:val="bottom"/>
          </w:tcPr>
          <w:p w14:paraId="37A6B920" w14:textId="77777777" w:rsidR="00B950FD" w:rsidRPr="002E07E7" w:rsidRDefault="00B950FD" w:rsidP="00B02DF3">
            <w:pPr>
              <w:spacing w:before="40" w:after="40" w:line="220" w:lineRule="exact"/>
              <w:jc w:val="right"/>
              <w:rPr>
                <w:rFonts w:cs="Times New Roman"/>
                <w:sz w:val="16"/>
                <w:szCs w:val="16"/>
              </w:rPr>
            </w:pPr>
          </w:p>
        </w:tc>
        <w:tc>
          <w:tcPr>
            <w:tcW w:w="700" w:type="dxa"/>
            <w:shd w:val="clear" w:color="auto" w:fill="auto"/>
            <w:vAlign w:val="bottom"/>
          </w:tcPr>
          <w:p w14:paraId="1218E556" w14:textId="77777777" w:rsidR="00B950FD" w:rsidRPr="002E07E7" w:rsidRDefault="00B950FD" w:rsidP="00B02DF3">
            <w:pPr>
              <w:spacing w:before="40" w:after="40" w:line="220" w:lineRule="exact"/>
              <w:jc w:val="right"/>
              <w:rPr>
                <w:rFonts w:cs="Times New Roman"/>
                <w:sz w:val="16"/>
                <w:szCs w:val="16"/>
              </w:rPr>
            </w:pPr>
          </w:p>
        </w:tc>
        <w:tc>
          <w:tcPr>
            <w:tcW w:w="801" w:type="dxa"/>
            <w:shd w:val="clear" w:color="auto" w:fill="auto"/>
            <w:vAlign w:val="bottom"/>
          </w:tcPr>
          <w:p w14:paraId="6022BD27"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3/0/3</w:t>
            </w:r>
          </w:p>
        </w:tc>
        <w:tc>
          <w:tcPr>
            <w:tcW w:w="669" w:type="dxa"/>
            <w:shd w:val="clear" w:color="auto" w:fill="auto"/>
            <w:vAlign w:val="bottom"/>
          </w:tcPr>
          <w:p w14:paraId="2FBF61C0"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5C15E1C2"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4E82B59A" w14:textId="77777777" w:rsidR="00B950FD" w:rsidRPr="002E07E7" w:rsidRDefault="00B950FD" w:rsidP="00B02DF3">
            <w:pPr>
              <w:spacing w:before="40" w:after="40" w:line="220" w:lineRule="exact"/>
              <w:jc w:val="right"/>
              <w:rPr>
                <w:rFonts w:cs="Times New Roman"/>
                <w:sz w:val="16"/>
                <w:szCs w:val="16"/>
              </w:rPr>
            </w:pPr>
          </w:p>
        </w:tc>
        <w:tc>
          <w:tcPr>
            <w:tcW w:w="919" w:type="dxa"/>
            <w:shd w:val="clear" w:color="auto" w:fill="auto"/>
            <w:vAlign w:val="bottom"/>
          </w:tcPr>
          <w:p w14:paraId="077DC4E4"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590/560/30</w:t>
            </w:r>
          </w:p>
        </w:tc>
        <w:tc>
          <w:tcPr>
            <w:tcW w:w="652" w:type="dxa"/>
            <w:shd w:val="clear" w:color="auto" w:fill="auto"/>
            <w:vAlign w:val="bottom"/>
          </w:tcPr>
          <w:p w14:paraId="7EF72089"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14/0/14</w:t>
            </w:r>
          </w:p>
        </w:tc>
        <w:tc>
          <w:tcPr>
            <w:tcW w:w="1004" w:type="dxa"/>
            <w:shd w:val="clear" w:color="auto" w:fill="auto"/>
            <w:textDirection w:val="lrTbV"/>
            <w:vAlign w:val="bottom"/>
          </w:tcPr>
          <w:p w14:paraId="69A8336F"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74CA1957"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E</w:t>
            </w:r>
          </w:p>
        </w:tc>
      </w:tr>
      <w:tr w:rsidR="00B950FD" w:rsidRPr="00FD0920" w14:paraId="14D3D71C" w14:textId="77777777" w:rsidTr="00B02DF3">
        <w:tc>
          <w:tcPr>
            <w:tcW w:w="1595" w:type="dxa"/>
            <w:shd w:val="clear" w:color="auto" w:fill="auto"/>
            <w:vAlign w:val="bottom"/>
          </w:tcPr>
          <w:p w14:paraId="5C877AA3"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Босния и Герцеговина</w:t>
            </w:r>
          </w:p>
        </w:tc>
        <w:tc>
          <w:tcPr>
            <w:tcW w:w="736" w:type="dxa"/>
            <w:shd w:val="clear" w:color="auto" w:fill="auto"/>
            <w:textDirection w:val="lrTbV"/>
            <w:vAlign w:val="bottom"/>
          </w:tcPr>
          <w:p w14:paraId="5478972E"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314CA2FE"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6415B799" w14:textId="77777777" w:rsidR="00B950FD" w:rsidRPr="002E07E7" w:rsidRDefault="00B950FD" w:rsidP="00B02DF3">
            <w:pPr>
              <w:spacing w:before="40" w:after="40" w:line="220" w:lineRule="exact"/>
              <w:jc w:val="right"/>
              <w:rPr>
                <w:rFonts w:cs="Times New Roman"/>
                <w:sz w:val="16"/>
                <w:szCs w:val="16"/>
              </w:rPr>
            </w:pPr>
          </w:p>
        </w:tc>
        <w:tc>
          <w:tcPr>
            <w:tcW w:w="691" w:type="dxa"/>
            <w:shd w:val="clear" w:color="auto" w:fill="auto"/>
            <w:vAlign w:val="bottom"/>
          </w:tcPr>
          <w:p w14:paraId="303153CE" w14:textId="77777777" w:rsidR="00B950FD" w:rsidRPr="002E07E7" w:rsidRDefault="00B950FD" w:rsidP="00B02DF3">
            <w:pPr>
              <w:spacing w:before="40" w:after="40" w:line="220" w:lineRule="exact"/>
              <w:jc w:val="right"/>
              <w:rPr>
                <w:rFonts w:cs="Times New Roman"/>
                <w:sz w:val="16"/>
                <w:szCs w:val="16"/>
              </w:rPr>
            </w:pPr>
          </w:p>
        </w:tc>
        <w:tc>
          <w:tcPr>
            <w:tcW w:w="668" w:type="dxa"/>
            <w:shd w:val="clear" w:color="auto" w:fill="auto"/>
            <w:vAlign w:val="bottom"/>
          </w:tcPr>
          <w:p w14:paraId="6F68DCE6"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24EF664E"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1/1/0</w:t>
            </w:r>
          </w:p>
        </w:tc>
        <w:tc>
          <w:tcPr>
            <w:tcW w:w="992" w:type="dxa"/>
            <w:shd w:val="clear" w:color="auto" w:fill="auto"/>
            <w:vAlign w:val="bottom"/>
          </w:tcPr>
          <w:p w14:paraId="0F3496D4"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4/4/0</w:t>
            </w:r>
          </w:p>
        </w:tc>
        <w:tc>
          <w:tcPr>
            <w:tcW w:w="700" w:type="dxa"/>
            <w:shd w:val="clear" w:color="auto" w:fill="auto"/>
            <w:vAlign w:val="bottom"/>
          </w:tcPr>
          <w:p w14:paraId="6F8B0A58" w14:textId="77777777" w:rsidR="00B950FD" w:rsidRPr="002E07E7" w:rsidRDefault="00B950FD" w:rsidP="00B02DF3">
            <w:pPr>
              <w:spacing w:before="40" w:after="40" w:line="220" w:lineRule="exact"/>
              <w:jc w:val="right"/>
              <w:rPr>
                <w:rFonts w:cs="Times New Roman"/>
                <w:sz w:val="16"/>
                <w:szCs w:val="16"/>
              </w:rPr>
            </w:pPr>
          </w:p>
        </w:tc>
        <w:tc>
          <w:tcPr>
            <w:tcW w:w="801" w:type="dxa"/>
            <w:shd w:val="clear" w:color="auto" w:fill="auto"/>
            <w:vAlign w:val="bottom"/>
          </w:tcPr>
          <w:p w14:paraId="4418CF2D" w14:textId="77777777" w:rsidR="00B950FD" w:rsidRPr="002E07E7" w:rsidRDefault="00B950FD" w:rsidP="00B02DF3">
            <w:pPr>
              <w:spacing w:before="40" w:after="40" w:line="220" w:lineRule="exact"/>
              <w:jc w:val="right"/>
              <w:rPr>
                <w:rFonts w:cs="Times New Roman"/>
                <w:sz w:val="16"/>
                <w:szCs w:val="16"/>
              </w:rPr>
            </w:pPr>
          </w:p>
        </w:tc>
        <w:tc>
          <w:tcPr>
            <w:tcW w:w="669" w:type="dxa"/>
            <w:shd w:val="clear" w:color="auto" w:fill="auto"/>
            <w:vAlign w:val="bottom"/>
          </w:tcPr>
          <w:p w14:paraId="06D0B8E8"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105261AB"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4379983D"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1/1/0</w:t>
            </w:r>
          </w:p>
        </w:tc>
        <w:tc>
          <w:tcPr>
            <w:tcW w:w="919" w:type="dxa"/>
            <w:shd w:val="clear" w:color="auto" w:fill="auto"/>
            <w:vAlign w:val="bottom"/>
          </w:tcPr>
          <w:p w14:paraId="2AD24210"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5F3D3AD9" w14:textId="77777777" w:rsidR="00B950FD" w:rsidRPr="002E07E7" w:rsidRDefault="00B950FD" w:rsidP="00B02DF3">
            <w:pPr>
              <w:spacing w:before="40" w:after="40" w:line="220" w:lineRule="exact"/>
              <w:jc w:val="right"/>
              <w:rPr>
                <w:rFonts w:cs="Times New Roman"/>
                <w:sz w:val="16"/>
                <w:szCs w:val="16"/>
              </w:rPr>
            </w:pPr>
          </w:p>
        </w:tc>
        <w:tc>
          <w:tcPr>
            <w:tcW w:w="1004" w:type="dxa"/>
            <w:shd w:val="clear" w:color="auto" w:fill="auto"/>
            <w:textDirection w:val="lrTbV"/>
            <w:vAlign w:val="bottom"/>
          </w:tcPr>
          <w:p w14:paraId="4B078B45"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7B76BA3E"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S</w:t>
            </w:r>
          </w:p>
        </w:tc>
      </w:tr>
      <w:tr w:rsidR="00B950FD" w:rsidRPr="00FD0920" w14:paraId="167561E3" w14:textId="77777777" w:rsidTr="00B02DF3">
        <w:tc>
          <w:tcPr>
            <w:tcW w:w="1595" w:type="dxa"/>
            <w:shd w:val="clear" w:color="auto" w:fill="auto"/>
            <w:vAlign w:val="bottom"/>
          </w:tcPr>
          <w:p w14:paraId="1DF006F2"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Хорватия</w:t>
            </w:r>
          </w:p>
        </w:tc>
        <w:tc>
          <w:tcPr>
            <w:tcW w:w="736" w:type="dxa"/>
            <w:shd w:val="clear" w:color="auto" w:fill="auto"/>
            <w:textDirection w:val="lrTbV"/>
            <w:vAlign w:val="bottom"/>
          </w:tcPr>
          <w:p w14:paraId="1C47271E"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2/0/2</w:t>
            </w:r>
          </w:p>
        </w:tc>
        <w:tc>
          <w:tcPr>
            <w:tcW w:w="601" w:type="dxa"/>
            <w:shd w:val="clear" w:color="auto" w:fill="auto"/>
            <w:vAlign w:val="bottom"/>
          </w:tcPr>
          <w:p w14:paraId="70B45C06"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523B3FE0"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2/0/2</w:t>
            </w:r>
          </w:p>
        </w:tc>
        <w:tc>
          <w:tcPr>
            <w:tcW w:w="691" w:type="dxa"/>
            <w:shd w:val="clear" w:color="auto" w:fill="auto"/>
            <w:vAlign w:val="bottom"/>
          </w:tcPr>
          <w:p w14:paraId="460E4B38"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2/0/1</w:t>
            </w:r>
          </w:p>
        </w:tc>
        <w:tc>
          <w:tcPr>
            <w:tcW w:w="668" w:type="dxa"/>
            <w:shd w:val="clear" w:color="auto" w:fill="auto"/>
            <w:vAlign w:val="bottom"/>
          </w:tcPr>
          <w:p w14:paraId="2D686AD4"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850" w:type="dxa"/>
            <w:shd w:val="clear" w:color="auto" w:fill="auto"/>
            <w:vAlign w:val="bottom"/>
          </w:tcPr>
          <w:p w14:paraId="19D7056F"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4/3/1</w:t>
            </w:r>
          </w:p>
        </w:tc>
        <w:tc>
          <w:tcPr>
            <w:tcW w:w="992" w:type="dxa"/>
            <w:shd w:val="clear" w:color="auto" w:fill="auto"/>
            <w:vAlign w:val="bottom"/>
          </w:tcPr>
          <w:p w14:paraId="68F83290"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7/6/1</w:t>
            </w:r>
          </w:p>
        </w:tc>
        <w:tc>
          <w:tcPr>
            <w:tcW w:w="700" w:type="dxa"/>
            <w:shd w:val="clear" w:color="auto" w:fill="auto"/>
            <w:vAlign w:val="bottom"/>
          </w:tcPr>
          <w:p w14:paraId="14B8A3D8" w14:textId="77777777" w:rsidR="00B950FD" w:rsidRPr="002E07E7" w:rsidRDefault="00B950FD" w:rsidP="00B02DF3">
            <w:pPr>
              <w:spacing w:before="40" w:after="40" w:line="220" w:lineRule="exact"/>
              <w:jc w:val="right"/>
              <w:rPr>
                <w:rFonts w:cs="Times New Roman"/>
                <w:sz w:val="16"/>
                <w:szCs w:val="16"/>
              </w:rPr>
            </w:pPr>
          </w:p>
        </w:tc>
        <w:tc>
          <w:tcPr>
            <w:tcW w:w="801" w:type="dxa"/>
            <w:shd w:val="clear" w:color="auto" w:fill="auto"/>
            <w:vAlign w:val="bottom"/>
          </w:tcPr>
          <w:p w14:paraId="0A724DAB"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3/0/3</w:t>
            </w:r>
          </w:p>
        </w:tc>
        <w:tc>
          <w:tcPr>
            <w:tcW w:w="669" w:type="dxa"/>
            <w:shd w:val="clear" w:color="auto" w:fill="auto"/>
            <w:vAlign w:val="bottom"/>
          </w:tcPr>
          <w:p w14:paraId="5E1A5570"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01" w:type="dxa"/>
            <w:shd w:val="clear" w:color="auto" w:fill="auto"/>
            <w:vAlign w:val="bottom"/>
          </w:tcPr>
          <w:p w14:paraId="334C8BFF"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2/0/2</w:t>
            </w:r>
          </w:p>
        </w:tc>
        <w:tc>
          <w:tcPr>
            <w:tcW w:w="1218" w:type="dxa"/>
            <w:shd w:val="clear" w:color="auto" w:fill="auto"/>
            <w:vAlign w:val="bottom"/>
          </w:tcPr>
          <w:p w14:paraId="1AA3751B"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8/8/0</w:t>
            </w:r>
          </w:p>
        </w:tc>
        <w:tc>
          <w:tcPr>
            <w:tcW w:w="919" w:type="dxa"/>
            <w:shd w:val="clear" w:color="auto" w:fill="auto"/>
            <w:vAlign w:val="bottom"/>
          </w:tcPr>
          <w:p w14:paraId="0BD03A85"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4E61AC26"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1/0/0</w:t>
            </w:r>
          </w:p>
        </w:tc>
        <w:tc>
          <w:tcPr>
            <w:tcW w:w="1004" w:type="dxa"/>
            <w:shd w:val="clear" w:color="auto" w:fill="auto"/>
            <w:textDirection w:val="lrTbV"/>
            <w:vAlign w:val="bottom"/>
          </w:tcPr>
          <w:p w14:paraId="1416119D"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2DAE656A"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E</w:t>
            </w:r>
          </w:p>
        </w:tc>
      </w:tr>
      <w:tr w:rsidR="00B950FD" w:rsidRPr="00FD0920" w14:paraId="1F289A08" w14:textId="77777777" w:rsidTr="00B02DF3">
        <w:tc>
          <w:tcPr>
            <w:tcW w:w="1595" w:type="dxa"/>
            <w:shd w:val="clear" w:color="auto" w:fill="auto"/>
            <w:vAlign w:val="bottom"/>
          </w:tcPr>
          <w:p w14:paraId="3038F4CB"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Чехия</w:t>
            </w:r>
          </w:p>
        </w:tc>
        <w:tc>
          <w:tcPr>
            <w:tcW w:w="736" w:type="dxa"/>
            <w:shd w:val="clear" w:color="auto" w:fill="auto"/>
            <w:textDirection w:val="lrTbV"/>
            <w:vAlign w:val="bottom"/>
          </w:tcPr>
          <w:p w14:paraId="1413D37C"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01" w:type="dxa"/>
            <w:shd w:val="clear" w:color="auto" w:fill="auto"/>
            <w:vAlign w:val="bottom"/>
          </w:tcPr>
          <w:p w14:paraId="57A4F750"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6EB0ABE6"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2/0/2</w:t>
            </w:r>
          </w:p>
        </w:tc>
        <w:tc>
          <w:tcPr>
            <w:tcW w:w="691" w:type="dxa"/>
            <w:shd w:val="clear" w:color="auto" w:fill="auto"/>
            <w:vAlign w:val="bottom"/>
          </w:tcPr>
          <w:p w14:paraId="0ABF8FB8"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2/2/0</w:t>
            </w:r>
          </w:p>
        </w:tc>
        <w:tc>
          <w:tcPr>
            <w:tcW w:w="668" w:type="dxa"/>
            <w:shd w:val="clear" w:color="auto" w:fill="auto"/>
            <w:vAlign w:val="bottom"/>
          </w:tcPr>
          <w:p w14:paraId="71F92E61"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7F752357"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14/16/2</w:t>
            </w:r>
          </w:p>
        </w:tc>
        <w:tc>
          <w:tcPr>
            <w:tcW w:w="992" w:type="dxa"/>
            <w:shd w:val="clear" w:color="auto" w:fill="auto"/>
            <w:vAlign w:val="bottom"/>
          </w:tcPr>
          <w:p w14:paraId="4BD9B438"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54/52*/2</w:t>
            </w:r>
          </w:p>
        </w:tc>
        <w:tc>
          <w:tcPr>
            <w:tcW w:w="700" w:type="dxa"/>
            <w:shd w:val="clear" w:color="auto" w:fill="auto"/>
            <w:vAlign w:val="bottom"/>
          </w:tcPr>
          <w:p w14:paraId="79E3ACAB"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2/0/2</w:t>
            </w:r>
          </w:p>
        </w:tc>
        <w:tc>
          <w:tcPr>
            <w:tcW w:w="801" w:type="dxa"/>
            <w:shd w:val="clear" w:color="auto" w:fill="auto"/>
            <w:vAlign w:val="bottom"/>
          </w:tcPr>
          <w:p w14:paraId="2E6424A4"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15/6/9</w:t>
            </w:r>
          </w:p>
        </w:tc>
        <w:tc>
          <w:tcPr>
            <w:tcW w:w="669" w:type="dxa"/>
            <w:shd w:val="clear" w:color="auto" w:fill="auto"/>
            <w:vAlign w:val="bottom"/>
          </w:tcPr>
          <w:p w14:paraId="52DE7F9E"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3CD2BAA6"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7B4F3B82"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919" w:type="dxa"/>
            <w:shd w:val="clear" w:color="auto" w:fill="auto"/>
            <w:vAlign w:val="bottom"/>
          </w:tcPr>
          <w:p w14:paraId="29AAD5D3"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764/764/0</w:t>
            </w:r>
          </w:p>
        </w:tc>
        <w:tc>
          <w:tcPr>
            <w:tcW w:w="652" w:type="dxa"/>
            <w:shd w:val="clear" w:color="auto" w:fill="auto"/>
            <w:vAlign w:val="bottom"/>
          </w:tcPr>
          <w:p w14:paraId="19D9D333"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24/10/14</w:t>
            </w:r>
          </w:p>
        </w:tc>
        <w:tc>
          <w:tcPr>
            <w:tcW w:w="1004" w:type="dxa"/>
            <w:shd w:val="clear" w:color="auto" w:fill="auto"/>
            <w:textDirection w:val="lrTbV"/>
            <w:vAlign w:val="bottom"/>
          </w:tcPr>
          <w:p w14:paraId="5488134F"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035997FE"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S</w:t>
            </w:r>
          </w:p>
        </w:tc>
      </w:tr>
      <w:tr w:rsidR="00B950FD" w:rsidRPr="00FD0920" w14:paraId="00EA8829" w14:textId="77777777" w:rsidTr="00B02DF3">
        <w:tc>
          <w:tcPr>
            <w:tcW w:w="1595" w:type="dxa"/>
            <w:shd w:val="clear" w:color="auto" w:fill="auto"/>
            <w:vAlign w:val="bottom"/>
          </w:tcPr>
          <w:p w14:paraId="73A9E591"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Эстония</w:t>
            </w:r>
          </w:p>
        </w:tc>
        <w:tc>
          <w:tcPr>
            <w:tcW w:w="736" w:type="dxa"/>
            <w:shd w:val="clear" w:color="auto" w:fill="auto"/>
            <w:textDirection w:val="lrTbV"/>
            <w:vAlign w:val="bottom"/>
          </w:tcPr>
          <w:p w14:paraId="57D8E283"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367698BA"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7ECDE8F0" w14:textId="77777777" w:rsidR="00B950FD" w:rsidRPr="002E07E7" w:rsidRDefault="00B950FD" w:rsidP="00B02DF3">
            <w:pPr>
              <w:spacing w:before="40" w:after="40" w:line="220" w:lineRule="exact"/>
              <w:jc w:val="right"/>
              <w:rPr>
                <w:rFonts w:cs="Times New Roman"/>
                <w:sz w:val="16"/>
                <w:szCs w:val="16"/>
              </w:rPr>
            </w:pPr>
          </w:p>
        </w:tc>
        <w:tc>
          <w:tcPr>
            <w:tcW w:w="691" w:type="dxa"/>
            <w:shd w:val="clear" w:color="auto" w:fill="auto"/>
            <w:vAlign w:val="bottom"/>
          </w:tcPr>
          <w:p w14:paraId="3C6E496E" w14:textId="77777777" w:rsidR="00B950FD" w:rsidRPr="002E07E7" w:rsidRDefault="00B950FD" w:rsidP="00B02DF3">
            <w:pPr>
              <w:spacing w:before="40" w:after="40" w:line="220" w:lineRule="exact"/>
              <w:jc w:val="right"/>
              <w:rPr>
                <w:rFonts w:cs="Times New Roman"/>
                <w:sz w:val="16"/>
                <w:szCs w:val="16"/>
              </w:rPr>
            </w:pPr>
          </w:p>
        </w:tc>
        <w:tc>
          <w:tcPr>
            <w:tcW w:w="668" w:type="dxa"/>
            <w:shd w:val="clear" w:color="auto" w:fill="auto"/>
            <w:vAlign w:val="bottom"/>
          </w:tcPr>
          <w:p w14:paraId="6E03DFBE"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25AB739C" w14:textId="77777777" w:rsidR="00B950FD" w:rsidRPr="002E07E7" w:rsidRDefault="00B950FD" w:rsidP="00B02DF3">
            <w:pPr>
              <w:spacing w:before="40" w:after="40" w:line="220" w:lineRule="exact"/>
              <w:jc w:val="right"/>
              <w:rPr>
                <w:rFonts w:cs="Times New Roman"/>
                <w:sz w:val="16"/>
                <w:szCs w:val="16"/>
              </w:rPr>
            </w:pPr>
          </w:p>
        </w:tc>
        <w:tc>
          <w:tcPr>
            <w:tcW w:w="992" w:type="dxa"/>
            <w:shd w:val="clear" w:color="auto" w:fill="auto"/>
            <w:vAlign w:val="bottom"/>
          </w:tcPr>
          <w:p w14:paraId="3D7EFD9D" w14:textId="77777777" w:rsidR="00B950FD" w:rsidRPr="002E07E7" w:rsidRDefault="00B950FD" w:rsidP="00B02DF3">
            <w:pPr>
              <w:spacing w:before="40" w:after="40" w:line="220" w:lineRule="exact"/>
              <w:jc w:val="right"/>
              <w:rPr>
                <w:rFonts w:cs="Times New Roman"/>
                <w:sz w:val="16"/>
                <w:szCs w:val="16"/>
              </w:rPr>
            </w:pPr>
          </w:p>
        </w:tc>
        <w:tc>
          <w:tcPr>
            <w:tcW w:w="700" w:type="dxa"/>
            <w:shd w:val="clear" w:color="auto" w:fill="auto"/>
            <w:vAlign w:val="bottom"/>
          </w:tcPr>
          <w:p w14:paraId="4BD456FC" w14:textId="77777777" w:rsidR="00B950FD" w:rsidRPr="002E07E7" w:rsidRDefault="00B950FD" w:rsidP="00B02DF3">
            <w:pPr>
              <w:spacing w:before="40" w:after="40" w:line="220" w:lineRule="exact"/>
              <w:jc w:val="right"/>
              <w:rPr>
                <w:rFonts w:cs="Times New Roman"/>
                <w:sz w:val="16"/>
                <w:szCs w:val="16"/>
              </w:rPr>
            </w:pPr>
          </w:p>
        </w:tc>
        <w:tc>
          <w:tcPr>
            <w:tcW w:w="801" w:type="dxa"/>
            <w:shd w:val="clear" w:color="auto" w:fill="auto"/>
            <w:vAlign w:val="bottom"/>
          </w:tcPr>
          <w:p w14:paraId="2C19F16B" w14:textId="77777777" w:rsidR="00B950FD" w:rsidRPr="002E07E7" w:rsidRDefault="00B950FD" w:rsidP="00B02DF3">
            <w:pPr>
              <w:spacing w:before="40" w:after="40" w:line="220" w:lineRule="exact"/>
              <w:jc w:val="right"/>
              <w:rPr>
                <w:rFonts w:cs="Times New Roman"/>
                <w:sz w:val="16"/>
                <w:szCs w:val="16"/>
              </w:rPr>
            </w:pPr>
          </w:p>
        </w:tc>
        <w:tc>
          <w:tcPr>
            <w:tcW w:w="669" w:type="dxa"/>
            <w:shd w:val="clear" w:color="auto" w:fill="auto"/>
            <w:vAlign w:val="bottom"/>
          </w:tcPr>
          <w:p w14:paraId="7A4F509D"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4FD48075"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2650F839" w14:textId="77777777" w:rsidR="00B950FD" w:rsidRPr="002E07E7" w:rsidRDefault="00B950FD" w:rsidP="00B02DF3">
            <w:pPr>
              <w:spacing w:before="40" w:after="40" w:line="220" w:lineRule="exact"/>
              <w:jc w:val="right"/>
              <w:rPr>
                <w:rFonts w:cs="Times New Roman"/>
                <w:sz w:val="16"/>
                <w:szCs w:val="16"/>
              </w:rPr>
            </w:pPr>
          </w:p>
        </w:tc>
        <w:tc>
          <w:tcPr>
            <w:tcW w:w="919" w:type="dxa"/>
            <w:shd w:val="clear" w:color="auto" w:fill="auto"/>
            <w:vAlign w:val="bottom"/>
          </w:tcPr>
          <w:p w14:paraId="0B4F75E2"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026A040C" w14:textId="77777777" w:rsidR="00B950FD" w:rsidRPr="002E07E7" w:rsidRDefault="00B950FD" w:rsidP="00B02DF3">
            <w:pPr>
              <w:spacing w:before="40" w:after="40" w:line="220" w:lineRule="exact"/>
              <w:jc w:val="right"/>
              <w:rPr>
                <w:rFonts w:cs="Times New Roman"/>
                <w:sz w:val="16"/>
                <w:szCs w:val="16"/>
              </w:rPr>
            </w:pPr>
          </w:p>
        </w:tc>
        <w:tc>
          <w:tcPr>
            <w:tcW w:w="1004" w:type="dxa"/>
            <w:shd w:val="clear" w:color="auto" w:fill="auto"/>
            <w:textDirection w:val="lrTbV"/>
            <w:vAlign w:val="bottom"/>
          </w:tcPr>
          <w:p w14:paraId="3829E287" w14:textId="77777777" w:rsidR="00B950FD" w:rsidRPr="002E07E7" w:rsidRDefault="00B950FD" w:rsidP="00B02DF3">
            <w:pPr>
              <w:spacing w:before="40" w:after="40" w:line="220" w:lineRule="exact"/>
              <w:jc w:val="right"/>
              <w:rPr>
                <w:rFonts w:cs="Times New Roman"/>
                <w:sz w:val="16"/>
                <w:szCs w:val="16"/>
              </w:rPr>
            </w:pPr>
            <w:r w:rsidRPr="00393E70">
              <w:rPr>
                <w:rFonts w:cs="Times New Roman"/>
                <w:sz w:val="16"/>
                <w:szCs w:val="16"/>
              </w:rPr>
              <w:t>~</w:t>
            </w:r>
            <w:r w:rsidRPr="002E07E7">
              <w:rPr>
                <w:rFonts w:cs="Times New Roman"/>
                <w:sz w:val="16"/>
                <w:szCs w:val="16"/>
              </w:rPr>
              <w:t>20 в год</w:t>
            </w:r>
          </w:p>
        </w:tc>
        <w:tc>
          <w:tcPr>
            <w:tcW w:w="807" w:type="dxa"/>
            <w:shd w:val="clear" w:color="auto" w:fill="auto"/>
            <w:textDirection w:val="lrTbV"/>
            <w:vAlign w:val="bottom"/>
          </w:tcPr>
          <w:p w14:paraId="39E4284B"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E</w:t>
            </w:r>
          </w:p>
        </w:tc>
      </w:tr>
      <w:tr w:rsidR="00B950FD" w:rsidRPr="00FD0920" w14:paraId="1B7B40F2" w14:textId="77777777" w:rsidTr="00B02DF3">
        <w:tc>
          <w:tcPr>
            <w:tcW w:w="1595" w:type="dxa"/>
            <w:shd w:val="clear" w:color="auto" w:fill="auto"/>
            <w:vAlign w:val="bottom"/>
          </w:tcPr>
          <w:p w14:paraId="4076483D"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Финляндия</w:t>
            </w:r>
          </w:p>
        </w:tc>
        <w:tc>
          <w:tcPr>
            <w:tcW w:w="736" w:type="dxa"/>
            <w:shd w:val="clear" w:color="auto" w:fill="auto"/>
            <w:textDirection w:val="lrTbV"/>
            <w:vAlign w:val="bottom"/>
          </w:tcPr>
          <w:p w14:paraId="14BE209C"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01" w:type="dxa"/>
            <w:shd w:val="clear" w:color="auto" w:fill="auto"/>
            <w:vAlign w:val="bottom"/>
          </w:tcPr>
          <w:p w14:paraId="5CF5B472"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591866F5"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91" w:type="dxa"/>
            <w:shd w:val="clear" w:color="auto" w:fill="auto"/>
            <w:vAlign w:val="bottom"/>
          </w:tcPr>
          <w:p w14:paraId="1832B446" w14:textId="77777777" w:rsidR="00B950FD" w:rsidRPr="002E07E7" w:rsidRDefault="00B950FD" w:rsidP="00B02DF3">
            <w:pPr>
              <w:spacing w:before="40" w:after="40" w:line="220" w:lineRule="exact"/>
              <w:jc w:val="right"/>
              <w:rPr>
                <w:rFonts w:cs="Times New Roman"/>
                <w:sz w:val="16"/>
                <w:szCs w:val="16"/>
              </w:rPr>
            </w:pPr>
          </w:p>
        </w:tc>
        <w:tc>
          <w:tcPr>
            <w:tcW w:w="668" w:type="dxa"/>
            <w:shd w:val="clear" w:color="auto" w:fill="auto"/>
            <w:vAlign w:val="bottom"/>
          </w:tcPr>
          <w:p w14:paraId="6C3AB127"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22AB0933"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992" w:type="dxa"/>
            <w:shd w:val="clear" w:color="auto" w:fill="auto"/>
            <w:vAlign w:val="bottom"/>
          </w:tcPr>
          <w:p w14:paraId="168CAFE3"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30/0/1</w:t>
            </w:r>
          </w:p>
        </w:tc>
        <w:tc>
          <w:tcPr>
            <w:tcW w:w="700" w:type="dxa"/>
            <w:shd w:val="clear" w:color="auto" w:fill="auto"/>
            <w:vAlign w:val="bottom"/>
          </w:tcPr>
          <w:p w14:paraId="2E446072"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801" w:type="dxa"/>
            <w:shd w:val="clear" w:color="auto" w:fill="auto"/>
            <w:vAlign w:val="bottom"/>
          </w:tcPr>
          <w:p w14:paraId="1034CC1C"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29/0/1</w:t>
            </w:r>
          </w:p>
        </w:tc>
        <w:tc>
          <w:tcPr>
            <w:tcW w:w="669" w:type="dxa"/>
            <w:shd w:val="clear" w:color="auto" w:fill="auto"/>
            <w:vAlign w:val="bottom"/>
          </w:tcPr>
          <w:p w14:paraId="548707B7"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5B3FE480"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3D2DE75B"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3 500/3 500**/8</w:t>
            </w:r>
          </w:p>
        </w:tc>
        <w:tc>
          <w:tcPr>
            <w:tcW w:w="919" w:type="dxa"/>
            <w:shd w:val="clear" w:color="auto" w:fill="auto"/>
            <w:vAlign w:val="bottom"/>
          </w:tcPr>
          <w:p w14:paraId="25115445"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24DA961D" w14:textId="77777777" w:rsidR="00B950FD" w:rsidRPr="002E07E7" w:rsidRDefault="00B950FD" w:rsidP="00B02DF3">
            <w:pPr>
              <w:spacing w:before="40" w:after="40" w:line="220" w:lineRule="exact"/>
              <w:jc w:val="right"/>
              <w:rPr>
                <w:rFonts w:cs="Times New Roman"/>
                <w:sz w:val="16"/>
                <w:szCs w:val="16"/>
              </w:rPr>
            </w:pPr>
          </w:p>
        </w:tc>
        <w:tc>
          <w:tcPr>
            <w:tcW w:w="1004" w:type="dxa"/>
            <w:shd w:val="clear" w:color="auto" w:fill="auto"/>
            <w:textDirection w:val="lrTbV"/>
            <w:vAlign w:val="bottom"/>
          </w:tcPr>
          <w:p w14:paraId="70BD8F1A"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3327DDF8"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E</w:t>
            </w:r>
          </w:p>
        </w:tc>
      </w:tr>
      <w:tr w:rsidR="00B950FD" w:rsidRPr="00FD0920" w14:paraId="75AB1D47" w14:textId="77777777" w:rsidTr="00B02DF3">
        <w:tc>
          <w:tcPr>
            <w:tcW w:w="1595" w:type="dxa"/>
            <w:shd w:val="clear" w:color="auto" w:fill="auto"/>
            <w:vAlign w:val="bottom"/>
          </w:tcPr>
          <w:p w14:paraId="62775330"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Венгрия</w:t>
            </w:r>
          </w:p>
        </w:tc>
        <w:tc>
          <w:tcPr>
            <w:tcW w:w="736" w:type="dxa"/>
            <w:shd w:val="clear" w:color="auto" w:fill="auto"/>
            <w:textDirection w:val="lrTbV"/>
            <w:vAlign w:val="bottom"/>
          </w:tcPr>
          <w:p w14:paraId="16BF3906"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–/–/6</w:t>
            </w:r>
          </w:p>
        </w:tc>
        <w:tc>
          <w:tcPr>
            <w:tcW w:w="601" w:type="dxa"/>
            <w:shd w:val="clear" w:color="auto" w:fill="auto"/>
            <w:vAlign w:val="bottom"/>
          </w:tcPr>
          <w:p w14:paraId="40FB53D3"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–/–/5</w:t>
            </w:r>
          </w:p>
        </w:tc>
        <w:tc>
          <w:tcPr>
            <w:tcW w:w="643" w:type="dxa"/>
            <w:shd w:val="clear" w:color="auto" w:fill="auto"/>
            <w:vAlign w:val="bottom"/>
          </w:tcPr>
          <w:p w14:paraId="04CBABC9"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–/–/6</w:t>
            </w:r>
          </w:p>
        </w:tc>
        <w:tc>
          <w:tcPr>
            <w:tcW w:w="691" w:type="dxa"/>
            <w:shd w:val="clear" w:color="auto" w:fill="auto"/>
            <w:vAlign w:val="bottom"/>
          </w:tcPr>
          <w:p w14:paraId="1489E13D"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–/–/6</w:t>
            </w:r>
          </w:p>
        </w:tc>
        <w:tc>
          <w:tcPr>
            <w:tcW w:w="668" w:type="dxa"/>
            <w:shd w:val="clear" w:color="auto" w:fill="auto"/>
            <w:vAlign w:val="bottom"/>
          </w:tcPr>
          <w:p w14:paraId="0892A2E0"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–/–/6</w:t>
            </w:r>
          </w:p>
        </w:tc>
        <w:tc>
          <w:tcPr>
            <w:tcW w:w="850" w:type="dxa"/>
            <w:shd w:val="clear" w:color="auto" w:fill="auto"/>
            <w:vAlign w:val="bottom"/>
          </w:tcPr>
          <w:p w14:paraId="7C7F2A50"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–/–/8</w:t>
            </w:r>
          </w:p>
        </w:tc>
        <w:tc>
          <w:tcPr>
            <w:tcW w:w="992" w:type="dxa"/>
            <w:shd w:val="clear" w:color="auto" w:fill="auto"/>
            <w:vAlign w:val="bottom"/>
          </w:tcPr>
          <w:p w14:paraId="35872F15"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–/–/14</w:t>
            </w:r>
          </w:p>
        </w:tc>
        <w:tc>
          <w:tcPr>
            <w:tcW w:w="700" w:type="dxa"/>
            <w:shd w:val="clear" w:color="auto" w:fill="auto"/>
            <w:vAlign w:val="bottom"/>
          </w:tcPr>
          <w:p w14:paraId="1E260163"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–/–/6</w:t>
            </w:r>
          </w:p>
        </w:tc>
        <w:tc>
          <w:tcPr>
            <w:tcW w:w="801" w:type="dxa"/>
            <w:shd w:val="clear" w:color="auto" w:fill="auto"/>
            <w:vAlign w:val="bottom"/>
          </w:tcPr>
          <w:p w14:paraId="330FF4C1"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–/–/8</w:t>
            </w:r>
          </w:p>
        </w:tc>
        <w:tc>
          <w:tcPr>
            <w:tcW w:w="669" w:type="dxa"/>
            <w:shd w:val="clear" w:color="auto" w:fill="auto"/>
            <w:vAlign w:val="bottom"/>
          </w:tcPr>
          <w:p w14:paraId="062D5606"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–/–/5</w:t>
            </w:r>
          </w:p>
        </w:tc>
        <w:tc>
          <w:tcPr>
            <w:tcW w:w="601" w:type="dxa"/>
            <w:shd w:val="clear" w:color="auto" w:fill="auto"/>
            <w:vAlign w:val="bottom"/>
          </w:tcPr>
          <w:p w14:paraId="1449E9B7"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–/–/7</w:t>
            </w:r>
          </w:p>
        </w:tc>
        <w:tc>
          <w:tcPr>
            <w:tcW w:w="1218" w:type="dxa"/>
            <w:shd w:val="clear" w:color="auto" w:fill="auto"/>
            <w:vAlign w:val="bottom"/>
          </w:tcPr>
          <w:p w14:paraId="7297DA88"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–/–/6</w:t>
            </w:r>
          </w:p>
        </w:tc>
        <w:tc>
          <w:tcPr>
            <w:tcW w:w="919" w:type="dxa"/>
            <w:shd w:val="clear" w:color="auto" w:fill="auto"/>
            <w:vAlign w:val="bottom"/>
          </w:tcPr>
          <w:p w14:paraId="46A7976E"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–/–/5</w:t>
            </w:r>
          </w:p>
        </w:tc>
        <w:tc>
          <w:tcPr>
            <w:tcW w:w="652" w:type="dxa"/>
            <w:shd w:val="clear" w:color="auto" w:fill="auto"/>
            <w:vAlign w:val="bottom"/>
          </w:tcPr>
          <w:p w14:paraId="266932E6" w14:textId="77777777" w:rsidR="00B950FD" w:rsidRPr="002E07E7" w:rsidRDefault="00B950FD" w:rsidP="00B02DF3">
            <w:pPr>
              <w:spacing w:before="40" w:after="40" w:line="220" w:lineRule="exact"/>
              <w:jc w:val="right"/>
              <w:rPr>
                <w:rFonts w:cs="Times New Roman"/>
                <w:sz w:val="16"/>
                <w:szCs w:val="16"/>
              </w:rPr>
            </w:pPr>
          </w:p>
        </w:tc>
        <w:tc>
          <w:tcPr>
            <w:tcW w:w="1004" w:type="dxa"/>
            <w:shd w:val="clear" w:color="auto" w:fill="auto"/>
            <w:textDirection w:val="lrTbV"/>
            <w:vAlign w:val="bottom"/>
          </w:tcPr>
          <w:p w14:paraId="2CD27686"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2119CBC6"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E</w:t>
            </w:r>
          </w:p>
        </w:tc>
      </w:tr>
      <w:tr w:rsidR="00B950FD" w:rsidRPr="00FD0920" w14:paraId="7D417193" w14:textId="77777777" w:rsidTr="00B02DF3">
        <w:tc>
          <w:tcPr>
            <w:tcW w:w="1595" w:type="dxa"/>
            <w:shd w:val="clear" w:color="auto" w:fill="auto"/>
            <w:vAlign w:val="bottom"/>
          </w:tcPr>
          <w:p w14:paraId="408F2F65"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 xml:space="preserve">Латвия </w:t>
            </w:r>
          </w:p>
        </w:tc>
        <w:tc>
          <w:tcPr>
            <w:tcW w:w="736" w:type="dxa"/>
            <w:shd w:val="clear" w:color="auto" w:fill="auto"/>
            <w:textDirection w:val="lrTbV"/>
            <w:vAlign w:val="bottom"/>
          </w:tcPr>
          <w:p w14:paraId="501A003F"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10884077"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561DC4F5" w14:textId="77777777" w:rsidR="00B950FD" w:rsidRPr="002E07E7" w:rsidRDefault="00B950FD" w:rsidP="00B02DF3">
            <w:pPr>
              <w:spacing w:before="40" w:after="40" w:line="220" w:lineRule="exact"/>
              <w:jc w:val="right"/>
              <w:rPr>
                <w:rFonts w:cs="Times New Roman"/>
                <w:sz w:val="16"/>
                <w:szCs w:val="16"/>
              </w:rPr>
            </w:pPr>
          </w:p>
        </w:tc>
        <w:tc>
          <w:tcPr>
            <w:tcW w:w="691" w:type="dxa"/>
            <w:shd w:val="clear" w:color="auto" w:fill="auto"/>
            <w:vAlign w:val="bottom"/>
          </w:tcPr>
          <w:p w14:paraId="4F19DFE4"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68" w:type="dxa"/>
            <w:shd w:val="clear" w:color="auto" w:fill="auto"/>
            <w:vAlign w:val="bottom"/>
          </w:tcPr>
          <w:p w14:paraId="2EAF1575"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850" w:type="dxa"/>
            <w:shd w:val="clear" w:color="auto" w:fill="auto"/>
            <w:vAlign w:val="bottom"/>
          </w:tcPr>
          <w:p w14:paraId="0DD6E500"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992" w:type="dxa"/>
            <w:shd w:val="clear" w:color="auto" w:fill="auto"/>
            <w:vAlign w:val="bottom"/>
          </w:tcPr>
          <w:p w14:paraId="081BED05"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9/0/9</w:t>
            </w:r>
          </w:p>
        </w:tc>
        <w:tc>
          <w:tcPr>
            <w:tcW w:w="700" w:type="dxa"/>
            <w:shd w:val="clear" w:color="auto" w:fill="auto"/>
            <w:vAlign w:val="bottom"/>
          </w:tcPr>
          <w:p w14:paraId="32609F40"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801" w:type="dxa"/>
            <w:shd w:val="clear" w:color="auto" w:fill="auto"/>
            <w:vAlign w:val="bottom"/>
          </w:tcPr>
          <w:p w14:paraId="3FCA2A33"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69" w:type="dxa"/>
            <w:shd w:val="clear" w:color="auto" w:fill="auto"/>
            <w:vAlign w:val="bottom"/>
          </w:tcPr>
          <w:p w14:paraId="49C1B919"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27E6D45E"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5D6DDD48"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48/48/0</w:t>
            </w:r>
          </w:p>
        </w:tc>
        <w:tc>
          <w:tcPr>
            <w:tcW w:w="919" w:type="dxa"/>
            <w:shd w:val="clear" w:color="auto" w:fill="auto"/>
            <w:vAlign w:val="bottom"/>
          </w:tcPr>
          <w:p w14:paraId="5ACF09C4"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53B692A6" w14:textId="77777777" w:rsidR="00B950FD" w:rsidRPr="002E07E7" w:rsidRDefault="00B950FD" w:rsidP="00B02DF3">
            <w:pPr>
              <w:spacing w:before="40" w:after="40" w:line="220" w:lineRule="exact"/>
              <w:jc w:val="right"/>
              <w:rPr>
                <w:rFonts w:cs="Times New Roman"/>
                <w:sz w:val="16"/>
                <w:szCs w:val="16"/>
              </w:rPr>
            </w:pPr>
          </w:p>
        </w:tc>
        <w:tc>
          <w:tcPr>
            <w:tcW w:w="1004" w:type="dxa"/>
            <w:shd w:val="clear" w:color="auto" w:fill="auto"/>
            <w:textDirection w:val="lrTbV"/>
            <w:vAlign w:val="bottom"/>
          </w:tcPr>
          <w:p w14:paraId="1E24BA1B"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02046272"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S</w:t>
            </w:r>
          </w:p>
        </w:tc>
      </w:tr>
      <w:tr w:rsidR="00B950FD" w:rsidRPr="00FD0920" w14:paraId="558CCD16" w14:textId="77777777" w:rsidTr="00B02DF3">
        <w:tc>
          <w:tcPr>
            <w:tcW w:w="1595" w:type="dxa"/>
            <w:shd w:val="clear" w:color="auto" w:fill="auto"/>
            <w:vAlign w:val="bottom"/>
          </w:tcPr>
          <w:p w14:paraId="52AEFD27"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Литва</w:t>
            </w:r>
          </w:p>
        </w:tc>
        <w:tc>
          <w:tcPr>
            <w:tcW w:w="736" w:type="dxa"/>
            <w:shd w:val="clear" w:color="auto" w:fill="auto"/>
            <w:textDirection w:val="lrTbV"/>
            <w:vAlign w:val="bottom"/>
          </w:tcPr>
          <w:p w14:paraId="1E32AF8A"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601" w:type="dxa"/>
            <w:shd w:val="clear" w:color="auto" w:fill="auto"/>
            <w:vAlign w:val="bottom"/>
          </w:tcPr>
          <w:p w14:paraId="198509F7"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1FDC117D"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691" w:type="dxa"/>
            <w:shd w:val="clear" w:color="auto" w:fill="auto"/>
            <w:vAlign w:val="bottom"/>
          </w:tcPr>
          <w:p w14:paraId="5897AA32"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–/–/3</w:t>
            </w:r>
          </w:p>
        </w:tc>
        <w:tc>
          <w:tcPr>
            <w:tcW w:w="668" w:type="dxa"/>
            <w:shd w:val="clear" w:color="auto" w:fill="auto"/>
            <w:vAlign w:val="bottom"/>
          </w:tcPr>
          <w:p w14:paraId="4D692C6F"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56DA8A38"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w:t>
            </w:r>
          </w:p>
        </w:tc>
        <w:tc>
          <w:tcPr>
            <w:tcW w:w="992" w:type="dxa"/>
            <w:shd w:val="clear" w:color="auto" w:fill="auto"/>
            <w:vAlign w:val="bottom"/>
          </w:tcPr>
          <w:p w14:paraId="18F575C4"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–/–/4</w:t>
            </w:r>
          </w:p>
        </w:tc>
        <w:tc>
          <w:tcPr>
            <w:tcW w:w="700" w:type="dxa"/>
            <w:shd w:val="clear" w:color="auto" w:fill="auto"/>
            <w:vAlign w:val="bottom"/>
          </w:tcPr>
          <w:p w14:paraId="1BB39781"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801" w:type="dxa"/>
            <w:shd w:val="clear" w:color="auto" w:fill="auto"/>
            <w:vAlign w:val="bottom"/>
          </w:tcPr>
          <w:p w14:paraId="53C7E549" w14:textId="77777777" w:rsidR="00B950FD" w:rsidRPr="002E07E7" w:rsidRDefault="00B950FD" w:rsidP="00B02DF3">
            <w:pPr>
              <w:spacing w:before="40" w:after="40" w:line="220" w:lineRule="exact"/>
              <w:jc w:val="right"/>
              <w:rPr>
                <w:rFonts w:cs="Times New Roman"/>
                <w:sz w:val="16"/>
                <w:szCs w:val="16"/>
              </w:rPr>
            </w:pPr>
          </w:p>
        </w:tc>
        <w:tc>
          <w:tcPr>
            <w:tcW w:w="669" w:type="dxa"/>
            <w:shd w:val="clear" w:color="auto" w:fill="auto"/>
            <w:vAlign w:val="bottom"/>
          </w:tcPr>
          <w:p w14:paraId="36B40EEA"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34AD0857"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6D25C992"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–/305/2</w:t>
            </w:r>
          </w:p>
        </w:tc>
        <w:tc>
          <w:tcPr>
            <w:tcW w:w="919" w:type="dxa"/>
            <w:shd w:val="clear" w:color="auto" w:fill="auto"/>
            <w:vAlign w:val="bottom"/>
          </w:tcPr>
          <w:p w14:paraId="5DB2C951"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2EE21C31"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1004" w:type="dxa"/>
            <w:shd w:val="clear" w:color="auto" w:fill="auto"/>
            <w:textDirection w:val="lrTbV"/>
            <w:vAlign w:val="bottom"/>
          </w:tcPr>
          <w:p w14:paraId="33604FA1"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360/345/15</w:t>
            </w:r>
          </w:p>
        </w:tc>
        <w:tc>
          <w:tcPr>
            <w:tcW w:w="807" w:type="dxa"/>
            <w:shd w:val="clear" w:color="auto" w:fill="auto"/>
            <w:textDirection w:val="lrTbV"/>
            <w:vAlign w:val="bottom"/>
          </w:tcPr>
          <w:p w14:paraId="10DBA670" w14:textId="77777777" w:rsidR="00B950FD" w:rsidRPr="002E07E7" w:rsidRDefault="00B950FD" w:rsidP="00B02DF3">
            <w:pPr>
              <w:spacing w:before="40" w:after="40" w:line="220" w:lineRule="exact"/>
              <w:jc w:val="right"/>
              <w:rPr>
                <w:rFonts w:cs="Times New Roman"/>
                <w:sz w:val="16"/>
                <w:szCs w:val="16"/>
              </w:rPr>
            </w:pPr>
          </w:p>
        </w:tc>
      </w:tr>
      <w:tr w:rsidR="00B950FD" w:rsidRPr="00FD0920" w14:paraId="72158B31" w14:textId="77777777" w:rsidTr="00B02DF3">
        <w:tc>
          <w:tcPr>
            <w:tcW w:w="1595" w:type="dxa"/>
            <w:shd w:val="clear" w:color="auto" w:fill="auto"/>
            <w:vAlign w:val="bottom"/>
          </w:tcPr>
          <w:p w14:paraId="15A499E4"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Люксембург</w:t>
            </w:r>
          </w:p>
        </w:tc>
        <w:tc>
          <w:tcPr>
            <w:tcW w:w="736" w:type="dxa"/>
            <w:shd w:val="clear" w:color="auto" w:fill="auto"/>
            <w:textDirection w:val="lrTbV"/>
            <w:vAlign w:val="bottom"/>
          </w:tcPr>
          <w:p w14:paraId="66B06B96"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 xml:space="preserve">1/0/1 </w:t>
            </w:r>
          </w:p>
        </w:tc>
        <w:tc>
          <w:tcPr>
            <w:tcW w:w="601" w:type="dxa"/>
            <w:shd w:val="clear" w:color="auto" w:fill="auto"/>
            <w:vAlign w:val="bottom"/>
          </w:tcPr>
          <w:p w14:paraId="191C3655"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6A5D1060" w14:textId="77777777" w:rsidR="00B950FD" w:rsidRPr="002E07E7" w:rsidRDefault="00B950FD" w:rsidP="00B02DF3">
            <w:pPr>
              <w:spacing w:before="40" w:after="40" w:line="220" w:lineRule="exact"/>
              <w:jc w:val="right"/>
              <w:rPr>
                <w:rFonts w:cs="Times New Roman"/>
                <w:sz w:val="16"/>
                <w:szCs w:val="16"/>
              </w:rPr>
            </w:pPr>
          </w:p>
        </w:tc>
        <w:tc>
          <w:tcPr>
            <w:tcW w:w="691" w:type="dxa"/>
            <w:shd w:val="clear" w:color="auto" w:fill="auto"/>
            <w:vAlign w:val="bottom"/>
          </w:tcPr>
          <w:p w14:paraId="0F4A273E"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668" w:type="dxa"/>
            <w:shd w:val="clear" w:color="auto" w:fill="auto"/>
            <w:vAlign w:val="bottom"/>
          </w:tcPr>
          <w:p w14:paraId="2AD02C5F"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0F4310DB" w14:textId="77777777" w:rsidR="00B950FD" w:rsidRPr="002E07E7" w:rsidRDefault="00B950FD" w:rsidP="00B02DF3">
            <w:pPr>
              <w:spacing w:before="40" w:after="40" w:line="220" w:lineRule="exact"/>
              <w:jc w:val="right"/>
              <w:rPr>
                <w:rFonts w:cs="Times New Roman"/>
                <w:sz w:val="16"/>
                <w:szCs w:val="16"/>
              </w:rPr>
            </w:pPr>
          </w:p>
        </w:tc>
        <w:tc>
          <w:tcPr>
            <w:tcW w:w="992" w:type="dxa"/>
            <w:shd w:val="clear" w:color="auto" w:fill="auto"/>
            <w:vAlign w:val="bottom"/>
          </w:tcPr>
          <w:p w14:paraId="1AEA5AF5" w14:textId="77777777" w:rsidR="00B950FD" w:rsidRPr="002E07E7" w:rsidRDefault="00B950FD" w:rsidP="00B02DF3">
            <w:pPr>
              <w:spacing w:before="40" w:after="40" w:line="220" w:lineRule="exact"/>
              <w:jc w:val="right"/>
              <w:rPr>
                <w:rFonts w:cs="Times New Roman"/>
                <w:sz w:val="16"/>
                <w:szCs w:val="16"/>
              </w:rPr>
            </w:pPr>
          </w:p>
        </w:tc>
        <w:tc>
          <w:tcPr>
            <w:tcW w:w="700" w:type="dxa"/>
            <w:shd w:val="clear" w:color="auto" w:fill="auto"/>
            <w:vAlign w:val="bottom"/>
          </w:tcPr>
          <w:p w14:paraId="2BB021BA"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801" w:type="dxa"/>
            <w:shd w:val="clear" w:color="auto" w:fill="auto"/>
            <w:vAlign w:val="bottom"/>
          </w:tcPr>
          <w:p w14:paraId="1F0AA34E" w14:textId="77777777" w:rsidR="00B950FD" w:rsidRPr="002E07E7" w:rsidRDefault="00B950FD" w:rsidP="00B02DF3">
            <w:pPr>
              <w:spacing w:before="40" w:after="40" w:line="220" w:lineRule="exact"/>
              <w:jc w:val="right"/>
              <w:rPr>
                <w:rFonts w:cs="Times New Roman"/>
                <w:sz w:val="16"/>
                <w:szCs w:val="16"/>
              </w:rPr>
            </w:pPr>
          </w:p>
        </w:tc>
        <w:tc>
          <w:tcPr>
            <w:tcW w:w="669" w:type="dxa"/>
            <w:shd w:val="clear" w:color="auto" w:fill="auto"/>
            <w:vAlign w:val="bottom"/>
          </w:tcPr>
          <w:p w14:paraId="7627ACCB"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6B1CD032"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4B6BF018"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86/83/3</w:t>
            </w:r>
          </w:p>
        </w:tc>
        <w:tc>
          <w:tcPr>
            <w:tcW w:w="919" w:type="dxa"/>
            <w:shd w:val="clear" w:color="auto" w:fill="auto"/>
            <w:vAlign w:val="bottom"/>
          </w:tcPr>
          <w:p w14:paraId="06E6B226"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5B4CFEB8"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1004" w:type="dxa"/>
            <w:shd w:val="clear" w:color="auto" w:fill="auto"/>
            <w:textDirection w:val="lrTbV"/>
            <w:vAlign w:val="bottom"/>
          </w:tcPr>
          <w:p w14:paraId="33D4CB69"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058C4A93"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S</w:t>
            </w:r>
          </w:p>
        </w:tc>
      </w:tr>
      <w:tr w:rsidR="00B950FD" w:rsidRPr="00FD0920" w14:paraId="51E25BD1" w14:textId="77777777" w:rsidTr="00B02DF3">
        <w:tc>
          <w:tcPr>
            <w:tcW w:w="1595" w:type="dxa"/>
            <w:shd w:val="clear" w:color="auto" w:fill="auto"/>
            <w:vAlign w:val="bottom"/>
          </w:tcPr>
          <w:p w14:paraId="3F89D3EE"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Мальта</w:t>
            </w:r>
          </w:p>
        </w:tc>
        <w:tc>
          <w:tcPr>
            <w:tcW w:w="736" w:type="dxa"/>
            <w:shd w:val="clear" w:color="auto" w:fill="auto"/>
            <w:textDirection w:val="lrTbV"/>
            <w:vAlign w:val="bottom"/>
          </w:tcPr>
          <w:p w14:paraId="2594387D"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4247E3E2"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5AFE3216" w14:textId="77777777" w:rsidR="00B950FD" w:rsidRPr="002E07E7" w:rsidRDefault="00B950FD" w:rsidP="00B02DF3">
            <w:pPr>
              <w:spacing w:before="40" w:after="40" w:line="220" w:lineRule="exact"/>
              <w:jc w:val="right"/>
              <w:rPr>
                <w:rFonts w:cs="Times New Roman"/>
                <w:sz w:val="16"/>
                <w:szCs w:val="16"/>
              </w:rPr>
            </w:pPr>
          </w:p>
        </w:tc>
        <w:tc>
          <w:tcPr>
            <w:tcW w:w="691" w:type="dxa"/>
            <w:shd w:val="clear" w:color="auto" w:fill="auto"/>
            <w:vAlign w:val="bottom"/>
          </w:tcPr>
          <w:p w14:paraId="64D45FCA"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2/0/2</w:t>
            </w:r>
          </w:p>
        </w:tc>
        <w:tc>
          <w:tcPr>
            <w:tcW w:w="668" w:type="dxa"/>
            <w:shd w:val="clear" w:color="auto" w:fill="auto"/>
            <w:vAlign w:val="bottom"/>
          </w:tcPr>
          <w:p w14:paraId="426BB481"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38F896D3" w14:textId="77777777" w:rsidR="00B950FD" w:rsidRPr="002E07E7" w:rsidRDefault="00B950FD" w:rsidP="00B02DF3">
            <w:pPr>
              <w:spacing w:before="40" w:after="40" w:line="220" w:lineRule="exact"/>
              <w:jc w:val="right"/>
              <w:rPr>
                <w:rFonts w:cs="Times New Roman"/>
                <w:sz w:val="16"/>
                <w:szCs w:val="16"/>
              </w:rPr>
            </w:pPr>
          </w:p>
        </w:tc>
        <w:tc>
          <w:tcPr>
            <w:tcW w:w="992" w:type="dxa"/>
            <w:shd w:val="clear" w:color="auto" w:fill="auto"/>
            <w:vAlign w:val="bottom"/>
          </w:tcPr>
          <w:p w14:paraId="33BEEDF3" w14:textId="77777777" w:rsidR="00B950FD" w:rsidRPr="002E07E7" w:rsidRDefault="00B950FD" w:rsidP="00B02DF3">
            <w:pPr>
              <w:spacing w:before="40" w:after="40" w:line="220" w:lineRule="exact"/>
              <w:jc w:val="right"/>
              <w:rPr>
                <w:rFonts w:cs="Times New Roman"/>
                <w:sz w:val="16"/>
                <w:szCs w:val="16"/>
              </w:rPr>
            </w:pPr>
          </w:p>
        </w:tc>
        <w:tc>
          <w:tcPr>
            <w:tcW w:w="700" w:type="dxa"/>
            <w:shd w:val="clear" w:color="auto" w:fill="auto"/>
            <w:vAlign w:val="bottom"/>
          </w:tcPr>
          <w:p w14:paraId="3EBB6030" w14:textId="77777777" w:rsidR="00B950FD" w:rsidRPr="002E07E7" w:rsidRDefault="00B950FD" w:rsidP="00B02DF3">
            <w:pPr>
              <w:spacing w:before="40" w:after="40" w:line="220" w:lineRule="exact"/>
              <w:jc w:val="right"/>
              <w:rPr>
                <w:rFonts w:cs="Times New Roman"/>
                <w:sz w:val="16"/>
                <w:szCs w:val="16"/>
              </w:rPr>
            </w:pPr>
          </w:p>
        </w:tc>
        <w:tc>
          <w:tcPr>
            <w:tcW w:w="801" w:type="dxa"/>
            <w:shd w:val="clear" w:color="auto" w:fill="auto"/>
            <w:vAlign w:val="bottom"/>
          </w:tcPr>
          <w:p w14:paraId="3565F445"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69" w:type="dxa"/>
            <w:shd w:val="clear" w:color="auto" w:fill="auto"/>
            <w:vAlign w:val="bottom"/>
          </w:tcPr>
          <w:p w14:paraId="2358C4F3"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1F885580"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4C44E452" w14:textId="77777777" w:rsidR="00B950FD" w:rsidRPr="002E07E7" w:rsidRDefault="00B950FD" w:rsidP="00B02DF3">
            <w:pPr>
              <w:spacing w:before="40" w:after="40" w:line="220" w:lineRule="exact"/>
              <w:jc w:val="right"/>
              <w:rPr>
                <w:rFonts w:cs="Times New Roman"/>
                <w:sz w:val="16"/>
                <w:szCs w:val="16"/>
              </w:rPr>
            </w:pPr>
          </w:p>
        </w:tc>
        <w:tc>
          <w:tcPr>
            <w:tcW w:w="919" w:type="dxa"/>
            <w:shd w:val="clear" w:color="auto" w:fill="auto"/>
            <w:vAlign w:val="bottom"/>
          </w:tcPr>
          <w:p w14:paraId="09F7E8F2"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06B04683"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1004" w:type="dxa"/>
            <w:shd w:val="clear" w:color="auto" w:fill="auto"/>
            <w:textDirection w:val="lrTbV"/>
            <w:vAlign w:val="bottom"/>
          </w:tcPr>
          <w:p w14:paraId="338DC4B7"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60C07200"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E</w:t>
            </w:r>
          </w:p>
        </w:tc>
      </w:tr>
      <w:tr w:rsidR="00B950FD" w:rsidRPr="00FD0920" w14:paraId="3A59F25E" w14:textId="77777777" w:rsidTr="00B02DF3">
        <w:tc>
          <w:tcPr>
            <w:tcW w:w="1595" w:type="dxa"/>
            <w:shd w:val="clear" w:color="auto" w:fill="auto"/>
            <w:vAlign w:val="bottom"/>
          </w:tcPr>
          <w:p w14:paraId="73E93764"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Черногория</w:t>
            </w:r>
          </w:p>
        </w:tc>
        <w:tc>
          <w:tcPr>
            <w:tcW w:w="736" w:type="dxa"/>
            <w:shd w:val="clear" w:color="auto" w:fill="auto"/>
            <w:textDirection w:val="lrTbV"/>
            <w:vAlign w:val="bottom"/>
          </w:tcPr>
          <w:p w14:paraId="54FEE8B2"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5231C7C2"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5AC9482C" w14:textId="77777777" w:rsidR="00B950FD" w:rsidRPr="002E07E7" w:rsidRDefault="00B950FD" w:rsidP="00B02DF3">
            <w:pPr>
              <w:spacing w:before="40" w:after="40" w:line="220" w:lineRule="exact"/>
              <w:jc w:val="right"/>
              <w:rPr>
                <w:rFonts w:cs="Times New Roman"/>
                <w:sz w:val="16"/>
                <w:szCs w:val="16"/>
              </w:rPr>
            </w:pPr>
          </w:p>
        </w:tc>
        <w:tc>
          <w:tcPr>
            <w:tcW w:w="691" w:type="dxa"/>
            <w:shd w:val="clear" w:color="auto" w:fill="auto"/>
            <w:vAlign w:val="bottom"/>
          </w:tcPr>
          <w:p w14:paraId="76E2B2FF" w14:textId="77777777" w:rsidR="00B950FD" w:rsidRPr="002E07E7" w:rsidRDefault="00B950FD" w:rsidP="00B02DF3">
            <w:pPr>
              <w:spacing w:before="40" w:after="40" w:line="220" w:lineRule="exact"/>
              <w:jc w:val="right"/>
              <w:rPr>
                <w:rFonts w:cs="Times New Roman"/>
                <w:sz w:val="16"/>
                <w:szCs w:val="16"/>
              </w:rPr>
            </w:pPr>
          </w:p>
        </w:tc>
        <w:tc>
          <w:tcPr>
            <w:tcW w:w="668" w:type="dxa"/>
            <w:shd w:val="clear" w:color="auto" w:fill="auto"/>
            <w:vAlign w:val="bottom"/>
          </w:tcPr>
          <w:p w14:paraId="71F9D9DE"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192815F5" w14:textId="77777777" w:rsidR="00B950FD" w:rsidRPr="002E07E7" w:rsidRDefault="00B950FD" w:rsidP="00B02DF3">
            <w:pPr>
              <w:spacing w:before="40" w:after="40" w:line="220" w:lineRule="exact"/>
              <w:jc w:val="right"/>
              <w:rPr>
                <w:rFonts w:cs="Times New Roman"/>
                <w:sz w:val="16"/>
                <w:szCs w:val="16"/>
              </w:rPr>
            </w:pPr>
          </w:p>
        </w:tc>
        <w:tc>
          <w:tcPr>
            <w:tcW w:w="992" w:type="dxa"/>
            <w:shd w:val="clear" w:color="auto" w:fill="auto"/>
            <w:vAlign w:val="bottom"/>
          </w:tcPr>
          <w:p w14:paraId="31DF18AB" w14:textId="77777777" w:rsidR="00B950FD" w:rsidRPr="002E07E7" w:rsidRDefault="00B950FD" w:rsidP="00B02DF3">
            <w:pPr>
              <w:spacing w:before="40" w:after="40" w:line="220" w:lineRule="exact"/>
              <w:jc w:val="right"/>
              <w:rPr>
                <w:rFonts w:cs="Times New Roman"/>
                <w:sz w:val="16"/>
                <w:szCs w:val="16"/>
              </w:rPr>
            </w:pPr>
          </w:p>
        </w:tc>
        <w:tc>
          <w:tcPr>
            <w:tcW w:w="700" w:type="dxa"/>
            <w:shd w:val="clear" w:color="auto" w:fill="auto"/>
            <w:vAlign w:val="bottom"/>
          </w:tcPr>
          <w:p w14:paraId="56C22898" w14:textId="77777777" w:rsidR="00B950FD" w:rsidRPr="002E07E7" w:rsidRDefault="00B950FD" w:rsidP="00B02DF3">
            <w:pPr>
              <w:spacing w:before="40" w:after="40" w:line="220" w:lineRule="exact"/>
              <w:jc w:val="right"/>
              <w:rPr>
                <w:rFonts w:cs="Times New Roman"/>
                <w:sz w:val="16"/>
                <w:szCs w:val="16"/>
              </w:rPr>
            </w:pPr>
          </w:p>
        </w:tc>
        <w:tc>
          <w:tcPr>
            <w:tcW w:w="801" w:type="dxa"/>
            <w:shd w:val="clear" w:color="auto" w:fill="auto"/>
            <w:vAlign w:val="bottom"/>
          </w:tcPr>
          <w:p w14:paraId="719C2C34"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69" w:type="dxa"/>
            <w:shd w:val="clear" w:color="auto" w:fill="auto"/>
            <w:vAlign w:val="bottom"/>
          </w:tcPr>
          <w:p w14:paraId="0F58B0B1"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587F3C0F"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242FE969"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9/0/9</w:t>
            </w:r>
          </w:p>
        </w:tc>
        <w:tc>
          <w:tcPr>
            <w:tcW w:w="919" w:type="dxa"/>
            <w:shd w:val="clear" w:color="auto" w:fill="auto"/>
            <w:vAlign w:val="bottom"/>
          </w:tcPr>
          <w:p w14:paraId="5D1A3271"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510DF5F6" w14:textId="77777777" w:rsidR="00B950FD" w:rsidRPr="002E07E7" w:rsidRDefault="00B950FD" w:rsidP="00B02DF3">
            <w:pPr>
              <w:spacing w:before="40" w:after="40" w:line="220" w:lineRule="exact"/>
              <w:jc w:val="right"/>
              <w:rPr>
                <w:rFonts w:cs="Times New Roman"/>
                <w:sz w:val="16"/>
                <w:szCs w:val="16"/>
              </w:rPr>
            </w:pPr>
          </w:p>
        </w:tc>
        <w:tc>
          <w:tcPr>
            <w:tcW w:w="1004" w:type="dxa"/>
            <w:shd w:val="clear" w:color="auto" w:fill="auto"/>
            <w:textDirection w:val="lrTbV"/>
            <w:vAlign w:val="bottom"/>
          </w:tcPr>
          <w:p w14:paraId="1FA1C133"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1B7D8B69"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E</w:t>
            </w:r>
          </w:p>
        </w:tc>
      </w:tr>
      <w:tr w:rsidR="00B950FD" w:rsidRPr="00FD0920" w14:paraId="1A33B643" w14:textId="77777777" w:rsidTr="00B02DF3">
        <w:tc>
          <w:tcPr>
            <w:tcW w:w="1595" w:type="dxa"/>
            <w:shd w:val="clear" w:color="auto" w:fill="auto"/>
            <w:vAlign w:val="bottom"/>
          </w:tcPr>
          <w:p w14:paraId="27B3D4F8"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Польша</w:t>
            </w:r>
          </w:p>
        </w:tc>
        <w:tc>
          <w:tcPr>
            <w:tcW w:w="736" w:type="dxa"/>
            <w:shd w:val="clear" w:color="auto" w:fill="auto"/>
            <w:textDirection w:val="lrTbV"/>
            <w:vAlign w:val="bottom"/>
          </w:tcPr>
          <w:p w14:paraId="38FDF93F"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024FC6D9"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498C27F5" w14:textId="77777777" w:rsidR="00B950FD" w:rsidRPr="002E07E7" w:rsidRDefault="00B950FD" w:rsidP="00B02DF3">
            <w:pPr>
              <w:spacing w:before="40" w:after="40" w:line="220" w:lineRule="exact"/>
              <w:jc w:val="right"/>
              <w:rPr>
                <w:rFonts w:cs="Times New Roman"/>
                <w:sz w:val="16"/>
                <w:szCs w:val="16"/>
              </w:rPr>
            </w:pPr>
          </w:p>
        </w:tc>
        <w:tc>
          <w:tcPr>
            <w:tcW w:w="691" w:type="dxa"/>
            <w:shd w:val="clear" w:color="auto" w:fill="auto"/>
            <w:vAlign w:val="bottom"/>
          </w:tcPr>
          <w:p w14:paraId="20E5B388" w14:textId="77777777" w:rsidR="00B950FD" w:rsidRPr="002E07E7" w:rsidRDefault="00B950FD" w:rsidP="00B02DF3">
            <w:pPr>
              <w:spacing w:before="40" w:after="40" w:line="220" w:lineRule="exact"/>
              <w:jc w:val="right"/>
              <w:rPr>
                <w:rFonts w:cs="Times New Roman"/>
                <w:sz w:val="16"/>
                <w:szCs w:val="16"/>
              </w:rPr>
            </w:pPr>
          </w:p>
        </w:tc>
        <w:tc>
          <w:tcPr>
            <w:tcW w:w="668" w:type="dxa"/>
            <w:shd w:val="clear" w:color="auto" w:fill="auto"/>
            <w:vAlign w:val="bottom"/>
          </w:tcPr>
          <w:p w14:paraId="27252480"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56F60FE6" w14:textId="77777777" w:rsidR="00B950FD" w:rsidRPr="002E07E7" w:rsidRDefault="00B950FD" w:rsidP="00B02DF3">
            <w:pPr>
              <w:spacing w:before="40" w:after="40" w:line="220" w:lineRule="exact"/>
              <w:jc w:val="right"/>
              <w:rPr>
                <w:rFonts w:cs="Times New Roman"/>
                <w:sz w:val="16"/>
                <w:szCs w:val="16"/>
              </w:rPr>
            </w:pPr>
          </w:p>
        </w:tc>
        <w:tc>
          <w:tcPr>
            <w:tcW w:w="992" w:type="dxa"/>
            <w:shd w:val="clear" w:color="auto" w:fill="auto"/>
            <w:vAlign w:val="bottom"/>
          </w:tcPr>
          <w:p w14:paraId="38CCDCBF" w14:textId="77777777" w:rsidR="00B950FD" w:rsidRPr="002E07E7" w:rsidRDefault="00B950FD" w:rsidP="00B02DF3">
            <w:pPr>
              <w:spacing w:before="40" w:after="40" w:line="220" w:lineRule="exact"/>
              <w:jc w:val="right"/>
              <w:rPr>
                <w:rFonts w:cs="Times New Roman"/>
                <w:sz w:val="16"/>
                <w:szCs w:val="16"/>
              </w:rPr>
            </w:pPr>
          </w:p>
        </w:tc>
        <w:tc>
          <w:tcPr>
            <w:tcW w:w="700" w:type="dxa"/>
            <w:shd w:val="clear" w:color="auto" w:fill="auto"/>
            <w:vAlign w:val="bottom"/>
          </w:tcPr>
          <w:p w14:paraId="263D5E56" w14:textId="77777777" w:rsidR="00B950FD" w:rsidRPr="002E07E7" w:rsidRDefault="00B950FD" w:rsidP="00B02DF3">
            <w:pPr>
              <w:spacing w:before="40" w:after="40" w:line="220" w:lineRule="exact"/>
              <w:jc w:val="right"/>
              <w:rPr>
                <w:rFonts w:cs="Times New Roman"/>
                <w:sz w:val="16"/>
                <w:szCs w:val="16"/>
              </w:rPr>
            </w:pPr>
          </w:p>
        </w:tc>
        <w:tc>
          <w:tcPr>
            <w:tcW w:w="801" w:type="dxa"/>
            <w:shd w:val="clear" w:color="auto" w:fill="auto"/>
            <w:vAlign w:val="bottom"/>
          </w:tcPr>
          <w:p w14:paraId="1B58BFA5" w14:textId="77777777" w:rsidR="00B950FD" w:rsidRPr="002E07E7" w:rsidRDefault="00B950FD" w:rsidP="00B02DF3">
            <w:pPr>
              <w:spacing w:before="40" w:after="40" w:line="220" w:lineRule="exact"/>
              <w:jc w:val="right"/>
              <w:rPr>
                <w:rFonts w:cs="Times New Roman"/>
                <w:sz w:val="16"/>
                <w:szCs w:val="16"/>
              </w:rPr>
            </w:pPr>
          </w:p>
        </w:tc>
        <w:tc>
          <w:tcPr>
            <w:tcW w:w="669" w:type="dxa"/>
            <w:shd w:val="clear" w:color="auto" w:fill="auto"/>
            <w:vAlign w:val="bottom"/>
          </w:tcPr>
          <w:p w14:paraId="36BCCB79"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03D6B315"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5EA0E31A" w14:textId="77777777" w:rsidR="00B950FD" w:rsidRPr="002E07E7" w:rsidRDefault="00B950FD" w:rsidP="00B02DF3">
            <w:pPr>
              <w:spacing w:before="40" w:after="40" w:line="220" w:lineRule="exact"/>
              <w:jc w:val="right"/>
              <w:rPr>
                <w:rFonts w:cs="Times New Roman"/>
                <w:sz w:val="16"/>
                <w:szCs w:val="16"/>
              </w:rPr>
            </w:pPr>
          </w:p>
        </w:tc>
        <w:tc>
          <w:tcPr>
            <w:tcW w:w="919" w:type="dxa"/>
            <w:shd w:val="clear" w:color="auto" w:fill="auto"/>
            <w:vAlign w:val="bottom"/>
          </w:tcPr>
          <w:p w14:paraId="5D35384E"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5DBDFCB3" w14:textId="77777777" w:rsidR="00B950FD" w:rsidRPr="002E07E7" w:rsidRDefault="00B950FD" w:rsidP="00B02DF3">
            <w:pPr>
              <w:spacing w:before="40" w:after="40" w:line="220" w:lineRule="exact"/>
              <w:jc w:val="right"/>
              <w:rPr>
                <w:rFonts w:cs="Times New Roman"/>
                <w:sz w:val="16"/>
                <w:szCs w:val="16"/>
              </w:rPr>
            </w:pPr>
          </w:p>
        </w:tc>
        <w:tc>
          <w:tcPr>
            <w:tcW w:w="1004" w:type="dxa"/>
            <w:shd w:val="clear" w:color="auto" w:fill="auto"/>
            <w:textDirection w:val="lrTbV"/>
            <w:vAlign w:val="bottom"/>
          </w:tcPr>
          <w:p w14:paraId="5C943C3D"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1 840/</w:t>
            </w:r>
            <w:r w:rsidRPr="002E07E7">
              <w:rPr>
                <w:rFonts w:cs="Times New Roman"/>
                <w:sz w:val="16"/>
                <w:szCs w:val="16"/>
              </w:rPr>
              <w:br/>
              <w:t>1 790/50</w:t>
            </w:r>
          </w:p>
        </w:tc>
        <w:tc>
          <w:tcPr>
            <w:tcW w:w="807" w:type="dxa"/>
            <w:shd w:val="clear" w:color="auto" w:fill="auto"/>
            <w:textDirection w:val="lrTbV"/>
            <w:vAlign w:val="bottom"/>
          </w:tcPr>
          <w:p w14:paraId="3DD7C880"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E</w:t>
            </w:r>
          </w:p>
        </w:tc>
      </w:tr>
      <w:tr w:rsidR="00B950FD" w:rsidRPr="00FD0920" w14:paraId="4F621286" w14:textId="77777777" w:rsidTr="00B02DF3">
        <w:tc>
          <w:tcPr>
            <w:tcW w:w="1595" w:type="dxa"/>
            <w:shd w:val="clear" w:color="auto" w:fill="auto"/>
            <w:vAlign w:val="bottom"/>
          </w:tcPr>
          <w:p w14:paraId="4CE3E10F"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Республика Молдова</w:t>
            </w:r>
          </w:p>
        </w:tc>
        <w:tc>
          <w:tcPr>
            <w:tcW w:w="736" w:type="dxa"/>
            <w:shd w:val="clear" w:color="auto" w:fill="auto"/>
            <w:textDirection w:val="lrTbV"/>
            <w:vAlign w:val="bottom"/>
          </w:tcPr>
          <w:p w14:paraId="5D3DE98B"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01" w:type="dxa"/>
            <w:shd w:val="clear" w:color="auto" w:fill="auto"/>
            <w:vAlign w:val="bottom"/>
          </w:tcPr>
          <w:p w14:paraId="2B356552"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3A7CBCE0" w14:textId="77777777" w:rsidR="00B950FD" w:rsidRPr="002E07E7" w:rsidRDefault="00B950FD" w:rsidP="00B02DF3">
            <w:pPr>
              <w:spacing w:before="40" w:after="40" w:line="220" w:lineRule="exact"/>
              <w:jc w:val="right"/>
              <w:rPr>
                <w:rFonts w:cs="Times New Roman"/>
                <w:sz w:val="16"/>
                <w:szCs w:val="16"/>
              </w:rPr>
            </w:pPr>
          </w:p>
        </w:tc>
        <w:tc>
          <w:tcPr>
            <w:tcW w:w="691" w:type="dxa"/>
            <w:shd w:val="clear" w:color="auto" w:fill="auto"/>
            <w:vAlign w:val="bottom"/>
          </w:tcPr>
          <w:p w14:paraId="5E66BF28"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68" w:type="dxa"/>
            <w:shd w:val="clear" w:color="auto" w:fill="auto"/>
            <w:vAlign w:val="bottom"/>
          </w:tcPr>
          <w:p w14:paraId="26C03CF2"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37EEDA78"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992" w:type="dxa"/>
            <w:shd w:val="clear" w:color="auto" w:fill="auto"/>
            <w:vAlign w:val="bottom"/>
          </w:tcPr>
          <w:p w14:paraId="613FFD2A" w14:textId="77777777" w:rsidR="00B950FD" w:rsidRPr="002E07E7" w:rsidRDefault="00B950FD" w:rsidP="00B02DF3">
            <w:pPr>
              <w:spacing w:before="40" w:after="40" w:line="220" w:lineRule="exact"/>
              <w:jc w:val="right"/>
              <w:rPr>
                <w:rFonts w:cs="Times New Roman"/>
                <w:sz w:val="16"/>
                <w:szCs w:val="16"/>
              </w:rPr>
            </w:pPr>
          </w:p>
        </w:tc>
        <w:tc>
          <w:tcPr>
            <w:tcW w:w="700" w:type="dxa"/>
            <w:shd w:val="clear" w:color="auto" w:fill="auto"/>
            <w:vAlign w:val="bottom"/>
          </w:tcPr>
          <w:p w14:paraId="6EE030B6" w14:textId="77777777" w:rsidR="00B950FD" w:rsidRPr="002E07E7" w:rsidRDefault="00B950FD" w:rsidP="00B02DF3">
            <w:pPr>
              <w:spacing w:before="40" w:after="40" w:line="220" w:lineRule="exact"/>
              <w:jc w:val="right"/>
              <w:rPr>
                <w:rFonts w:cs="Times New Roman"/>
                <w:sz w:val="16"/>
                <w:szCs w:val="16"/>
              </w:rPr>
            </w:pPr>
          </w:p>
        </w:tc>
        <w:tc>
          <w:tcPr>
            <w:tcW w:w="801" w:type="dxa"/>
            <w:shd w:val="clear" w:color="auto" w:fill="auto"/>
            <w:vAlign w:val="bottom"/>
          </w:tcPr>
          <w:p w14:paraId="29B9AB02"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2/0/2</w:t>
            </w:r>
          </w:p>
        </w:tc>
        <w:tc>
          <w:tcPr>
            <w:tcW w:w="669" w:type="dxa"/>
            <w:shd w:val="clear" w:color="auto" w:fill="auto"/>
            <w:vAlign w:val="bottom"/>
          </w:tcPr>
          <w:p w14:paraId="52E22CFD"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49E4C7C4"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68D08C95"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88/88/0</w:t>
            </w:r>
          </w:p>
        </w:tc>
        <w:tc>
          <w:tcPr>
            <w:tcW w:w="919" w:type="dxa"/>
            <w:shd w:val="clear" w:color="auto" w:fill="auto"/>
            <w:vAlign w:val="bottom"/>
          </w:tcPr>
          <w:p w14:paraId="23AE1CED"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6998800B" w14:textId="77777777" w:rsidR="00B950FD" w:rsidRPr="002E07E7" w:rsidRDefault="00B950FD" w:rsidP="00B02DF3">
            <w:pPr>
              <w:spacing w:before="40" w:after="40" w:line="220" w:lineRule="exact"/>
              <w:jc w:val="right"/>
              <w:rPr>
                <w:rFonts w:cs="Times New Roman"/>
                <w:sz w:val="16"/>
                <w:szCs w:val="16"/>
              </w:rPr>
            </w:pPr>
          </w:p>
        </w:tc>
        <w:tc>
          <w:tcPr>
            <w:tcW w:w="1004" w:type="dxa"/>
            <w:shd w:val="clear" w:color="auto" w:fill="auto"/>
            <w:textDirection w:val="lrTbV"/>
            <w:vAlign w:val="bottom"/>
          </w:tcPr>
          <w:p w14:paraId="1A751EEF"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1A3070BF"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S</w:t>
            </w:r>
          </w:p>
        </w:tc>
      </w:tr>
      <w:tr w:rsidR="00B950FD" w:rsidRPr="00FD0920" w14:paraId="256E9C08" w14:textId="77777777" w:rsidTr="00B02DF3">
        <w:tc>
          <w:tcPr>
            <w:tcW w:w="1595" w:type="dxa"/>
            <w:shd w:val="clear" w:color="auto" w:fill="auto"/>
            <w:vAlign w:val="bottom"/>
          </w:tcPr>
          <w:p w14:paraId="006D6EEF"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Румыния</w:t>
            </w:r>
          </w:p>
        </w:tc>
        <w:tc>
          <w:tcPr>
            <w:tcW w:w="736" w:type="dxa"/>
            <w:shd w:val="clear" w:color="auto" w:fill="auto"/>
            <w:textDirection w:val="lrTbV"/>
            <w:vAlign w:val="bottom"/>
          </w:tcPr>
          <w:p w14:paraId="0145688C"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601" w:type="dxa"/>
            <w:shd w:val="clear" w:color="auto" w:fill="auto"/>
            <w:vAlign w:val="bottom"/>
          </w:tcPr>
          <w:p w14:paraId="5EC86C4B"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49EF6FBE"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691" w:type="dxa"/>
            <w:shd w:val="clear" w:color="auto" w:fill="auto"/>
            <w:vAlign w:val="bottom"/>
          </w:tcPr>
          <w:p w14:paraId="019EAC3C"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668" w:type="dxa"/>
            <w:shd w:val="clear" w:color="auto" w:fill="auto"/>
            <w:vAlign w:val="bottom"/>
          </w:tcPr>
          <w:p w14:paraId="3F4235F7"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850" w:type="dxa"/>
            <w:shd w:val="clear" w:color="auto" w:fill="auto"/>
            <w:vAlign w:val="bottom"/>
          </w:tcPr>
          <w:p w14:paraId="6A1D1919"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w:t>
            </w:r>
          </w:p>
        </w:tc>
        <w:tc>
          <w:tcPr>
            <w:tcW w:w="992" w:type="dxa"/>
            <w:shd w:val="clear" w:color="auto" w:fill="auto"/>
            <w:vAlign w:val="bottom"/>
          </w:tcPr>
          <w:p w14:paraId="7958CD9D"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3/–/–</w:t>
            </w:r>
          </w:p>
        </w:tc>
        <w:tc>
          <w:tcPr>
            <w:tcW w:w="700" w:type="dxa"/>
            <w:shd w:val="clear" w:color="auto" w:fill="auto"/>
            <w:vAlign w:val="bottom"/>
          </w:tcPr>
          <w:p w14:paraId="5ED4F1B3"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801" w:type="dxa"/>
            <w:shd w:val="clear" w:color="auto" w:fill="auto"/>
            <w:vAlign w:val="bottom"/>
          </w:tcPr>
          <w:p w14:paraId="2A494EFF"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669" w:type="dxa"/>
            <w:shd w:val="clear" w:color="auto" w:fill="auto"/>
            <w:vAlign w:val="bottom"/>
          </w:tcPr>
          <w:p w14:paraId="596866D9"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w:t>
            </w:r>
          </w:p>
        </w:tc>
        <w:tc>
          <w:tcPr>
            <w:tcW w:w="601" w:type="dxa"/>
            <w:shd w:val="clear" w:color="auto" w:fill="auto"/>
            <w:vAlign w:val="bottom"/>
          </w:tcPr>
          <w:p w14:paraId="153E8759"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1ADB261E" w14:textId="77777777" w:rsidR="00B950FD" w:rsidRPr="002E07E7" w:rsidRDefault="00B950FD" w:rsidP="00B02DF3">
            <w:pPr>
              <w:spacing w:before="40" w:after="40" w:line="220" w:lineRule="exact"/>
              <w:jc w:val="right"/>
              <w:rPr>
                <w:rFonts w:cs="Times New Roman"/>
                <w:sz w:val="16"/>
                <w:szCs w:val="16"/>
              </w:rPr>
            </w:pPr>
          </w:p>
        </w:tc>
        <w:tc>
          <w:tcPr>
            <w:tcW w:w="919" w:type="dxa"/>
            <w:shd w:val="clear" w:color="auto" w:fill="auto"/>
            <w:vAlign w:val="bottom"/>
          </w:tcPr>
          <w:p w14:paraId="64521CFF"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3D2F4325"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6/–/–</w:t>
            </w:r>
          </w:p>
        </w:tc>
        <w:tc>
          <w:tcPr>
            <w:tcW w:w="1004" w:type="dxa"/>
            <w:shd w:val="clear" w:color="auto" w:fill="auto"/>
            <w:textDirection w:val="lrTbV"/>
            <w:vAlign w:val="bottom"/>
          </w:tcPr>
          <w:p w14:paraId="592FBA7B"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1711EAEF" w14:textId="77777777" w:rsidR="00B950FD" w:rsidRPr="002E07E7" w:rsidRDefault="00B950FD" w:rsidP="00B02DF3">
            <w:pPr>
              <w:spacing w:before="40" w:after="40" w:line="220" w:lineRule="exact"/>
              <w:jc w:val="right"/>
              <w:rPr>
                <w:rFonts w:cs="Times New Roman"/>
                <w:sz w:val="16"/>
                <w:szCs w:val="16"/>
              </w:rPr>
            </w:pPr>
          </w:p>
        </w:tc>
      </w:tr>
      <w:tr w:rsidR="00B950FD" w:rsidRPr="00FD0920" w14:paraId="3AA27FB1" w14:textId="77777777" w:rsidTr="00B02DF3">
        <w:tc>
          <w:tcPr>
            <w:tcW w:w="1595" w:type="dxa"/>
            <w:shd w:val="clear" w:color="auto" w:fill="auto"/>
            <w:vAlign w:val="bottom"/>
          </w:tcPr>
          <w:p w14:paraId="1F64A424"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Испания</w:t>
            </w:r>
          </w:p>
        </w:tc>
        <w:tc>
          <w:tcPr>
            <w:tcW w:w="736" w:type="dxa"/>
            <w:shd w:val="clear" w:color="auto" w:fill="auto"/>
            <w:textDirection w:val="lrTbV"/>
            <w:vAlign w:val="bottom"/>
          </w:tcPr>
          <w:p w14:paraId="72F9CC9F"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2/–/2</w:t>
            </w:r>
          </w:p>
        </w:tc>
        <w:tc>
          <w:tcPr>
            <w:tcW w:w="601" w:type="dxa"/>
            <w:shd w:val="clear" w:color="auto" w:fill="auto"/>
            <w:vAlign w:val="bottom"/>
          </w:tcPr>
          <w:p w14:paraId="742BDDE7" w14:textId="77777777" w:rsidR="00B950FD" w:rsidRPr="002E07E7" w:rsidRDefault="00B950FD" w:rsidP="00B02DF3">
            <w:pPr>
              <w:spacing w:before="40" w:after="40" w:line="220" w:lineRule="exact"/>
              <w:jc w:val="right"/>
              <w:rPr>
                <w:rFonts w:cs="Times New Roman"/>
                <w:sz w:val="16"/>
                <w:szCs w:val="16"/>
              </w:rPr>
            </w:pPr>
          </w:p>
        </w:tc>
        <w:tc>
          <w:tcPr>
            <w:tcW w:w="643" w:type="dxa"/>
            <w:shd w:val="clear" w:color="auto" w:fill="auto"/>
            <w:vAlign w:val="bottom"/>
          </w:tcPr>
          <w:p w14:paraId="51ECE7B8" w14:textId="77777777" w:rsidR="00B950FD" w:rsidRPr="002E07E7" w:rsidRDefault="00B950FD" w:rsidP="00B02DF3">
            <w:pPr>
              <w:spacing w:before="40" w:after="40" w:line="220" w:lineRule="exact"/>
              <w:jc w:val="right"/>
              <w:rPr>
                <w:rFonts w:cs="Times New Roman"/>
                <w:sz w:val="16"/>
                <w:szCs w:val="16"/>
              </w:rPr>
            </w:pPr>
          </w:p>
        </w:tc>
        <w:tc>
          <w:tcPr>
            <w:tcW w:w="691" w:type="dxa"/>
            <w:shd w:val="clear" w:color="auto" w:fill="auto"/>
            <w:vAlign w:val="bottom"/>
          </w:tcPr>
          <w:p w14:paraId="088260FA"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4/–/4</w:t>
            </w:r>
          </w:p>
        </w:tc>
        <w:tc>
          <w:tcPr>
            <w:tcW w:w="668" w:type="dxa"/>
            <w:shd w:val="clear" w:color="auto" w:fill="auto"/>
            <w:vAlign w:val="bottom"/>
          </w:tcPr>
          <w:p w14:paraId="0CCF1637" w14:textId="77777777" w:rsidR="00B950FD" w:rsidRPr="002E07E7" w:rsidRDefault="00B950FD" w:rsidP="00B02DF3">
            <w:pPr>
              <w:spacing w:before="40" w:after="40" w:line="220" w:lineRule="exact"/>
              <w:jc w:val="right"/>
              <w:rPr>
                <w:rFonts w:cs="Times New Roman"/>
                <w:sz w:val="16"/>
                <w:szCs w:val="16"/>
              </w:rPr>
            </w:pPr>
          </w:p>
        </w:tc>
        <w:tc>
          <w:tcPr>
            <w:tcW w:w="850" w:type="dxa"/>
            <w:shd w:val="clear" w:color="auto" w:fill="auto"/>
            <w:vAlign w:val="bottom"/>
          </w:tcPr>
          <w:p w14:paraId="7F93E2B7"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7/–/7</w:t>
            </w:r>
          </w:p>
        </w:tc>
        <w:tc>
          <w:tcPr>
            <w:tcW w:w="992" w:type="dxa"/>
            <w:shd w:val="clear" w:color="auto" w:fill="auto"/>
            <w:vAlign w:val="bottom"/>
          </w:tcPr>
          <w:p w14:paraId="676D8329" w14:textId="77777777" w:rsidR="00B950FD" w:rsidRPr="002E07E7" w:rsidRDefault="00B950FD" w:rsidP="00B02DF3">
            <w:pPr>
              <w:spacing w:before="40" w:after="40" w:line="220" w:lineRule="exact"/>
              <w:jc w:val="right"/>
              <w:rPr>
                <w:rFonts w:cs="Times New Roman"/>
                <w:sz w:val="16"/>
                <w:szCs w:val="16"/>
              </w:rPr>
            </w:pPr>
          </w:p>
        </w:tc>
        <w:tc>
          <w:tcPr>
            <w:tcW w:w="700" w:type="dxa"/>
            <w:shd w:val="clear" w:color="auto" w:fill="auto"/>
            <w:vAlign w:val="bottom"/>
          </w:tcPr>
          <w:p w14:paraId="6F4D9F52" w14:textId="77777777" w:rsidR="00B950FD" w:rsidRPr="002E07E7" w:rsidRDefault="00B950FD" w:rsidP="00B02DF3">
            <w:pPr>
              <w:spacing w:before="40" w:after="40" w:line="220" w:lineRule="exact"/>
              <w:jc w:val="right"/>
              <w:rPr>
                <w:rFonts w:cs="Times New Roman"/>
                <w:sz w:val="16"/>
                <w:szCs w:val="16"/>
              </w:rPr>
            </w:pPr>
          </w:p>
        </w:tc>
        <w:tc>
          <w:tcPr>
            <w:tcW w:w="801" w:type="dxa"/>
            <w:shd w:val="clear" w:color="auto" w:fill="auto"/>
            <w:vAlign w:val="bottom"/>
          </w:tcPr>
          <w:p w14:paraId="0FE60E6B"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12/–/12</w:t>
            </w:r>
          </w:p>
        </w:tc>
        <w:tc>
          <w:tcPr>
            <w:tcW w:w="669" w:type="dxa"/>
            <w:shd w:val="clear" w:color="auto" w:fill="auto"/>
            <w:vAlign w:val="bottom"/>
          </w:tcPr>
          <w:p w14:paraId="07C3DBA4" w14:textId="77777777" w:rsidR="00B950FD" w:rsidRPr="002E07E7" w:rsidRDefault="00B950FD" w:rsidP="00B02DF3">
            <w:pPr>
              <w:spacing w:before="40" w:after="40" w:line="220" w:lineRule="exact"/>
              <w:jc w:val="right"/>
              <w:rPr>
                <w:rFonts w:cs="Times New Roman"/>
                <w:sz w:val="16"/>
                <w:szCs w:val="16"/>
              </w:rPr>
            </w:pPr>
          </w:p>
        </w:tc>
        <w:tc>
          <w:tcPr>
            <w:tcW w:w="601" w:type="dxa"/>
            <w:shd w:val="clear" w:color="auto" w:fill="auto"/>
            <w:vAlign w:val="bottom"/>
          </w:tcPr>
          <w:p w14:paraId="7FCDE1F7" w14:textId="77777777" w:rsidR="00B950FD" w:rsidRPr="002E07E7" w:rsidRDefault="00B950FD" w:rsidP="00B02DF3">
            <w:pPr>
              <w:spacing w:before="40" w:after="40" w:line="220" w:lineRule="exact"/>
              <w:jc w:val="right"/>
              <w:rPr>
                <w:rFonts w:cs="Times New Roman"/>
                <w:sz w:val="16"/>
                <w:szCs w:val="16"/>
              </w:rPr>
            </w:pPr>
          </w:p>
        </w:tc>
        <w:tc>
          <w:tcPr>
            <w:tcW w:w="1218" w:type="dxa"/>
            <w:shd w:val="clear" w:color="auto" w:fill="auto"/>
            <w:vAlign w:val="bottom"/>
          </w:tcPr>
          <w:p w14:paraId="1862B433" w14:textId="77777777" w:rsidR="00B950FD" w:rsidRPr="002E07E7" w:rsidRDefault="00B950FD" w:rsidP="00B02DF3">
            <w:pPr>
              <w:spacing w:before="40" w:after="40" w:line="220" w:lineRule="exact"/>
              <w:jc w:val="right"/>
              <w:rPr>
                <w:rFonts w:cs="Times New Roman"/>
                <w:sz w:val="16"/>
                <w:szCs w:val="16"/>
              </w:rPr>
            </w:pPr>
          </w:p>
        </w:tc>
        <w:tc>
          <w:tcPr>
            <w:tcW w:w="919" w:type="dxa"/>
            <w:shd w:val="clear" w:color="auto" w:fill="auto"/>
            <w:vAlign w:val="bottom"/>
          </w:tcPr>
          <w:p w14:paraId="1DA7B88F" w14:textId="77777777" w:rsidR="00B950FD" w:rsidRPr="002E07E7" w:rsidRDefault="00B950FD" w:rsidP="00B02DF3">
            <w:pPr>
              <w:spacing w:before="40" w:after="40" w:line="220" w:lineRule="exact"/>
              <w:jc w:val="right"/>
              <w:rPr>
                <w:rFonts w:cs="Times New Roman"/>
                <w:sz w:val="16"/>
                <w:szCs w:val="16"/>
              </w:rPr>
            </w:pPr>
          </w:p>
        </w:tc>
        <w:tc>
          <w:tcPr>
            <w:tcW w:w="652" w:type="dxa"/>
            <w:shd w:val="clear" w:color="auto" w:fill="auto"/>
            <w:vAlign w:val="bottom"/>
          </w:tcPr>
          <w:p w14:paraId="466009FC"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7/–/7</w:t>
            </w:r>
          </w:p>
        </w:tc>
        <w:tc>
          <w:tcPr>
            <w:tcW w:w="1004" w:type="dxa"/>
            <w:shd w:val="clear" w:color="auto" w:fill="auto"/>
            <w:textDirection w:val="lrTbV"/>
            <w:vAlign w:val="bottom"/>
          </w:tcPr>
          <w:p w14:paraId="6D6BDFB0" w14:textId="77777777" w:rsidR="00B950FD" w:rsidRPr="002E07E7" w:rsidRDefault="00B950FD" w:rsidP="00B02DF3">
            <w:pPr>
              <w:spacing w:before="40" w:after="40" w:line="220" w:lineRule="exact"/>
              <w:jc w:val="right"/>
              <w:rPr>
                <w:rFonts w:cs="Times New Roman"/>
                <w:sz w:val="16"/>
                <w:szCs w:val="16"/>
              </w:rPr>
            </w:pPr>
          </w:p>
        </w:tc>
        <w:tc>
          <w:tcPr>
            <w:tcW w:w="807" w:type="dxa"/>
            <w:shd w:val="clear" w:color="auto" w:fill="auto"/>
            <w:textDirection w:val="lrTbV"/>
            <w:vAlign w:val="bottom"/>
          </w:tcPr>
          <w:p w14:paraId="5E71464A" w14:textId="77777777" w:rsidR="00B950FD" w:rsidRPr="002E07E7" w:rsidRDefault="00B950FD" w:rsidP="00B02DF3">
            <w:pPr>
              <w:spacing w:before="40" w:after="40" w:line="220" w:lineRule="exact"/>
              <w:jc w:val="right"/>
              <w:rPr>
                <w:rFonts w:cs="Times New Roman"/>
                <w:sz w:val="16"/>
                <w:szCs w:val="16"/>
              </w:rPr>
            </w:pPr>
          </w:p>
        </w:tc>
      </w:tr>
      <w:tr w:rsidR="00B950FD" w:rsidRPr="00FD0920" w14:paraId="32908473" w14:textId="77777777" w:rsidTr="00B02DF3">
        <w:tc>
          <w:tcPr>
            <w:tcW w:w="1595" w:type="dxa"/>
            <w:tcBorders>
              <w:bottom w:val="single" w:sz="12" w:space="0" w:color="auto"/>
            </w:tcBorders>
            <w:shd w:val="clear" w:color="auto" w:fill="auto"/>
            <w:vAlign w:val="bottom"/>
          </w:tcPr>
          <w:p w14:paraId="070977FB" w14:textId="77777777" w:rsidR="00B950FD" w:rsidRPr="002E07E7" w:rsidRDefault="00B950FD" w:rsidP="00B02DF3">
            <w:pPr>
              <w:spacing w:before="40" w:after="40" w:line="220" w:lineRule="exact"/>
              <w:rPr>
                <w:rFonts w:cs="Times New Roman"/>
                <w:sz w:val="16"/>
                <w:szCs w:val="16"/>
              </w:rPr>
            </w:pPr>
            <w:r w:rsidRPr="002E07E7">
              <w:rPr>
                <w:rFonts w:cs="Times New Roman"/>
                <w:sz w:val="16"/>
                <w:szCs w:val="16"/>
              </w:rPr>
              <w:t>Швеция</w:t>
            </w:r>
          </w:p>
        </w:tc>
        <w:tc>
          <w:tcPr>
            <w:tcW w:w="736" w:type="dxa"/>
            <w:tcBorders>
              <w:bottom w:val="single" w:sz="12" w:space="0" w:color="auto"/>
            </w:tcBorders>
            <w:shd w:val="clear" w:color="auto" w:fill="auto"/>
            <w:textDirection w:val="lrTbV"/>
            <w:vAlign w:val="bottom"/>
          </w:tcPr>
          <w:p w14:paraId="114C8106"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01" w:type="dxa"/>
            <w:tcBorders>
              <w:bottom w:val="single" w:sz="12" w:space="0" w:color="auto"/>
            </w:tcBorders>
            <w:shd w:val="clear" w:color="auto" w:fill="auto"/>
            <w:vAlign w:val="bottom"/>
          </w:tcPr>
          <w:p w14:paraId="3EFE766E" w14:textId="77777777" w:rsidR="00B950FD" w:rsidRPr="002E07E7" w:rsidRDefault="00B950FD" w:rsidP="00B02DF3">
            <w:pPr>
              <w:spacing w:before="40" w:after="40" w:line="220" w:lineRule="exact"/>
              <w:jc w:val="right"/>
              <w:rPr>
                <w:rFonts w:cs="Times New Roman"/>
                <w:sz w:val="16"/>
                <w:szCs w:val="16"/>
              </w:rPr>
            </w:pPr>
          </w:p>
        </w:tc>
        <w:tc>
          <w:tcPr>
            <w:tcW w:w="643" w:type="dxa"/>
            <w:tcBorders>
              <w:bottom w:val="single" w:sz="12" w:space="0" w:color="auto"/>
            </w:tcBorders>
            <w:shd w:val="clear" w:color="auto" w:fill="auto"/>
            <w:vAlign w:val="bottom"/>
          </w:tcPr>
          <w:p w14:paraId="43123D17"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691" w:type="dxa"/>
            <w:tcBorders>
              <w:bottom w:val="single" w:sz="12" w:space="0" w:color="auto"/>
            </w:tcBorders>
            <w:shd w:val="clear" w:color="auto" w:fill="auto"/>
            <w:vAlign w:val="bottom"/>
          </w:tcPr>
          <w:p w14:paraId="2DBE811C" w14:textId="77777777" w:rsidR="00B950FD" w:rsidRPr="002E07E7" w:rsidRDefault="00B950FD" w:rsidP="00B02DF3">
            <w:pPr>
              <w:spacing w:before="40" w:after="40" w:line="220" w:lineRule="exact"/>
              <w:jc w:val="right"/>
              <w:rPr>
                <w:rFonts w:cs="Times New Roman"/>
                <w:sz w:val="16"/>
                <w:szCs w:val="16"/>
              </w:rPr>
            </w:pPr>
          </w:p>
        </w:tc>
        <w:tc>
          <w:tcPr>
            <w:tcW w:w="668" w:type="dxa"/>
            <w:tcBorders>
              <w:bottom w:val="single" w:sz="12" w:space="0" w:color="auto"/>
            </w:tcBorders>
            <w:shd w:val="clear" w:color="auto" w:fill="auto"/>
            <w:vAlign w:val="bottom"/>
          </w:tcPr>
          <w:p w14:paraId="006BDC47"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1/0/1</w:t>
            </w:r>
          </w:p>
        </w:tc>
        <w:tc>
          <w:tcPr>
            <w:tcW w:w="850" w:type="dxa"/>
            <w:tcBorders>
              <w:bottom w:val="single" w:sz="12" w:space="0" w:color="auto"/>
            </w:tcBorders>
            <w:shd w:val="clear" w:color="auto" w:fill="auto"/>
            <w:vAlign w:val="bottom"/>
          </w:tcPr>
          <w:p w14:paraId="44EE3FBF"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22/21/1</w:t>
            </w:r>
          </w:p>
        </w:tc>
        <w:tc>
          <w:tcPr>
            <w:tcW w:w="992" w:type="dxa"/>
            <w:tcBorders>
              <w:bottom w:val="single" w:sz="12" w:space="0" w:color="auto"/>
            </w:tcBorders>
            <w:shd w:val="clear" w:color="auto" w:fill="auto"/>
            <w:vAlign w:val="bottom"/>
          </w:tcPr>
          <w:p w14:paraId="031065D2"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9/0/9</w:t>
            </w:r>
          </w:p>
        </w:tc>
        <w:tc>
          <w:tcPr>
            <w:tcW w:w="700" w:type="dxa"/>
            <w:tcBorders>
              <w:bottom w:val="single" w:sz="12" w:space="0" w:color="auto"/>
            </w:tcBorders>
            <w:shd w:val="clear" w:color="auto" w:fill="auto"/>
            <w:vAlign w:val="bottom"/>
          </w:tcPr>
          <w:p w14:paraId="271EE9A8" w14:textId="77777777" w:rsidR="00B950FD" w:rsidRPr="002E07E7" w:rsidRDefault="00B950FD" w:rsidP="00B02DF3">
            <w:pPr>
              <w:spacing w:before="40" w:after="40" w:line="220" w:lineRule="exact"/>
              <w:jc w:val="right"/>
              <w:rPr>
                <w:rFonts w:cs="Times New Roman"/>
                <w:sz w:val="16"/>
                <w:szCs w:val="16"/>
              </w:rPr>
            </w:pPr>
          </w:p>
        </w:tc>
        <w:tc>
          <w:tcPr>
            <w:tcW w:w="801" w:type="dxa"/>
            <w:tcBorders>
              <w:bottom w:val="single" w:sz="12" w:space="0" w:color="auto"/>
            </w:tcBorders>
            <w:shd w:val="clear" w:color="auto" w:fill="auto"/>
            <w:vAlign w:val="bottom"/>
          </w:tcPr>
          <w:p w14:paraId="67F686A2" w14:textId="77777777" w:rsidR="00B950FD" w:rsidRPr="002E07E7" w:rsidDel="00E7510A" w:rsidRDefault="00B950FD" w:rsidP="00B02DF3">
            <w:pPr>
              <w:spacing w:before="40" w:after="40" w:line="220" w:lineRule="exact"/>
              <w:jc w:val="right"/>
              <w:rPr>
                <w:rFonts w:cs="Times New Roman"/>
                <w:sz w:val="16"/>
                <w:szCs w:val="16"/>
              </w:rPr>
            </w:pPr>
            <w:r w:rsidRPr="002E07E7">
              <w:rPr>
                <w:rFonts w:cs="Times New Roman"/>
                <w:sz w:val="16"/>
                <w:szCs w:val="16"/>
              </w:rPr>
              <w:t>6/5/1</w:t>
            </w:r>
          </w:p>
        </w:tc>
        <w:tc>
          <w:tcPr>
            <w:tcW w:w="669" w:type="dxa"/>
            <w:tcBorders>
              <w:bottom w:val="single" w:sz="12" w:space="0" w:color="auto"/>
            </w:tcBorders>
            <w:shd w:val="clear" w:color="auto" w:fill="auto"/>
            <w:vAlign w:val="bottom"/>
          </w:tcPr>
          <w:p w14:paraId="7797D2F5" w14:textId="77777777" w:rsidR="00B950FD" w:rsidRPr="002E07E7" w:rsidRDefault="00B950FD" w:rsidP="00B02DF3">
            <w:pPr>
              <w:spacing w:before="40" w:after="40" w:line="220" w:lineRule="exact"/>
              <w:jc w:val="right"/>
              <w:rPr>
                <w:rFonts w:cs="Times New Roman"/>
                <w:sz w:val="16"/>
                <w:szCs w:val="16"/>
              </w:rPr>
            </w:pPr>
          </w:p>
        </w:tc>
        <w:tc>
          <w:tcPr>
            <w:tcW w:w="601" w:type="dxa"/>
            <w:tcBorders>
              <w:bottom w:val="single" w:sz="12" w:space="0" w:color="auto"/>
            </w:tcBorders>
            <w:shd w:val="clear" w:color="auto" w:fill="auto"/>
            <w:vAlign w:val="bottom"/>
          </w:tcPr>
          <w:p w14:paraId="1685069B" w14:textId="77777777" w:rsidR="00B950FD" w:rsidRPr="002E07E7" w:rsidRDefault="00B950FD" w:rsidP="00B02DF3">
            <w:pPr>
              <w:spacing w:before="40" w:after="40" w:line="220" w:lineRule="exact"/>
              <w:jc w:val="right"/>
              <w:rPr>
                <w:rFonts w:cs="Times New Roman"/>
                <w:sz w:val="16"/>
                <w:szCs w:val="16"/>
              </w:rPr>
            </w:pPr>
          </w:p>
        </w:tc>
        <w:tc>
          <w:tcPr>
            <w:tcW w:w="1218" w:type="dxa"/>
            <w:tcBorders>
              <w:bottom w:val="single" w:sz="12" w:space="0" w:color="auto"/>
            </w:tcBorders>
            <w:shd w:val="clear" w:color="auto" w:fill="auto"/>
            <w:vAlign w:val="bottom"/>
          </w:tcPr>
          <w:p w14:paraId="085B16B1"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183/183/0</w:t>
            </w:r>
          </w:p>
        </w:tc>
        <w:tc>
          <w:tcPr>
            <w:tcW w:w="919" w:type="dxa"/>
            <w:tcBorders>
              <w:bottom w:val="single" w:sz="12" w:space="0" w:color="auto"/>
            </w:tcBorders>
            <w:shd w:val="clear" w:color="auto" w:fill="auto"/>
            <w:vAlign w:val="bottom"/>
          </w:tcPr>
          <w:p w14:paraId="2982487D"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142/0/142</w:t>
            </w:r>
          </w:p>
        </w:tc>
        <w:tc>
          <w:tcPr>
            <w:tcW w:w="652" w:type="dxa"/>
            <w:tcBorders>
              <w:bottom w:val="single" w:sz="12" w:space="0" w:color="auto"/>
            </w:tcBorders>
            <w:shd w:val="clear" w:color="auto" w:fill="auto"/>
            <w:vAlign w:val="bottom"/>
          </w:tcPr>
          <w:p w14:paraId="0623A221"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20(E)/</w:t>
            </w:r>
            <w:r w:rsidRPr="002E07E7">
              <w:rPr>
                <w:rFonts w:cs="Times New Roman"/>
                <w:sz w:val="16"/>
                <w:szCs w:val="16"/>
              </w:rPr>
              <w:br/>
              <w:t>0/20</w:t>
            </w:r>
          </w:p>
        </w:tc>
        <w:tc>
          <w:tcPr>
            <w:tcW w:w="1004" w:type="dxa"/>
            <w:tcBorders>
              <w:bottom w:val="single" w:sz="12" w:space="0" w:color="auto"/>
            </w:tcBorders>
            <w:shd w:val="clear" w:color="auto" w:fill="auto"/>
            <w:textDirection w:val="lrTbV"/>
            <w:vAlign w:val="bottom"/>
          </w:tcPr>
          <w:p w14:paraId="200F80BD" w14:textId="77777777" w:rsidR="00B950FD" w:rsidRPr="002E07E7" w:rsidRDefault="00B950FD" w:rsidP="00B02DF3">
            <w:pPr>
              <w:spacing w:before="40" w:after="40" w:line="220" w:lineRule="exact"/>
              <w:jc w:val="right"/>
              <w:rPr>
                <w:rFonts w:cs="Times New Roman"/>
                <w:sz w:val="16"/>
                <w:szCs w:val="16"/>
              </w:rPr>
            </w:pPr>
          </w:p>
        </w:tc>
        <w:tc>
          <w:tcPr>
            <w:tcW w:w="807" w:type="dxa"/>
            <w:tcBorders>
              <w:bottom w:val="single" w:sz="12" w:space="0" w:color="auto"/>
            </w:tcBorders>
            <w:shd w:val="clear" w:color="auto" w:fill="auto"/>
            <w:textDirection w:val="lrTbV"/>
            <w:vAlign w:val="bottom"/>
          </w:tcPr>
          <w:p w14:paraId="0DCAA7B5" w14:textId="77777777" w:rsidR="00B950FD" w:rsidRPr="002E07E7" w:rsidRDefault="00B950FD" w:rsidP="00B02DF3">
            <w:pPr>
              <w:spacing w:before="40" w:after="40" w:line="220" w:lineRule="exact"/>
              <w:jc w:val="right"/>
              <w:rPr>
                <w:rFonts w:cs="Times New Roman"/>
                <w:sz w:val="16"/>
                <w:szCs w:val="16"/>
              </w:rPr>
            </w:pPr>
            <w:r w:rsidRPr="002E07E7">
              <w:rPr>
                <w:rFonts w:cs="Times New Roman"/>
                <w:sz w:val="16"/>
                <w:szCs w:val="16"/>
              </w:rPr>
              <w:t>S</w:t>
            </w:r>
          </w:p>
        </w:tc>
      </w:tr>
    </w:tbl>
    <w:bookmarkEnd w:id="17"/>
    <w:p w14:paraId="6D36045E" w14:textId="563233DA" w:rsidR="00B950FD" w:rsidRPr="00FD0920" w:rsidRDefault="00B950FD" w:rsidP="00D32A76">
      <w:pPr>
        <w:tabs>
          <w:tab w:val="left" w:pos="142"/>
        </w:tabs>
        <w:spacing w:before="120" w:line="220" w:lineRule="exact"/>
        <w:ind w:right="1134" w:firstLine="170"/>
        <w:rPr>
          <w:sz w:val="18"/>
          <w:szCs w:val="18"/>
        </w:rPr>
      </w:pPr>
      <w:r w:rsidRPr="00FD0920">
        <w:rPr>
          <w:sz w:val="18"/>
          <w:szCs w:val="18"/>
        </w:rPr>
        <w:t>*</w:t>
      </w:r>
      <w:r>
        <w:rPr>
          <w:sz w:val="18"/>
          <w:szCs w:val="18"/>
        </w:rPr>
        <w:tab/>
      </w:r>
      <w:r w:rsidRPr="00FD0920">
        <w:rPr>
          <w:sz w:val="18"/>
          <w:szCs w:val="18"/>
        </w:rPr>
        <w:t>Включая 22 основных плана регионального развития и их изменения (региональный уровень).</w:t>
      </w:r>
    </w:p>
    <w:p w14:paraId="4C528D1F" w14:textId="5EFC201D" w:rsidR="00B950FD" w:rsidRPr="00FD0920" w:rsidRDefault="00B950FD" w:rsidP="00D32A76">
      <w:pPr>
        <w:tabs>
          <w:tab w:val="left" w:pos="142"/>
        </w:tabs>
        <w:spacing w:line="220" w:lineRule="exact"/>
        <w:ind w:right="1134" w:firstLine="170"/>
        <w:rPr>
          <w:sz w:val="18"/>
          <w:szCs w:val="18"/>
        </w:rPr>
      </w:pPr>
      <w:r w:rsidRPr="00FD0920">
        <w:rPr>
          <w:sz w:val="18"/>
          <w:szCs w:val="18"/>
        </w:rPr>
        <w:t>**</w:t>
      </w:r>
      <w:r>
        <w:rPr>
          <w:sz w:val="18"/>
          <w:szCs w:val="18"/>
        </w:rPr>
        <w:tab/>
      </w:r>
      <w:r w:rsidRPr="00FD0920">
        <w:rPr>
          <w:sz w:val="18"/>
          <w:szCs w:val="18"/>
        </w:rPr>
        <w:t>300 местных генеральных планов и 3200 местных детальных планов.</w:t>
      </w:r>
    </w:p>
    <w:p w14:paraId="15FCCB96" w14:textId="0968E449" w:rsidR="00B950FD" w:rsidRPr="00FD0920" w:rsidRDefault="00B950FD" w:rsidP="00D32A76">
      <w:pPr>
        <w:tabs>
          <w:tab w:val="left" w:pos="142"/>
        </w:tabs>
        <w:spacing w:line="220" w:lineRule="exact"/>
        <w:ind w:right="395" w:firstLine="170"/>
        <w:rPr>
          <w:sz w:val="18"/>
          <w:szCs w:val="18"/>
        </w:rPr>
      </w:pPr>
      <w:r w:rsidRPr="00825EAE">
        <w:rPr>
          <w:i/>
          <w:iCs/>
          <w:sz w:val="18"/>
          <w:szCs w:val="18"/>
        </w:rPr>
        <w:t>Сокращения</w:t>
      </w:r>
      <w:r w:rsidRPr="00825EAE">
        <w:rPr>
          <w:sz w:val="18"/>
          <w:szCs w:val="18"/>
        </w:rPr>
        <w:t>:</w:t>
      </w:r>
      <w:r w:rsidRPr="00FD0920">
        <w:rPr>
          <w:sz w:val="18"/>
          <w:szCs w:val="18"/>
        </w:rPr>
        <w:t xml:space="preserve"> С/х, Сельское хозяйство; </w:t>
      </w:r>
      <w:proofErr w:type="spellStart"/>
      <w:r w:rsidRPr="00FD0920">
        <w:rPr>
          <w:sz w:val="18"/>
          <w:szCs w:val="18"/>
        </w:rPr>
        <w:t>Энерг</w:t>
      </w:r>
      <w:proofErr w:type="spellEnd"/>
      <w:r w:rsidRPr="00FD0920">
        <w:rPr>
          <w:sz w:val="18"/>
          <w:szCs w:val="18"/>
        </w:rPr>
        <w:t xml:space="preserve">., Энергетика; Лес., Лесное хозяйство; Рыб., Рыболовство; Регион. </w:t>
      </w:r>
      <w:proofErr w:type="spellStart"/>
      <w:r w:rsidRPr="00FD0920">
        <w:rPr>
          <w:sz w:val="18"/>
          <w:szCs w:val="18"/>
        </w:rPr>
        <w:t>разв</w:t>
      </w:r>
      <w:proofErr w:type="spellEnd"/>
      <w:r w:rsidRPr="00FD0920">
        <w:rPr>
          <w:sz w:val="18"/>
          <w:szCs w:val="18"/>
        </w:rPr>
        <w:t>., Региональное развитие; Транс., Транспорт; Телеком</w:t>
      </w:r>
      <w:r>
        <w:rPr>
          <w:sz w:val="18"/>
          <w:szCs w:val="18"/>
        </w:rPr>
        <w:t>.</w:t>
      </w:r>
      <w:r w:rsidRPr="00FD0920">
        <w:rPr>
          <w:sz w:val="18"/>
          <w:szCs w:val="18"/>
        </w:rPr>
        <w:t xml:space="preserve">, Телекоммуникации; Упр. </w:t>
      </w:r>
      <w:r>
        <w:rPr>
          <w:sz w:val="18"/>
          <w:szCs w:val="18"/>
        </w:rPr>
        <w:t>о</w:t>
      </w:r>
      <w:r w:rsidRPr="00FD0920">
        <w:rPr>
          <w:sz w:val="18"/>
          <w:szCs w:val="18"/>
        </w:rPr>
        <w:t xml:space="preserve">тход., Управление отходами; Упр. вод. </w:t>
      </w:r>
      <w:proofErr w:type="spellStart"/>
      <w:r w:rsidRPr="00FD0920">
        <w:rPr>
          <w:sz w:val="18"/>
          <w:szCs w:val="18"/>
        </w:rPr>
        <w:t>рес</w:t>
      </w:r>
      <w:proofErr w:type="spellEnd"/>
      <w:r w:rsidRPr="00FD0920">
        <w:rPr>
          <w:sz w:val="18"/>
          <w:szCs w:val="18"/>
        </w:rPr>
        <w:t>., Управление водными ресурсами.</w:t>
      </w:r>
    </w:p>
    <w:p w14:paraId="1E1AED7F" w14:textId="0B416044" w:rsidR="00B950FD" w:rsidRPr="00FD0920" w:rsidRDefault="00B950FD" w:rsidP="00E7660D">
      <w:pPr>
        <w:tabs>
          <w:tab w:val="left" w:pos="142"/>
        </w:tabs>
        <w:spacing w:line="220" w:lineRule="exact"/>
        <w:ind w:right="822" w:firstLine="170"/>
        <w:rPr>
          <w:sz w:val="18"/>
          <w:szCs w:val="18"/>
        </w:rPr>
      </w:pPr>
      <w:r w:rsidRPr="00825EAE">
        <w:rPr>
          <w:i/>
          <w:iCs/>
          <w:sz w:val="18"/>
          <w:szCs w:val="18"/>
        </w:rPr>
        <w:t>Примечание</w:t>
      </w:r>
      <w:r w:rsidRPr="00FD0920">
        <w:rPr>
          <w:sz w:val="18"/>
          <w:szCs w:val="18"/>
        </w:rPr>
        <w:t>: Таблица подготовлена на основе неполной информации, поскольку не все респонденты сгруппировали свои процедуры СЭО по секторам, перечисленным в пункте 2 статьи 4. Кроме того, некоторые респонденты не смогли сообщить о количестве процедур СЭО, инициированных в отчетный период, особенно на местном уровне, из</w:t>
      </w:r>
      <w:r>
        <w:rPr>
          <w:sz w:val="18"/>
          <w:szCs w:val="18"/>
        </w:rPr>
        <w:t>-</w:t>
      </w:r>
      <w:r w:rsidRPr="00FD0920">
        <w:rPr>
          <w:sz w:val="18"/>
          <w:szCs w:val="18"/>
        </w:rPr>
        <w:t>за отсутствия или неполноты статистических данных.</w:t>
      </w:r>
    </w:p>
    <w:p w14:paraId="02E098D5" w14:textId="77777777" w:rsidR="00B950FD" w:rsidRPr="00BC5410" w:rsidRDefault="00B950FD" w:rsidP="00B950FD">
      <w:pPr>
        <w:pStyle w:val="H23G"/>
        <w:ind w:left="0" w:firstLine="0"/>
        <w:rPr>
          <w:rFonts w:eastAsia="Times"/>
        </w:rPr>
      </w:pPr>
      <w:r w:rsidRPr="00FD0920">
        <w:rPr>
          <w:b w:val="0"/>
          <w:bCs/>
        </w:rPr>
        <w:lastRenderedPageBreak/>
        <w:t>Таблица 3</w:t>
      </w:r>
      <w:r>
        <w:br/>
        <w:t>Трансграничные процедуры стратегической экологической оценки в период 2019–2021 годов</w:t>
      </w:r>
    </w:p>
    <w:tbl>
      <w:tblPr>
        <w:tblW w:w="14161" w:type="dxa"/>
        <w:tblInd w:w="14" w:type="dxa"/>
        <w:tblLayout w:type="fixed"/>
        <w:tblCellMar>
          <w:left w:w="0" w:type="dxa"/>
          <w:right w:w="0" w:type="dxa"/>
        </w:tblCellMar>
        <w:tblLook w:val="04A0" w:firstRow="1" w:lastRow="0" w:firstColumn="1" w:lastColumn="0" w:noHBand="0" w:noVBand="1"/>
      </w:tblPr>
      <w:tblGrid>
        <w:gridCol w:w="1969"/>
        <w:gridCol w:w="864"/>
        <w:gridCol w:w="785"/>
        <w:gridCol w:w="700"/>
        <w:gridCol w:w="586"/>
        <w:gridCol w:w="899"/>
        <w:gridCol w:w="945"/>
        <w:gridCol w:w="979"/>
        <w:gridCol w:w="954"/>
        <w:gridCol w:w="982"/>
        <w:gridCol w:w="909"/>
        <w:gridCol w:w="655"/>
        <w:gridCol w:w="786"/>
        <w:gridCol w:w="947"/>
        <w:gridCol w:w="561"/>
        <w:gridCol w:w="640"/>
      </w:tblGrid>
      <w:tr w:rsidR="00B950FD" w:rsidRPr="00FD0920" w14:paraId="1DC44901" w14:textId="77777777" w:rsidTr="00B02DF3">
        <w:trPr>
          <w:cantSplit/>
          <w:tblHeader/>
        </w:trPr>
        <w:tc>
          <w:tcPr>
            <w:tcW w:w="1969" w:type="dxa"/>
            <w:tcBorders>
              <w:top w:val="single" w:sz="4" w:space="0" w:color="auto"/>
              <w:bottom w:val="single" w:sz="12" w:space="0" w:color="auto"/>
            </w:tcBorders>
            <w:shd w:val="clear" w:color="auto" w:fill="auto"/>
            <w:vAlign w:val="bottom"/>
          </w:tcPr>
          <w:p w14:paraId="22E581C6" w14:textId="77777777" w:rsidR="00E7660D" w:rsidRDefault="00B950FD" w:rsidP="00B02DF3">
            <w:pPr>
              <w:spacing w:before="80" w:after="80" w:line="200" w:lineRule="exact"/>
              <w:ind w:left="28"/>
              <w:rPr>
                <w:rFonts w:cs="Times New Roman"/>
                <w:i/>
                <w:sz w:val="16"/>
              </w:rPr>
            </w:pPr>
            <w:r w:rsidRPr="00FD0920">
              <w:rPr>
                <w:rFonts w:cs="Times New Roman"/>
                <w:i/>
                <w:sz w:val="16"/>
              </w:rPr>
              <w:t>Итого/</w:t>
            </w:r>
            <w:r>
              <w:rPr>
                <w:rFonts w:cs="Times New Roman"/>
                <w:i/>
                <w:sz w:val="16"/>
              </w:rPr>
              <w:br/>
            </w:r>
            <w:r w:rsidRPr="00FD0920">
              <w:rPr>
                <w:rFonts w:cs="Times New Roman"/>
                <w:i/>
                <w:sz w:val="16"/>
              </w:rPr>
              <w:t>местный уровень/</w:t>
            </w:r>
            <w:r>
              <w:rPr>
                <w:rFonts w:cs="Times New Roman"/>
                <w:i/>
                <w:sz w:val="16"/>
              </w:rPr>
              <w:br/>
            </w:r>
            <w:r w:rsidRPr="00FD0920">
              <w:rPr>
                <w:rFonts w:cs="Times New Roman"/>
                <w:i/>
                <w:sz w:val="16"/>
              </w:rPr>
              <w:t>национальный уровень</w:t>
            </w:r>
          </w:p>
          <w:p w14:paraId="7D53CDDC" w14:textId="4D21C092" w:rsidR="00B950FD" w:rsidRPr="00FD0920" w:rsidRDefault="00B950FD" w:rsidP="00B02DF3">
            <w:pPr>
              <w:spacing w:before="80" w:after="80" w:line="200" w:lineRule="exact"/>
              <w:ind w:left="28"/>
              <w:rPr>
                <w:rFonts w:cs="Times New Roman"/>
                <w:i/>
                <w:sz w:val="16"/>
              </w:rPr>
            </w:pPr>
            <w:r w:rsidRPr="00FD0920">
              <w:rPr>
                <w:rFonts w:cs="Times New Roman"/>
                <w:i/>
                <w:sz w:val="16"/>
              </w:rPr>
              <w:t xml:space="preserve">Сторона происхождения (затронутая Сторона) </w:t>
            </w:r>
          </w:p>
        </w:tc>
        <w:tc>
          <w:tcPr>
            <w:tcW w:w="864" w:type="dxa"/>
            <w:tcBorders>
              <w:top w:val="single" w:sz="4" w:space="0" w:color="auto"/>
              <w:bottom w:val="single" w:sz="12" w:space="0" w:color="auto"/>
            </w:tcBorders>
            <w:shd w:val="clear" w:color="auto" w:fill="auto"/>
            <w:textDirection w:val="lrTbV"/>
            <w:vAlign w:val="bottom"/>
          </w:tcPr>
          <w:p w14:paraId="130D70C1"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Сельское хозяйство</w:t>
            </w:r>
          </w:p>
        </w:tc>
        <w:tc>
          <w:tcPr>
            <w:tcW w:w="785" w:type="dxa"/>
            <w:tcBorders>
              <w:top w:val="single" w:sz="4" w:space="0" w:color="auto"/>
              <w:bottom w:val="single" w:sz="12" w:space="0" w:color="auto"/>
            </w:tcBorders>
            <w:shd w:val="clear" w:color="auto" w:fill="auto"/>
            <w:textDirection w:val="lrTbV"/>
            <w:vAlign w:val="bottom"/>
          </w:tcPr>
          <w:p w14:paraId="05AB6206"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Лесное хозяйство</w:t>
            </w:r>
          </w:p>
        </w:tc>
        <w:tc>
          <w:tcPr>
            <w:tcW w:w="700" w:type="dxa"/>
            <w:tcBorders>
              <w:top w:val="single" w:sz="4" w:space="0" w:color="auto"/>
              <w:bottom w:val="single" w:sz="12" w:space="0" w:color="auto"/>
            </w:tcBorders>
            <w:shd w:val="clear" w:color="auto" w:fill="auto"/>
            <w:textDirection w:val="lrTbV"/>
            <w:vAlign w:val="bottom"/>
          </w:tcPr>
          <w:p w14:paraId="1ADC45B7" w14:textId="77777777" w:rsidR="00B950FD" w:rsidRPr="00FD0920" w:rsidRDefault="00B950FD" w:rsidP="00B02DF3">
            <w:pPr>
              <w:spacing w:before="80" w:after="80" w:line="200" w:lineRule="exact"/>
              <w:ind w:left="28"/>
              <w:jc w:val="right"/>
              <w:rPr>
                <w:rFonts w:cs="Times New Roman"/>
                <w:i/>
                <w:sz w:val="16"/>
              </w:rPr>
            </w:pPr>
            <w:proofErr w:type="spellStart"/>
            <w:r w:rsidRPr="00FD0920">
              <w:rPr>
                <w:rFonts w:cs="Times New Roman"/>
                <w:i/>
                <w:sz w:val="16"/>
              </w:rPr>
              <w:t>Рыбо</w:t>
            </w:r>
            <w:r>
              <w:rPr>
                <w:rFonts w:cs="Times New Roman"/>
                <w:i/>
                <w:sz w:val="16"/>
              </w:rPr>
              <w:t>-</w:t>
            </w:r>
            <w:r w:rsidRPr="00FD0920">
              <w:rPr>
                <w:rFonts w:cs="Times New Roman"/>
                <w:i/>
                <w:sz w:val="16"/>
              </w:rPr>
              <w:t>ловство</w:t>
            </w:r>
            <w:proofErr w:type="spellEnd"/>
          </w:p>
        </w:tc>
        <w:tc>
          <w:tcPr>
            <w:tcW w:w="586" w:type="dxa"/>
            <w:tcBorders>
              <w:top w:val="single" w:sz="4" w:space="0" w:color="auto"/>
              <w:bottom w:val="single" w:sz="12" w:space="0" w:color="auto"/>
            </w:tcBorders>
            <w:shd w:val="clear" w:color="auto" w:fill="auto"/>
            <w:textDirection w:val="lrTbV"/>
            <w:vAlign w:val="bottom"/>
          </w:tcPr>
          <w:p w14:paraId="0F6B468A" w14:textId="77777777" w:rsidR="00B950FD" w:rsidRPr="00FD0920" w:rsidRDefault="00B950FD" w:rsidP="00B02DF3">
            <w:pPr>
              <w:spacing w:before="80" w:after="80" w:line="200" w:lineRule="exact"/>
              <w:ind w:left="28"/>
              <w:jc w:val="right"/>
              <w:rPr>
                <w:rFonts w:cs="Times New Roman"/>
                <w:i/>
                <w:sz w:val="16"/>
              </w:rPr>
            </w:pPr>
            <w:proofErr w:type="spellStart"/>
            <w:r w:rsidRPr="00FD0920">
              <w:rPr>
                <w:rFonts w:cs="Times New Roman"/>
                <w:i/>
                <w:sz w:val="16"/>
              </w:rPr>
              <w:t>Энер</w:t>
            </w:r>
            <w:r>
              <w:rPr>
                <w:rFonts w:cs="Times New Roman"/>
                <w:i/>
                <w:sz w:val="16"/>
              </w:rPr>
              <w:t>-ге</w:t>
            </w:r>
            <w:r w:rsidRPr="00FD0920">
              <w:rPr>
                <w:rFonts w:cs="Times New Roman"/>
                <w:i/>
                <w:sz w:val="16"/>
              </w:rPr>
              <w:t>тика</w:t>
            </w:r>
            <w:proofErr w:type="spellEnd"/>
          </w:p>
        </w:tc>
        <w:tc>
          <w:tcPr>
            <w:tcW w:w="899" w:type="dxa"/>
            <w:tcBorders>
              <w:top w:val="single" w:sz="4" w:space="0" w:color="auto"/>
              <w:bottom w:val="single" w:sz="12" w:space="0" w:color="auto"/>
            </w:tcBorders>
            <w:shd w:val="clear" w:color="auto" w:fill="auto"/>
            <w:textDirection w:val="lrTbV"/>
            <w:vAlign w:val="bottom"/>
          </w:tcPr>
          <w:p w14:paraId="217DD36F" w14:textId="77777777" w:rsidR="00B950FD" w:rsidRPr="00FD0920" w:rsidRDefault="00B950FD" w:rsidP="00B02DF3">
            <w:pPr>
              <w:spacing w:before="80" w:after="80" w:line="200" w:lineRule="exact"/>
              <w:ind w:left="28"/>
              <w:jc w:val="right"/>
              <w:rPr>
                <w:rFonts w:cs="Times New Roman"/>
                <w:i/>
                <w:sz w:val="16"/>
              </w:rPr>
            </w:pPr>
            <w:proofErr w:type="spellStart"/>
            <w:r w:rsidRPr="00FD0920">
              <w:rPr>
                <w:rFonts w:cs="Times New Roman"/>
                <w:i/>
                <w:sz w:val="16"/>
              </w:rPr>
              <w:t>Промыш</w:t>
            </w:r>
            <w:r>
              <w:rPr>
                <w:rFonts w:cs="Times New Roman"/>
                <w:i/>
                <w:sz w:val="16"/>
              </w:rPr>
              <w:t>-</w:t>
            </w:r>
            <w:r w:rsidRPr="00FD0920">
              <w:rPr>
                <w:rFonts w:cs="Times New Roman"/>
                <w:i/>
                <w:sz w:val="16"/>
              </w:rPr>
              <w:t>ленность</w:t>
            </w:r>
            <w:proofErr w:type="spellEnd"/>
          </w:p>
        </w:tc>
        <w:tc>
          <w:tcPr>
            <w:tcW w:w="945" w:type="dxa"/>
            <w:tcBorders>
              <w:top w:val="single" w:sz="4" w:space="0" w:color="auto"/>
              <w:bottom w:val="single" w:sz="12" w:space="0" w:color="auto"/>
            </w:tcBorders>
            <w:shd w:val="clear" w:color="auto" w:fill="auto"/>
            <w:textDirection w:val="lrTbV"/>
            <w:vAlign w:val="bottom"/>
          </w:tcPr>
          <w:p w14:paraId="7324FEBF"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Транспорт</w:t>
            </w:r>
          </w:p>
        </w:tc>
        <w:tc>
          <w:tcPr>
            <w:tcW w:w="979" w:type="dxa"/>
            <w:tcBorders>
              <w:top w:val="single" w:sz="4" w:space="0" w:color="auto"/>
              <w:bottom w:val="single" w:sz="12" w:space="0" w:color="auto"/>
            </w:tcBorders>
            <w:shd w:val="clear" w:color="auto" w:fill="auto"/>
            <w:textDirection w:val="lrTbV"/>
            <w:vAlign w:val="bottom"/>
          </w:tcPr>
          <w:p w14:paraId="6D4DD2C8"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Региональное развитие</w:t>
            </w:r>
          </w:p>
        </w:tc>
        <w:tc>
          <w:tcPr>
            <w:tcW w:w="954" w:type="dxa"/>
            <w:tcBorders>
              <w:top w:val="single" w:sz="4" w:space="0" w:color="auto"/>
              <w:bottom w:val="single" w:sz="12" w:space="0" w:color="auto"/>
            </w:tcBorders>
            <w:shd w:val="clear" w:color="auto" w:fill="auto"/>
            <w:textDirection w:val="lrTbV"/>
            <w:vAlign w:val="bottom"/>
          </w:tcPr>
          <w:p w14:paraId="5D9C23FD"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Управление отходами</w:t>
            </w:r>
          </w:p>
        </w:tc>
        <w:tc>
          <w:tcPr>
            <w:tcW w:w="982" w:type="dxa"/>
            <w:tcBorders>
              <w:top w:val="single" w:sz="4" w:space="0" w:color="auto"/>
              <w:bottom w:val="single" w:sz="12" w:space="0" w:color="auto"/>
            </w:tcBorders>
            <w:shd w:val="clear" w:color="auto" w:fill="auto"/>
            <w:textDirection w:val="lrTbV"/>
            <w:vAlign w:val="bottom"/>
          </w:tcPr>
          <w:p w14:paraId="4A1D78F3"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Управление водными ресурсами</w:t>
            </w:r>
          </w:p>
        </w:tc>
        <w:tc>
          <w:tcPr>
            <w:tcW w:w="909" w:type="dxa"/>
            <w:tcBorders>
              <w:top w:val="single" w:sz="4" w:space="0" w:color="auto"/>
              <w:bottom w:val="single" w:sz="12" w:space="0" w:color="auto"/>
            </w:tcBorders>
            <w:shd w:val="clear" w:color="auto" w:fill="auto"/>
            <w:textDirection w:val="lrTbV"/>
            <w:vAlign w:val="bottom"/>
          </w:tcPr>
          <w:p w14:paraId="67B5EC86"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Телеком.</w:t>
            </w:r>
          </w:p>
        </w:tc>
        <w:tc>
          <w:tcPr>
            <w:tcW w:w="655" w:type="dxa"/>
            <w:tcBorders>
              <w:top w:val="single" w:sz="4" w:space="0" w:color="auto"/>
              <w:bottom w:val="single" w:sz="12" w:space="0" w:color="auto"/>
            </w:tcBorders>
            <w:shd w:val="clear" w:color="auto" w:fill="auto"/>
            <w:textDirection w:val="lrTbV"/>
            <w:vAlign w:val="bottom"/>
          </w:tcPr>
          <w:p w14:paraId="493FC03F"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Туризм</w:t>
            </w:r>
          </w:p>
        </w:tc>
        <w:tc>
          <w:tcPr>
            <w:tcW w:w="786" w:type="dxa"/>
            <w:tcBorders>
              <w:top w:val="single" w:sz="4" w:space="0" w:color="auto"/>
              <w:bottom w:val="single" w:sz="12" w:space="0" w:color="auto"/>
            </w:tcBorders>
            <w:shd w:val="clear" w:color="auto" w:fill="auto"/>
            <w:textDirection w:val="lrTbV"/>
            <w:vAlign w:val="bottom"/>
          </w:tcPr>
          <w:p w14:paraId="2DBF1C7C"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 xml:space="preserve">Городское и сельское </w:t>
            </w:r>
            <w:proofErr w:type="spellStart"/>
            <w:r w:rsidRPr="00FD0920">
              <w:rPr>
                <w:rFonts w:cs="Times New Roman"/>
                <w:i/>
                <w:sz w:val="16"/>
              </w:rPr>
              <w:t>планиро</w:t>
            </w:r>
            <w:r>
              <w:rPr>
                <w:rFonts w:cs="Times New Roman"/>
                <w:i/>
                <w:sz w:val="16"/>
              </w:rPr>
              <w:t>-</w:t>
            </w:r>
            <w:r w:rsidRPr="00FD0920">
              <w:rPr>
                <w:rFonts w:cs="Times New Roman"/>
                <w:i/>
                <w:sz w:val="16"/>
              </w:rPr>
              <w:t>вание</w:t>
            </w:r>
            <w:proofErr w:type="spellEnd"/>
          </w:p>
        </w:tc>
        <w:tc>
          <w:tcPr>
            <w:tcW w:w="947" w:type="dxa"/>
            <w:tcBorders>
              <w:top w:val="single" w:sz="4" w:space="0" w:color="auto"/>
              <w:bottom w:val="single" w:sz="12" w:space="0" w:color="auto"/>
            </w:tcBorders>
            <w:shd w:val="clear" w:color="auto" w:fill="auto"/>
            <w:textDirection w:val="lrTbV"/>
            <w:vAlign w:val="bottom"/>
          </w:tcPr>
          <w:p w14:paraId="17B49498"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Земле</w:t>
            </w:r>
            <w:r>
              <w:rPr>
                <w:rFonts w:cs="Times New Roman"/>
                <w:i/>
                <w:sz w:val="16"/>
              </w:rPr>
              <w:t>-</w:t>
            </w:r>
            <w:r w:rsidRPr="00FD0920">
              <w:rPr>
                <w:rFonts w:cs="Times New Roman"/>
                <w:i/>
                <w:sz w:val="16"/>
              </w:rPr>
              <w:t>пользование</w:t>
            </w:r>
          </w:p>
        </w:tc>
        <w:tc>
          <w:tcPr>
            <w:tcW w:w="561" w:type="dxa"/>
            <w:tcBorders>
              <w:top w:val="single" w:sz="4" w:space="0" w:color="auto"/>
              <w:bottom w:val="single" w:sz="12" w:space="0" w:color="auto"/>
            </w:tcBorders>
            <w:shd w:val="clear" w:color="auto" w:fill="auto"/>
            <w:textDirection w:val="lrTbV"/>
            <w:vAlign w:val="bottom"/>
          </w:tcPr>
          <w:p w14:paraId="05B55301"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Другое</w:t>
            </w:r>
          </w:p>
        </w:tc>
        <w:tc>
          <w:tcPr>
            <w:tcW w:w="640" w:type="dxa"/>
            <w:tcBorders>
              <w:top w:val="single" w:sz="4" w:space="0" w:color="auto"/>
              <w:bottom w:val="single" w:sz="12" w:space="0" w:color="auto"/>
            </w:tcBorders>
            <w:shd w:val="clear" w:color="auto" w:fill="auto"/>
            <w:textDirection w:val="lrTbV"/>
            <w:vAlign w:val="bottom"/>
          </w:tcPr>
          <w:p w14:paraId="183E014B" w14:textId="77777777" w:rsidR="00B950FD" w:rsidRPr="00FD0920" w:rsidRDefault="00B950FD" w:rsidP="00B02DF3">
            <w:pPr>
              <w:spacing w:before="80" w:after="80" w:line="200" w:lineRule="exact"/>
              <w:ind w:left="28"/>
              <w:jc w:val="right"/>
              <w:rPr>
                <w:rFonts w:cs="Times New Roman"/>
                <w:i/>
                <w:sz w:val="16"/>
              </w:rPr>
            </w:pPr>
            <w:r w:rsidRPr="00FD0920">
              <w:rPr>
                <w:rFonts w:cs="Times New Roman"/>
                <w:i/>
                <w:sz w:val="16"/>
              </w:rPr>
              <w:t>Всего</w:t>
            </w:r>
          </w:p>
        </w:tc>
      </w:tr>
      <w:tr w:rsidR="00B950FD" w:rsidRPr="00FD0920" w14:paraId="629AC3DA" w14:textId="77777777" w:rsidTr="00B02DF3">
        <w:tc>
          <w:tcPr>
            <w:tcW w:w="1969" w:type="dxa"/>
            <w:shd w:val="clear" w:color="auto" w:fill="auto"/>
          </w:tcPr>
          <w:p w14:paraId="0E316C08"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Албания</w:t>
            </w:r>
          </w:p>
        </w:tc>
        <w:tc>
          <w:tcPr>
            <w:tcW w:w="864" w:type="dxa"/>
            <w:shd w:val="clear" w:color="auto" w:fill="auto"/>
            <w:textDirection w:val="lrTbV"/>
            <w:vAlign w:val="bottom"/>
          </w:tcPr>
          <w:p w14:paraId="190A1905"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336E8B71"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32E8317D"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10BF4E2C" w14:textId="77777777" w:rsidR="00B950FD" w:rsidRPr="00FD0920" w:rsidRDefault="00B950FD" w:rsidP="00B02DF3">
            <w:pPr>
              <w:spacing w:before="40" w:after="40" w:line="220" w:lineRule="exact"/>
              <w:jc w:val="right"/>
              <w:rPr>
                <w:rFonts w:cs="Times New Roman"/>
                <w:sz w:val="18"/>
                <w:szCs w:val="24"/>
              </w:rPr>
            </w:pPr>
          </w:p>
        </w:tc>
        <w:tc>
          <w:tcPr>
            <w:tcW w:w="899" w:type="dxa"/>
            <w:shd w:val="clear" w:color="auto" w:fill="auto"/>
            <w:vAlign w:val="bottom"/>
          </w:tcPr>
          <w:p w14:paraId="1626A596"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63AB166D" w14:textId="77777777" w:rsidR="00B950FD" w:rsidRPr="00FD0920" w:rsidRDefault="00B950FD" w:rsidP="00B02DF3">
            <w:pPr>
              <w:spacing w:before="40" w:after="40" w:line="220" w:lineRule="exact"/>
              <w:jc w:val="right"/>
              <w:rPr>
                <w:rFonts w:cs="Times New Roman"/>
                <w:sz w:val="18"/>
                <w:szCs w:val="24"/>
              </w:rPr>
            </w:pPr>
          </w:p>
        </w:tc>
        <w:tc>
          <w:tcPr>
            <w:tcW w:w="979" w:type="dxa"/>
            <w:shd w:val="clear" w:color="auto" w:fill="auto"/>
            <w:vAlign w:val="bottom"/>
          </w:tcPr>
          <w:p w14:paraId="35883082"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44B9CE0F" w14:textId="77777777" w:rsidR="00B950FD" w:rsidRPr="00FD0920" w:rsidRDefault="00B950FD" w:rsidP="00B02DF3">
            <w:pPr>
              <w:spacing w:before="40" w:after="40" w:line="220" w:lineRule="exact"/>
              <w:jc w:val="right"/>
              <w:rPr>
                <w:rFonts w:cs="Times New Roman"/>
                <w:sz w:val="18"/>
                <w:szCs w:val="24"/>
              </w:rPr>
            </w:pPr>
          </w:p>
        </w:tc>
        <w:tc>
          <w:tcPr>
            <w:tcW w:w="982" w:type="dxa"/>
            <w:shd w:val="clear" w:color="auto" w:fill="auto"/>
            <w:vAlign w:val="bottom"/>
          </w:tcPr>
          <w:p w14:paraId="2722DF55" w14:textId="77777777" w:rsidR="00B950FD" w:rsidRPr="00FD0920" w:rsidRDefault="00B950FD" w:rsidP="00B02DF3">
            <w:pPr>
              <w:spacing w:before="40" w:after="40" w:line="220" w:lineRule="exact"/>
              <w:jc w:val="right"/>
              <w:rPr>
                <w:rFonts w:cs="Times New Roman"/>
                <w:sz w:val="18"/>
                <w:szCs w:val="24"/>
              </w:rPr>
            </w:pPr>
          </w:p>
        </w:tc>
        <w:tc>
          <w:tcPr>
            <w:tcW w:w="909" w:type="dxa"/>
            <w:shd w:val="clear" w:color="auto" w:fill="auto"/>
            <w:vAlign w:val="bottom"/>
          </w:tcPr>
          <w:p w14:paraId="7FDE7719"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148BF544"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584CFCDB" w14:textId="77777777" w:rsidR="00B950FD" w:rsidRPr="00FD0920" w:rsidRDefault="00B950FD" w:rsidP="00B02DF3">
            <w:pPr>
              <w:spacing w:before="40" w:after="40" w:line="220" w:lineRule="exact"/>
              <w:jc w:val="right"/>
              <w:rPr>
                <w:rFonts w:cs="Times New Roman"/>
                <w:sz w:val="18"/>
                <w:szCs w:val="24"/>
              </w:rPr>
            </w:pPr>
          </w:p>
        </w:tc>
        <w:tc>
          <w:tcPr>
            <w:tcW w:w="947" w:type="dxa"/>
            <w:shd w:val="clear" w:color="auto" w:fill="auto"/>
            <w:vAlign w:val="bottom"/>
          </w:tcPr>
          <w:p w14:paraId="1C8D3E85"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71A42970"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41D6A593"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0(0)</w:t>
            </w:r>
          </w:p>
        </w:tc>
      </w:tr>
      <w:tr w:rsidR="00B950FD" w:rsidRPr="00FD0920" w14:paraId="117D83B8" w14:textId="77777777" w:rsidTr="00B02DF3">
        <w:tc>
          <w:tcPr>
            <w:tcW w:w="1969" w:type="dxa"/>
            <w:shd w:val="clear" w:color="auto" w:fill="auto"/>
          </w:tcPr>
          <w:p w14:paraId="66587F06" w14:textId="77777777" w:rsidR="00B950FD" w:rsidRPr="00FD0920" w:rsidDel="00E5581A" w:rsidRDefault="00B950FD" w:rsidP="00B02DF3">
            <w:pPr>
              <w:spacing w:before="40" w:after="40" w:line="220" w:lineRule="exact"/>
              <w:rPr>
                <w:rFonts w:cs="Times New Roman"/>
                <w:sz w:val="18"/>
                <w:szCs w:val="24"/>
              </w:rPr>
            </w:pPr>
            <w:r w:rsidRPr="00FD0920">
              <w:rPr>
                <w:rFonts w:cs="Times New Roman"/>
                <w:sz w:val="18"/>
              </w:rPr>
              <w:t>Австрия</w:t>
            </w:r>
          </w:p>
        </w:tc>
        <w:tc>
          <w:tcPr>
            <w:tcW w:w="864" w:type="dxa"/>
            <w:shd w:val="clear" w:color="auto" w:fill="auto"/>
            <w:textDirection w:val="lrTbV"/>
            <w:vAlign w:val="bottom"/>
          </w:tcPr>
          <w:p w14:paraId="6C0DFA8B"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6F519FE1"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296F5E78"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3087F271"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4</w:t>
            </w:r>
          </w:p>
        </w:tc>
        <w:tc>
          <w:tcPr>
            <w:tcW w:w="899" w:type="dxa"/>
            <w:shd w:val="clear" w:color="auto" w:fill="auto"/>
            <w:vAlign w:val="bottom"/>
          </w:tcPr>
          <w:p w14:paraId="6A6CB283"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67094725"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w:t>
            </w:r>
          </w:p>
        </w:tc>
        <w:tc>
          <w:tcPr>
            <w:tcW w:w="979" w:type="dxa"/>
            <w:shd w:val="clear" w:color="auto" w:fill="auto"/>
            <w:vAlign w:val="bottom"/>
          </w:tcPr>
          <w:p w14:paraId="69FB446F"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677D490A" w14:textId="77777777" w:rsidR="00B950FD" w:rsidRPr="00FD0920" w:rsidRDefault="00B950FD" w:rsidP="00B02DF3">
            <w:pPr>
              <w:spacing w:before="40" w:after="40" w:line="220" w:lineRule="exact"/>
              <w:jc w:val="right"/>
              <w:rPr>
                <w:rFonts w:cs="Times New Roman"/>
                <w:sz w:val="18"/>
                <w:szCs w:val="24"/>
              </w:rPr>
            </w:pPr>
          </w:p>
        </w:tc>
        <w:tc>
          <w:tcPr>
            <w:tcW w:w="982" w:type="dxa"/>
            <w:shd w:val="clear" w:color="auto" w:fill="auto"/>
            <w:vAlign w:val="bottom"/>
          </w:tcPr>
          <w:p w14:paraId="4C67E1FE" w14:textId="77777777" w:rsidR="00B950FD" w:rsidRPr="00FD0920" w:rsidDel="00E5581A" w:rsidRDefault="00B950FD" w:rsidP="00B02DF3">
            <w:pPr>
              <w:spacing w:before="40" w:after="40" w:line="220" w:lineRule="exact"/>
              <w:jc w:val="right"/>
              <w:rPr>
                <w:rFonts w:cs="Times New Roman"/>
                <w:sz w:val="18"/>
                <w:szCs w:val="24"/>
              </w:rPr>
            </w:pPr>
          </w:p>
        </w:tc>
        <w:tc>
          <w:tcPr>
            <w:tcW w:w="909" w:type="dxa"/>
            <w:shd w:val="clear" w:color="auto" w:fill="auto"/>
            <w:vAlign w:val="bottom"/>
          </w:tcPr>
          <w:p w14:paraId="4855B38D"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1AD5FFBE"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1EC0D57F" w14:textId="77777777" w:rsidR="00B950FD" w:rsidRPr="00FD0920" w:rsidDel="00E5581A" w:rsidRDefault="00B950FD" w:rsidP="00B02DF3">
            <w:pPr>
              <w:spacing w:before="40" w:after="40" w:line="220" w:lineRule="exact"/>
              <w:jc w:val="right"/>
              <w:rPr>
                <w:rFonts w:cs="Times New Roman"/>
                <w:sz w:val="18"/>
                <w:szCs w:val="24"/>
              </w:rPr>
            </w:pPr>
          </w:p>
        </w:tc>
        <w:tc>
          <w:tcPr>
            <w:tcW w:w="947" w:type="dxa"/>
            <w:shd w:val="clear" w:color="auto" w:fill="auto"/>
            <w:vAlign w:val="bottom"/>
          </w:tcPr>
          <w:p w14:paraId="66CB28D3"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1AEA0FA1"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20665953" w14:textId="77777777" w:rsidR="00B950FD" w:rsidRPr="00FD0920" w:rsidDel="00E5581A" w:rsidRDefault="00B950FD" w:rsidP="00B02DF3">
            <w:pPr>
              <w:spacing w:before="40" w:after="40" w:line="220" w:lineRule="exact"/>
              <w:jc w:val="right"/>
              <w:rPr>
                <w:rFonts w:cs="Times New Roman"/>
                <w:sz w:val="18"/>
                <w:szCs w:val="24"/>
              </w:rPr>
            </w:pPr>
            <w:r w:rsidRPr="00FD0920">
              <w:rPr>
                <w:rFonts w:cs="Times New Roman"/>
                <w:sz w:val="18"/>
              </w:rPr>
              <w:t>5</w:t>
            </w:r>
          </w:p>
        </w:tc>
      </w:tr>
      <w:tr w:rsidR="00B950FD" w:rsidRPr="00FD0920" w14:paraId="7783DFE7" w14:textId="77777777" w:rsidTr="00B02DF3">
        <w:tc>
          <w:tcPr>
            <w:tcW w:w="1969" w:type="dxa"/>
            <w:shd w:val="clear" w:color="auto" w:fill="auto"/>
          </w:tcPr>
          <w:p w14:paraId="1732F706"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Босния и Герцеговина</w:t>
            </w:r>
          </w:p>
        </w:tc>
        <w:tc>
          <w:tcPr>
            <w:tcW w:w="864" w:type="dxa"/>
            <w:shd w:val="clear" w:color="auto" w:fill="auto"/>
            <w:textDirection w:val="lrTbV"/>
            <w:vAlign w:val="bottom"/>
          </w:tcPr>
          <w:p w14:paraId="193B581B"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14AFBCC2"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34E913C0"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6CA78C35" w14:textId="77777777" w:rsidR="00B950FD" w:rsidRPr="00FD0920" w:rsidRDefault="00B950FD" w:rsidP="00B02DF3">
            <w:pPr>
              <w:spacing w:before="40" w:after="40" w:line="220" w:lineRule="exact"/>
              <w:jc w:val="right"/>
              <w:rPr>
                <w:rFonts w:cs="Times New Roman"/>
                <w:sz w:val="18"/>
                <w:szCs w:val="24"/>
              </w:rPr>
            </w:pPr>
          </w:p>
        </w:tc>
        <w:tc>
          <w:tcPr>
            <w:tcW w:w="899" w:type="dxa"/>
            <w:shd w:val="clear" w:color="auto" w:fill="auto"/>
            <w:vAlign w:val="bottom"/>
          </w:tcPr>
          <w:p w14:paraId="72BAB6D3"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0004BA50" w14:textId="77777777" w:rsidR="00B950FD" w:rsidRPr="00FD0920" w:rsidRDefault="00B950FD" w:rsidP="00B02DF3">
            <w:pPr>
              <w:spacing w:before="40" w:after="40" w:line="220" w:lineRule="exact"/>
              <w:jc w:val="right"/>
              <w:rPr>
                <w:rFonts w:cs="Times New Roman"/>
                <w:sz w:val="18"/>
                <w:szCs w:val="24"/>
              </w:rPr>
            </w:pPr>
          </w:p>
        </w:tc>
        <w:tc>
          <w:tcPr>
            <w:tcW w:w="979" w:type="dxa"/>
            <w:shd w:val="clear" w:color="auto" w:fill="auto"/>
            <w:vAlign w:val="bottom"/>
          </w:tcPr>
          <w:p w14:paraId="506C33B4"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62085369"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w:t>
            </w:r>
            <w:r>
              <w:rPr>
                <w:rFonts w:cs="Times New Roman"/>
                <w:sz w:val="18"/>
              </w:rPr>
              <w:t>–</w:t>
            </w:r>
            <w:r w:rsidRPr="00FD0920">
              <w:rPr>
                <w:rFonts w:cs="Times New Roman"/>
                <w:sz w:val="18"/>
              </w:rPr>
              <w:t>/</w:t>
            </w:r>
            <w:r>
              <w:rPr>
                <w:rFonts w:cs="Times New Roman"/>
                <w:sz w:val="18"/>
              </w:rPr>
              <w:t>–</w:t>
            </w:r>
          </w:p>
        </w:tc>
        <w:tc>
          <w:tcPr>
            <w:tcW w:w="982" w:type="dxa"/>
            <w:shd w:val="clear" w:color="auto" w:fill="auto"/>
            <w:vAlign w:val="bottom"/>
          </w:tcPr>
          <w:p w14:paraId="7474D4BC" w14:textId="77777777" w:rsidR="00B950FD" w:rsidRPr="00FD0920" w:rsidRDefault="00B950FD" w:rsidP="00B02DF3">
            <w:pPr>
              <w:spacing w:before="40" w:after="40" w:line="220" w:lineRule="exact"/>
              <w:jc w:val="right"/>
              <w:rPr>
                <w:rFonts w:cs="Times New Roman"/>
                <w:sz w:val="18"/>
                <w:szCs w:val="24"/>
              </w:rPr>
            </w:pPr>
          </w:p>
        </w:tc>
        <w:tc>
          <w:tcPr>
            <w:tcW w:w="909" w:type="dxa"/>
            <w:shd w:val="clear" w:color="auto" w:fill="auto"/>
            <w:vAlign w:val="bottom"/>
          </w:tcPr>
          <w:p w14:paraId="41121839"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6E381A25"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794FFCAB" w14:textId="77777777" w:rsidR="00B950FD" w:rsidRPr="00FD0920" w:rsidRDefault="00B950FD" w:rsidP="00B02DF3">
            <w:pPr>
              <w:spacing w:before="40" w:after="40" w:line="220" w:lineRule="exact"/>
              <w:jc w:val="right"/>
              <w:rPr>
                <w:rFonts w:cs="Times New Roman"/>
                <w:sz w:val="18"/>
                <w:szCs w:val="24"/>
              </w:rPr>
            </w:pPr>
          </w:p>
        </w:tc>
        <w:tc>
          <w:tcPr>
            <w:tcW w:w="947" w:type="dxa"/>
            <w:shd w:val="clear" w:color="auto" w:fill="auto"/>
            <w:vAlign w:val="bottom"/>
          </w:tcPr>
          <w:p w14:paraId="0C9D1673"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0172E3AB"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2F94B8D7" w14:textId="77777777" w:rsidR="00B950FD" w:rsidRPr="00FD0920" w:rsidRDefault="00B950FD" w:rsidP="00B02DF3">
            <w:pPr>
              <w:spacing w:before="40" w:after="40" w:line="220" w:lineRule="exact"/>
              <w:jc w:val="right"/>
              <w:rPr>
                <w:rFonts w:cs="Times New Roman"/>
                <w:sz w:val="18"/>
                <w:szCs w:val="24"/>
              </w:rPr>
            </w:pPr>
          </w:p>
        </w:tc>
      </w:tr>
      <w:tr w:rsidR="00B950FD" w:rsidRPr="00FD0920" w14:paraId="3FB331D0" w14:textId="77777777" w:rsidTr="00B02DF3">
        <w:tc>
          <w:tcPr>
            <w:tcW w:w="1969" w:type="dxa"/>
            <w:shd w:val="clear" w:color="auto" w:fill="auto"/>
          </w:tcPr>
          <w:p w14:paraId="1931976B"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Хорватия</w:t>
            </w:r>
          </w:p>
        </w:tc>
        <w:tc>
          <w:tcPr>
            <w:tcW w:w="864" w:type="dxa"/>
            <w:shd w:val="clear" w:color="auto" w:fill="auto"/>
            <w:textDirection w:val="lrTbV"/>
            <w:vAlign w:val="bottom"/>
          </w:tcPr>
          <w:p w14:paraId="1E8AB4B9"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4A43D04F"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269B3BE5"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2C5587D3"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1/0/1</w:t>
            </w:r>
          </w:p>
        </w:tc>
        <w:tc>
          <w:tcPr>
            <w:tcW w:w="899" w:type="dxa"/>
            <w:shd w:val="clear" w:color="auto" w:fill="auto"/>
            <w:vAlign w:val="bottom"/>
          </w:tcPr>
          <w:p w14:paraId="68487601"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3EE3E1B9"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1/0/1</w:t>
            </w:r>
          </w:p>
        </w:tc>
        <w:tc>
          <w:tcPr>
            <w:tcW w:w="979" w:type="dxa"/>
            <w:shd w:val="clear" w:color="auto" w:fill="auto"/>
            <w:vAlign w:val="bottom"/>
          </w:tcPr>
          <w:p w14:paraId="47575C7C"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1/0/1</w:t>
            </w:r>
          </w:p>
        </w:tc>
        <w:tc>
          <w:tcPr>
            <w:tcW w:w="954" w:type="dxa"/>
            <w:shd w:val="clear" w:color="auto" w:fill="auto"/>
            <w:vAlign w:val="bottom"/>
          </w:tcPr>
          <w:p w14:paraId="7D83D88F"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4/0/4</w:t>
            </w:r>
          </w:p>
        </w:tc>
        <w:tc>
          <w:tcPr>
            <w:tcW w:w="982" w:type="dxa"/>
            <w:shd w:val="clear" w:color="auto" w:fill="auto"/>
            <w:vAlign w:val="bottom"/>
          </w:tcPr>
          <w:p w14:paraId="4617EC25"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1/0/1</w:t>
            </w:r>
          </w:p>
        </w:tc>
        <w:tc>
          <w:tcPr>
            <w:tcW w:w="909" w:type="dxa"/>
            <w:shd w:val="clear" w:color="auto" w:fill="auto"/>
            <w:vAlign w:val="bottom"/>
          </w:tcPr>
          <w:p w14:paraId="1ECB2D92"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73A0039E"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5CB7AC79" w14:textId="77777777" w:rsidR="00B950FD" w:rsidRPr="00FD0920" w:rsidRDefault="00B950FD" w:rsidP="00B02DF3">
            <w:pPr>
              <w:spacing w:before="40" w:after="40" w:line="220" w:lineRule="exact"/>
              <w:jc w:val="right"/>
              <w:rPr>
                <w:rFonts w:cs="Times New Roman"/>
                <w:sz w:val="18"/>
                <w:szCs w:val="24"/>
              </w:rPr>
            </w:pPr>
          </w:p>
        </w:tc>
        <w:tc>
          <w:tcPr>
            <w:tcW w:w="947" w:type="dxa"/>
            <w:shd w:val="clear" w:color="auto" w:fill="auto"/>
            <w:vAlign w:val="bottom"/>
          </w:tcPr>
          <w:p w14:paraId="0D608357"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1/0/1</w:t>
            </w:r>
          </w:p>
        </w:tc>
        <w:tc>
          <w:tcPr>
            <w:tcW w:w="561" w:type="dxa"/>
            <w:shd w:val="clear" w:color="auto" w:fill="auto"/>
            <w:vAlign w:val="bottom"/>
          </w:tcPr>
          <w:p w14:paraId="4A9B4ADD"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4293EB35"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2(7)</w:t>
            </w:r>
          </w:p>
        </w:tc>
      </w:tr>
      <w:tr w:rsidR="00B950FD" w:rsidRPr="00FD0920" w14:paraId="24AE95A9" w14:textId="77777777" w:rsidTr="00B02DF3">
        <w:tc>
          <w:tcPr>
            <w:tcW w:w="1969" w:type="dxa"/>
            <w:shd w:val="clear" w:color="auto" w:fill="auto"/>
          </w:tcPr>
          <w:p w14:paraId="588ABF12"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Чехия</w:t>
            </w:r>
          </w:p>
        </w:tc>
        <w:tc>
          <w:tcPr>
            <w:tcW w:w="864" w:type="dxa"/>
            <w:shd w:val="clear" w:color="auto" w:fill="auto"/>
            <w:textDirection w:val="lrTbV"/>
            <w:vAlign w:val="bottom"/>
          </w:tcPr>
          <w:p w14:paraId="5DD0EC74"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330C12F4"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713FFB4C"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3E987896" w14:textId="77777777" w:rsidR="00B950FD" w:rsidRPr="00FD0920" w:rsidRDefault="00B950FD" w:rsidP="00B02DF3">
            <w:pPr>
              <w:spacing w:before="40" w:after="40" w:line="220" w:lineRule="exact"/>
              <w:jc w:val="right"/>
              <w:rPr>
                <w:rFonts w:cs="Times New Roman"/>
                <w:sz w:val="18"/>
                <w:szCs w:val="24"/>
              </w:rPr>
            </w:pPr>
          </w:p>
        </w:tc>
        <w:tc>
          <w:tcPr>
            <w:tcW w:w="899" w:type="dxa"/>
            <w:shd w:val="clear" w:color="auto" w:fill="auto"/>
            <w:vAlign w:val="bottom"/>
          </w:tcPr>
          <w:p w14:paraId="7A56F492"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74F17C52"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1/1/0</w:t>
            </w:r>
          </w:p>
        </w:tc>
        <w:tc>
          <w:tcPr>
            <w:tcW w:w="979" w:type="dxa"/>
            <w:shd w:val="clear" w:color="auto" w:fill="auto"/>
            <w:vAlign w:val="bottom"/>
          </w:tcPr>
          <w:p w14:paraId="6F3B5C95"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4/4/0</w:t>
            </w:r>
          </w:p>
        </w:tc>
        <w:tc>
          <w:tcPr>
            <w:tcW w:w="954" w:type="dxa"/>
            <w:shd w:val="clear" w:color="auto" w:fill="auto"/>
            <w:vAlign w:val="bottom"/>
          </w:tcPr>
          <w:p w14:paraId="535BB7A4" w14:textId="77777777" w:rsidR="00B950FD" w:rsidRPr="00FD0920" w:rsidRDefault="00B950FD" w:rsidP="00B02DF3">
            <w:pPr>
              <w:spacing w:before="40" w:after="40" w:line="220" w:lineRule="exact"/>
              <w:jc w:val="right"/>
              <w:rPr>
                <w:rFonts w:cs="Times New Roman"/>
                <w:sz w:val="18"/>
                <w:szCs w:val="24"/>
              </w:rPr>
            </w:pPr>
          </w:p>
        </w:tc>
        <w:tc>
          <w:tcPr>
            <w:tcW w:w="982" w:type="dxa"/>
            <w:shd w:val="clear" w:color="auto" w:fill="auto"/>
            <w:vAlign w:val="bottom"/>
          </w:tcPr>
          <w:p w14:paraId="00A0DDA2"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4/3/1</w:t>
            </w:r>
          </w:p>
        </w:tc>
        <w:tc>
          <w:tcPr>
            <w:tcW w:w="909" w:type="dxa"/>
            <w:shd w:val="clear" w:color="auto" w:fill="auto"/>
            <w:vAlign w:val="bottom"/>
          </w:tcPr>
          <w:p w14:paraId="3663352B"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16FB77A2"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1/1/0</w:t>
            </w:r>
          </w:p>
        </w:tc>
        <w:tc>
          <w:tcPr>
            <w:tcW w:w="786" w:type="dxa"/>
            <w:shd w:val="clear" w:color="auto" w:fill="auto"/>
            <w:vAlign w:val="bottom"/>
          </w:tcPr>
          <w:p w14:paraId="48294BF5" w14:textId="77777777" w:rsidR="00B950FD" w:rsidRPr="00FD0920" w:rsidRDefault="00B950FD" w:rsidP="00B02DF3">
            <w:pPr>
              <w:spacing w:before="40" w:after="40" w:line="220" w:lineRule="exact"/>
              <w:jc w:val="right"/>
              <w:rPr>
                <w:rFonts w:cs="Times New Roman"/>
                <w:sz w:val="18"/>
                <w:szCs w:val="24"/>
              </w:rPr>
            </w:pPr>
          </w:p>
        </w:tc>
        <w:tc>
          <w:tcPr>
            <w:tcW w:w="947" w:type="dxa"/>
            <w:shd w:val="clear" w:color="auto" w:fill="auto"/>
            <w:vAlign w:val="bottom"/>
          </w:tcPr>
          <w:p w14:paraId="7353C221"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1/1/0</w:t>
            </w:r>
          </w:p>
        </w:tc>
        <w:tc>
          <w:tcPr>
            <w:tcW w:w="561" w:type="dxa"/>
            <w:shd w:val="clear" w:color="auto" w:fill="auto"/>
            <w:vAlign w:val="bottom"/>
          </w:tcPr>
          <w:p w14:paraId="6F4B5ACE"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6/5/1</w:t>
            </w:r>
          </w:p>
        </w:tc>
        <w:tc>
          <w:tcPr>
            <w:tcW w:w="640" w:type="dxa"/>
            <w:shd w:val="clear" w:color="auto" w:fill="auto"/>
            <w:vAlign w:val="bottom"/>
          </w:tcPr>
          <w:p w14:paraId="38E7838D" w14:textId="77777777" w:rsidR="00B950FD" w:rsidRPr="00FD0920" w:rsidRDefault="00B950FD" w:rsidP="00B02DF3">
            <w:pPr>
              <w:spacing w:before="40" w:after="40" w:line="220" w:lineRule="exact"/>
              <w:jc w:val="right"/>
              <w:rPr>
                <w:rFonts w:cs="Times New Roman"/>
                <w:sz w:val="18"/>
                <w:szCs w:val="24"/>
              </w:rPr>
            </w:pPr>
          </w:p>
        </w:tc>
      </w:tr>
      <w:tr w:rsidR="00B950FD" w:rsidRPr="00FD0920" w14:paraId="167F84BC" w14:textId="77777777" w:rsidTr="00B02DF3">
        <w:tc>
          <w:tcPr>
            <w:tcW w:w="1969" w:type="dxa"/>
            <w:shd w:val="clear" w:color="auto" w:fill="auto"/>
          </w:tcPr>
          <w:p w14:paraId="58B03B47"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Эстония</w:t>
            </w:r>
          </w:p>
        </w:tc>
        <w:tc>
          <w:tcPr>
            <w:tcW w:w="864" w:type="dxa"/>
            <w:shd w:val="clear" w:color="auto" w:fill="auto"/>
            <w:textDirection w:val="lrTbV"/>
            <w:vAlign w:val="bottom"/>
          </w:tcPr>
          <w:p w14:paraId="7BDEE62F"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31319FA6"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57C65F79"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70497953" w14:textId="77777777" w:rsidR="00B950FD" w:rsidRPr="00FD0920" w:rsidDel="00E5581A" w:rsidRDefault="00B950FD" w:rsidP="00B02DF3">
            <w:pPr>
              <w:spacing w:before="40" w:after="40" w:line="220" w:lineRule="exact"/>
              <w:jc w:val="right"/>
              <w:rPr>
                <w:rFonts w:cs="Times New Roman"/>
                <w:sz w:val="18"/>
                <w:szCs w:val="24"/>
              </w:rPr>
            </w:pPr>
          </w:p>
        </w:tc>
        <w:tc>
          <w:tcPr>
            <w:tcW w:w="899" w:type="dxa"/>
            <w:shd w:val="clear" w:color="auto" w:fill="auto"/>
            <w:vAlign w:val="bottom"/>
          </w:tcPr>
          <w:p w14:paraId="4DC05339"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6645851A"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1/0/1</w:t>
            </w:r>
          </w:p>
        </w:tc>
        <w:tc>
          <w:tcPr>
            <w:tcW w:w="979" w:type="dxa"/>
            <w:shd w:val="clear" w:color="auto" w:fill="auto"/>
            <w:vAlign w:val="bottom"/>
          </w:tcPr>
          <w:p w14:paraId="141016A8"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4841E733" w14:textId="77777777" w:rsidR="00B950FD" w:rsidRPr="00FD0920" w:rsidDel="00E5581A" w:rsidRDefault="00B950FD" w:rsidP="00B02DF3">
            <w:pPr>
              <w:spacing w:before="40" w:after="40" w:line="220" w:lineRule="exact"/>
              <w:jc w:val="right"/>
              <w:rPr>
                <w:rFonts w:cs="Times New Roman"/>
                <w:sz w:val="18"/>
                <w:szCs w:val="24"/>
              </w:rPr>
            </w:pPr>
            <w:r w:rsidRPr="00FD0920">
              <w:rPr>
                <w:rFonts w:cs="Times New Roman"/>
                <w:sz w:val="18"/>
              </w:rPr>
              <w:t>1/0/1</w:t>
            </w:r>
          </w:p>
        </w:tc>
        <w:tc>
          <w:tcPr>
            <w:tcW w:w="982" w:type="dxa"/>
            <w:shd w:val="clear" w:color="auto" w:fill="auto"/>
            <w:vAlign w:val="bottom"/>
          </w:tcPr>
          <w:p w14:paraId="234F63E6" w14:textId="77777777" w:rsidR="00B950FD" w:rsidRPr="00FD0920" w:rsidRDefault="00B950FD" w:rsidP="00B02DF3">
            <w:pPr>
              <w:spacing w:before="40" w:after="40" w:line="220" w:lineRule="exact"/>
              <w:jc w:val="right"/>
              <w:rPr>
                <w:rFonts w:cs="Times New Roman"/>
                <w:sz w:val="18"/>
                <w:szCs w:val="24"/>
              </w:rPr>
            </w:pPr>
          </w:p>
        </w:tc>
        <w:tc>
          <w:tcPr>
            <w:tcW w:w="909" w:type="dxa"/>
            <w:shd w:val="clear" w:color="auto" w:fill="auto"/>
            <w:vAlign w:val="bottom"/>
          </w:tcPr>
          <w:p w14:paraId="37B83643"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31067BA9"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60C2DBA2" w14:textId="77777777" w:rsidR="00B950FD" w:rsidRPr="00FD0920" w:rsidRDefault="00B950FD" w:rsidP="00B02DF3">
            <w:pPr>
              <w:spacing w:before="40" w:after="40" w:line="220" w:lineRule="exact"/>
              <w:jc w:val="right"/>
              <w:rPr>
                <w:rFonts w:cs="Times New Roman"/>
                <w:sz w:val="18"/>
                <w:szCs w:val="24"/>
              </w:rPr>
            </w:pPr>
          </w:p>
        </w:tc>
        <w:tc>
          <w:tcPr>
            <w:tcW w:w="947" w:type="dxa"/>
            <w:shd w:val="clear" w:color="auto" w:fill="auto"/>
            <w:vAlign w:val="bottom"/>
          </w:tcPr>
          <w:p w14:paraId="2E70BC81"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35FC74DC"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5/0/5</w:t>
            </w:r>
          </w:p>
        </w:tc>
        <w:tc>
          <w:tcPr>
            <w:tcW w:w="640" w:type="dxa"/>
            <w:shd w:val="clear" w:color="auto" w:fill="auto"/>
            <w:vAlign w:val="bottom"/>
          </w:tcPr>
          <w:p w14:paraId="311BE727" w14:textId="77777777" w:rsidR="00B950FD" w:rsidRPr="00FD0920" w:rsidDel="00E5581A" w:rsidRDefault="00B950FD" w:rsidP="00B02DF3">
            <w:pPr>
              <w:spacing w:before="40" w:after="40" w:line="220" w:lineRule="exact"/>
              <w:jc w:val="right"/>
              <w:rPr>
                <w:rFonts w:cs="Times New Roman"/>
                <w:sz w:val="18"/>
                <w:szCs w:val="24"/>
              </w:rPr>
            </w:pPr>
            <w:r w:rsidRPr="00FD0920">
              <w:rPr>
                <w:rFonts w:cs="Times New Roman"/>
                <w:sz w:val="18"/>
              </w:rPr>
              <w:t>3(4)</w:t>
            </w:r>
          </w:p>
        </w:tc>
      </w:tr>
      <w:tr w:rsidR="00B950FD" w:rsidRPr="00FD0920" w14:paraId="6EF6755F" w14:textId="77777777" w:rsidTr="00B02DF3">
        <w:tc>
          <w:tcPr>
            <w:tcW w:w="1969" w:type="dxa"/>
            <w:shd w:val="clear" w:color="auto" w:fill="auto"/>
          </w:tcPr>
          <w:p w14:paraId="3513D14D"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Финляндия</w:t>
            </w:r>
          </w:p>
        </w:tc>
        <w:tc>
          <w:tcPr>
            <w:tcW w:w="864" w:type="dxa"/>
            <w:shd w:val="clear" w:color="auto" w:fill="auto"/>
            <w:textDirection w:val="lrTbV"/>
            <w:vAlign w:val="bottom"/>
          </w:tcPr>
          <w:p w14:paraId="545148DE"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4D655AF1"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445EB7C7"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00BD1A2C" w14:textId="77777777" w:rsidR="00B950FD" w:rsidRPr="00FD0920" w:rsidRDefault="00B950FD" w:rsidP="00B02DF3">
            <w:pPr>
              <w:spacing w:before="40" w:after="40" w:line="220" w:lineRule="exact"/>
              <w:jc w:val="right"/>
              <w:rPr>
                <w:rFonts w:cs="Times New Roman"/>
                <w:sz w:val="18"/>
                <w:szCs w:val="24"/>
              </w:rPr>
            </w:pPr>
          </w:p>
        </w:tc>
        <w:tc>
          <w:tcPr>
            <w:tcW w:w="899" w:type="dxa"/>
            <w:shd w:val="clear" w:color="auto" w:fill="auto"/>
            <w:vAlign w:val="bottom"/>
          </w:tcPr>
          <w:p w14:paraId="71A1CB65"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6704D17C" w14:textId="77777777" w:rsidR="00B950FD" w:rsidRPr="00FD0920" w:rsidRDefault="00B950FD" w:rsidP="00B02DF3">
            <w:pPr>
              <w:spacing w:before="40" w:after="40" w:line="220" w:lineRule="exact"/>
              <w:jc w:val="right"/>
              <w:rPr>
                <w:rFonts w:cs="Times New Roman"/>
                <w:sz w:val="18"/>
                <w:szCs w:val="24"/>
              </w:rPr>
            </w:pPr>
          </w:p>
        </w:tc>
        <w:tc>
          <w:tcPr>
            <w:tcW w:w="979" w:type="dxa"/>
            <w:shd w:val="clear" w:color="auto" w:fill="auto"/>
            <w:vAlign w:val="bottom"/>
          </w:tcPr>
          <w:p w14:paraId="3EE567BA"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01C910B5" w14:textId="77777777" w:rsidR="00B950FD" w:rsidRPr="00FD0920" w:rsidRDefault="00B950FD" w:rsidP="00B02DF3">
            <w:pPr>
              <w:spacing w:before="40" w:after="40" w:line="220" w:lineRule="exact"/>
              <w:jc w:val="right"/>
              <w:rPr>
                <w:rFonts w:cs="Times New Roman"/>
                <w:sz w:val="18"/>
                <w:szCs w:val="24"/>
              </w:rPr>
            </w:pPr>
          </w:p>
        </w:tc>
        <w:tc>
          <w:tcPr>
            <w:tcW w:w="982" w:type="dxa"/>
            <w:shd w:val="clear" w:color="auto" w:fill="auto"/>
            <w:vAlign w:val="bottom"/>
          </w:tcPr>
          <w:p w14:paraId="1992A3D5"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6/4/2</w:t>
            </w:r>
          </w:p>
        </w:tc>
        <w:tc>
          <w:tcPr>
            <w:tcW w:w="909" w:type="dxa"/>
            <w:shd w:val="clear" w:color="auto" w:fill="auto"/>
            <w:vAlign w:val="bottom"/>
          </w:tcPr>
          <w:p w14:paraId="29A3DF13"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0EB1AB54"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51067DAC"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2/1/1</w:t>
            </w:r>
          </w:p>
        </w:tc>
        <w:tc>
          <w:tcPr>
            <w:tcW w:w="947" w:type="dxa"/>
            <w:shd w:val="clear" w:color="auto" w:fill="auto"/>
            <w:vAlign w:val="bottom"/>
          </w:tcPr>
          <w:p w14:paraId="01100641"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5ECCAC20"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6CF43086" w14:textId="77777777" w:rsidR="00B950FD" w:rsidRPr="00FD0920" w:rsidRDefault="00B950FD" w:rsidP="00B02DF3">
            <w:pPr>
              <w:spacing w:before="40" w:after="40" w:line="220" w:lineRule="exact"/>
              <w:jc w:val="right"/>
              <w:rPr>
                <w:rFonts w:cs="Times New Roman"/>
                <w:sz w:val="18"/>
                <w:szCs w:val="24"/>
              </w:rPr>
            </w:pPr>
          </w:p>
        </w:tc>
      </w:tr>
      <w:tr w:rsidR="00B950FD" w:rsidRPr="00FD0920" w14:paraId="53654262" w14:textId="77777777" w:rsidTr="00B02DF3">
        <w:tc>
          <w:tcPr>
            <w:tcW w:w="1969" w:type="dxa"/>
            <w:shd w:val="clear" w:color="auto" w:fill="auto"/>
          </w:tcPr>
          <w:p w14:paraId="00019E8C"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Венгрия</w:t>
            </w:r>
          </w:p>
        </w:tc>
        <w:tc>
          <w:tcPr>
            <w:tcW w:w="864" w:type="dxa"/>
            <w:shd w:val="clear" w:color="auto" w:fill="auto"/>
            <w:textDirection w:val="lrTbV"/>
            <w:vAlign w:val="bottom"/>
          </w:tcPr>
          <w:p w14:paraId="592C1D07"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0C6269EB"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36860B94"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4F76F0E0" w14:textId="77777777" w:rsidR="00B950FD" w:rsidRPr="00FD0920" w:rsidRDefault="00B950FD" w:rsidP="00B02DF3">
            <w:pPr>
              <w:spacing w:before="40" w:after="40" w:line="220" w:lineRule="exact"/>
              <w:jc w:val="right"/>
              <w:rPr>
                <w:rFonts w:cs="Times New Roman"/>
                <w:sz w:val="18"/>
                <w:szCs w:val="24"/>
              </w:rPr>
            </w:pPr>
            <w:r>
              <w:rPr>
                <w:rFonts w:cs="Times New Roman"/>
                <w:sz w:val="18"/>
              </w:rPr>
              <w:t>–</w:t>
            </w:r>
            <w:r w:rsidRPr="00FD0920">
              <w:rPr>
                <w:rFonts w:cs="Times New Roman"/>
                <w:sz w:val="18"/>
              </w:rPr>
              <w:t>/</w:t>
            </w:r>
            <w:r>
              <w:rPr>
                <w:rFonts w:cs="Times New Roman"/>
                <w:sz w:val="18"/>
              </w:rPr>
              <w:t>–</w:t>
            </w:r>
            <w:r w:rsidRPr="00FD0920">
              <w:rPr>
                <w:rFonts w:cs="Times New Roman"/>
                <w:sz w:val="18"/>
              </w:rPr>
              <w:t>/3</w:t>
            </w:r>
          </w:p>
        </w:tc>
        <w:tc>
          <w:tcPr>
            <w:tcW w:w="899" w:type="dxa"/>
            <w:shd w:val="clear" w:color="auto" w:fill="auto"/>
            <w:vAlign w:val="bottom"/>
          </w:tcPr>
          <w:p w14:paraId="21039F7D"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230A3748" w14:textId="77777777" w:rsidR="00B950FD" w:rsidRPr="00FD0920" w:rsidRDefault="00B950FD" w:rsidP="00B02DF3">
            <w:pPr>
              <w:spacing w:before="40" w:after="40" w:line="220" w:lineRule="exact"/>
              <w:jc w:val="right"/>
              <w:rPr>
                <w:rFonts w:cs="Times New Roman"/>
                <w:sz w:val="18"/>
                <w:szCs w:val="24"/>
              </w:rPr>
            </w:pPr>
            <w:r>
              <w:rPr>
                <w:rFonts w:cs="Times New Roman"/>
                <w:sz w:val="18"/>
              </w:rPr>
              <w:t>–</w:t>
            </w:r>
            <w:r w:rsidRPr="00FD0920">
              <w:rPr>
                <w:rFonts w:cs="Times New Roman"/>
                <w:sz w:val="18"/>
              </w:rPr>
              <w:t>/</w:t>
            </w:r>
            <w:r>
              <w:rPr>
                <w:rFonts w:cs="Times New Roman"/>
                <w:sz w:val="18"/>
              </w:rPr>
              <w:t>–</w:t>
            </w:r>
            <w:r w:rsidRPr="00FD0920">
              <w:rPr>
                <w:rFonts w:cs="Times New Roman"/>
                <w:sz w:val="18"/>
              </w:rPr>
              <w:t>/5</w:t>
            </w:r>
          </w:p>
        </w:tc>
        <w:tc>
          <w:tcPr>
            <w:tcW w:w="979" w:type="dxa"/>
            <w:shd w:val="clear" w:color="auto" w:fill="auto"/>
            <w:vAlign w:val="bottom"/>
          </w:tcPr>
          <w:p w14:paraId="59F799D3"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0AD5173C" w14:textId="77777777" w:rsidR="00B950FD" w:rsidRPr="00FD0920" w:rsidRDefault="00B950FD" w:rsidP="00B02DF3">
            <w:pPr>
              <w:spacing w:before="40" w:after="40" w:line="220" w:lineRule="exact"/>
              <w:jc w:val="right"/>
              <w:rPr>
                <w:rFonts w:cs="Times New Roman"/>
                <w:sz w:val="18"/>
                <w:szCs w:val="24"/>
              </w:rPr>
            </w:pPr>
            <w:r>
              <w:rPr>
                <w:rFonts w:cs="Times New Roman"/>
                <w:sz w:val="18"/>
              </w:rPr>
              <w:t>–</w:t>
            </w:r>
            <w:r w:rsidRPr="00FD0920">
              <w:rPr>
                <w:rFonts w:cs="Times New Roman"/>
                <w:sz w:val="18"/>
              </w:rPr>
              <w:t>/</w:t>
            </w:r>
            <w:r>
              <w:rPr>
                <w:rFonts w:cs="Times New Roman"/>
                <w:sz w:val="18"/>
              </w:rPr>
              <w:t>–</w:t>
            </w:r>
            <w:r w:rsidRPr="00FD0920">
              <w:rPr>
                <w:rFonts w:cs="Times New Roman"/>
                <w:sz w:val="18"/>
              </w:rPr>
              <w:t>/1</w:t>
            </w:r>
          </w:p>
        </w:tc>
        <w:tc>
          <w:tcPr>
            <w:tcW w:w="982" w:type="dxa"/>
            <w:shd w:val="clear" w:color="auto" w:fill="auto"/>
            <w:vAlign w:val="bottom"/>
          </w:tcPr>
          <w:p w14:paraId="2BE91BA2" w14:textId="77777777" w:rsidR="00B950FD" w:rsidRPr="00FD0920" w:rsidRDefault="00B950FD" w:rsidP="00B02DF3">
            <w:pPr>
              <w:spacing w:before="40" w:after="40" w:line="220" w:lineRule="exact"/>
              <w:jc w:val="right"/>
              <w:rPr>
                <w:rFonts w:cs="Times New Roman"/>
                <w:sz w:val="18"/>
                <w:szCs w:val="24"/>
              </w:rPr>
            </w:pPr>
          </w:p>
        </w:tc>
        <w:tc>
          <w:tcPr>
            <w:tcW w:w="909" w:type="dxa"/>
            <w:shd w:val="clear" w:color="auto" w:fill="auto"/>
            <w:vAlign w:val="bottom"/>
          </w:tcPr>
          <w:p w14:paraId="28D5F097"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327BA96C" w14:textId="77777777" w:rsidR="00B950FD" w:rsidRPr="00FD0920" w:rsidRDefault="00B950FD" w:rsidP="00B02DF3">
            <w:pPr>
              <w:spacing w:before="40" w:after="40" w:line="220" w:lineRule="exact"/>
              <w:jc w:val="right"/>
              <w:rPr>
                <w:rFonts w:cs="Times New Roman"/>
                <w:sz w:val="18"/>
                <w:szCs w:val="24"/>
              </w:rPr>
            </w:pPr>
            <w:r>
              <w:rPr>
                <w:rFonts w:cs="Times New Roman"/>
                <w:sz w:val="18"/>
              </w:rPr>
              <w:t>–</w:t>
            </w:r>
            <w:r w:rsidRPr="00FD0920">
              <w:rPr>
                <w:rFonts w:cs="Times New Roman"/>
                <w:sz w:val="18"/>
              </w:rPr>
              <w:t>/</w:t>
            </w:r>
            <w:r>
              <w:rPr>
                <w:rFonts w:cs="Times New Roman"/>
                <w:sz w:val="18"/>
              </w:rPr>
              <w:t>–</w:t>
            </w:r>
            <w:r w:rsidRPr="00FD0920">
              <w:rPr>
                <w:rFonts w:cs="Times New Roman"/>
                <w:sz w:val="18"/>
              </w:rPr>
              <w:t>/1</w:t>
            </w:r>
          </w:p>
        </w:tc>
        <w:tc>
          <w:tcPr>
            <w:tcW w:w="786" w:type="dxa"/>
            <w:shd w:val="clear" w:color="auto" w:fill="auto"/>
            <w:vAlign w:val="bottom"/>
          </w:tcPr>
          <w:p w14:paraId="4D1F6289" w14:textId="77777777" w:rsidR="00B950FD" w:rsidRPr="00FD0920" w:rsidRDefault="00B950FD" w:rsidP="00B02DF3">
            <w:pPr>
              <w:spacing w:before="40" w:after="40" w:line="220" w:lineRule="exact"/>
              <w:jc w:val="right"/>
              <w:rPr>
                <w:rFonts w:cs="Times New Roman"/>
                <w:sz w:val="18"/>
                <w:szCs w:val="24"/>
              </w:rPr>
            </w:pPr>
            <w:r>
              <w:rPr>
                <w:rFonts w:cs="Times New Roman"/>
                <w:sz w:val="18"/>
              </w:rPr>
              <w:t>–</w:t>
            </w:r>
            <w:r w:rsidRPr="00FD0920">
              <w:rPr>
                <w:rFonts w:cs="Times New Roman"/>
                <w:sz w:val="18"/>
              </w:rPr>
              <w:t>/</w:t>
            </w:r>
            <w:r>
              <w:rPr>
                <w:rFonts w:cs="Times New Roman"/>
                <w:sz w:val="18"/>
              </w:rPr>
              <w:t>–</w:t>
            </w:r>
            <w:r w:rsidRPr="00FD0920">
              <w:rPr>
                <w:rFonts w:cs="Times New Roman"/>
                <w:sz w:val="18"/>
              </w:rPr>
              <w:t>/2</w:t>
            </w:r>
          </w:p>
        </w:tc>
        <w:tc>
          <w:tcPr>
            <w:tcW w:w="947" w:type="dxa"/>
            <w:shd w:val="clear" w:color="auto" w:fill="auto"/>
            <w:vAlign w:val="bottom"/>
          </w:tcPr>
          <w:p w14:paraId="4813F47D"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40974DA1"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0789FAC0" w14:textId="188005BB" w:rsidR="00B950FD" w:rsidRPr="00FD0920" w:rsidRDefault="00B950FD" w:rsidP="00B02DF3">
            <w:pPr>
              <w:spacing w:before="40" w:after="40" w:line="220" w:lineRule="exact"/>
              <w:jc w:val="right"/>
              <w:rPr>
                <w:rFonts w:cs="Times New Roman"/>
                <w:sz w:val="18"/>
                <w:szCs w:val="24"/>
              </w:rPr>
            </w:pPr>
            <w:r w:rsidRPr="00FD0920">
              <w:rPr>
                <w:rFonts w:cs="Times New Roman"/>
                <w:sz w:val="18"/>
              </w:rPr>
              <w:t>2(12)</w:t>
            </w:r>
          </w:p>
        </w:tc>
      </w:tr>
      <w:tr w:rsidR="00B950FD" w:rsidRPr="00FD0920" w14:paraId="5700A358" w14:textId="77777777" w:rsidTr="00B02DF3">
        <w:tc>
          <w:tcPr>
            <w:tcW w:w="1969" w:type="dxa"/>
            <w:shd w:val="clear" w:color="auto" w:fill="auto"/>
          </w:tcPr>
          <w:p w14:paraId="6EB09100"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Латвия</w:t>
            </w:r>
          </w:p>
        </w:tc>
        <w:tc>
          <w:tcPr>
            <w:tcW w:w="864" w:type="dxa"/>
            <w:shd w:val="clear" w:color="auto" w:fill="auto"/>
            <w:textDirection w:val="lrTbV"/>
            <w:vAlign w:val="bottom"/>
          </w:tcPr>
          <w:p w14:paraId="06B7A052"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4D8E0BE2"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5D6AA961"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5FF0C4A1" w14:textId="77777777" w:rsidR="00B950FD" w:rsidRPr="00FD0920" w:rsidRDefault="00B950FD" w:rsidP="00B02DF3">
            <w:pPr>
              <w:spacing w:before="40" w:after="40" w:line="220" w:lineRule="exact"/>
              <w:jc w:val="right"/>
              <w:rPr>
                <w:rFonts w:cs="Times New Roman"/>
                <w:sz w:val="18"/>
                <w:szCs w:val="24"/>
              </w:rPr>
            </w:pPr>
          </w:p>
        </w:tc>
        <w:tc>
          <w:tcPr>
            <w:tcW w:w="899" w:type="dxa"/>
            <w:shd w:val="clear" w:color="auto" w:fill="auto"/>
            <w:vAlign w:val="bottom"/>
          </w:tcPr>
          <w:p w14:paraId="32B43EE3"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47DD619B" w14:textId="77777777" w:rsidR="00B950FD" w:rsidRPr="00FD0920" w:rsidDel="00E5581A" w:rsidRDefault="00B950FD" w:rsidP="00B02DF3">
            <w:pPr>
              <w:spacing w:before="40" w:after="40" w:line="220" w:lineRule="exact"/>
              <w:jc w:val="right"/>
              <w:rPr>
                <w:rFonts w:cs="Times New Roman"/>
                <w:sz w:val="18"/>
                <w:szCs w:val="24"/>
              </w:rPr>
            </w:pPr>
          </w:p>
        </w:tc>
        <w:tc>
          <w:tcPr>
            <w:tcW w:w="979" w:type="dxa"/>
            <w:shd w:val="clear" w:color="auto" w:fill="auto"/>
            <w:vAlign w:val="bottom"/>
          </w:tcPr>
          <w:p w14:paraId="12F65AAB"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1001000E" w14:textId="77777777" w:rsidR="00B950FD" w:rsidRPr="00FD0920" w:rsidDel="00E5581A" w:rsidRDefault="00B950FD" w:rsidP="00B02DF3">
            <w:pPr>
              <w:spacing w:before="40" w:after="40" w:line="220" w:lineRule="exact"/>
              <w:jc w:val="right"/>
              <w:rPr>
                <w:rFonts w:cs="Times New Roman"/>
                <w:sz w:val="18"/>
                <w:szCs w:val="24"/>
              </w:rPr>
            </w:pPr>
          </w:p>
        </w:tc>
        <w:tc>
          <w:tcPr>
            <w:tcW w:w="982" w:type="dxa"/>
            <w:shd w:val="clear" w:color="auto" w:fill="auto"/>
            <w:vAlign w:val="bottom"/>
          </w:tcPr>
          <w:p w14:paraId="116BD9D4" w14:textId="77777777" w:rsidR="00B950FD" w:rsidRPr="00FD0920" w:rsidDel="00E5581A" w:rsidRDefault="00B950FD" w:rsidP="00B02DF3">
            <w:pPr>
              <w:spacing w:before="40" w:after="40" w:line="220" w:lineRule="exact"/>
              <w:jc w:val="right"/>
              <w:rPr>
                <w:rFonts w:cs="Times New Roman"/>
                <w:sz w:val="18"/>
                <w:szCs w:val="24"/>
              </w:rPr>
            </w:pPr>
          </w:p>
        </w:tc>
        <w:tc>
          <w:tcPr>
            <w:tcW w:w="909" w:type="dxa"/>
            <w:shd w:val="clear" w:color="auto" w:fill="auto"/>
            <w:vAlign w:val="bottom"/>
          </w:tcPr>
          <w:p w14:paraId="71904B17"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479DB095"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078C2E75"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1(3)</w:t>
            </w:r>
          </w:p>
        </w:tc>
        <w:tc>
          <w:tcPr>
            <w:tcW w:w="947" w:type="dxa"/>
            <w:shd w:val="clear" w:color="auto" w:fill="auto"/>
            <w:vAlign w:val="bottom"/>
          </w:tcPr>
          <w:p w14:paraId="27DEE851"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2D832C8A"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1C507E0E" w14:textId="77777777" w:rsidR="00B950FD" w:rsidRPr="00FD0920" w:rsidDel="00E5581A" w:rsidRDefault="00B950FD" w:rsidP="00B02DF3">
            <w:pPr>
              <w:spacing w:before="40" w:after="40" w:line="220" w:lineRule="exact"/>
              <w:jc w:val="right"/>
              <w:rPr>
                <w:rFonts w:cs="Times New Roman"/>
                <w:sz w:val="18"/>
                <w:szCs w:val="24"/>
              </w:rPr>
            </w:pPr>
            <w:r w:rsidRPr="00FD0920">
              <w:rPr>
                <w:rFonts w:cs="Times New Roman"/>
                <w:sz w:val="18"/>
              </w:rPr>
              <w:t>1(3)</w:t>
            </w:r>
          </w:p>
        </w:tc>
      </w:tr>
      <w:tr w:rsidR="00B950FD" w:rsidRPr="00FD0920" w14:paraId="0FA3BE9A" w14:textId="77777777" w:rsidTr="00B02DF3">
        <w:tc>
          <w:tcPr>
            <w:tcW w:w="1969" w:type="dxa"/>
            <w:shd w:val="clear" w:color="auto" w:fill="auto"/>
          </w:tcPr>
          <w:p w14:paraId="4E875304"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Литва</w:t>
            </w:r>
          </w:p>
        </w:tc>
        <w:tc>
          <w:tcPr>
            <w:tcW w:w="864" w:type="dxa"/>
            <w:shd w:val="clear" w:color="auto" w:fill="auto"/>
            <w:textDirection w:val="lrTbV"/>
            <w:vAlign w:val="bottom"/>
          </w:tcPr>
          <w:p w14:paraId="38889772"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6B26C5D4"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498058EA"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5BDFEF6F" w14:textId="77777777" w:rsidR="00B950FD" w:rsidRPr="00FD0920" w:rsidRDefault="00B950FD" w:rsidP="00B02DF3">
            <w:pPr>
              <w:spacing w:before="40" w:after="40" w:line="220" w:lineRule="exact"/>
              <w:jc w:val="right"/>
              <w:rPr>
                <w:rFonts w:cs="Times New Roman"/>
                <w:sz w:val="18"/>
                <w:szCs w:val="24"/>
              </w:rPr>
            </w:pPr>
          </w:p>
        </w:tc>
        <w:tc>
          <w:tcPr>
            <w:tcW w:w="899" w:type="dxa"/>
            <w:shd w:val="clear" w:color="auto" w:fill="auto"/>
            <w:vAlign w:val="bottom"/>
          </w:tcPr>
          <w:p w14:paraId="38F15AC7"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1E345BE3" w14:textId="77777777" w:rsidR="00B950FD" w:rsidRPr="00FD0920" w:rsidRDefault="00B950FD" w:rsidP="00B02DF3">
            <w:pPr>
              <w:spacing w:before="40" w:after="40" w:line="220" w:lineRule="exact"/>
              <w:jc w:val="right"/>
              <w:rPr>
                <w:rFonts w:cs="Times New Roman"/>
                <w:sz w:val="18"/>
                <w:szCs w:val="24"/>
              </w:rPr>
            </w:pPr>
          </w:p>
        </w:tc>
        <w:tc>
          <w:tcPr>
            <w:tcW w:w="979" w:type="dxa"/>
            <w:shd w:val="clear" w:color="auto" w:fill="auto"/>
            <w:vAlign w:val="bottom"/>
          </w:tcPr>
          <w:p w14:paraId="59B5D3E7"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2F8F26DA" w14:textId="77777777" w:rsidR="00B950FD" w:rsidRPr="00FD0920" w:rsidRDefault="00B950FD" w:rsidP="00B02DF3">
            <w:pPr>
              <w:spacing w:before="40" w:after="40" w:line="220" w:lineRule="exact"/>
              <w:jc w:val="right"/>
              <w:rPr>
                <w:rFonts w:cs="Times New Roman"/>
                <w:sz w:val="18"/>
                <w:szCs w:val="24"/>
              </w:rPr>
            </w:pPr>
          </w:p>
        </w:tc>
        <w:tc>
          <w:tcPr>
            <w:tcW w:w="982" w:type="dxa"/>
            <w:shd w:val="clear" w:color="auto" w:fill="auto"/>
            <w:vAlign w:val="bottom"/>
          </w:tcPr>
          <w:p w14:paraId="21D23C2F" w14:textId="77777777" w:rsidR="00B950FD" w:rsidRPr="00FD0920" w:rsidRDefault="00B950FD" w:rsidP="00B02DF3">
            <w:pPr>
              <w:spacing w:before="40" w:after="40" w:line="220" w:lineRule="exact"/>
              <w:jc w:val="right"/>
              <w:rPr>
                <w:rFonts w:cs="Times New Roman"/>
                <w:sz w:val="18"/>
                <w:szCs w:val="24"/>
              </w:rPr>
            </w:pPr>
          </w:p>
        </w:tc>
        <w:tc>
          <w:tcPr>
            <w:tcW w:w="909" w:type="dxa"/>
            <w:shd w:val="clear" w:color="auto" w:fill="auto"/>
            <w:vAlign w:val="bottom"/>
          </w:tcPr>
          <w:p w14:paraId="195B9963"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6A183B49"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3EA754EF"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1/1/0</w:t>
            </w:r>
          </w:p>
        </w:tc>
        <w:tc>
          <w:tcPr>
            <w:tcW w:w="947" w:type="dxa"/>
            <w:shd w:val="clear" w:color="auto" w:fill="auto"/>
            <w:vAlign w:val="bottom"/>
          </w:tcPr>
          <w:p w14:paraId="34722081"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1955B9E0"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08C88505" w14:textId="77777777" w:rsidR="00B950FD" w:rsidRPr="00FD0920" w:rsidRDefault="00B950FD" w:rsidP="00B02DF3">
            <w:pPr>
              <w:spacing w:before="40" w:after="40" w:line="220" w:lineRule="exact"/>
              <w:jc w:val="right"/>
              <w:rPr>
                <w:rFonts w:cs="Times New Roman"/>
                <w:sz w:val="18"/>
                <w:szCs w:val="24"/>
              </w:rPr>
            </w:pPr>
          </w:p>
        </w:tc>
      </w:tr>
      <w:tr w:rsidR="00B950FD" w:rsidRPr="00FD0920" w14:paraId="2322F55F" w14:textId="77777777" w:rsidTr="00B02DF3">
        <w:tc>
          <w:tcPr>
            <w:tcW w:w="1969" w:type="dxa"/>
            <w:shd w:val="clear" w:color="auto" w:fill="auto"/>
          </w:tcPr>
          <w:p w14:paraId="17D3CCC0"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Люксембург</w:t>
            </w:r>
          </w:p>
        </w:tc>
        <w:tc>
          <w:tcPr>
            <w:tcW w:w="864" w:type="dxa"/>
            <w:shd w:val="clear" w:color="auto" w:fill="auto"/>
            <w:textDirection w:val="lrTbV"/>
            <w:vAlign w:val="bottom"/>
          </w:tcPr>
          <w:p w14:paraId="33629B12"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68E3D9A7"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w:t>
            </w:r>
            <w:r>
              <w:rPr>
                <w:rFonts w:cs="Times New Roman"/>
                <w:sz w:val="18"/>
              </w:rPr>
              <w:t>–</w:t>
            </w:r>
            <w:r w:rsidRPr="00FD0920">
              <w:rPr>
                <w:rFonts w:cs="Times New Roman"/>
                <w:sz w:val="18"/>
              </w:rPr>
              <w:t>/</w:t>
            </w:r>
            <w:r>
              <w:rPr>
                <w:rFonts w:cs="Times New Roman"/>
                <w:sz w:val="18"/>
              </w:rPr>
              <w:t>–</w:t>
            </w:r>
          </w:p>
        </w:tc>
        <w:tc>
          <w:tcPr>
            <w:tcW w:w="700" w:type="dxa"/>
            <w:shd w:val="clear" w:color="auto" w:fill="auto"/>
            <w:vAlign w:val="bottom"/>
          </w:tcPr>
          <w:p w14:paraId="0821CCE3"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13BDE58D"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3/</w:t>
            </w:r>
            <w:r>
              <w:rPr>
                <w:rFonts w:cs="Times New Roman"/>
                <w:sz w:val="18"/>
              </w:rPr>
              <w:t>–</w:t>
            </w:r>
            <w:r w:rsidRPr="00FD0920">
              <w:rPr>
                <w:rFonts w:cs="Times New Roman"/>
                <w:sz w:val="18"/>
              </w:rPr>
              <w:t>/</w:t>
            </w:r>
            <w:r>
              <w:rPr>
                <w:rFonts w:cs="Times New Roman"/>
                <w:sz w:val="18"/>
              </w:rPr>
              <w:t>–</w:t>
            </w:r>
          </w:p>
        </w:tc>
        <w:tc>
          <w:tcPr>
            <w:tcW w:w="899" w:type="dxa"/>
            <w:shd w:val="clear" w:color="auto" w:fill="auto"/>
            <w:vAlign w:val="bottom"/>
          </w:tcPr>
          <w:p w14:paraId="771C17D4"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0BCB1668" w14:textId="77777777" w:rsidR="00B950FD" w:rsidRPr="00FD0920" w:rsidRDefault="00B950FD" w:rsidP="00B02DF3">
            <w:pPr>
              <w:spacing w:before="40" w:after="40" w:line="220" w:lineRule="exact"/>
              <w:jc w:val="right"/>
              <w:rPr>
                <w:rFonts w:cs="Times New Roman"/>
                <w:sz w:val="18"/>
                <w:szCs w:val="24"/>
              </w:rPr>
            </w:pPr>
          </w:p>
        </w:tc>
        <w:tc>
          <w:tcPr>
            <w:tcW w:w="979" w:type="dxa"/>
            <w:shd w:val="clear" w:color="auto" w:fill="auto"/>
            <w:vAlign w:val="bottom"/>
          </w:tcPr>
          <w:p w14:paraId="092746F6"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42DA012A"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2/</w:t>
            </w:r>
            <w:r>
              <w:rPr>
                <w:rFonts w:cs="Times New Roman"/>
                <w:sz w:val="18"/>
              </w:rPr>
              <w:t>–</w:t>
            </w:r>
            <w:r w:rsidRPr="00FD0920">
              <w:rPr>
                <w:rFonts w:cs="Times New Roman"/>
                <w:sz w:val="18"/>
              </w:rPr>
              <w:t>/</w:t>
            </w:r>
            <w:r>
              <w:rPr>
                <w:rFonts w:cs="Times New Roman"/>
                <w:sz w:val="18"/>
              </w:rPr>
              <w:t>–</w:t>
            </w:r>
          </w:p>
        </w:tc>
        <w:tc>
          <w:tcPr>
            <w:tcW w:w="982" w:type="dxa"/>
            <w:shd w:val="clear" w:color="auto" w:fill="auto"/>
            <w:vAlign w:val="bottom"/>
          </w:tcPr>
          <w:p w14:paraId="406B9222"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3/</w:t>
            </w:r>
            <w:r>
              <w:rPr>
                <w:rFonts w:cs="Times New Roman"/>
                <w:sz w:val="18"/>
              </w:rPr>
              <w:t>–</w:t>
            </w:r>
            <w:r w:rsidRPr="00FD0920">
              <w:rPr>
                <w:rFonts w:cs="Times New Roman"/>
                <w:sz w:val="18"/>
              </w:rPr>
              <w:t>/</w:t>
            </w:r>
            <w:r>
              <w:rPr>
                <w:rFonts w:cs="Times New Roman"/>
                <w:sz w:val="18"/>
              </w:rPr>
              <w:t>–</w:t>
            </w:r>
          </w:p>
        </w:tc>
        <w:tc>
          <w:tcPr>
            <w:tcW w:w="909" w:type="dxa"/>
            <w:shd w:val="clear" w:color="auto" w:fill="auto"/>
            <w:vAlign w:val="bottom"/>
          </w:tcPr>
          <w:p w14:paraId="79D1EF13"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05CDAC1C"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3E50598E"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3/</w:t>
            </w:r>
            <w:r>
              <w:rPr>
                <w:rFonts w:cs="Times New Roman"/>
                <w:sz w:val="18"/>
              </w:rPr>
              <w:t>–</w:t>
            </w:r>
            <w:r w:rsidRPr="00FD0920">
              <w:rPr>
                <w:rFonts w:cs="Times New Roman"/>
                <w:sz w:val="18"/>
              </w:rPr>
              <w:t>/</w:t>
            </w:r>
            <w:r>
              <w:rPr>
                <w:rFonts w:cs="Times New Roman"/>
                <w:sz w:val="18"/>
              </w:rPr>
              <w:t>–</w:t>
            </w:r>
          </w:p>
        </w:tc>
        <w:tc>
          <w:tcPr>
            <w:tcW w:w="947" w:type="dxa"/>
            <w:shd w:val="clear" w:color="auto" w:fill="auto"/>
            <w:vAlign w:val="bottom"/>
          </w:tcPr>
          <w:p w14:paraId="2B887CF2"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2E2E1A05"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w:t>
            </w:r>
            <w:r>
              <w:rPr>
                <w:rFonts w:cs="Times New Roman"/>
                <w:sz w:val="18"/>
              </w:rPr>
              <w:t>–</w:t>
            </w:r>
            <w:r w:rsidRPr="00FD0920">
              <w:rPr>
                <w:rFonts w:cs="Times New Roman"/>
                <w:sz w:val="18"/>
              </w:rPr>
              <w:t>/</w:t>
            </w:r>
            <w:r>
              <w:rPr>
                <w:rFonts w:cs="Times New Roman"/>
                <w:sz w:val="18"/>
              </w:rPr>
              <w:t>–</w:t>
            </w:r>
          </w:p>
        </w:tc>
        <w:tc>
          <w:tcPr>
            <w:tcW w:w="640" w:type="dxa"/>
            <w:shd w:val="clear" w:color="auto" w:fill="auto"/>
            <w:vAlign w:val="bottom"/>
          </w:tcPr>
          <w:p w14:paraId="39A8FDF2" w14:textId="77777777" w:rsidR="00B950FD" w:rsidRPr="00FD0920" w:rsidRDefault="00B950FD" w:rsidP="00B02DF3">
            <w:pPr>
              <w:spacing w:before="40" w:after="40" w:line="220" w:lineRule="exact"/>
              <w:jc w:val="right"/>
              <w:rPr>
                <w:rFonts w:cs="Times New Roman"/>
                <w:sz w:val="18"/>
                <w:szCs w:val="24"/>
              </w:rPr>
            </w:pPr>
          </w:p>
        </w:tc>
      </w:tr>
      <w:tr w:rsidR="00B950FD" w:rsidRPr="00FD0920" w14:paraId="785B7807" w14:textId="77777777" w:rsidTr="00B02DF3">
        <w:tc>
          <w:tcPr>
            <w:tcW w:w="1969" w:type="dxa"/>
            <w:shd w:val="clear" w:color="auto" w:fill="auto"/>
          </w:tcPr>
          <w:p w14:paraId="0F2C09CB"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Черногория</w:t>
            </w:r>
          </w:p>
        </w:tc>
        <w:tc>
          <w:tcPr>
            <w:tcW w:w="864" w:type="dxa"/>
            <w:shd w:val="clear" w:color="auto" w:fill="auto"/>
            <w:textDirection w:val="lrTbV"/>
            <w:vAlign w:val="bottom"/>
          </w:tcPr>
          <w:p w14:paraId="278060C7"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030D7655"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36814BA8"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19404F64" w14:textId="77777777" w:rsidR="00B950FD" w:rsidRPr="00FD0920" w:rsidRDefault="00B950FD" w:rsidP="00B02DF3">
            <w:pPr>
              <w:spacing w:before="40" w:after="40" w:line="220" w:lineRule="exact"/>
              <w:jc w:val="right"/>
              <w:rPr>
                <w:rFonts w:cs="Times New Roman"/>
                <w:sz w:val="18"/>
                <w:szCs w:val="24"/>
              </w:rPr>
            </w:pPr>
          </w:p>
        </w:tc>
        <w:tc>
          <w:tcPr>
            <w:tcW w:w="899" w:type="dxa"/>
            <w:shd w:val="clear" w:color="auto" w:fill="auto"/>
            <w:vAlign w:val="bottom"/>
          </w:tcPr>
          <w:p w14:paraId="53327443"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51A30C60" w14:textId="77777777" w:rsidR="00B950FD" w:rsidRPr="00FD0920" w:rsidRDefault="00B950FD" w:rsidP="00B02DF3">
            <w:pPr>
              <w:spacing w:before="40" w:after="40" w:line="220" w:lineRule="exact"/>
              <w:jc w:val="right"/>
              <w:rPr>
                <w:rFonts w:cs="Times New Roman"/>
                <w:sz w:val="18"/>
                <w:szCs w:val="24"/>
              </w:rPr>
            </w:pPr>
          </w:p>
        </w:tc>
        <w:tc>
          <w:tcPr>
            <w:tcW w:w="979" w:type="dxa"/>
            <w:shd w:val="clear" w:color="auto" w:fill="auto"/>
            <w:vAlign w:val="bottom"/>
          </w:tcPr>
          <w:p w14:paraId="771E9723"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6B9918DE" w14:textId="77777777" w:rsidR="00B950FD" w:rsidRPr="00FD0920" w:rsidRDefault="00B950FD" w:rsidP="00B02DF3">
            <w:pPr>
              <w:spacing w:before="40" w:after="40" w:line="220" w:lineRule="exact"/>
              <w:jc w:val="right"/>
              <w:rPr>
                <w:rFonts w:cs="Times New Roman"/>
                <w:sz w:val="18"/>
                <w:szCs w:val="24"/>
              </w:rPr>
            </w:pPr>
          </w:p>
        </w:tc>
        <w:tc>
          <w:tcPr>
            <w:tcW w:w="982" w:type="dxa"/>
            <w:shd w:val="clear" w:color="auto" w:fill="auto"/>
            <w:vAlign w:val="bottom"/>
          </w:tcPr>
          <w:p w14:paraId="6B5BDFED"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2/</w:t>
            </w:r>
            <w:r>
              <w:rPr>
                <w:rFonts w:cs="Times New Roman"/>
                <w:sz w:val="18"/>
              </w:rPr>
              <w:t>–</w:t>
            </w:r>
            <w:r w:rsidRPr="00FD0920">
              <w:rPr>
                <w:rFonts w:cs="Times New Roman"/>
                <w:sz w:val="18"/>
              </w:rPr>
              <w:t>/</w:t>
            </w:r>
            <w:r>
              <w:rPr>
                <w:rFonts w:cs="Times New Roman"/>
                <w:sz w:val="18"/>
              </w:rPr>
              <w:t>–</w:t>
            </w:r>
          </w:p>
        </w:tc>
        <w:tc>
          <w:tcPr>
            <w:tcW w:w="909" w:type="dxa"/>
            <w:shd w:val="clear" w:color="auto" w:fill="auto"/>
            <w:vAlign w:val="bottom"/>
          </w:tcPr>
          <w:p w14:paraId="3EAA7ADD"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2D383C30"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6169D75A"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w:t>
            </w:r>
            <w:r>
              <w:rPr>
                <w:rFonts w:cs="Times New Roman"/>
                <w:sz w:val="18"/>
              </w:rPr>
              <w:t>–</w:t>
            </w:r>
            <w:r w:rsidRPr="00FD0920">
              <w:rPr>
                <w:rFonts w:cs="Times New Roman"/>
                <w:sz w:val="18"/>
              </w:rPr>
              <w:t>/</w:t>
            </w:r>
            <w:r>
              <w:rPr>
                <w:rFonts w:cs="Times New Roman"/>
                <w:sz w:val="18"/>
              </w:rPr>
              <w:t>–</w:t>
            </w:r>
          </w:p>
        </w:tc>
        <w:tc>
          <w:tcPr>
            <w:tcW w:w="947" w:type="dxa"/>
            <w:shd w:val="clear" w:color="auto" w:fill="auto"/>
            <w:vAlign w:val="bottom"/>
          </w:tcPr>
          <w:p w14:paraId="34777056"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651D6882"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343F3831" w14:textId="77777777" w:rsidR="00B950FD" w:rsidRPr="00FD0920" w:rsidRDefault="00B950FD" w:rsidP="00B02DF3">
            <w:pPr>
              <w:spacing w:before="40" w:after="40" w:line="220" w:lineRule="exact"/>
              <w:jc w:val="right"/>
              <w:rPr>
                <w:rFonts w:cs="Times New Roman"/>
                <w:sz w:val="18"/>
                <w:szCs w:val="24"/>
              </w:rPr>
            </w:pPr>
          </w:p>
        </w:tc>
      </w:tr>
      <w:tr w:rsidR="00B950FD" w:rsidRPr="00FD0920" w14:paraId="31247429" w14:textId="77777777" w:rsidTr="00B02DF3">
        <w:tc>
          <w:tcPr>
            <w:tcW w:w="1969" w:type="dxa"/>
            <w:shd w:val="clear" w:color="auto" w:fill="auto"/>
          </w:tcPr>
          <w:p w14:paraId="6818A8A4"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Польша</w:t>
            </w:r>
          </w:p>
        </w:tc>
        <w:tc>
          <w:tcPr>
            <w:tcW w:w="864" w:type="dxa"/>
            <w:shd w:val="clear" w:color="auto" w:fill="auto"/>
            <w:textDirection w:val="lrTbV"/>
            <w:vAlign w:val="bottom"/>
          </w:tcPr>
          <w:p w14:paraId="150A7E69"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4EA04C06"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76915FC3"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4213B706"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1/0/1</w:t>
            </w:r>
          </w:p>
        </w:tc>
        <w:tc>
          <w:tcPr>
            <w:tcW w:w="899" w:type="dxa"/>
            <w:shd w:val="clear" w:color="auto" w:fill="auto"/>
            <w:vAlign w:val="bottom"/>
          </w:tcPr>
          <w:p w14:paraId="09612C56"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6FEE99D5" w14:textId="77777777" w:rsidR="00B950FD" w:rsidRPr="00FD0920" w:rsidRDefault="00B950FD" w:rsidP="00B02DF3">
            <w:pPr>
              <w:spacing w:before="40" w:after="40" w:line="220" w:lineRule="exact"/>
              <w:jc w:val="right"/>
              <w:rPr>
                <w:rFonts w:cs="Times New Roman"/>
                <w:sz w:val="18"/>
                <w:szCs w:val="24"/>
              </w:rPr>
            </w:pPr>
          </w:p>
        </w:tc>
        <w:tc>
          <w:tcPr>
            <w:tcW w:w="979" w:type="dxa"/>
            <w:shd w:val="clear" w:color="auto" w:fill="auto"/>
            <w:vAlign w:val="bottom"/>
          </w:tcPr>
          <w:p w14:paraId="2F90823B"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55E0E308" w14:textId="77777777" w:rsidR="00B950FD" w:rsidRPr="00FD0920" w:rsidRDefault="00B950FD" w:rsidP="00B02DF3">
            <w:pPr>
              <w:spacing w:before="40" w:after="40" w:line="220" w:lineRule="exact"/>
              <w:jc w:val="right"/>
              <w:rPr>
                <w:rFonts w:cs="Times New Roman"/>
                <w:sz w:val="18"/>
                <w:szCs w:val="24"/>
              </w:rPr>
            </w:pPr>
          </w:p>
        </w:tc>
        <w:tc>
          <w:tcPr>
            <w:tcW w:w="982" w:type="dxa"/>
            <w:shd w:val="clear" w:color="auto" w:fill="auto"/>
            <w:vAlign w:val="bottom"/>
          </w:tcPr>
          <w:p w14:paraId="2F727C54" w14:textId="77777777" w:rsidR="00B950FD" w:rsidRPr="00FD0920" w:rsidRDefault="00B950FD" w:rsidP="00B02DF3">
            <w:pPr>
              <w:spacing w:before="40" w:after="40" w:line="220" w:lineRule="exact"/>
              <w:jc w:val="right"/>
              <w:rPr>
                <w:rFonts w:cs="Times New Roman"/>
                <w:sz w:val="18"/>
                <w:szCs w:val="24"/>
              </w:rPr>
            </w:pPr>
          </w:p>
        </w:tc>
        <w:tc>
          <w:tcPr>
            <w:tcW w:w="909" w:type="dxa"/>
            <w:shd w:val="clear" w:color="auto" w:fill="auto"/>
            <w:vAlign w:val="bottom"/>
          </w:tcPr>
          <w:p w14:paraId="561874DC"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03480DAB"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7E410241" w14:textId="77777777" w:rsidR="00B950FD" w:rsidRPr="00FD0920" w:rsidRDefault="00B950FD" w:rsidP="00B02DF3">
            <w:pPr>
              <w:spacing w:before="40" w:after="40" w:line="220" w:lineRule="exact"/>
              <w:jc w:val="right"/>
              <w:rPr>
                <w:rFonts w:cs="Times New Roman"/>
                <w:sz w:val="18"/>
                <w:szCs w:val="24"/>
              </w:rPr>
            </w:pPr>
          </w:p>
        </w:tc>
        <w:tc>
          <w:tcPr>
            <w:tcW w:w="947" w:type="dxa"/>
            <w:shd w:val="clear" w:color="auto" w:fill="auto"/>
            <w:vAlign w:val="bottom"/>
          </w:tcPr>
          <w:p w14:paraId="1F006D1B"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6E66682B"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1/0/1</w:t>
            </w:r>
          </w:p>
        </w:tc>
        <w:tc>
          <w:tcPr>
            <w:tcW w:w="640" w:type="dxa"/>
            <w:shd w:val="clear" w:color="auto" w:fill="auto"/>
            <w:vAlign w:val="bottom"/>
          </w:tcPr>
          <w:p w14:paraId="69B71EC6" w14:textId="77777777" w:rsidR="00B950FD" w:rsidRPr="00FD0920" w:rsidRDefault="00B950FD" w:rsidP="00B02DF3">
            <w:pPr>
              <w:spacing w:before="40" w:after="40" w:line="220" w:lineRule="exact"/>
              <w:jc w:val="right"/>
              <w:rPr>
                <w:rFonts w:cs="Times New Roman"/>
                <w:sz w:val="18"/>
                <w:szCs w:val="24"/>
              </w:rPr>
            </w:pPr>
          </w:p>
        </w:tc>
      </w:tr>
      <w:tr w:rsidR="00B950FD" w:rsidRPr="00FD0920" w14:paraId="0928E540" w14:textId="77777777" w:rsidTr="00B02DF3">
        <w:tc>
          <w:tcPr>
            <w:tcW w:w="1969" w:type="dxa"/>
            <w:shd w:val="clear" w:color="auto" w:fill="auto"/>
          </w:tcPr>
          <w:p w14:paraId="5E8927C1"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Республика Молдова</w:t>
            </w:r>
          </w:p>
        </w:tc>
        <w:tc>
          <w:tcPr>
            <w:tcW w:w="864" w:type="dxa"/>
            <w:shd w:val="clear" w:color="auto" w:fill="auto"/>
            <w:textDirection w:val="lrTbV"/>
            <w:vAlign w:val="bottom"/>
          </w:tcPr>
          <w:p w14:paraId="4EC6EF4E"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40D75528"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1FEAC6DC"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0CDBABE9"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1/0/1</w:t>
            </w:r>
          </w:p>
        </w:tc>
        <w:tc>
          <w:tcPr>
            <w:tcW w:w="899" w:type="dxa"/>
            <w:shd w:val="clear" w:color="auto" w:fill="auto"/>
            <w:vAlign w:val="bottom"/>
          </w:tcPr>
          <w:p w14:paraId="625EAFC8"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658A76F4" w14:textId="77777777" w:rsidR="00B950FD" w:rsidRPr="00FD0920" w:rsidRDefault="00B950FD" w:rsidP="00B02DF3">
            <w:pPr>
              <w:spacing w:before="40" w:after="40" w:line="220" w:lineRule="exact"/>
              <w:jc w:val="right"/>
              <w:rPr>
                <w:rFonts w:cs="Times New Roman"/>
                <w:sz w:val="18"/>
                <w:szCs w:val="24"/>
              </w:rPr>
            </w:pPr>
          </w:p>
        </w:tc>
        <w:tc>
          <w:tcPr>
            <w:tcW w:w="979" w:type="dxa"/>
            <w:shd w:val="clear" w:color="auto" w:fill="auto"/>
            <w:vAlign w:val="bottom"/>
          </w:tcPr>
          <w:p w14:paraId="0C024CAE"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4F44611D"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1/0/1</w:t>
            </w:r>
          </w:p>
        </w:tc>
        <w:tc>
          <w:tcPr>
            <w:tcW w:w="982" w:type="dxa"/>
            <w:shd w:val="clear" w:color="auto" w:fill="auto"/>
            <w:vAlign w:val="bottom"/>
          </w:tcPr>
          <w:p w14:paraId="0D4E6E54" w14:textId="77777777" w:rsidR="00B950FD" w:rsidRPr="00FD0920" w:rsidRDefault="00B950FD" w:rsidP="00B02DF3">
            <w:pPr>
              <w:spacing w:before="40" w:after="40" w:line="220" w:lineRule="exact"/>
              <w:jc w:val="right"/>
              <w:rPr>
                <w:rFonts w:cs="Times New Roman"/>
                <w:sz w:val="18"/>
                <w:szCs w:val="24"/>
              </w:rPr>
            </w:pPr>
          </w:p>
        </w:tc>
        <w:tc>
          <w:tcPr>
            <w:tcW w:w="909" w:type="dxa"/>
            <w:shd w:val="clear" w:color="auto" w:fill="auto"/>
            <w:vAlign w:val="bottom"/>
          </w:tcPr>
          <w:p w14:paraId="14EB495C"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216A14C8"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7DAC05A2" w14:textId="77777777" w:rsidR="00B950FD" w:rsidRPr="00FD0920" w:rsidRDefault="00B950FD" w:rsidP="00B02DF3">
            <w:pPr>
              <w:spacing w:before="40" w:after="40" w:line="220" w:lineRule="exact"/>
              <w:jc w:val="right"/>
              <w:rPr>
                <w:rFonts w:cs="Times New Roman"/>
                <w:sz w:val="18"/>
                <w:szCs w:val="24"/>
              </w:rPr>
            </w:pPr>
          </w:p>
        </w:tc>
        <w:tc>
          <w:tcPr>
            <w:tcW w:w="947" w:type="dxa"/>
            <w:shd w:val="clear" w:color="auto" w:fill="auto"/>
            <w:vAlign w:val="bottom"/>
          </w:tcPr>
          <w:p w14:paraId="4B6114E8"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666BE843"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54BA4654" w14:textId="77777777" w:rsidR="00B950FD" w:rsidRPr="00FD0920" w:rsidRDefault="00B950FD" w:rsidP="00B02DF3">
            <w:pPr>
              <w:spacing w:before="40" w:after="40" w:line="220" w:lineRule="exact"/>
              <w:jc w:val="right"/>
              <w:rPr>
                <w:rFonts w:cs="Times New Roman"/>
                <w:sz w:val="18"/>
                <w:szCs w:val="24"/>
              </w:rPr>
            </w:pPr>
          </w:p>
        </w:tc>
      </w:tr>
      <w:tr w:rsidR="00B950FD" w:rsidRPr="00FD0920" w14:paraId="4C717855" w14:textId="77777777" w:rsidTr="00B02DF3">
        <w:tc>
          <w:tcPr>
            <w:tcW w:w="1969" w:type="dxa"/>
            <w:shd w:val="clear" w:color="auto" w:fill="auto"/>
          </w:tcPr>
          <w:p w14:paraId="00EF8ED6"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Румыния</w:t>
            </w:r>
          </w:p>
        </w:tc>
        <w:tc>
          <w:tcPr>
            <w:tcW w:w="864" w:type="dxa"/>
            <w:shd w:val="clear" w:color="auto" w:fill="auto"/>
            <w:textDirection w:val="lrTbV"/>
            <w:vAlign w:val="bottom"/>
          </w:tcPr>
          <w:p w14:paraId="01475F45"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2A1E7E09"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6ED5E56F"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1ECFD3CB"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w:t>
            </w:r>
            <w:r>
              <w:rPr>
                <w:rFonts w:cs="Times New Roman"/>
                <w:sz w:val="18"/>
              </w:rPr>
              <w:t>–</w:t>
            </w:r>
            <w:r w:rsidRPr="00FD0920">
              <w:rPr>
                <w:rFonts w:cs="Times New Roman"/>
                <w:sz w:val="18"/>
              </w:rPr>
              <w:t>/</w:t>
            </w:r>
            <w:r>
              <w:rPr>
                <w:rFonts w:cs="Times New Roman"/>
                <w:sz w:val="18"/>
              </w:rPr>
              <w:t>–</w:t>
            </w:r>
          </w:p>
        </w:tc>
        <w:tc>
          <w:tcPr>
            <w:tcW w:w="899" w:type="dxa"/>
            <w:shd w:val="clear" w:color="auto" w:fill="auto"/>
            <w:vAlign w:val="bottom"/>
          </w:tcPr>
          <w:p w14:paraId="25FCC360"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6CE00F4A"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w:t>
            </w:r>
            <w:r>
              <w:rPr>
                <w:rFonts w:cs="Times New Roman"/>
                <w:sz w:val="18"/>
              </w:rPr>
              <w:t>–</w:t>
            </w:r>
            <w:r w:rsidRPr="00FD0920">
              <w:rPr>
                <w:rFonts w:cs="Times New Roman"/>
                <w:sz w:val="18"/>
              </w:rPr>
              <w:t>/</w:t>
            </w:r>
            <w:r>
              <w:rPr>
                <w:rFonts w:cs="Times New Roman"/>
                <w:sz w:val="18"/>
              </w:rPr>
              <w:t>–</w:t>
            </w:r>
          </w:p>
        </w:tc>
        <w:tc>
          <w:tcPr>
            <w:tcW w:w="979" w:type="dxa"/>
            <w:shd w:val="clear" w:color="auto" w:fill="auto"/>
            <w:vAlign w:val="bottom"/>
          </w:tcPr>
          <w:p w14:paraId="6AB78CC8"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1EA0BB16"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w:t>
            </w:r>
            <w:r>
              <w:rPr>
                <w:rFonts w:cs="Times New Roman"/>
                <w:sz w:val="18"/>
              </w:rPr>
              <w:t>–</w:t>
            </w:r>
            <w:r w:rsidRPr="00FD0920">
              <w:rPr>
                <w:rFonts w:cs="Times New Roman"/>
                <w:sz w:val="18"/>
              </w:rPr>
              <w:t>/</w:t>
            </w:r>
            <w:r>
              <w:rPr>
                <w:rFonts w:cs="Times New Roman"/>
                <w:sz w:val="18"/>
              </w:rPr>
              <w:t>–</w:t>
            </w:r>
          </w:p>
        </w:tc>
        <w:tc>
          <w:tcPr>
            <w:tcW w:w="982" w:type="dxa"/>
            <w:shd w:val="clear" w:color="auto" w:fill="auto"/>
            <w:vAlign w:val="bottom"/>
          </w:tcPr>
          <w:p w14:paraId="1735FA16" w14:textId="77777777" w:rsidR="00B950FD" w:rsidRPr="00FD0920" w:rsidRDefault="00B950FD" w:rsidP="00B02DF3">
            <w:pPr>
              <w:spacing w:before="40" w:after="40" w:line="220" w:lineRule="exact"/>
              <w:jc w:val="right"/>
              <w:rPr>
                <w:rFonts w:cs="Times New Roman"/>
                <w:sz w:val="18"/>
                <w:szCs w:val="24"/>
              </w:rPr>
            </w:pPr>
          </w:p>
        </w:tc>
        <w:tc>
          <w:tcPr>
            <w:tcW w:w="909" w:type="dxa"/>
            <w:shd w:val="clear" w:color="auto" w:fill="auto"/>
            <w:vAlign w:val="bottom"/>
          </w:tcPr>
          <w:p w14:paraId="0CC7CF39"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68657E25"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18A53360" w14:textId="77777777" w:rsidR="00B950FD" w:rsidRPr="00FD0920" w:rsidRDefault="00B950FD" w:rsidP="00B02DF3">
            <w:pPr>
              <w:spacing w:before="40" w:after="40" w:line="220" w:lineRule="exact"/>
              <w:jc w:val="right"/>
              <w:rPr>
                <w:rFonts w:cs="Times New Roman"/>
                <w:sz w:val="18"/>
                <w:szCs w:val="24"/>
              </w:rPr>
            </w:pPr>
          </w:p>
        </w:tc>
        <w:tc>
          <w:tcPr>
            <w:tcW w:w="947" w:type="dxa"/>
            <w:shd w:val="clear" w:color="auto" w:fill="auto"/>
            <w:vAlign w:val="bottom"/>
          </w:tcPr>
          <w:p w14:paraId="14B0ACDD"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58E45C98"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4BC129E8" w14:textId="77777777" w:rsidR="00B950FD" w:rsidRPr="00FD0920" w:rsidRDefault="00B950FD" w:rsidP="00B02DF3">
            <w:pPr>
              <w:spacing w:before="40" w:after="40" w:line="220" w:lineRule="exact"/>
              <w:jc w:val="right"/>
              <w:rPr>
                <w:rFonts w:cs="Times New Roman"/>
                <w:sz w:val="18"/>
                <w:szCs w:val="24"/>
              </w:rPr>
            </w:pPr>
          </w:p>
        </w:tc>
      </w:tr>
      <w:tr w:rsidR="00B950FD" w:rsidRPr="00FD0920" w14:paraId="2860ABBE" w14:textId="77777777" w:rsidTr="00B02DF3">
        <w:tc>
          <w:tcPr>
            <w:tcW w:w="1969" w:type="dxa"/>
            <w:shd w:val="clear" w:color="auto" w:fill="auto"/>
          </w:tcPr>
          <w:p w14:paraId="3822208F"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Словакия</w:t>
            </w:r>
          </w:p>
        </w:tc>
        <w:tc>
          <w:tcPr>
            <w:tcW w:w="864" w:type="dxa"/>
            <w:shd w:val="clear" w:color="auto" w:fill="auto"/>
            <w:textDirection w:val="lrTbV"/>
            <w:vAlign w:val="bottom"/>
          </w:tcPr>
          <w:p w14:paraId="1047D2F6"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2E74E602"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55A8AEDF"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43497A2D" w14:textId="77777777" w:rsidR="00B950FD" w:rsidRPr="00FD0920" w:rsidRDefault="00B950FD" w:rsidP="00B02DF3">
            <w:pPr>
              <w:spacing w:before="40" w:after="40" w:line="220" w:lineRule="exact"/>
              <w:jc w:val="right"/>
              <w:rPr>
                <w:rFonts w:cs="Times New Roman"/>
                <w:sz w:val="18"/>
                <w:szCs w:val="24"/>
              </w:rPr>
            </w:pPr>
          </w:p>
        </w:tc>
        <w:tc>
          <w:tcPr>
            <w:tcW w:w="899" w:type="dxa"/>
            <w:shd w:val="clear" w:color="auto" w:fill="auto"/>
            <w:vAlign w:val="bottom"/>
          </w:tcPr>
          <w:p w14:paraId="74E0F007"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74653B05"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3/</w:t>
            </w:r>
            <w:r>
              <w:rPr>
                <w:rFonts w:cs="Times New Roman"/>
                <w:sz w:val="18"/>
              </w:rPr>
              <w:t>–</w:t>
            </w:r>
            <w:r w:rsidRPr="00FD0920">
              <w:rPr>
                <w:rFonts w:cs="Times New Roman"/>
                <w:sz w:val="18"/>
              </w:rPr>
              <w:t>/</w:t>
            </w:r>
            <w:r>
              <w:rPr>
                <w:rFonts w:cs="Times New Roman"/>
                <w:sz w:val="18"/>
              </w:rPr>
              <w:t>–</w:t>
            </w:r>
          </w:p>
        </w:tc>
        <w:tc>
          <w:tcPr>
            <w:tcW w:w="979" w:type="dxa"/>
            <w:shd w:val="clear" w:color="auto" w:fill="auto"/>
            <w:vAlign w:val="bottom"/>
          </w:tcPr>
          <w:p w14:paraId="6A962008"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5/</w:t>
            </w:r>
            <w:r>
              <w:rPr>
                <w:rFonts w:cs="Times New Roman"/>
                <w:sz w:val="18"/>
              </w:rPr>
              <w:t>–</w:t>
            </w:r>
            <w:r w:rsidRPr="00FD0920">
              <w:rPr>
                <w:rFonts w:cs="Times New Roman"/>
                <w:sz w:val="18"/>
              </w:rPr>
              <w:t>/</w:t>
            </w:r>
            <w:r>
              <w:rPr>
                <w:rFonts w:cs="Times New Roman"/>
                <w:sz w:val="18"/>
              </w:rPr>
              <w:t>–</w:t>
            </w:r>
          </w:p>
        </w:tc>
        <w:tc>
          <w:tcPr>
            <w:tcW w:w="954" w:type="dxa"/>
            <w:shd w:val="clear" w:color="auto" w:fill="auto"/>
            <w:vAlign w:val="bottom"/>
          </w:tcPr>
          <w:p w14:paraId="1C57BE6E" w14:textId="77777777" w:rsidR="00B950FD" w:rsidRPr="00FD0920" w:rsidRDefault="00B950FD" w:rsidP="00B02DF3">
            <w:pPr>
              <w:spacing w:before="40" w:after="40" w:line="220" w:lineRule="exact"/>
              <w:jc w:val="right"/>
              <w:rPr>
                <w:rFonts w:cs="Times New Roman"/>
                <w:sz w:val="18"/>
                <w:szCs w:val="24"/>
              </w:rPr>
            </w:pPr>
          </w:p>
        </w:tc>
        <w:tc>
          <w:tcPr>
            <w:tcW w:w="982" w:type="dxa"/>
            <w:shd w:val="clear" w:color="auto" w:fill="auto"/>
            <w:vAlign w:val="bottom"/>
          </w:tcPr>
          <w:p w14:paraId="6D314E89" w14:textId="77777777" w:rsidR="00B950FD" w:rsidRPr="00FD0920" w:rsidRDefault="00B950FD" w:rsidP="00B02DF3">
            <w:pPr>
              <w:spacing w:before="40" w:after="40" w:line="220" w:lineRule="exact"/>
              <w:jc w:val="right"/>
              <w:rPr>
                <w:rFonts w:cs="Times New Roman"/>
                <w:sz w:val="18"/>
                <w:szCs w:val="24"/>
              </w:rPr>
            </w:pPr>
          </w:p>
        </w:tc>
        <w:tc>
          <w:tcPr>
            <w:tcW w:w="909" w:type="dxa"/>
            <w:shd w:val="clear" w:color="auto" w:fill="auto"/>
            <w:vAlign w:val="bottom"/>
          </w:tcPr>
          <w:p w14:paraId="179ED00A"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429FC342"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w:t>
            </w:r>
            <w:r>
              <w:rPr>
                <w:rFonts w:cs="Times New Roman"/>
                <w:sz w:val="18"/>
              </w:rPr>
              <w:t>–</w:t>
            </w:r>
            <w:r w:rsidRPr="00FD0920">
              <w:rPr>
                <w:rFonts w:cs="Times New Roman"/>
                <w:sz w:val="18"/>
              </w:rPr>
              <w:t>/</w:t>
            </w:r>
            <w:r>
              <w:rPr>
                <w:rFonts w:cs="Times New Roman"/>
                <w:sz w:val="18"/>
              </w:rPr>
              <w:t>–</w:t>
            </w:r>
          </w:p>
        </w:tc>
        <w:tc>
          <w:tcPr>
            <w:tcW w:w="786" w:type="dxa"/>
            <w:shd w:val="clear" w:color="auto" w:fill="auto"/>
            <w:vAlign w:val="bottom"/>
          </w:tcPr>
          <w:p w14:paraId="06129A97" w14:textId="77777777" w:rsidR="00B950FD" w:rsidRPr="00FD0920" w:rsidRDefault="00B950FD" w:rsidP="00B02DF3">
            <w:pPr>
              <w:spacing w:before="40" w:after="40" w:line="220" w:lineRule="exact"/>
              <w:jc w:val="right"/>
              <w:rPr>
                <w:rFonts w:cs="Times New Roman"/>
                <w:sz w:val="18"/>
                <w:szCs w:val="24"/>
              </w:rPr>
            </w:pPr>
          </w:p>
        </w:tc>
        <w:tc>
          <w:tcPr>
            <w:tcW w:w="947" w:type="dxa"/>
            <w:shd w:val="clear" w:color="auto" w:fill="auto"/>
            <w:vAlign w:val="bottom"/>
          </w:tcPr>
          <w:p w14:paraId="12C13DA5"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1A668B8E" w14:textId="77777777" w:rsidR="00B950FD" w:rsidRPr="00FD0920" w:rsidRDefault="00B950FD" w:rsidP="00B02DF3">
            <w:pPr>
              <w:spacing w:before="40" w:after="40" w:line="220" w:lineRule="exact"/>
              <w:jc w:val="right"/>
              <w:rPr>
                <w:rFonts w:cs="Times New Roman"/>
                <w:sz w:val="18"/>
                <w:szCs w:val="24"/>
              </w:rPr>
            </w:pPr>
          </w:p>
        </w:tc>
        <w:tc>
          <w:tcPr>
            <w:tcW w:w="640" w:type="dxa"/>
            <w:shd w:val="clear" w:color="auto" w:fill="auto"/>
            <w:vAlign w:val="bottom"/>
          </w:tcPr>
          <w:p w14:paraId="6B048B4B" w14:textId="77777777" w:rsidR="00B950FD" w:rsidRPr="00FD0920" w:rsidRDefault="00B950FD" w:rsidP="00B02DF3">
            <w:pPr>
              <w:spacing w:before="40" w:after="40" w:line="220" w:lineRule="exact"/>
              <w:jc w:val="right"/>
              <w:rPr>
                <w:rFonts w:cs="Times New Roman"/>
                <w:sz w:val="18"/>
                <w:szCs w:val="24"/>
              </w:rPr>
            </w:pPr>
          </w:p>
        </w:tc>
      </w:tr>
      <w:tr w:rsidR="00B950FD" w:rsidRPr="00FD0920" w14:paraId="65B59DBB" w14:textId="77777777" w:rsidTr="00B02DF3">
        <w:tc>
          <w:tcPr>
            <w:tcW w:w="1969" w:type="dxa"/>
            <w:shd w:val="clear" w:color="auto" w:fill="auto"/>
          </w:tcPr>
          <w:p w14:paraId="1FA9564B"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Испания</w:t>
            </w:r>
          </w:p>
        </w:tc>
        <w:tc>
          <w:tcPr>
            <w:tcW w:w="864" w:type="dxa"/>
            <w:shd w:val="clear" w:color="auto" w:fill="auto"/>
            <w:textDirection w:val="lrTbV"/>
            <w:vAlign w:val="bottom"/>
          </w:tcPr>
          <w:p w14:paraId="3E602C8D" w14:textId="77777777" w:rsidR="00B950FD" w:rsidRPr="00FD0920" w:rsidRDefault="00B950FD" w:rsidP="00B02DF3">
            <w:pPr>
              <w:spacing w:before="40" w:after="40" w:line="220" w:lineRule="exact"/>
              <w:jc w:val="right"/>
              <w:rPr>
                <w:rFonts w:cs="Times New Roman"/>
                <w:sz w:val="18"/>
                <w:szCs w:val="24"/>
              </w:rPr>
            </w:pPr>
          </w:p>
        </w:tc>
        <w:tc>
          <w:tcPr>
            <w:tcW w:w="785" w:type="dxa"/>
            <w:shd w:val="clear" w:color="auto" w:fill="auto"/>
            <w:vAlign w:val="bottom"/>
          </w:tcPr>
          <w:p w14:paraId="0A99E4A2" w14:textId="77777777" w:rsidR="00B950FD" w:rsidRPr="00FD0920" w:rsidRDefault="00B950FD" w:rsidP="00B02DF3">
            <w:pPr>
              <w:spacing w:before="40" w:after="40" w:line="220" w:lineRule="exact"/>
              <w:jc w:val="right"/>
              <w:rPr>
                <w:rFonts w:cs="Times New Roman"/>
                <w:sz w:val="18"/>
                <w:szCs w:val="24"/>
              </w:rPr>
            </w:pPr>
          </w:p>
        </w:tc>
        <w:tc>
          <w:tcPr>
            <w:tcW w:w="700" w:type="dxa"/>
            <w:shd w:val="clear" w:color="auto" w:fill="auto"/>
            <w:vAlign w:val="bottom"/>
          </w:tcPr>
          <w:p w14:paraId="4CE4D24C" w14:textId="77777777" w:rsidR="00B950FD" w:rsidRPr="00FD0920" w:rsidRDefault="00B950FD" w:rsidP="00B02DF3">
            <w:pPr>
              <w:spacing w:before="40" w:after="40" w:line="220" w:lineRule="exact"/>
              <w:jc w:val="right"/>
              <w:rPr>
                <w:rFonts w:cs="Times New Roman"/>
                <w:sz w:val="18"/>
                <w:szCs w:val="24"/>
              </w:rPr>
            </w:pPr>
          </w:p>
        </w:tc>
        <w:tc>
          <w:tcPr>
            <w:tcW w:w="586" w:type="dxa"/>
            <w:shd w:val="clear" w:color="auto" w:fill="auto"/>
            <w:vAlign w:val="bottom"/>
          </w:tcPr>
          <w:p w14:paraId="01649756" w14:textId="77777777" w:rsidR="00B950FD" w:rsidRPr="00FD0920" w:rsidRDefault="00B950FD" w:rsidP="00B02DF3">
            <w:pPr>
              <w:spacing w:before="40" w:after="40" w:line="220" w:lineRule="exact"/>
              <w:jc w:val="right"/>
              <w:rPr>
                <w:rFonts w:cs="Times New Roman"/>
                <w:sz w:val="18"/>
                <w:szCs w:val="24"/>
              </w:rPr>
            </w:pPr>
          </w:p>
        </w:tc>
        <w:tc>
          <w:tcPr>
            <w:tcW w:w="899" w:type="dxa"/>
            <w:shd w:val="clear" w:color="auto" w:fill="auto"/>
            <w:vAlign w:val="bottom"/>
          </w:tcPr>
          <w:p w14:paraId="0B0E7D09" w14:textId="77777777" w:rsidR="00B950FD" w:rsidRPr="00FD0920" w:rsidRDefault="00B950FD" w:rsidP="00B02DF3">
            <w:pPr>
              <w:spacing w:before="40" w:after="40" w:line="220" w:lineRule="exact"/>
              <w:jc w:val="right"/>
              <w:rPr>
                <w:rFonts w:cs="Times New Roman"/>
                <w:sz w:val="18"/>
                <w:szCs w:val="24"/>
              </w:rPr>
            </w:pPr>
          </w:p>
        </w:tc>
        <w:tc>
          <w:tcPr>
            <w:tcW w:w="945" w:type="dxa"/>
            <w:shd w:val="clear" w:color="auto" w:fill="auto"/>
            <w:vAlign w:val="bottom"/>
          </w:tcPr>
          <w:p w14:paraId="45DF7DFD" w14:textId="77777777" w:rsidR="00B950FD" w:rsidRPr="00FD0920" w:rsidRDefault="00B950FD" w:rsidP="00B02DF3">
            <w:pPr>
              <w:spacing w:before="40" w:after="40" w:line="220" w:lineRule="exact"/>
              <w:jc w:val="right"/>
              <w:rPr>
                <w:rFonts w:cs="Times New Roman"/>
                <w:sz w:val="18"/>
                <w:szCs w:val="24"/>
              </w:rPr>
            </w:pPr>
          </w:p>
        </w:tc>
        <w:tc>
          <w:tcPr>
            <w:tcW w:w="979" w:type="dxa"/>
            <w:shd w:val="clear" w:color="auto" w:fill="auto"/>
            <w:vAlign w:val="bottom"/>
          </w:tcPr>
          <w:p w14:paraId="29F12F56" w14:textId="77777777" w:rsidR="00B950FD" w:rsidRPr="00FD0920" w:rsidRDefault="00B950FD" w:rsidP="00B02DF3">
            <w:pPr>
              <w:spacing w:before="40" w:after="40" w:line="220" w:lineRule="exact"/>
              <w:jc w:val="right"/>
              <w:rPr>
                <w:rFonts w:cs="Times New Roman"/>
                <w:sz w:val="18"/>
                <w:szCs w:val="24"/>
              </w:rPr>
            </w:pPr>
          </w:p>
        </w:tc>
        <w:tc>
          <w:tcPr>
            <w:tcW w:w="954" w:type="dxa"/>
            <w:shd w:val="clear" w:color="auto" w:fill="auto"/>
            <w:vAlign w:val="bottom"/>
          </w:tcPr>
          <w:p w14:paraId="24B1BEED" w14:textId="77777777" w:rsidR="00B950FD" w:rsidRPr="00FD0920" w:rsidRDefault="00B950FD" w:rsidP="00B02DF3">
            <w:pPr>
              <w:spacing w:before="40" w:after="40" w:line="220" w:lineRule="exact"/>
              <w:jc w:val="right"/>
              <w:rPr>
                <w:rFonts w:cs="Times New Roman"/>
                <w:sz w:val="18"/>
                <w:szCs w:val="24"/>
              </w:rPr>
            </w:pPr>
          </w:p>
        </w:tc>
        <w:tc>
          <w:tcPr>
            <w:tcW w:w="982" w:type="dxa"/>
            <w:shd w:val="clear" w:color="auto" w:fill="auto"/>
            <w:vAlign w:val="bottom"/>
          </w:tcPr>
          <w:p w14:paraId="51F644EA"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4/</w:t>
            </w:r>
            <w:r>
              <w:rPr>
                <w:rFonts w:cs="Times New Roman"/>
                <w:sz w:val="18"/>
              </w:rPr>
              <w:t>–</w:t>
            </w:r>
            <w:r w:rsidRPr="00FD0920">
              <w:rPr>
                <w:rFonts w:cs="Times New Roman"/>
                <w:sz w:val="18"/>
              </w:rPr>
              <w:t>/</w:t>
            </w:r>
            <w:r>
              <w:rPr>
                <w:rFonts w:cs="Times New Roman"/>
                <w:sz w:val="18"/>
              </w:rPr>
              <w:t>–</w:t>
            </w:r>
          </w:p>
        </w:tc>
        <w:tc>
          <w:tcPr>
            <w:tcW w:w="909" w:type="dxa"/>
            <w:shd w:val="clear" w:color="auto" w:fill="auto"/>
            <w:vAlign w:val="bottom"/>
          </w:tcPr>
          <w:p w14:paraId="6FBEB566" w14:textId="77777777" w:rsidR="00B950FD" w:rsidRPr="00FD0920" w:rsidRDefault="00B950FD" w:rsidP="00B02DF3">
            <w:pPr>
              <w:spacing w:before="40" w:after="40" w:line="220" w:lineRule="exact"/>
              <w:jc w:val="right"/>
              <w:rPr>
                <w:rFonts w:cs="Times New Roman"/>
                <w:sz w:val="18"/>
                <w:szCs w:val="24"/>
              </w:rPr>
            </w:pPr>
          </w:p>
        </w:tc>
        <w:tc>
          <w:tcPr>
            <w:tcW w:w="655" w:type="dxa"/>
            <w:shd w:val="clear" w:color="auto" w:fill="auto"/>
            <w:vAlign w:val="bottom"/>
          </w:tcPr>
          <w:p w14:paraId="0241F595" w14:textId="77777777" w:rsidR="00B950FD" w:rsidRPr="00FD0920" w:rsidRDefault="00B950FD" w:rsidP="00B02DF3">
            <w:pPr>
              <w:spacing w:before="40" w:after="40" w:line="220" w:lineRule="exact"/>
              <w:jc w:val="right"/>
              <w:rPr>
                <w:rFonts w:cs="Times New Roman"/>
                <w:sz w:val="18"/>
                <w:szCs w:val="24"/>
              </w:rPr>
            </w:pPr>
          </w:p>
        </w:tc>
        <w:tc>
          <w:tcPr>
            <w:tcW w:w="786" w:type="dxa"/>
            <w:shd w:val="clear" w:color="auto" w:fill="auto"/>
            <w:vAlign w:val="bottom"/>
          </w:tcPr>
          <w:p w14:paraId="3776FB6B" w14:textId="77777777" w:rsidR="00B950FD" w:rsidRPr="00FD0920" w:rsidRDefault="00B950FD" w:rsidP="00B02DF3">
            <w:pPr>
              <w:spacing w:before="40" w:after="40" w:line="220" w:lineRule="exact"/>
              <w:jc w:val="right"/>
              <w:rPr>
                <w:rFonts w:cs="Times New Roman"/>
                <w:sz w:val="18"/>
                <w:szCs w:val="24"/>
              </w:rPr>
            </w:pPr>
          </w:p>
        </w:tc>
        <w:tc>
          <w:tcPr>
            <w:tcW w:w="947" w:type="dxa"/>
            <w:shd w:val="clear" w:color="auto" w:fill="auto"/>
            <w:vAlign w:val="bottom"/>
          </w:tcPr>
          <w:p w14:paraId="6A980ABE" w14:textId="77777777" w:rsidR="00B950FD" w:rsidRPr="00FD0920" w:rsidRDefault="00B950FD" w:rsidP="00B02DF3">
            <w:pPr>
              <w:spacing w:before="40" w:after="40" w:line="220" w:lineRule="exact"/>
              <w:jc w:val="right"/>
              <w:rPr>
                <w:rFonts w:cs="Times New Roman"/>
                <w:sz w:val="18"/>
                <w:szCs w:val="24"/>
              </w:rPr>
            </w:pPr>
          </w:p>
        </w:tc>
        <w:tc>
          <w:tcPr>
            <w:tcW w:w="561" w:type="dxa"/>
            <w:shd w:val="clear" w:color="auto" w:fill="auto"/>
            <w:vAlign w:val="bottom"/>
          </w:tcPr>
          <w:p w14:paraId="65E107D1"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4/</w:t>
            </w:r>
            <w:r>
              <w:rPr>
                <w:rFonts w:cs="Times New Roman"/>
                <w:sz w:val="18"/>
              </w:rPr>
              <w:t>–</w:t>
            </w:r>
            <w:r w:rsidRPr="00FD0920">
              <w:rPr>
                <w:rFonts w:cs="Times New Roman"/>
                <w:sz w:val="18"/>
              </w:rPr>
              <w:t>/</w:t>
            </w:r>
            <w:r>
              <w:rPr>
                <w:rFonts w:cs="Times New Roman"/>
                <w:sz w:val="18"/>
              </w:rPr>
              <w:t>–</w:t>
            </w:r>
          </w:p>
        </w:tc>
        <w:tc>
          <w:tcPr>
            <w:tcW w:w="640" w:type="dxa"/>
            <w:shd w:val="clear" w:color="auto" w:fill="auto"/>
            <w:vAlign w:val="bottom"/>
          </w:tcPr>
          <w:p w14:paraId="04F5D33E" w14:textId="77777777" w:rsidR="00B950FD" w:rsidRPr="00FD0920" w:rsidRDefault="00B950FD" w:rsidP="00B02DF3">
            <w:pPr>
              <w:spacing w:before="40" w:after="40" w:line="220" w:lineRule="exact"/>
              <w:jc w:val="right"/>
              <w:rPr>
                <w:rFonts w:cs="Times New Roman"/>
                <w:sz w:val="18"/>
                <w:szCs w:val="24"/>
              </w:rPr>
            </w:pPr>
          </w:p>
        </w:tc>
      </w:tr>
      <w:tr w:rsidR="00B950FD" w:rsidRPr="00FD0920" w14:paraId="1AC55127" w14:textId="77777777" w:rsidTr="00B02DF3">
        <w:tc>
          <w:tcPr>
            <w:tcW w:w="1969" w:type="dxa"/>
            <w:tcBorders>
              <w:bottom w:val="single" w:sz="12" w:space="0" w:color="auto"/>
            </w:tcBorders>
            <w:shd w:val="clear" w:color="auto" w:fill="auto"/>
          </w:tcPr>
          <w:p w14:paraId="0370EF38" w14:textId="77777777" w:rsidR="00B950FD" w:rsidRPr="00FD0920" w:rsidRDefault="00B950FD" w:rsidP="00B02DF3">
            <w:pPr>
              <w:spacing w:before="40" w:after="40" w:line="220" w:lineRule="exact"/>
              <w:rPr>
                <w:rFonts w:cs="Times New Roman"/>
                <w:sz w:val="18"/>
                <w:szCs w:val="24"/>
              </w:rPr>
            </w:pPr>
            <w:r w:rsidRPr="00FD0920">
              <w:rPr>
                <w:rFonts w:cs="Times New Roman"/>
                <w:sz w:val="18"/>
              </w:rPr>
              <w:t>Швеция</w:t>
            </w:r>
          </w:p>
        </w:tc>
        <w:tc>
          <w:tcPr>
            <w:tcW w:w="864" w:type="dxa"/>
            <w:tcBorders>
              <w:bottom w:val="single" w:sz="12" w:space="0" w:color="auto"/>
            </w:tcBorders>
            <w:shd w:val="clear" w:color="auto" w:fill="auto"/>
            <w:textDirection w:val="lrTbV"/>
            <w:vAlign w:val="bottom"/>
          </w:tcPr>
          <w:p w14:paraId="1E95FA7B" w14:textId="77777777" w:rsidR="00B950FD" w:rsidRPr="00FD0920" w:rsidRDefault="00B950FD" w:rsidP="00B02DF3">
            <w:pPr>
              <w:spacing w:before="40" w:after="40" w:line="220" w:lineRule="exact"/>
              <w:jc w:val="right"/>
              <w:rPr>
                <w:rFonts w:cs="Times New Roman"/>
                <w:sz w:val="18"/>
                <w:szCs w:val="24"/>
              </w:rPr>
            </w:pPr>
          </w:p>
        </w:tc>
        <w:tc>
          <w:tcPr>
            <w:tcW w:w="785" w:type="dxa"/>
            <w:tcBorders>
              <w:bottom w:val="single" w:sz="12" w:space="0" w:color="auto"/>
            </w:tcBorders>
            <w:shd w:val="clear" w:color="auto" w:fill="auto"/>
            <w:vAlign w:val="bottom"/>
          </w:tcPr>
          <w:p w14:paraId="7AB710EE" w14:textId="77777777" w:rsidR="00B950FD" w:rsidRPr="00FD0920" w:rsidRDefault="00B950FD" w:rsidP="00B02DF3">
            <w:pPr>
              <w:spacing w:before="40" w:after="40" w:line="220" w:lineRule="exact"/>
              <w:jc w:val="right"/>
              <w:rPr>
                <w:rFonts w:cs="Times New Roman"/>
                <w:sz w:val="18"/>
                <w:szCs w:val="24"/>
              </w:rPr>
            </w:pPr>
          </w:p>
        </w:tc>
        <w:tc>
          <w:tcPr>
            <w:tcW w:w="700" w:type="dxa"/>
            <w:tcBorders>
              <w:bottom w:val="single" w:sz="12" w:space="0" w:color="auto"/>
            </w:tcBorders>
            <w:shd w:val="clear" w:color="auto" w:fill="auto"/>
            <w:vAlign w:val="bottom"/>
          </w:tcPr>
          <w:p w14:paraId="5C1168E7" w14:textId="77777777" w:rsidR="00B950FD" w:rsidRPr="00FD0920" w:rsidRDefault="00B950FD" w:rsidP="00B02DF3">
            <w:pPr>
              <w:spacing w:before="40" w:after="40" w:line="220" w:lineRule="exact"/>
              <w:jc w:val="right"/>
              <w:rPr>
                <w:rFonts w:cs="Times New Roman"/>
                <w:sz w:val="18"/>
                <w:szCs w:val="24"/>
              </w:rPr>
            </w:pPr>
          </w:p>
        </w:tc>
        <w:tc>
          <w:tcPr>
            <w:tcW w:w="586" w:type="dxa"/>
            <w:tcBorders>
              <w:bottom w:val="single" w:sz="12" w:space="0" w:color="auto"/>
            </w:tcBorders>
            <w:shd w:val="clear" w:color="auto" w:fill="auto"/>
            <w:vAlign w:val="bottom"/>
          </w:tcPr>
          <w:p w14:paraId="22F25C3B" w14:textId="77777777" w:rsidR="00B950FD" w:rsidRPr="00FD0920" w:rsidDel="00E5581A" w:rsidRDefault="00B950FD" w:rsidP="00B02DF3">
            <w:pPr>
              <w:spacing w:before="40" w:after="40" w:line="220" w:lineRule="exact"/>
              <w:jc w:val="right"/>
              <w:rPr>
                <w:rFonts w:cs="Times New Roman"/>
                <w:sz w:val="18"/>
                <w:szCs w:val="24"/>
              </w:rPr>
            </w:pPr>
            <w:r w:rsidRPr="00FD0920">
              <w:rPr>
                <w:rFonts w:cs="Times New Roman"/>
                <w:sz w:val="18"/>
              </w:rPr>
              <w:t>10/4/6</w:t>
            </w:r>
          </w:p>
        </w:tc>
        <w:tc>
          <w:tcPr>
            <w:tcW w:w="899" w:type="dxa"/>
            <w:tcBorders>
              <w:bottom w:val="single" w:sz="12" w:space="0" w:color="auto"/>
            </w:tcBorders>
            <w:shd w:val="clear" w:color="auto" w:fill="auto"/>
            <w:vAlign w:val="bottom"/>
          </w:tcPr>
          <w:p w14:paraId="46C91601" w14:textId="77777777" w:rsidR="00B950FD" w:rsidRPr="00FD0920" w:rsidRDefault="00B950FD" w:rsidP="00B02DF3">
            <w:pPr>
              <w:spacing w:before="40" w:after="40" w:line="220" w:lineRule="exact"/>
              <w:jc w:val="right"/>
              <w:rPr>
                <w:rFonts w:cs="Times New Roman"/>
                <w:sz w:val="18"/>
                <w:szCs w:val="24"/>
              </w:rPr>
            </w:pPr>
          </w:p>
        </w:tc>
        <w:tc>
          <w:tcPr>
            <w:tcW w:w="945" w:type="dxa"/>
            <w:tcBorders>
              <w:bottom w:val="single" w:sz="12" w:space="0" w:color="auto"/>
            </w:tcBorders>
            <w:shd w:val="clear" w:color="auto" w:fill="auto"/>
            <w:vAlign w:val="bottom"/>
          </w:tcPr>
          <w:p w14:paraId="2B5E04A6" w14:textId="77777777" w:rsidR="00B950FD" w:rsidRPr="00FD0920" w:rsidRDefault="00B950FD" w:rsidP="00B02DF3">
            <w:pPr>
              <w:spacing w:before="40" w:after="40" w:line="220" w:lineRule="exact"/>
              <w:jc w:val="right"/>
              <w:rPr>
                <w:rFonts w:cs="Times New Roman"/>
                <w:sz w:val="18"/>
                <w:szCs w:val="24"/>
              </w:rPr>
            </w:pPr>
          </w:p>
        </w:tc>
        <w:tc>
          <w:tcPr>
            <w:tcW w:w="979" w:type="dxa"/>
            <w:tcBorders>
              <w:bottom w:val="single" w:sz="12" w:space="0" w:color="auto"/>
            </w:tcBorders>
            <w:shd w:val="clear" w:color="auto" w:fill="auto"/>
            <w:vAlign w:val="bottom"/>
          </w:tcPr>
          <w:p w14:paraId="50E51771" w14:textId="77777777" w:rsidR="00B950FD" w:rsidRPr="00FD0920" w:rsidRDefault="00B950FD" w:rsidP="00B02DF3">
            <w:pPr>
              <w:spacing w:before="40" w:after="40" w:line="220" w:lineRule="exact"/>
              <w:jc w:val="right"/>
              <w:rPr>
                <w:rFonts w:cs="Times New Roman"/>
                <w:sz w:val="18"/>
                <w:szCs w:val="24"/>
              </w:rPr>
            </w:pPr>
          </w:p>
        </w:tc>
        <w:tc>
          <w:tcPr>
            <w:tcW w:w="954" w:type="dxa"/>
            <w:tcBorders>
              <w:bottom w:val="single" w:sz="12" w:space="0" w:color="auto"/>
            </w:tcBorders>
            <w:shd w:val="clear" w:color="auto" w:fill="auto"/>
            <w:vAlign w:val="bottom"/>
          </w:tcPr>
          <w:p w14:paraId="7FC11A4C" w14:textId="77777777" w:rsidR="00B950FD" w:rsidRPr="00FD0920" w:rsidRDefault="00B950FD" w:rsidP="00B02DF3">
            <w:pPr>
              <w:spacing w:before="40" w:after="40" w:line="220" w:lineRule="exact"/>
              <w:jc w:val="right"/>
              <w:rPr>
                <w:rFonts w:cs="Times New Roman"/>
                <w:sz w:val="18"/>
                <w:szCs w:val="24"/>
              </w:rPr>
            </w:pPr>
          </w:p>
        </w:tc>
        <w:tc>
          <w:tcPr>
            <w:tcW w:w="982" w:type="dxa"/>
            <w:tcBorders>
              <w:bottom w:val="single" w:sz="12" w:space="0" w:color="auto"/>
            </w:tcBorders>
            <w:shd w:val="clear" w:color="auto" w:fill="auto"/>
            <w:vAlign w:val="bottom"/>
          </w:tcPr>
          <w:p w14:paraId="2E1AC40E" w14:textId="77777777" w:rsidR="00B950FD" w:rsidRPr="00FD0920" w:rsidDel="00E5581A" w:rsidRDefault="00B950FD" w:rsidP="00B02DF3">
            <w:pPr>
              <w:spacing w:before="40" w:after="40" w:line="220" w:lineRule="exact"/>
              <w:jc w:val="right"/>
              <w:rPr>
                <w:rFonts w:cs="Times New Roman"/>
                <w:sz w:val="18"/>
                <w:szCs w:val="24"/>
              </w:rPr>
            </w:pPr>
            <w:r w:rsidRPr="00FD0920">
              <w:rPr>
                <w:rFonts w:cs="Times New Roman"/>
                <w:sz w:val="18"/>
              </w:rPr>
              <w:t>12/5/7</w:t>
            </w:r>
          </w:p>
        </w:tc>
        <w:tc>
          <w:tcPr>
            <w:tcW w:w="909" w:type="dxa"/>
            <w:tcBorders>
              <w:bottom w:val="single" w:sz="12" w:space="0" w:color="auto"/>
            </w:tcBorders>
            <w:shd w:val="clear" w:color="auto" w:fill="auto"/>
            <w:vAlign w:val="bottom"/>
          </w:tcPr>
          <w:p w14:paraId="53E01D09" w14:textId="77777777" w:rsidR="00B950FD" w:rsidRPr="00FD0920" w:rsidRDefault="00B950FD" w:rsidP="00B02DF3">
            <w:pPr>
              <w:spacing w:before="40" w:after="40" w:line="220" w:lineRule="exact"/>
              <w:jc w:val="right"/>
              <w:rPr>
                <w:rFonts w:cs="Times New Roman"/>
                <w:sz w:val="18"/>
                <w:szCs w:val="24"/>
              </w:rPr>
            </w:pPr>
          </w:p>
        </w:tc>
        <w:tc>
          <w:tcPr>
            <w:tcW w:w="655" w:type="dxa"/>
            <w:tcBorders>
              <w:bottom w:val="single" w:sz="12" w:space="0" w:color="auto"/>
            </w:tcBorders>
            <w:shd w:val="clear" w:color="auto" w:fill="auto"/>
            <w:vAlign w:val="bottom"/>
          </w:tcPr>
          <w:p w14:paraId="57C6B4D7" w14:textId="77777777" w:rsidR="00B950FD" w:rsidRPr="00FD0920" w:rsidRDefault="00B950FD" w:rsidP="00B02DF3">
            <w:pPr>
              <w:spacing w:before="40" w:after="40" w:line="220" w:lineRule="exact"/>
              <w:jc w:val="right"/>
              <w:rPr>
                <w:rFonts w:cs="Times New Roman"/>
                <w:sz w:val="18"/>
                <w:szCs w:val="24"/>
              </w:rPr>
            </w:pPr>
          </w:p>
        </w:tc>
        <w:tc>
          <w:tcPr>
            <w:tcW w:w="786" w:type="dxa"/>
            <w:tcBorders>
              <w:bottom w:val="single" w:sz="12" w:space="0" w:color="auto"/>
            </w:tcBorders>
            <w:shd w:val="clear" w:color="auto" w:fill="auto"/>
            <w:vAlign w:val="bottom"/>
          </w:tcPr>
          <w:p w14:paraId="7D147C63"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1/1/0</w:t>
            </w:r>
          </w:p>
        </w:tc>
        <w:tc>
          <w:tcPr>
            <w:tcW w:w="947" w:type="dxa"/>
            <w:tcBorders>
              <w:bottom w:val="single" w:sz="12" w:space="0" w:color="auto"/>
            </w:tcBorders>
            <w:shd w:val="clear" w:color="auto" w:fill="auto"/>
            <w:vAlign w:val="bottom"/>
          </w:tcPr>
          <w:p w14:paraId="15F4CB77"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4/4/0</w:t>
            </w:r>
          </w:p>
        </w:tc>
        <w:tc>
          <w:tcPr>
            <w:tcW w:w="561" w:type="dxa"/>
            <w:tcBorders>
              <w:bottom w:val="single" w:sz="12" w:space="0" w:color="auto"/>
            </w:tcBorders>
            <w:shd w:val="clear" w:color="auto" w:fill="auto"/>
            <w:vAlign w:val="bottom"/>
          </w:tcPr>
          <w:p w14:paraId="6B2E647A" w14:textId="77777777" w:rsidR="00B950FD" w:rsidRPr="00FD0920" w:rsidRDefault="00B950FD" w:rsidP="00B02DF3">
            <w:pPr>
              <w:spacing w:before="40" w:after="40" w:line="220" w:lineRule="exact"/>
              <w:jc w:val="right"/>
              <w:rPr>
                <w:rFonts w:cs="Times New Roman"/>
                <w:sz w:val="18"/>
                <w:szCs w:val="24"/>
              </w:rPr>
            </w:pPr>
            <w:r w:rsidRPr="00FD0920">
              <w:rPr>
                <w:rFonts w:cs="Times New Roman"/>
                <w:sz w:val="18"/>
              </w:rPr>
              <w:t>3/0/3</w:t>
            </w:r>
          </w:p>
        </w:tc>
        <w:tc>
          <w:tcPr>
            <w:tcW w:w="640" w:type="dxa"/>
            <w:tcBorders>
              <w:bottom w:val="single" w:sz="12" w:space="0" w:color="auto"/>
            </w:tcBorders>
            <w:shd w:val="clear" w:color="auto" w:fill="auto"/>
            <w:vAlign w:val="bottom"/>
          </w:tcPr>
          <w:p w14:paraId="6DD18AC3" w14:textId="77777777" w:rsidR="00B950FD" w:rsidRPr="00FD0920" w:rsidDel="00E5581A" w:rsidRDefault="00B950FD" w:rsidP="00B02DF3">
            <w:pPr>
              <w:spacing w:before="40" w:after="40" w:line="220" w:lineRule="exact"/>
              <w:jc w:val="right"/>
              <w:rPr>
                <w:rFonts w:cs="Times New Roman"/>
                <w:sz w:val="18"/>
                <w:szCs w:val="24"/>
              </w:rPr>
            </w:pPr>
          </w:p>
        </w:tc>
      </w:tr>
    </w:tbl>
    <w:p w14:paraId="1EC717D1" w14:textId="54447ACB" w:rsidR="00B950FD" w:rsidRPr="00825EAE" w:rsidRDefault="00B950FD" w:rsidP="00E03A46">
      <w:pPr>
        <w:tabs>
          <w:tab w:val="left" w:pos="142"/>
          <w:tab w:val="left" w:pos="426"/>
        </w:tabs>
        <w:spacing w:before="120" w:line="220" w:lineRule="exact"/>
        <w:ind w:right="397" w:firstLine="170"/>
        <w:rPr>
          <w:sz w:val="18"/>
          <w:szCs w:val="18"/>
        </w:rPr>
      </w:pPr>
      <w:r w:rsidRPr="00BF1C38">
        <w:rPr>
          <w:i/>
          <w:iCs/>
          <w:sz w:val="18"/>
          <w:szCs w:val="18"/>
        </w:rPr>
        <w:t>Примечание</w:t>
      </w:r>
      <w:r w:rsidRPr="00825EAE">
        <w:rPr>
          <w:sz w:val="18"/>
          <w:szCs w:val="18"/>
        </w:rPr>
        <w:t xml:space="preserve">: Таблица подготовлена на основе неполной информации, поскольку не все респонденты сгруппировали свои процедуры СЭО по секторам, перечисленным </w:t>
      </w:r>
      <w:r>
        <w:rPr>
          <w:sz w:val="18"/>
          <w:szCs w:val="18"/>
        </w:rPr>
        <w:br/>
      </w:r>
      <w:r w:rsidRPr="00825EAE">
        <w:rPr>
          <w:sz w:val="18"/>
          <w:szCs w:val="18"/>
        </w:rPr>
        <w:t>в пункте 2 статьи 4. Кроме того, некоторые респонденты не смогли сообщить о количестве процедур стратегической экологической оценки, инициированных в отчетный период. Большинство Сторон, но не все, не разделяют трансграничные процедуры, в которых они являются Стороной происхождения, и те, в которых они являются затрагиваемой Стороной.</w:t>
      </w:r>
    </w:p>
    <w:p w14:paraId="56E96DD0" w14:textId="77777777" w:rsidR="00B950FD" w:rsidRPr="00825EAE" w:rsidRDefault="00B950FD" w:rsidP="00B950FD">
      <w:pPr>
        <w:tabs>
          <w:tab w:val="left" w:pos="426"/>
        </w:tabs>
        <w:spacing w:line="220" w:lineRule="exact"/>
        <w:ind w:left="284" w:right="1134"/>
        <w:rPr>
          <w:sz w:val="18"/>
          <w:szCs w:val="18"/>
        </w:rPr>
      </w:pPr>
      <w:r w:rsidRPr="00825EAE">
        <w:rPr>
          <w:sz w:val="18"/>
          <w:szCs w:val="18"/>
        </w:rPr>
        <w:br w:type="page"/>
      </w:r>
    </w:p>
    <w:p w14:paraId="5426A9F1" w14:textId="77777777" w:rsidR="00B950FD" w:rsidRPr="001A5851" w:rsidRDefault="00B950FD" w:rsidP="00B950FD">
      <w:pPr>
        <w:pStyle w:val="H23G"/>
        <w:ind w:left="0" w:firstLine="0"/>
        <w:rPr>
          <w:rFonts w:eastAsia="Times"/>
          <w:b w:val="0"/>
          <w:bCs/>
          <w:sz w:val="16"/>
          <w:szCs w:val="16"/>
        </w:rPr>
      </w:pPr>
      <w:r w:rsidRPr="001A5851">
        <w:rPr>
          <w:b w:val="0"/>
          <w:bCs/>
        </w:rPr>
        <w:lastRenderedPageBreak/>
        <w:t>Таблица 4</w:t>
      </w:r>
      <w:r>
        <w:br/>
        <w:t>Предполагаемая средняя продолжительность процедур стратегической экологической оценки</w:t>
      </w:r>
      <w:r>
        <w:br/>
      </w:r>
      <w:r w:rsidRPr="001A5851">
        <w:rPr>
          <w:b w:val="0"/>
          <w:bCs/>
          <w:sz w:val="16"/>
          <w:szCs w:val="16"/>
        </w:rPr>
        <w:t>(месяцы)</w:t>
      </w:r>
    </w:p>
    <w:tbl>
      <w:tblPr>
        <w:tblW w:w="14017" w:type="dxa"/>
        <w:tblInd w:w="42" w:type="dxa"/>
        <w:tblLayout w:type="fixed"/>
        <w:tblCellMar>
          <w:left w:w="0" w:type="dxa"/>
          <w:right w:w="0" w:type="dxa"/>
        </w:tblCellMar>
        <w:tblLook w:val="04A0" w:firstRow="1" w:lastRow="0" w:firstColumn="1" w:lastColumn="0" w:noHBand="0" w:noVBand="1"/>
      </w:tblPr>
      <w:tblGrid>
        <w:gridCol w:w="1869"/>
        <w:gridCol w:w="837"/>
        <w:gridCol w:w="626"/>
        <w:gridCol w:w="742"/>
        <w:gridCol w:w="728"/>
        <w:gridCol w:w="742"/>
        <w:gridCol w:w="993"/>
        <w:gridCol w:w="1078"/>
        <w:gridCol w:w="924"/>
        <w:gridCol w:w="994"/>
        <w:gridCol w:w="938"/>
        <w:gridCol w:w="630"/>
        <w:gridCol w:w="1469"/>
        <w:gridCol w:w="840"/>
        <w:gridCol w:w="607"/>
      </w:tblGrid>
      <w:tr w:rsidR="00B950FD" w:rsidRPr="001A5851" w14:paraId="5852D82A" w14:textId="77777777" w:rsidTr="00B02DF3">
        <w:trPr>
          <w:cantSplit/>
          <w:tblHeader/>
        </w:trPr>
        <w:tc>
          <w:tcPr>
            <w:tcW w:w="1869" w:type="dxa"/>
            <w:tcBorders>
              <w:top w:val="single" w:sz="4" w:space="0" w:color="auto"/>
              <w:bottom w:val="single" w:sz="12" w:space="0" w:color="auto"/>
            </w:tcBorders>
            <w:shd w:val="clear" w:color="auto" w:fill="auto"/>
            <w:vAlign w:val="bottom"/>
          </w:tcPr>
          <w:p w14:paraId="6A52532C" w14:textId="77777777" w:rsidR="00B950FD" w:rsidRPr="001A5851" w:rsidRDefault="00B950FD" w:rsidP="00B02DF3">
            <w:pPr>
              <w:spacing w:before="80" w:after="80" w:line="200" w:lineRule="exact"/>
              <w:ind w:left="28"/>
              <w:rPr>
                <w:rFonts w:cs="Times New Roman"/>
                <w:i/>
                <w:sz w:val="16"/>
              </w:rPr>
            </w:pPr>
            <w:r w:rsidRPr="001A5851">
              <w:rPr>
                <w:rFonts w:cs="Times New Roman"/>
                <w:i/>
                <w:sz w:val="16"/>
              </w:rPr>
              <w:t>Внутренние/</w:t>
            </w:r>
            <w:r>
              <w:rPr>
                <w:rFonts w:cs="Times New Roman"/>
                <w:i/>
                <w:sz w:val="16"/>
              </w:rPr>
              <w:br/>
            </w:r>
            <w:r w:rsidRPr="001A5851">
              <w:rPr>
                <w:rFonts w:cs="Times New Roman"/>
                <w:i/>
                <w:sz w:val="16"/>
              </w:rPr>
              <w:t>(трансграничные)</w:t>
            </w:r>
            <w:r>
              <w:rPr>
                <w:rFonts w:cs="Times New Roman"/>
                <w:i/>
                <w:sz w:val="16"/>
              </w:rPr>
              <w:t xml:space="preserve"> </w:t>
            </w:r>
          </w:p>
        </w:tc>
        <w:tc>
          <w:tcPr>
            <w:tcW w:w="837" w:type="dxa"/>
            <w:tcBorders>
              <w:top w:val="single" w:sz="4" w:space="0" w:color="auto"/>
              <w:bottom w:val="single" w:sz="12" w:space="0" w:color="auto"/>
            </w:tcBorders>
            <w:shd w:val="clear" w:color="auto" w:fill="auto"/>
            <w:vAlign w:val="bottom"/>
          </w:tcPr>
          <w:p w14:paraId="734DA9E7" w14:textId="77777777" w:rsidR="00B950FD" w:rsidRPr="001A5851" w:rsidRDefault="00B950FD" w:rsidP="00B02DF3">
            <w:pPr>
              <w:spacing w:before="80" w:after="80" w:line="200" w:lineRule="exact"/>
              <w:ind w:left="28"/>
              <w:jc w:val="right"/>
              <w:rPr>
                <w:rFonts w:cs="Times New Roman"/>
                <w:i/>
                <w:sz w:val="16"/>
              </w:rPr>
            </w:pPr>
            <w:r w:rsidRPr="001A5851">
              <w:rPr>
                <w:rFonts w:cs="Times New Roman"/>
                <w:i/>
                <w:sz w:val="16"/>
              </w:rPr>
              <w:t>Сельское хозяйство</w:t>
            </w:r>
          </w:p>
        </w:tc>
        <w:tc>
          <w:tcPr>
            <w:tcW w:w="626" w:type="dxa"/>
            <w:tcBorders>
              <w:top w:val="single" w:sz="4" w:space="0" w:color="auto"/>
              <w:bottom w:val="single" w:sz="12" w:space="0" w:color="auto"/>
            </w:tcBorders>
            <w:shd w:val="clear" w:color="auto" w:fill="auto"/>
            <w:vAlign w:val="bottom"/>
          </w:tcPr>
          <w:p w14:paraId="057C0AD8" w14:textId="77777777" w:rsidR="00B950FD" w:rsidRPr="001A5851" w:rsidRDefault="00B950FD" w:rsidP="00B02DF3">
            <w:pPr>
              <w:spacing w:before="80" w:after="80" w:line="200" w:lineRule="exact"/>
              <w:ind w:left="28"/>
              <w:jc w:val="right"/>
              <w:rPr>
                <w:rFonts w:cs="Times New Roman"/>
                <w:i/>
                <w:sz w:val="16"/>
              </w:rPr>
            </w:pPr>
            <w:r w:rsidRPr="001A5851">
              <w:rPr>
                <w:rFonts w:cs="Times New Roman"/>
                <w:i/>
                <w:sz w:val="16"/>
              </w:rPr>
              <w:t>Лес.</w:t>
            </w:r>
          </w:p>
        </w:tc>
        <w:tc>
          <w:tcPr>
            <w:tcW w:w="742" w:type="dxa"/>
            <w:tcBorders>
              <w:top w:val="single" w:sz="4" w:space="0" w:color="auto"/>
              <w:bottom w:val="single" w:sz="12" w:space="0" w:color="auto"/>
            </w:tcBorders>
            <w:shd w:val="clear" w:color="auto" w:fill="auto"/>
            <w:vAlign w:val="bottom"/>
          </w:tcPr>
          <w:p w14:paraId="02B8A0C4" w14:textId="77777777" w:rsidR="00B950FD" w:rsidRPr="001A5851" w:rsidRDefault="00B950FD" w:rsidP="00B02DF3">
            <w:pPr>
              <w:spacing w:before="80" w:after="80" w:line="200" w:lineRule="exact"/>
              <w:ind w:left="28"/>
              <w:jc w:val="right"/>
              <w:rPr>
                <w:rFonts w:cs="Times New Roman"/>
                <w:i/>
                <w:sz w:val="16"/>
              </w:rPr>
            </w:pPr>
            <w:proofErr w:type="spellStart"/>
            <w:r w:rsidRPr="001A5851">
              <w:rPr>
                <w:rFonts w:cs="Times New Roman"/>
                <w:i/>
                <w:sz w:val="16"/>
              </w:rPr>
              <w:t>Рыбо</w:t>
            </w:r>
            <w:proofErr w:type="spellEnd"/>
            <w:r>
              <w:rPr>
                <w:rFonts w:cs="Times New Roman"/>
                <w:i/>
                <w:sz w:val="16"/>
              </w:rPr>
              <w:t>-</w:t>
            </w:r>
            <w:r>
              <w:rPr>
                <w:rFonts w:cs="Times New Roman"/>
                <w:i/>
                <w:sz w:val="16"/>
              </w:rPr>
              <w:br/>
            </w:r>
            <w:proofErr w:type="spellStart"/>
            <w:r w:rsidRPr="001A5851">
              <w:rPr>
                <w:rFonts w:cs="Times New Roman"/>
                <w:i/>
                <w:sz w:val="16"/>
              </w:rPr>
              <w:t>ловство</w:t>
            </w:r>
            <w:proofErr w:type="spellEnd"/>
          </w:p>
        </w:tc>
        <w:tc>
          <w:tcPr>
            <w:tcW w:w="728" w:type="dxa"/>
            <w:tcBorders>
              <w:top w:val="single" w:sz="4" w:space="0" w:color="auto"/>
              <w:bottom w:val="single" w:sz="12" w:space="0" w:color="auto"/>
            </w:tcBorders>
            <w:shd w:val="clear" w:color="auto" w:fill="auto"/>
            <w:vAlign w:val="bottom"/>
          </w:tcPr>
          <w:p w14:paraId="7FFC3DB1" w14:textId="77777777" w:rsidR="00B950FD" w:rsidRPr="001A5851" w:rsidRDefault="00B950FD" w:rsidP="00B02DF3">
            <w:pPr>
              <w:spacing w:before="80" w:after="80" w:line="200" w:lineRule="exact"/>
              <w:ind w:left="28"/>
              <w:jc w:val="right"/>
              <w:rPr>
                <w:rFonts w:cs="Times New Roman"/>
                <w:i/>
                <w:sz w:val="16"/>
              </w:rPr>
            </w:pPr>
            <w:proofErr w:type="spellStart"/>
            <w:r w:rsidRPr="001A5851">
              <w:rPr>
                <w:rFonts w:cs="Times New Roman"/>
                <w:i/>
                <w:sz w:val="16"/>
              </w:rPr>
              <w:t>Энерг</w:t>
            </w:r>
            <w:proofErr w:type="spellEnd"/>
            <w:r w:rsidRPr="001A5851">
              <w:rPr>
                <w:rFonts w:cs="Times New Roman"/>
                <w:i/>
                <w:sz w:val="16"/>
              </w:rPr>
              <w:t>.</w:t>
            </w:r>
          </w:p>
        </w:tc>
        <w:tc>
          <w:tcPr>
            <w:tcW w:w="742" w:type="dxa"/>
            <w:tcBorders>
              <w:top w:val="single" w:sz="4" w:space="0" w:color="auto"/>
              <w:bottom w:val="single" w:sz="12" w:space="0" w:color="auto"/>
            </w:tcBorders>
            <w:shd w:val="clear" w:color="auto" w:fill="auto"/>
            <w:vAlign w:val="bottom"/>
          </w:tcPr>
          <w:p w14:paraId="0AD79BE1" w14:textId="77777777" w:rsidR="00B950FD" w:rsidRPr="001A5851" w:rsidRDefault="00B950FD" w:rsidP="00B02DF3">
            <w:pPr>
              <w:spacing w:before="80" w:after="80" w:line="200" w:lineRule="exact"/>
              <w:ind w:left="28"/>
              <w:jc w:val="right"/>
              <w:rPr>
                <w:rFonts w:cs="Times New Roman"/>
                <w:i/>
                <w:sz w:val="16"/>
              </w:rPr>
            </w:pPr>
            <w:proofErr w:type="spellStart"/>
            <w:r w:rsidRPr="001A5851">
              <w:rPr>
                <w:rFonts w:cs="Times New Roman"/>
                <w:i/>
                <w:sz w:val="16"/>
              </w:rPr>
              <w:t>Промыш</w:t>
            </w:r>
            <w:r>
              <w:rPr>
                <w:rFonts w:cs="Times New Roman"/>
                <w:i/>
                <w:sz w:val="16"/>
              </w:rPr>
              <w:t>-</w:t>
            </w:r>
            <w:r w:rsidRPr="001A5851">
              <w:rPr>
                <w:rFonts w:cs="Times New Roman"/>
                <w:i/>
                <w:sz w:val="16"/>
              </w:rPr>
              <w:t>ленность</w:t>
            </w:r>
            <w:proofErr w:type="spellEnd"/>
          </w:p>
        </w:tc>
        <w:tc>
          <w:tcPr>
            <w:tcW w:w="993" w:type="dxa"/>
            <w:tcBorders>
              <w:top w:val="single" w:sz="4" w:space="0" w:color="auto"/>
              <w:bottom w:val="single" w:sz="12" w:space="0" w:color="auto"/>
            </w:tcBorders>
            <w:shd w:val="clear" w:color="auto" w:fill="auto"/>
            <w:vAlign w:val="bottom"/>
          </w:tcPr>
          <w:p w14:paraId="0C83B26D" w14:textId="77777777" w:rsidR="00B950FD" w:rsidRPr="001A5851" w:rsidRDefault="00B950FD" w:rsidP="00B02DF3">
            <w:pPr>
              <w:spacing w:before="80" w:after="80" w:line="200" w:lineRule="exact"/>
              <w:ind w:left="28"/>
              <w:jc w:val="right"/>
              <w:rPr>
                <w:rFonts w:cs="Times New Roman"/>
                <w:i/>
                <w:sz w:val="16"/>
              </w:rPr>
            </w:pPr>
            <w:r w:rsidRPr="001A5851">
              <w:rPr>
                <w:rFonts w:cs="Times New Roman"/>
                <w:i/>
                <w:sz w:val="16"/>
              </w:rPr>
              <w:t>Транспорт</w:t>
            </w:r>
          </w:p>
        </w:tc>
        <w:tc>
          <w:tcPr>
            <w:tcW w:w="1078" w:type="dxa"/>
            <w:tcBorders>
              <w:top w:val="single" w:sz="4" w:space="0" w:color="auto"/>
              <w:bottom w:val="single" w:sz="12" w:space="0" w:color="auto"/>
            </w:tcBorders>
            <w:shd w:val="clear" w:color="auto" w:fill="auto"/>
            <w:vAlign w:val="bottom"/>
          </w:tcPr>
          <w:p w14:paraId="3360AF1A" w14:textId="77777777" w:rsidR="00B950FD" w:rsidRPr="001A5851" w:rsidRDefault="00B950FD" w:rsidP="00B02DF3">
            <w:pPr>
              <w:spacing w:before="80" w:after="80" w:line="200" w:lineRule="exact"/>
              <w:ind w:left="28"/>
              <w:jc w:val="right"/>
              <w:rPr>
                <w:rFonts w:cs="Times New Roman"/>
                <w:i/>
                <w:sz w:val="16"/>
              </w:rPr>
            </w:pPr>
            <w:r w:rsidRPr="001A5851">
              <w:rPr>
                <w:rFonts w:cs="Times New Roman"/>
                <w:i/>
                <w:sz w:val="16"/>
              </w:rPr>
              <w:t>Региональное</w:t>
            </w:r>
            <w:r>
              <w:rPr>
                <w:rFonts w:cs="Times New Roman"/>
                <w:i/>
                <w:sz w:val="16"/>
              </w:rPr>
              <w:br/>
            </w:r>
            <w:r w:rsidRPr="001A5851">
              <w:rPr>
                <w:rFonts w:cs="Times New Roman"/>
                <w:i/>
                <w:sz w:val="16"/>
              </w:rPr>
              <w:t>развитие</w:t>
            </w:r>
          </w:p>
        </w:tc>
        <w:tc>
          <w:tcPr>
            <w:tcW w:w="924" w:type="dxa"/>
            <w:tcBorders>
              <w:top w:val="single" w:sz="4" w:space="0" w:color="auto"/>
              <w:bottom w:val="single" w:sz="12" w:space="0" w:color="auto"/>
            </w:tcBorders>
            <w:shd w:val="clear" w:color="auto" w:fill="auto"/>
            <w:vAlign w:val="bottom"/>
          </w:tcPr>
          <w:p w14:paraId="1F2A586E" w14:textId="77777777" w:rsidR="00B950FD" w:rsidRPr="001A5851" w:rsidRDefault="00B950FD" w:rsidP="00B02DF3">
            <w:pPr>
              <w:spacing w:before="80" w:after="80" w:line="200" w:lineRule="exact"/>
              <w:ind w:left="28"/>
              <w:jc w:val="right"/>
              <w:rPr>
                <w:rFonts w:cs="Times New Roman"/>
                <w:i/>
                <w:sz w:val="16"/>
              </w:rPr>
            </w:pPr>
            <w:r w:rsidRPr="001A5851">
              <w:rPr>
                <w:rFonts w:cs="Times New Roman"/>
                <w:i/>
                <w:sz w:val="16"/>
              </w:rPr>
              <w:t>Управление отходами</w:t>
            </w:r>
          </w:p>
        </w:tc>
        <w:tc>
          <w:tcPr>
            <w:tcW w:w="994" w:type="dxa"/>
            <w:tcBorders>
              <w:top w:val="single" w:sz="4" w:space="0" w:color="auto"/>
              <w:bottom w:val="single" w:sz="12" w:space="0" w:color="auto"/>
            </w:tcBorders>
            <w:shd w:val="clear" w:color="auto" w:fill="auto"/>
            <w:vAlign w:val="bottom"/>
          </w:tcPr>
          <w:p w14:paraId="368F4196" w14:textId="77777777" w:rsidR="00B950FD" w:rsidRPr="001A5851" w:rsidRDefault="00B950FD" w:rsidP="00B02DF3">
            <w:pPr>
              <w:spacing w:before="80" w:after="80" w:line="200" w:lineRule="exact"/>
              <w:ind w:left="28"/>
              <w:jc w:val="right"/>
              <w:rPr>
                <w:rFonts w:cs="Times New Roman"/>
                <w:i/>
                <w:sz w:val="16"/>
              </w:rPr>
            </w:pPr>
            <w:r w:rsidRPr="001A5851">
              <w:rPr>
                <w:rFonts w:cs="Times New Roman"/>
                <w:i/>
                <w:sz w:val="16"/>
              </w:rPr>
              <w:t xml:space="preserve">Управление водными </w:t>
            </w:r>
            <w:r>
              <w:rPr>
                <w:rFonts w:cs="Times New Roman"/>
                <w:i/>
                <w:sz w:val="16"/>
              </w:rPr>
              <w:br/>
            </w:r>
            <w:r w:rsidRPr="001A5851">
              <w:rPr>
                <w:rFonts w:cs="Times New Roman"/>
                <w:i/>
                <w:sz w:val="16"/>
              </w:rPr>
              <w:t>ресурсами</w:t>
            </w:r>
          </w:p>
        </w:tc>
        <w:tc>
          <w:tcPr>
            <w:tcW w:w="938" w:type="dxa"/>
            <w:tcBorders>
              <w:top w:val="single" w:sz="4" w:space="0" w:color="auto"/>
              <w:bottom w:val="single" w:sz="12" w:space="0" w:color="auto"/>
            </w:tcBorders>
            <w:shd w:val="clear" w:color="auto" w:fill="auto"/>
            <w:vAlign w:val="bottom"/>
          </w:tcPr>
          <w:p w14:paraId="30D3F83A" w14:textId="77777777" w:rsidR="00B950FD" w:rsidRPr="001A5851" w:rsidRDefault="00B950FD" w:rsidP="00B02DF3">
            <w:pPr>
              <w:spacing w:before="80" w:after="80" w:line="200" w:lineRule="exact"/>
              <w:ind w:left="28"/>
              <w:jc w:val="right"/>
              <w:rPr>
                <w:rFonts w:cs="Times New Roman"/>
                <w:i/>
                <w:sz w:val="16"/>
              </w:rPr>
            </w:pPr>
            <w:r w:rsidRPr="001A5851">
              <w:rPr>
                <w:rFonts w:cs="Times New Roman"/>
                <w:i/>
                <w:sz w:val="16"/>
              </w:rPr>
              <w:t>Телеком.</w:t>
            </w:r>
          </w:p>
        </w:tc>
        <w:tc>
          <w:tcPr>
            <w:tcW w:w="630" w:type="dxa"/>
            <w:tcBorders>
              <w:top w:val="single" w:sz="4" w:space="0" w:color="auto"/>
              <w:bottom w:val="single" w:sz="12" w:space="0" w:color="auto"/>
            </w:tcBorders>
            <w:shd w:val="clear" w:color="auto" w:fill="auto"/>
            <w:vAlign w:val="bottom"/>
          </w:tcPr>
          <w:p w14:paraId="4EE68FA7" w14:textId="77777777" w:rsidR="00B950FD" w:rsidRPr="001A5851" w:rsidRDefault="00B950FD" w:rsidP="00B02DF3">
            <w:pPr>
              <w:spacing w:before="80" w:after="80" w:line="200" w:lineRule="exact"/>
              <w:ind w:left="28"/>
              <w:jc w:val="right"/>
              <w:rPr>
                <w:rFonts w:cs="Times New Roman"/>
                <w:i/>
                <w:sz w:val="16"/>
              </w:rPr>
            </w:pPr>
            <w:r w:rsidRPr="001A5851">
              <w:rPr>
                <w:rFonts w:cs="Times New Roman"/>
                <w:i/>
                <w:sz w:val="16"/>
              </w:rPr>
              <w:t>Туризм</w:t>
            </w:r>
          </w:p>
        </w:tc>
        <w:tc>
          <w:tcPr>
            <w:tcW w:w="1469" w:type="dxa"/>
            <w:tcBorders>
              <w:top w:val="single" w:sz="4" w:space="0" w:color="auto"/>
              <w:bottom w:val="single" w:sz="12" w:space="0" w:color="auto"/>
            </w:tcBorders>
            <w:shd w:val="clear" w:color="auto" w:fill="auto"/>
            <w:vAlign w:val="bottom"/>
          </w:tcPr>
          <w:p w14:paraId="7E21D78D" w14:textId="77777777" w:rsidR="00B950FD" w:rsidRPr="001A5851" w:rsidRDefault="00B950FD" w:rsidP="00B02DF3">
            <w:pPr>
              <w:spacing w:before="80" w:after="80" w:line="200" w:lineRule="exact"/>
              <w:ind w:left="28"/>
              <w:jc w:val="right"/>
              <w:rPr>
                <w:rFonts w:cs="Times New Roman"/>
                <w:i/>
                <w:sz w:val="16"/>
              </w:rPr>
            </w:pPr>
            <w:r w:rsidRPr="001A5851">
              <w:rPr>
                <w:rFonts w:cs="Times New Roman"/>
                <w:i/>
                <w:sz w:val="16"/>
              </w:rPr>
              <w:t xml:space="preserve">Городское </w:t>
            </w:r>
            <w:r>
              <w:rPr>
                <w:rFonts w:cs="Times New Roman"/>
                <w:i/>
                <w:sz w:val="16"/>
              </w:rPr>
              <w:br/>
            </w:r>
            <w:r w:rsidRPr="001A5851">
              <w:rPr>
                <w:rFonts w:cs="Times New Roman"/>
                <w:i/>
                <w:sz w:val="16"/>
              </w:rPr>
              <w:t xml:space="preserve">и сельское </w:t>
            </w:r>
            <w:r>
              <w:rPr>
                <w:rFonts w:cs="Times New Roman"/>
                <w:i/>
                <w:sz w:val="16"/>
              </w:rPr>
              <w:br/>
            </w:r>
            <w:r w:rsidRPr="001A5851">
              <w:rPr>
                <w:rFonts w:cs="Times New Roman"/>
                <w:i/>
                <w:sz w:val="16"/>
              </w:rPr>
              <w:t>планирование</w:t>
            </w:r>
          </w:p>
        </w:tc>
        <w:tc>
          <w:tcPr>
            <w:tcW w:w="840" w:type="dxa"/>
            <w:tcBorders>
              <w:top w:val="single" w:sz="4" w:space="0" w:color="auto"/>
              <w:bottom w:val="single" w:sz="12" w:space="0" w:color="auto"/>
            </w:tcBorders>
            <w:shd w:val="clear" w:color="auto" w:fill="auto"/>
            <w:vAlign w:val="bottom"/>
          </w:tcPr>
          <w:p w14:paraId="73572CE9" w14:textId="77777777" w:rsidR="00B950FD" w:rsidRPr="001A5851" w:rsidRDefault="00B950FD" w:rsidP="00B02DF3">
            <w:pPr>
              <w:spacing w:before="80" w:after="80" w:line="200" w:lineRule="exact"/>
              <w:ind w:left="28"/>
              <w:jc w:val="right"/>
              <w:rPr>
                <w:rFonts w:cs="Times New Roman"/>
                <w:i/>
                <w:sz w:val="16"/>
              </w:rPr>
            </w:pPr>
            <w:proofErr w:type="spellStart"/>
            <w:r w:rsidRPr="001A5851">
              <w:rPr>
                <w:rFonts w:cs="Times New Roman"/>
                <w:i/>
                <w:sz w:val="16"/>
              </w:rPr>
              <w:t>Землеполь</w:t>
            </w:r>
            <w:proofErr w:type="spellEnd"/>
            <w:r>
              <w:rPr>
                <w:rFonts w:cs="Times New Roman"/>
                <w:i/>
                <w:sz w:val="16"/>
              </w:rPr>
              <w:t>-</w:t>
            </w:r>
            <w:r>
              <w:rPr>
                <w:rFonts w:cs="Times New Roman"/>
                <w:i/>
                <w:sz w:val="16"/>
              </w:rPr>
              <w:br/>
            </w:r>
            <w:proofErr w:type="spellStart"/>
            <w:r w:rsidRPr="001A5851">
              <w:rPr>
                <w:rFonts w:cs="Times New Roman"/>
                <w:i/>
                <w:sz w:val="16"/>
              </w:rPr>
              <w:t>зование</w:t>
            </w:r>
            <w:proofErr w:type="spellEnd"/>
          </w:p>
        </w:tc>
        <w:tc>
          <w:tcPr>
            <w:tcW w:w="607" w:type="dxa"/>
            <w:tcBorders>
              <w:top w:val="single" w:sz="4" w:space="0" w:color="auto"/>
              <w:bottom w:val="single" w:sz="12" w:space="0" w:color="auto"/>
            </w:tcBorders>
            <w:shd w:val="clear" w:color="auto" w:fill="auto"/>
            <w:vAlign w:val="bottom"/>
          </w:tcPr>
          <w:p w14:paraId="7262EE0A" w14:textId="77777777" w:rsidR="00B950FD" w:rsidRPr="001A5851" w:rsidRDefault="00B950FD" w:rsidP="00B02DF3">
            <w:pPr>
              <w:spacing w:before="80" w:after="80" w:line="200" w:lineRule="exact"/>
              <w:ind w:left="28"/>
              <w:jc w:val="right"/>
              <w:rPr>
                <w:rFonts w:cs="Times New Roman"/>
                <w:i/>
                <w:sz w:val="16"/>
              </w:rPr>
            </w:pPr>
            <w:r w:rsidRPr="001A5851">
              <w:rPr>
                <w:rFonts w:cs="Times New Roman"/>
                <w:i/>
                <w:sz w:val="16"/>
              </w:rPr>
              <w:t>Другое</w:t>
            </w:r>
          </w:p>
        </w:tc>
      </w:tr>
      <w:tr w:rsidR="00B950FD" w:rsidRPr="001A5851" w14:paraId="52930601" w14:textId="77777777" w:rsidTr="00B02DF3">
        <w:tc>
          <w:tcPr>
            <w:tcW w:w="1869" w:type="dxa"/>
            <w:shd w:val="clear" w:color="auto" w:fill="auto"/>
          </w:tcPr>
          <w:p w14:paraId="7D3B97B3"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Албания</w:t>
            </w:r>
          </w:p>
        </w:tc>
        <w:tc>
          <w:tcPr>
            <w:tcW w:w="837" w:type="dxa"/>
            <w:shd w:val="clear" w:color="auto" w:fill="auto"/>
            <w:textDirection w:val="lrTbV"/>
            <w:vAlign w:val="bottom"/>
          </w:tcPr>
          <w:p w14:paraId="7237A310" w14:textId="77777777" w:rsidR="00B950FD" w:rsidRPr="001A5851" w:rsidRDefault="00B950FD" w:rsidP="00B02DF3">
            <w:pPr>
              <w:spacing w:before="40" w:after="40" w:line="220" w:lineRule="exact"/>
              <w:jc w:val="right"/>
              <w:rPr>
                <w:rFonts w:cs="Times New Roman"/>
                <w:sz w:val="18"/>
                <w:szCs w:val="24"/>
              </w:rPr>
            </w:pPr>
          </w:p>
        </w:tc>
        <w:tc>
          <w:tcPr>
            <w:tcW w:w="626" w:type="dxa"/>
            <w:shd w:val="clear" w:color="auto" w:fill="auto"/>
            <w:vAlign w:val="bottom"/>
          </w:tcPr>
          <w:p w14:paraId="5B779286"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153D064F" w14:textId="77777777" w:rsidR="00B950FD" w:rsidRPr="001A5851" w:rsidRDefault="00B950FD" w:rsidP="00B02DF3">
            <w:pPr>
              <w:spacing w:before="40" w:after="40" w:line="220" w:lineRule="exact"/>
              <w:jc w:val="right"/>
              <w:rPr>
                <w:rFonts w:cs="Times New Roman"/>
                <w:sz w:val="18"/>
                <w:szCs w:val="24"/>
              </w:rPr>
            </w:pPr>
          </w:p>
        </w:tc>
        <w:tc>
          <w:tcPr>
            <w:tcW w:w="728" w:type="dxa"/>
            <w:shd w:val="clear" w:color="auto" w:fill="auto"/>
            <w:vAlign w:val="bottom"/>
          </w:tcPr>
          <w:p w14:paraId="6127C031"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4D04FA2E" w14:textId="77777777" w:rsidR="00B950FD" w:rsidRPr="001A5851" w:rsidRDefault="00B950FD" w:rsidP="00B02DF3">
            <w:pPr>
              <w:spacing w:before="40" w:after="40" w:line="220" w:lineRule="exact"/>
              <w:jc w:val="right"/>
              <w:rPr>
                <w:rFonts w:cs="Times New Roman"/>
                <w:sz w:val="18"/>
                <w:szCs w:val="24"/>
              </w:rPr>
            </w:pPr>
          </w:p>
        </w:tc>
        <w:tc>
          <w:tcPr>
            <w:tcW w:w="993" w:type="dxa"/>
            <w:shd w:val="clear" w:color="auto" w:fill="auto"/>
            <w:vAlign w:val="bottom"/>
          </w:tcPr>
          <w:p w14:paraId="52FEA382" w14:textId="77777777" w:rsidR="00B950FD" w:rsidRPr="001A5851" w:rsidRDefault="00B950FD" w:rsidP="00B02DF3">
            <w:pPr>
              <w:spacing w:before="40" w:after="40" w:line="220" w:lineRule="exact"/>
              <w:jc w:val="right"/>
              <w:rPr>
                <w:rFonts w:cs="Times New Roman"/>
                <w:sz w:val="18"/>
                <w:szCs w:val="24"/>
              </w:rPr>
            </w:pPr>
          </w:p>
        </w:tc>
        <w:tc>
          <w:tcPr>
            <w:tcW w:w="1078" w:type="dxa"/>
            <w:shd w:val="clear" w:color="auto" w:fill="auto"/>
            <w:vAlign w:val="bottom"/>
          </w:tcPr>
          <w:p w14:paraId="0DD3822E" w14:textId="77777777" w:rsidR="00B950FD" w:rsidRPr="001A5851" w:rsidRDefault="00B950FD" w:rsidP="00B02DF3">
            <w:pPr>
              <w:spacing w:before="40" w:after="40" w:line="220" w:lineRule="exact"/>
              <w:jc w:val="right"/>
              <w:rPr>
                <w:rFonts w:cs="Times New Roman"/>
                <w:sz w:val="18"/>
                <w:szCs w:val="24"/>
              </w:rPr>
            </w:pPr>
          </w:p>
        </w:tc>
        <w:tc>
          <w:tcPr>
            <w:tcW w:w="924" w:type="dxa"/>
            <w:shd w:val="clear" w:color="auto" w:fill="auto"/>
            <w:vAlign w:val="bottom"/>
          </w:tcPr>
          <w:p w14:paraId="0635CAEC"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5–6</w:t>
            </w:r>
          </w:p>
        </w:tc>
        <w:tc>
          <w:tcPr>
            <w:tcW w:w="994" w:type="dxa"/>
            <w:shd w:val="clear" w:color="auto" w:fill="auto"/>
            <w:vAlign w:val="bottom"/>
          </w:tcPr>
          <w:p w14:paraId="58B679A7" w14:textId="77777777" w:rsidR="00B950FD" w:rsidRPr="001A5851" w:rsidRDefault="00B950FD" w:rsidP="00B02DF3">
            <w:pPr>
              <w:spacing w:before="40" w:after="40" w:line="220" w:lineRule="exact"/>
              <w:jc w:val="right"/>
              <w:rPr>
                <w:rFonts w:cs="Times New Roman"/>
                <w:sz w:val="18"/>
                <w:szCs w:val="24"/>
              </w:rPr>
            </w:pPr>
          </w:p>
        </w:tc>
        <w:tc>
          <w:tcPr>
            <w:tcW w:w="938" w:type="dxa"/>
            <w:shd w:val="clear" w:color="auto" w:fill="auto"/>
            <w:vAlign w:val="bottom"/>
          </w:tcPr>
          <w:p w14:paraId="6B65E52A" w14:textId="77777777" w:rsidR="00B950FD" w:rsidRPr="001A5851" w:rsidRDefault="00B950FD" w:rsidP="00B02DF3">
            <w:pPr>
              <w:spacing w:before="40" w:after="40" w:line="220" w:lineRule="exact"/>
              <w:jc w:val="right"/>
              <w:rPr>
                <w:rFonts w:cs="Times New Roman"/>
                <w:sz w:val="18"/>
                <w:szCs w:val="24"/>
              </w:rPr>
            </w:pPr>
          </w:p>
        </w:tc>
        <w:tc>
          <w:tcPr>
            <w:tcW w:w="630" w:type="dxa"/>
            <w:shd w:val="clear" w:color="auto" w:fill="auto"/>
            <w:vAlign w:val="bottom"/>
          </w:tcPr>
          <w:p w14:paraId="3F1572DF"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5–6</w:t>
            </w:r>
          </w:p>
        </w:tc>
        <w:tc>
          <w:tcPr>
            <w:tcW w:w="1469" w:type="dxa"/>
            <w:shd w:val="clear" w:color="auto" w:fill="auto"/>
            <w:vAlign w:val="bottom"/>
          </w:tcPr>
          <w:p w14:paraId="34E49D2B"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5–6</w:t>
            </w:r>
          </w:p>
        </w:tc>
        <w:tc>
          <w:tcPr>
            <w:tcW w:w="840" w:type="dxa"/>
            <w:shd w:val="clear" w:color="auto" w:fill="auto"/>
            <w:vAlign w:val="bottom"/>
          </w:tcPr>
          <w:p w14:paraId="416E5163" w14:textId="77777777" w:rsidR="00B950FD" w:rsidRPr="001A5851" w:rsidRDefault="00B950FD" w:rsidP="00B02DF3">
            <w:pPr>
              <w:spacing w:before="40" w:after="40" w:line="220" w:lineRule="exact"/>
              <w:jc w:val="right"/>
              <w:rPr>
                <w:rFonts w:cs="Times New Roman"/>
                <w:sz w:val="18"/>
                <w:szCs w:val="24"/>
              </w:rPr>
            </w:pPr>
          </w:p>
        </w:tc>
        <w:tc>
          <w:tcPr>
            <w:tcW w:w="607" w:type="dxa"/>
            <w:shd w:val="clear" w:color="auto" w:fill="auto"/>
            <w:vAlign w:val="bottom"/>
          </w:tcPr>
          <w:p w14:paraId="403529D7" w14:textId="77777777" w:rsidR="00B950FD" w:rsidRPr="001A5851" w:rsidRDefault="00B950FD" w:rsidP="00B02DF3">
            <w:pPr>
              <w:spacing w:before="40" w:after="40" w:line="220" w:lineRule="exact"/>
              <w:jc w:val="right"/>
              <w:rPr>
                <w:rFonts w:cs="Times New Roman"/>
                <w:sz w:val="18"/>
                <w:szCs w:val="24"/>
              </w:rPr>
            </w:pPr>
          </w:p>
        </w:tc>
      </w:tr>
      <w:tr w:rsidR="00B950FD" w:rsidRPr="001A5851" w14:paraId="3F5CF299" w14:textId="77777777" w:rsidTr="00B02DF3">
        <w:tc>
          <w:tcPr>
            <w:tcW w:w="1869" w:type="dxa"/>
            <w:shd w:val="clear" w:color="auto" w:fill="auto"/>
          </w:tcPr>
          <w:p w14:paraId="6D5A3997"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Австрия</w:t>
            </w:r>
          </w:p>
        </w:tc>
        <w:tc>
          <w:tcPr>
            <w:tcW w:w="837" w:type="dxa"/>
            <w:shd w:val="clear" w:color="auto" w:fill="auto"/>
            <w:textDirection w:val="lrTbV"/>
            <w:vAlign w:val="bottom"/>
          </w:tcPr>
          <w:p w14:paraId="39603EE8" w14:textId="77777777" w:rsidR="00B950FD" w:rsidRPr="001A5851" w:rsidRDefault="00B950FD" w:rsidP="00B02DF3">
            <w:pPr>
              <w:spacing w:before="40" w:after="40" w:line="220" w:lineRule="exact"/>
              <w:jc w:val="right"/>
              <w:rPr>
                <w:rFonts w:cs="Times New Roman"/>
                <w:sz w:val="18"/>
                <w:szCs w:val="24"/>
              </w:rPr>
            </w:pPr>
          </w:p>
        </w:tc>
        <w:tc>
          <w:tcPr>
            <w:tcW w:w="626" w:type="dxa"/>
            <w:shd w:val="clear" w:color="auto" w:fill="auto"/>
            <w:vAlign w:val="bottom"/>
          </w:tcPr>
          <w:p w14:paraId="3C5A173C"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673A212D" w14:textId="77777777" w:rsidR="00B950FD" w:rsidRPr="001A5851" w:rsidRDefault="00B950FD" w:rsidP="00B02DF3">
            <w:pPr>
              <w:spacing w:before="40" w:after="40" w:line="220" w:lineRule="exact"/>
              <w:jc w:val="right"/>
              <w:rPr>
                <w:rFonts w:cs="Times New Roman"/>
                <w:sz w:val="18"/>
                <w:szCs w:val="24"/>
              </w:rPr>
            </w:pPr>
          </w:p>
        </w:tc>
        <w:tc>
          <w:tcPr>
            <w:tcW w:w="728" w:type="dxa"/>
            <w:shd w:val="clear" w:color="auto" w:fill="auto"/>
            <w:vAlign w:val="bottom"/>
          </w:tcPr>
          <w:p w14:paraId="3C17A705"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726F4554" w14:textId="77777777" w:rsidR="00B950FD" w:rsidRPr="001A5851" w:rsidRDefault="00B950FD" w:rsidP="00B02DF3">
            <w:pPr>
              <w:spacing w:before="40" w:after="40" w:line="220" w:lineRule="exact"/>
              <w:jc w:val="right"/>
              <w:rPr>
                <w:rFonts w:cs="Times New Roman"/>
                <w:sz w:val="18"/>
                <w:szCs w:val="24"/>
              </w:rPr>
            </w:pPr>
          </w:p>
        </w:tc>
        <w:tc>
          <w:tcPr>
            <w:tcW w:w="993" w:type="dxa"/>
            <w:shd w:val="clear" w:color="auto" w:fill="auto"/>
            <w:vAlign w:val="bottom"/>
          </w:tcPr>
          <w:p w14:paraId="31C3918A" w14:textId="77777777" w:rsidR="00B950FD" w:rsidRPr="001A5851" w:rsidRDefault="00B950FD" w:rsidP="00B02DF3">
            <w:pPr>
              <w:spacing w:before="40" w:after="40" w:line="220" w:lineRule="exact"/>
              <w:jc w:val="right"/>
              <w:rPr>
                <w:rFonts w:cs="Times New Roman"/>
                <w:sz w:val="18"/>
                <w:szCs w:val="24"/>
              </w:rPr>
            </w:pPr>
          </w:p>
        </w:tc>
        <w:tc>
          <w:tcPr>
            <w:tcW w:w="1078" w:type="dxa"/>
            <w:shd w:val="clear" w:color="auto" w:fill="auto"/>
            <w:vAlign w:val="bottom"/>
          </w:tcPr>
          <w:p w14:paraId="36B335DF" w14:textId="77777777" w:rsidR="00B950FD" w:rsidRPr="001A5851" w:rsidRDefault="00B950FD" w:rsidP="00B02DF3">
            <w:pPr>
              <w:spacing w:before="40" w:after="40" w:line="220" w:lineRule="exact"/>
              <w:jc w:val="right"/>
              <w:rPr>
                <w:rFonts w:cs="Times New Roman"/>
                <w:sz w:val="18"/>
                <w:szCs w:val="24"/>
              </w:rPr>
            </w:pPr>
          </w:p>
        </w:tc>
        <w:tc>
          <w:tcPr>
            <w:tcW w:w="924" w:type="dxa"/>
            <w:shd w:val="clear" w:color="auto" w:fill="auto"/>
            <w:vAlign w:val="bottom"/>
          </w:tcPr>
          <w:p w14:paraId="14268494" w14:textId="77777777" w:rsidR="00B950FD" w:rsidRPr="001A5851" w:rsidRDefault="00B950FD" w:rsidP="00B02DF3">
            <w:pPr>
              <w:spacing w:before="40" w:after="40" w:line="220" w:lineRule="exact"/>
              <w:jc w:val="right"/>
              <w:rPr>
                <w:rFonts w:cs="Times New Roman"/>
                <w:sz w:val="18"/>
                <w:szCs w:val="24"/>
              </w:rPr>
            </w:pPr>
          </w:p>
        </w:tc>
        <w:tc>
          <w:tcPr>
            <w:tcW w:w="994" w:type="dxa"/>
            <w:shd w:val="clear" w:color="auto" w:fill="auto"/>
            <w:vAlign w:val="bottom"/>
          </w:tcPr>
          <w:p w14:paraId="24B8F011" w14:textId="77777777" w:rsidR="00B950FD" w:rsidRPr="001A5851" w:rsidRDefault="00B950FD" w:rsidP="00B02DF3">
            <w:pPr>
              <w:spacing w:before="40" w:after="40" w:line="220" w:lineRule="exact"/>
              <w:jc w:val="right"/>
              <w:rPr>
                <w:rFonts w:cs="Times New Roman"/>
                <w:sz w:val="18"/>
                <w:szCs w:val="24"/>
              </w:rPr>
            </w:pPr>
          </w:p>
        </w:tc>
        <w:tc>
          <w:tcPr>
            <w:tcW w:w="938" w:type="dxa"/>
            <w:shd w:val="clear" w:color="auto" w:fill="auto"/>
            <w:vAlign w:val="bottom"/>
          </w:tcPr>
          <w:p w14:paraId="65DE8EE5" w14:textId="77777777" w:rsidR="00B950FD" w:rsidRPr="001A5851" w:rsidRDefault="00B950FD" w:rsidP="00B02DF3">
            <w:pPr>
              <w:spacing w:before="40" w:after="40" w:line="220" w:lineRule="exact"/>
              <w:jc w:val="right"/>
              <w:rPr>
                <w:rFonts w:cs="Times New Roman"/>
                <w:sz w:val="18"/>
                <w:szCs w:val="24"/>
              </w:rPr>
            </w:pPr>
          </w:p>
        </w:tc>
        <w:tc>
          <w:tcPr>
            <w:tcW w:w="630" w:type="dxa"/>
            <w:shd w:val="clear" w:color="auto" w:fill="auto"/>
            <w:vAlign w:val="bottom"/>
          </w:tcPr>
          <w:p w14:paraId="261CD56A" w14:textId="77777777" w:rsidR="00B950FD" w:rsidRPr="001A5851" w:rsidRDefault="00B950FD" w:rsidP="00B02DF3">
            <w:pPr>
              <w:spacing w:before="40" w:after="40" w:line="220" w:lineRule="exact"/>
              <w:jc w:val="right"/>
              <w:rPr>
                <w:rFonts w:cs="Times New Roman"/>
                <w:sz w:val="18"/>
                <w:szCs w:val="24"/>
              </w:rPr>
            </w:pPr>
          </w:p>
        </w:tc>
        <w:tc>
          <w:tcPr>
            <w:tcW w:w="1469" w:type="dxa"/>
            <w:shd w:val="clear" w:color="auto" w:fill="auto"/>
            <w:vAlign w:val="bottom"/>
          </w:tcPr>
          <w:p w14:paraId="3B33FE67" w14:textId="77777777" w:rsidR="00B950FD" w:rsidRPr="001A5851" w:rsidRDefault="00B950FD" w:rsidP="00B02DF3">
            <w:pPr>
              <w:spacing w:before="40" w:after="40" w:line="220" w:lineRule="exact"/>
              <w:jc w:val="right"/>
              <w:rPr>
                <w:rFonts w:cs="Times New Roman"/>
                <w:sz w:val="18"/>
                <w:szCs w:val="24"/>
              </w:rPr>
            </w:pPr>
          </w:p>
        </w:tc>
        <w:tc>
          <w:tcPr>
            <w:tcW w:w="840" w:type="dxa"/>
            <w:shd w:val="clear" w:color="auto" w:fill="auto"/>
            <w:vAlign w:val="bottom"/>
          </w:tcPr>
          <w:p w14:paraId="54B3866A" w14:textId="77777777" w:rsidR="00B950FD" w:rsidRPr="001A5851" w:rsidRDefault="00B950FD" w:rsidP="00B02DF3">
            <w:pPr>
              <w:spacing w:before="40" w:after="40" w:line="220" w:lineRule="exact"/>
              <w:jc w:val="right"/>
              <w:rPr>
                <w:rFonts w:cs="Times New Roman"/>
                <w:sz w:val="18"/>
                <w:szCs w:val="24"/>
              </w:rPr>
            </w:pPr>
          </w:p>
        </w:tc>
        <w:tc>
          <w:tcPr>
            <w:tcW w:w="607" w:type="dxa"/>
            <w:shd w:val="clear" w:color="auto" w:fill="auto"/>
            <w:vAlign w:val="bottom"/>
          </w:tcPr>
          <w:p w14:paraId="063877EA" w14:textId="77777777" w:rsidR="00B950FD" w:rsidRPr="001A5851" w:rsidRDefault="00B950FD" w:rsidP="00B02DF3">
            <w:pPr>
              <w:spacing w:before="40" w:after="40" w:line="220" w:lineRule="exact"/>
              <w:jc w:val="right"/>
              <w:rPr>
                <w:rFonts w:cs="Times New Roman"/>
                <w:sz w:val="18"/>
                <w:szCs w:val="24"/>
              </w:rPr>
            </w:pPr>
          </w:p>
        </w:tc>
      </w:tr>
      <w:tr w:rsidR="00B950FD" w:rsidRPr="001A5851" w14:paraId="45D3CB30" w14:textId="77777777" w:rsidTr="00B02DF3">
        <w:tc>
          <w:tcPr>
            <w:tcW w:w="1869" w:type="dxa"/>
            <w:shd w:val="clear" w:color="auto" w:fill="auto"/>
          </w:tcPr>
          <w:p w14:paraId="6BD39FF6"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Босния и Герцеговина</w:t>
            </w:r>
          </w:p>
        </w:tc>
        <w:tc>
          <w:tcPr>
            <w:tcW w:w="837" w:type="dxa"/>
            <w:shd w:val="clear" w:color="auto" w:fill="auto"/>
            <w:textDirection w:val="lrTbV"/>
            <w:vAlign w:val="bottom"/>
          </w:tcPr>
          <w:p w14:paraId="30AC8C0A" w14:textId="77777777" w:rsidR="00B950FD" w:rsidRPr="001A5851" w:rsidRDefault="00B950FD" w:rsidP="00B02DF3">
            <w:pPr>
              <w:spacing w:before="40" w:after="40" w:line="220" w:lineRule="exact"/>
              <w:jc w:val="right"/>
              <w:rPr>
                <w:rFonts w:cs="Times New Roman"/>
                <w:sz w:val="18"/>
                <w:szCs w:val="24"/>
              </w:rPr>
            </w:pPr>
          </w:p>
        </w:tc>
        <w:tc>
          <w:tcPr>
            <w:tcW w:w="626" w:type="dxa"/>
            <w:shd w:val="clear" w:color="auto" w:fill="auto"/>
            <w:vAlign w:val="bottom"/>
          </w:tcPr>
          <w:p w14:paraId="66853638"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1F7DF357" w14:textId="77777777" w:rsidR="00B950FD" w:rsidRPr="001A5851" w:rsidRDefault="00B950FD" w:rsidP="00B02DF3">
            <w:pPr>
              <w:spacing w:before="40" w:after="40" w:line="220" w:lineRule="exact"/>
              <w:jc w:val="right"/>
              <w:rPr>
                <w:rFonts w:cs="Times New Roman"/>
                <w:sz w:val="18"/>
                <w:szCs w:val="24"/>
              </w:rPr>
            </w:pPr>
          </w:p>
        </w:tc>
        <w:tc>
          <w:tcPr>
            <w:tcW w:w="728" w:type="dxa"/>
            <w:shd w:val="clear" w:color="auto" w:fill="auto"/>
            <w:vAlign w:val="bottom"/>
          </w:tcPr>
          <w:p w14:paraId="3DED00C9"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4843F0FE" w14:textId="77777777" w:rsidR="00B950FD" w:rsidRPr="001A5851" w:rsidRDefault="00B950FD" w:rsidP="00B02DF3">
            <w:pPr>
              <w:spacing w:before="40" w:after="40" w:line="220" w:lineRule="exact"/>
              <w:jc w:val="right"/>
              <w:rPr>
                <w:rFonts w:cs="Times New Roman"/>
                <w:sz w:val="18"/>
                <w:szCs w:val="24"/>
              </w:rPr>
            </w:pPr>
          </w:p>
        </w:tc>
        <w:tc>
          <w:tcPr>
            <w:tcW w:w="993" w:type="dxa"/>
            <w:shd w:val="clear" w:color="auto" w:fill="auto"/>
            <w:vAlign w:val="bottom"/>
          </w:tcPr>
          <w:p w14:paraId="71810F2C"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w:t>
            </w:r>
          </w:p>
        </w:tc>
        <w:tc>
          <w:tcPr>
            <w:tcW w:w="1078" w:type="dxa"/>
            <w:shd w:val="clear" w:color="auto" w:fill="auto"/>
            <w:vAlign w:val="bottom"/>
          </w:tcPr>
          <w:p w14:paraId="7F2FEF16"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w:t>
            </w:r>
          </w:p>
        </w:tc>
        <w:tc>
          <w:tcPr>
            <w:tcW w:w="924" w:type="dxa"/>
            <w:shd w:val="clear" w:color="auto" w:fill="auto"/>
            <w:vAlign w:val="bottom"/>
          </w:tcPr>
          <w:p w14:paraId="6CF4129B"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(6)</w:t>
            </w:r>
          </w:p>
        </w:tc>
        <w:tc>
          <w:tcPr>
            <w:tcW w:w="994" w:type="dxa"/>
            <w:shd w:val="clear" w:color="auto" w:fill="auto"/>
            <w:vAlign w:val="bottom"/>
          </w:tcPr>
          <w:p w14:paraId="6A7AA8A3" w14:textId="77777777" w:rsidR="00B950FD" w:rsidRPr="001A5851" w:rsidRDefault="00B950FD" w:rsidP="00B02DF3">
            <w:pPr>
              <w:spacing w:before="40" w:after="40" w:line="220" w:lineRule="exact"/>
              <w:jc w:val="right"/>
              <w:rPr>
                <w:rFonts w:cs="Times New Roman"/>
                <w:sz w:val="18"/>
                <w:szCs w:val="24"/>
              </w:rPr>
            </w:pPr>
          </w:p>
        </w:tc>
        <w:tc>
          <w:tcPr>
            <w:tcW w:w="938" w:type="dxa"/>
            <w:shd w:val="clear" w:color="auto" w:fill="auto"/>
            <w:vAlign w:val="bottom"/>
          </w:tcPr>
          <w:p w14:paraId="7EA45771" w14:textId="77777777" w:rsidR="00B950FD" w:rsidRPr="001A5851" w:rsidRDefault="00B950FD" w:rsidP="00B02DF3">
            <w:pPr>
              <w:spacing w:before="40" w:after="40" w:line="220" w:lineRule="exact"/>
              <w:jc w:val="right"/>
              <w:rPr>
                <w:rFonts w:cs="Times New Roman"/>
                <w:sz w:val="18"/>
                <w:szCs w:val="24"/>
              </w:rPr>
            </w:pPr>
          </w:p>
        </w:tc>
        <w:tc>
          <w:tcPr>
            <w:tcW w:w="630" w:type="dxa"/>
            <w:shd w:val="clear" w:color="auto" w:fill="auto"/>
            <w:vAlign w:val="bottom"/>
          </w:tcPr>
          <w:p w14:paraId="01BB8F47" w14:textId="77777777" w:rsidR="00B950FD" w:rsidRPr="001A5851" w:rsidRDefault="00B950FD" w:rsidP="00B02DF3">
            <w:pPr>
              <w:spacing w:before="40" w:after="40" w:line="220" w:lineRule="exact"/>
              <w:jc w:val="right"/>
              <w:rPr>
                <w:rFonts w:cs="Times New Roman"/>
                <w:sz w:val="18"/>
                <w:szCs w:val="24"/>
              </w:rPr>
            </w:pPr>
          </w:p>
        </w:tc>
        <w:tc>
          <w:tcPr>
            <w:tcW w:w="1469" w:type="dxa"/>
            <w:shd w:val="clear" w:color="auto" w:fill="auto"/>
            <w:vAlign w:val="bottom"/>
          </w:tcPr>
          <w:p w14:paraId="137448C6"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w:t>
            </w:r>
          </w:p>
        </w:tc>
        <w:tc>
          <w:tcPr>
            <w:tcW w:w="840" w:type="dxa"/>
            <w:shd w:val="clear" w:color="auto" w:fill="auto"/>
            <w:vAlign w:val="bottom"/>
          </w:tcPr>
          <w:p w14:paraId="6F188D53" w14:textId="77777777" w:rsidR="00B950FD" w:rsidRPr="001A5851" w:rsidRDefault="00B950FD" w:rsidP="00B02DF3">
            <w:pPr>
              <w:spacing w:before="40" w:after="40" w:line="220" w:lineRule="exact"/>
              <w:jc w:val="right"/>
              <w:rPr>
                <w:rFonts w:cs="Times New Roman"/>
                <w:sz w:val="18"/>
                <w:szCs w:val="24"/>
              </w:rPr>
            </w:pPr>
          </w:p>
        </w:tc>
        <w:tc>
          <w:tcPr>
            <w:tcW w:w="607" w:type="dxa"/>
            <w:shd w:val="clear" w:color="auto" w:fill="auto"/>
            <w:vAlign w:val="bottom"/>
          </w:tcPr>
          <w:p w14:paraId="1BF29F3E"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w:t>
            </w:r>
          </w:p>
        </w:tc>
      </w:tr>
      <w:tr w:rsidR="00B950FD" w:rsidRPr="001A5851" w14:paraId="50E2BC59" w14:textId="77777777" w:rsidTr="00B02DF3">
        <w:tc>
          <w:tcPr>
            <w:tcW w:w="1869" w:type="dxa"/>
            <w:shd w:val="clear" w:color="auto" w:fill="auto"/>
          </w:tcPr>
          <w:p w14:paraId="6926DD15"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Хорватия</w:t>
            </w:r>
          </w:p>
        </w:tc>
        <w:tc>
          <w:tcPr>
            <w:tcW w:w="837" w:type="dxa"/>
            <w:shd w:val="clear" w:color="auto" w:fill="auto"/>
            <w:textDirection w:val="lrTbV"/>
            <w:vAlign w:val="bottom"/>
          </w:tcPr>
          <w:p w14:paraId="12FC5702"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12</w:t>
            </w:r>
          </w:p>
        </w:tc>
        <w:tc>
          <w:tcPr>
            <w:tcW w:w="626" w:type="dxa"/>
            <w:shd w:val="clear" w:color="auto" w:fill="auto"/>
            <w:vAlign w:val="bottom"/>
          </w:tcPr>
          <w:p w14:paraId="75A29C2C"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7A4E49E1"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12</w:t>
            </w:r>
          </w:p>
        </w:tc>
        <w:tc>
          <w:tcPr>
            <w:tcW w:w="728" w:type="dxa"/>
            <w:shd w:val="clear" w:color="auto" w:fill="auto"/>
            <w:vAlign w:val="bottom"/>
          </w:tcPr>
          <w:p w14:paraId="28752D5B"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18</w:t>
            </w:r>
          </w:p>
        </w:tc>
        <w:tc>
          <w:tcPr>
            <w:tcW w:w="742" w:type="dxa"/>
            <w:shd w:val="clear" w:color="auto" w:fill="auto"/>
            <w:vAlign w:val="bottom"/>
          </w:tcPr>
          <w:p w14:paraId="3259D633" w14:textId="77777777" w:rsidR="00B950FD" w:rsidRPr="001A5851" w:rsidRDefault="00B950FD" w:rsidP="00B02DF3">
            <w:pPr>
              <w:spacing w:before="40" w:after="40" w:line="220" w:lineRule="exact"/>
              <w:jc w:val="right"/>
              <w:rPr>
                <w:rFonts w:cs="Times New Roman"/>
                <w:sz w:val="18"/>
                <w:szCs w:val="24"/>
              </w:rPr>
            </w:pPr>
          </w:p>
        </w:tc>
        <w:tc>
          <w:tcPr>
            <w:tcW w:w="993" w:type="dxa"/>
            <w:shd w:val="clear" w:color="auto" w:fill="auto"/>
            <w:vAlign w:val="bottom"/>
          </w:tcPr>
          <w:p w14:paraId="3B7B29B6"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12</w:t>
            </w:r>
          </w:p>
        </w:tc>
        <w:tc>
          <w:tcPr>
            <w:tcW w:w="1078" w:type="dxa"/>
            <w:shd w:val="clear" w:color="auto" w:fill="auto"/>
            <w:vAlign w:val="bottom"/>
          </w:tcPr>
          <w:p w14:paraId="7EFBF405"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12</w:t>
            </w:r>
          </w:p>
        </w:tc>
        <w:tc>
          <w:tcPr>
            <w:tcW w:w="924" w:type="dxa"/>
            <w:shd w:val="clear" w:color="auto" w:fill="auto"/>
            <w:vAlign w:val="bottom"/>
          </w:tcPr>
          <w:p w14:paraId="22CD59E8" w14:textId="77777777" w:rsidR="00B950FD" w:rsidRPr="001A5851" w:rsidRDefault="00B950FD" w:rsidP="00B02DF3">
            <w:pPr>
              <w:spacing w:before="40" w:after="40" w:line="220" w:lineRule="exact"/>
              <w:jc w:val="right"/>
              <w:rPr>
                <w:rFonts w:cs="Times New Roman"/>
                <w:sz w:val="18"/>
                <w:szCs w:val="24"/>
              </w:rPr>
            </w:pPr>
          </w:p>
        </w:tc>
        <w:tc>
          <w:tcPr>
            <w:tcW w:w="994" w:type="dxa"/>
            <w:shd w:val="clear" w:color="auto" w:fill="auto"/>
            <w:vAlign w:val="bottom"/>
          </w:tcPr>
          <w:p w14:paraId="3AFED6F3"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18</w:t>
            </w:r>
          </w:p>
        </w:tc>
        <w:tc>
          <w:tcPr>
            <w:tcW w:w="938" w:type="dxa"/>
            <w:shd w:val="clear" w:color="auto" w:fill="auto"/>
            <w:vAlign w:val="bottom"/>
          </w:tcPr>
          <w:p w14:paraId="5D88EE8F"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12</w:t>
            </w:r>
          </w:p>
        </w:tc>
        <w:tc>
          <w:tcPr>
            <w:tcW w:w="630" w:type="dxa"/>
            <w:shd w:val="clear" w:color="auto" w:fill="auto"/>
            <w:vAlign w:val="bottom"/>
          </w:tcPr>
          <w:p w14:paraId="6934CC52" w14:textId="77777777" w:rsidR="00B950FD" w:rsidRPr="001A5851" w:rsidRDefault="00B950FD" w:rsidP="00B02DF3">
            <w:pPr>
              <w:spacing w:before="40" w:after="40" w:line="220" w:lineRule="exact"/>
              <w:jc w:val="right"/>
              <w:rPr>
                <w:rFonts w:cs="Times New Roman"/>
                <w:sz w:val="18"/>
                <w:szCs w:val="24"/>
              </w:rPr>
            </w:pPr>
          </w:p>
        </w:tc>
        <w:tc>
          <w:tcPr>
            <w:tcW w:w="1469" w:type="dxa"/>
            <w:shd w:val="clear" w:color="auto" w:fill="auto"/>
            <w:vAlign w:val="bottom"/>
          </w:tcPr>
          <w:p w14:paraId="298F66F8"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12–18</w:t>
            </w:r>
          </w:p>
        </w:tc>
        <w:tc>
          <w:tcPr>
            <w:tcW w:w="840" w:type="dxa"/>
            <w:shd w:val="clear" w:color="auto" w:fill="auto"/>
            <w:vAlign w:val="bottom"/>
          </w:tcPr>
          <w:p w14:paraId="7D6DF143" w14:textId="77777777" w:rsidR="00B950FD" w:rsidRPr="001A5851" w:rsidRDefault="00B950FD" w:rsidP="00B02DF3">
            <w:pPr>
              <w:spacing w:before="40" w:after="40" w:line="220" w:lineRule="exact"/>
              <w:jc w:val="right"/>
              <w:rPr>
                <w:rFonts w:cs="Times New Roman"/>
                <w:sz w:val="18"/>
                <w:szCs w:val="24"/>
              </w:rPr>
            </w:pPr>
          </w:p>
        </w:tc>
        <w:tc>
          <w:tcPr>
            <w:tcW w:w="607" w:type="dxa"/>
            <w:shd w:val="clear" w:color="auto" w:fill="auto"/>
            <w:vAlign w:val="bottom"/>
          </w:tcPr>
          <w:p w14:paraId="7DCD87E1" w14:textId="77777777" w:rsidR="00B950FD" w:rsidRPr="001A5851" w:rsidRDefault="00B950FD" w:rsidP="00B02DF3">
            <w:pPr>
              <w:spacing w:before="40" w:after="40" w:line="220" w:lineRule="exact"/>
              <w:jc w:val="right"/>
              <w:rPr>
                <w:rFonts w:cs="Times New Roman"/>
                <w:sz w:val="18"/>
                <w:szCs w:val="24"/>
              </w:rPr>
            </w:pPr>
          </w:p>
        </w:tc>
      </w:tr>
      <w:tr w:rsidR="00B950FD" w:rsidRPr="001A5851" w14:paraId="4E92A9FC" w14:textId="77777777" w:rsidTr="00B02DF3">
        <w:tc>
          <w:tcPr>
            <w:tcW w:w="1869" w:type="dxa"/>
            <w:shd w:val="clear" w:color="auto" w:fill="auto"/>
          </w:tcPr>
          <w:p w14:paraId="256074AE"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Чехия</w:t>
            </w:r>
          </w:p>
        </w:tc>
        <w:tc>
          <w:tcPr>
            <w:tcW w:w="837" w:type="dxa"/>
            <w:shd w:val="clear" w:color="auto" w:fill="auto"/>
            <w:textDirection w:val="lrTbV"/>
            <w:vAlign w:val="bottom"/>
          </w:tcPr>
          <w:p w14:paraId="00690298" w14:textId="77777777" w:rsidR="00B950FD" w:rsidRPr="001A5851" w:rsidRDefault="00B950FD" w:rsidP="00B02DF3">
            <w:pPr>
              <w:spacing w:before="40" w:after="40" w:line="220" w:lineRule="exact"/>
              <w:jc w:val="right"/>
              <w:rPr>
                <w:rFonts w:cs="Times New Roman"/>
                <w:sz w:val="18"/>
                <w:szCs w:val="24"/>
              </w:rPr>
            </w:pPr>
          </w:p>
        </w:tc>
        <w:tc>
          <w:tcPr>
            <w:tcW w:w="626" w:type="dxa"/>
            <w:shd w:val="clear" w:color="auto" w:fill="auto"/>
            <w:vAlign w:val="bottom"/>
          </w:tcPr>
          <w:p w14:paraId="57952A5A"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1086B430"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13</w:t>
            </w:r>
          </w:p>
        </w:tc>
        <w:tc>
          <w:tcPr>
            <w:tcW w:w="728" w:type="dxa"/>
            <w:shd w:val="clear" w:color="auto" w:fill="auto"/>
            <w:vAlign w:val="bottom"/>
          </w:tcPr>
          <w:p w14:paraId="1ABB501C"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14</w:t>
            </w:r>
          </w:p>
        </w:tc>
        <w:tc>
          <w:tcPr>
            <w:tcW w:w="742" w:type="dxa"/>
            <w:shd w:val="clear" w:color="auto" w:fill="auto"/>
            <w:vAlign w:val="bottom"/>
          </w:tcPr>
          <w:p w14:paraId="1EFCFE44" w14:textId="77777777" w:rsidR="00B950FD" w:rsidRPr="001A5851" w:rsidRDefault="00B950FD" w:rsidP="00B02DF3">
            <w:pPr>
              <w:spacing w:before="40" w:after="40" w:line="220" w:lineRule="exact"/>
              <w:jc w:val="right"/>
              <w:rPr>
                <w:rFonts w:cs="Times New Roman"/>
                <w:sz w:val="18"/>
                <w:szCs w:val="24"/>
              </w:rPr>
            </w:pPr>
          </w:p>
        </w:tc>
        <w:tc>
          <w:tcPr>
            <w:tcW w:w="993" w:type="dxa"/>
            <w:shd w:val="clear" w:color="auto" w:fill="auto"/>
            <w:vAlign w:val="bottom"/>
          </w:tcPr>
          <w:p w14:paraId="6AB3441A"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11</w:t>
            </w:r>
          </w:p>
        </w:tc>
        <w:tc>
          <w:tcPr>
            <w:tcW w:w="1078" w:type="dxa"/>
            <w:shd w:val="clear" w:color="auto" w:fill="auto"/>
            <w:vAlign w:val="bottom"/>
          </w:tcPr>
          <w:p w14:paraId="7A488BA2"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6</w:t>
            </w:r>
          </w:p>
        </w:tc>
        <w:tc>
          <w:tcPr>
            <w:tcW w:w="924" w:type="dxa"/>
            <w:shd w:val="clear" w:color="auto" w:fill="auto"/>
            <w:vAlign w:val="bottom"/>
          </w:tcPr>
          <w:p w14:paraId="4C21BF29" w14:textId="77777777" w:rsidR="00B950FD" w:rsidRPr="001A5851" w:rsidRDefault="00B950FD" w:rsidP="00B02DF3">
            <w:pPr>
              <w:spacing w:before="40" w:after="40" w:line="220" w:lineRule="exact"/>
              <w:jc w:val="right"/>
              <w:rPr>
                <w:rFonts w:cs="Times New Roman"/>
                <w:sz w:val="18"/>
                <w:szCs w:val="24"/>
              </w:rPr>
            </w:pPr>
          </w:p>
        </w:tc>
        <w:tc>
          <w:tcPr>
            <w:tcW w:w="994" w:type="dxa"/>
            <w:shd w:val="clear" w:color="auto" w:fill="auto"/>
            <w:vAlign w:val="bottom"/>
          </w:tcPr>
          <w:p w14:paraId="45AF64BB"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11</w:t>
            </w:r>
          </w:p>
        </w:tc>
        <w:tc>
          <w:tcPr>
            <w:tcW w:w="938" w:type="dxa"/>
            <w:shd w:val="clear" w:color="auto" w:fill="auto"/>
            <w:vAlign w:val="bottom"/>
          </w:tcPr>
          <w:p w14:paraId="74B835CB" w14:textId="77777777" w:rsidR="00B950FD" w:rsidRPr="001A5851" w:rsidRDefault="00B950FD" w:rsidP="00B02DF3">
            <w:pPr>
              <w:spacing w:before="40" w:after="40" w:line="220" w:lineRule="exact"/>
              <w:jc w:val="right"/>
              <w:rPr>
                <w:rFonts w:cs="Times New Roman"/>
                <w:sz w:val="18"/>
                <w:szCs w:val="24"/>
              </w:rPr>
            </w:pPr>
          </w:p>
        </w:tc>
        <w:tc>
          <w:tcPr>
            <w:tcW w:w="630" w:type="dxa"/>
            <w:shd w:val="clear" w:color="auto" w:fill="auto"/>
            <w:vAlign w:val="bottom"/>
          </w:tcPr>
          <w:p w14:paraId="59F4A11C" w14:textId="77777777" w:rsidR="00B950FD" w:rsidRPr="001A5851" w:rsidRDefault="00B950FD" w:rsidP="00B02DF3">
            <w:pPr>
              <w:spacing w:before="40" w:after="40" w:line="220" w:lineRule="exact"/>
              <w:jc w:val="right"/>
              <w:rPr>
                <w:rFonts w:cs="Times New Roman"/>
                <w:sz w:val="18"/>
                <w:szCs w:val="24"/>
              </w:rPr>
            </w:pPr>
          </w:p>
        </w:tc>
        <w:tc>
          <w:tcPr>
            <w:tcW w:w="1469" w:type="dxa"/>
            <w:shd w:val="clear" w:color="auto" w:fill="auto"/>
            <w:vAlign w:val="bottom"/>
          </w:tcPr>
          <w:p w14:paraId="18D58C76"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6</w:t>
            </w:r>
          </w:p>
        </w:tc>
        <w:tc>
          <w:tcPr>
            <w:tcW w:w="840" w:type="dxa"/>
            <w:shd w:val="clear" w:color="auto" w:fill="auto"/>
            <w:vAlign w:val="bottom"/>
          </w:tcPr>
          <w:p w14:paraId="537A43D0"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11</w:t>
            </w:r>
          </w:p>
        </w:tc>
        <w:tc>
          <w:tcPr>
            <w:tcW w:w="607" w:type="dxa"/>
            <w:shd w:val="clear" w:color="auto" w:fill="auto"/>
            <w:vAlign w:val="bottom"/>
          </w:tcPr>
          <w:p w14:paraId="14885E34"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11 (18)</w:t>
            </w:r>
          </w:p>
        </w:tc>
      </w:tr>
      <w:tr w:rsidR="00B950FD" w:rsidRPr="001A5851" w14:paraId="21D354F8" w14:textId="77777777" w:rsidTr="00B02DF3">
        <w:tc>
          <w:tcPr>
            <w:tcW w:w="1869" w:type="dxa"/>
            <w:shd w:val="clear" w:color="auto" w:fill="auto"/>
          </w:tcPr>
          <w:p w14:paraId="6B90121E"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Эстония</w:t>
            </w:r>
          </w:p>
        </w:tc>
        <w:tc>
          <w:tcPr>
            <w:tcW w:w="837" w:type="dxa"/>
            <w:shd w:val="clear" w:color="auto" w:fill="auto"/>
            <w:textDirection w:val="lrTbV"/>
            <w:vAlign w:val="bottom"/>
          </w:tcPr>
          <w:p w14:paraId="1114067B" w14:textId="77777777" w:rsidR="00B950FD" w:rsidRPr="001A5851" w:rsidRDefault="00B950FD" w:rsidP="00B02DF3">
            <w:pPr>
              <w:spacing w:before="40" w:after="40" w:line="220" w:lineRule="exact"/>
              <w:jc w:val="right"/>
              <w:rPr>
                <w:rFonts w:cs="Times New Roman"/>
                <w:sz w:val="18"/>
                <w:szCs w:val="24"/>
              </w:rPr>
            </w:pPr>
          </w:p>
        </w:tc>
        <w:tc>
          <w:tcPr>
            <w:tcW w:w="626" w:type="dxa"/>
            <w:shd w:val="clear" w:color="auto" w:fill="auto"/>
            <w:vAlign w:val="bottom"/>
          </w:tcPr>
          <w:p w14:paraId="484960A5"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420D6A1D" w14:textId="77777777" w:rsidR="00B950FD" w:rsidRPr="001A5851" w:rsidRDefault="00B950FD" w:rsidP="00B02DF3">
            <w:pPr>
              <w:spacing w:before="40" w:after="40" w:line="220" w:lineRule="exact"/>
              <w:jc w:val="right"/>
              <w:rPr>
                <w:rFonts w:cs="Times New Roman"/>
                <w:sz w:val="18"/>
                <w:szCs w:val="24"/>
              </w:rPr>
            </w:pPr>
          </w:p>
        </w:tc>
        <w:tc>
          <w:tcPr>
            <w:tcW w:w="728" w:type="dxa"/>
            <w:shd w:val="clear" w:color="auto" w:fill="auto"/>
            <w:vAlign w:val="bottom"/>
          </w:tcPr>
          <w:p w14:paraId="17ACC204"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599BC102" w14:textId="77777777" w:rsidR="00B950FD" w:rsidRPr="001A5851" w:rsidRDefault="00B950FD" w:rsidP="00B02DF3">
            <w:pPr>
              <w:spacing w:before="40" w:after="40" w:line="220" w:lineRule="exact"/>
              <w:jc w:val="right"/>
              <w:rPr>
                <w:rFonts w:cs="Times New Roman"/>
                <w:sz w:val="18"/>
                <w:szCs w:val="24"/>
              </w:rPr>
            </w:pPr>
          </w:p>
        </w:tc>
        <w:tc>
          <w:tcPr>
            <w:tcW w:w="993" w:type="dxa"/>
            <w:shd w:val="clear" w:color="auto" w:fill="auto"/>
            <w:vAlign w:val="bottom"/>
          </w:tcPr>
          <w:p w14:paraId="47485459" w14:textId="77777777" w:rsidR="00B950FD" w:rsidRPr="001A5851" w:rsidRDefault="00B950FD" w:rsidP="00B02DF3">
            <w:pPr>
              <w:spacing w:before="40" w:after="40" w:line="220" w:lineRule="exact"/>
              <w:jc w:val="right"/>
              <w:rPr>
                <w:rFonts w:cs="Times New Roman"/>
                <w:sz w:val="18"/>
                <w:szCs w:val="24"/>
              </w:rPr>
            </w:pPr>
          </w:p>
        </w:tc>
        <w:tc>
          <w:tcPr>
            <w:tcW w:w="1078" w:type="dxa"/>
            <w:shd w:val="clear" w:color="auto" w:fill="auto"/>
            <w:vAlign w:val="bottom"/>
          </w:tcPr>
          <w:p w14:paraId="3CD8C661" w14:textId="77777777" w:rsidR="00B950FD" w:rsidRPr="001A5851" w:rsidRDefault="00B950FD" w:rsidP="00B02DF3">
            <w:pPr>
              <w:spacing w:before="40" w:after="40" w:line="220" w:lineRule="exact"/>
              <w:jc w:val="right"/>
              <w:rPr>
                <w:rFonts w:cs="Times New Roman"/>
                <w:sz w:val="18"/>
                <w:szCs w:val="24"/>
              </w:rPr>
            </w:pPr>
          </w:p>
        </w:tc>
        <w:tc>
          <w:tcPr>
            <w:tcW w:w="924" w:type="dxa"/>
            <w:shd w:val="clear" w:color="auto" w:fill="auto"/>
            <w:vAlign w:val="bottom"/>
          </w:tcPr>
          <w:p w14:paraId="633F4E3A" w14:textId="77777777" w:rsidR="00B950FD" w:rsidRPr="001A5851" w:rsidRDefault="00B950FD" w:rsidP="00B02DF3">
            <w:pPr>
              <w:spacing w:before="40" w:after="40" w:line="220" w:lineRule="exact"/>
              <w:jc w:val="right"/>
              <w:rPr>
                <w:rFonts w:cs="Times New Roman"/>
                <w:sz w:val="18"/>
                <w:szCs w:val="24"/>
              </w:rPr>
            </w:pPr>
          </w:p>
        </w:tc>
        <w:tc>
          <w:tcPr>
            <w:tcW w:w="994" w:type="dxa"/>
            <w:shd w:val="clear" w:color="auto" w:fill="auto"/>
            <w:vAlign w:val="bottom"/>
          </w:tcPr>
          <w:p w14:paraId="0EA902DB" w14:textId="77777777" w:rsidR="00B950FD" w:rsidRPr="001A5851" w:rsidRDefault="00B950FD" w:rsidP="00B02DF3">
            <w:pPr>
              <w:spacing w:before="40" w:after="40" w:line="220" w:lineRule="exact"/>
              <w:jc w:val="right"/>
              <w:rPr>
                <w:rFonts w:cs="Times New Roman"/>
                <w:sz w:val="18"/>
                <w:szCs w:val="24"/>
              </w:rPr>
            </w:pPr>
          </w:p>
        </w:tc>
        <w:tc>
          <w:tcPr>
            <w:tcW w:w="938" w:type="dxa"/>
            <w:shd w:val="clear" w:color="auto" w:fill="auto"/>
            <w:vAlign w:val="bottom"/>
          </w:tcPr>
          <w:p w14:paraId="04DF41BC" w14:textId="77777777" w:rsidR="00B950FD" w:rsidRPr="001A5851" w:rsidRDefault="00B950FD" w:rsidP="00B02DF3">
            <w:pPr>
              <w:spacing w:before="40" w:after="40" w:line="220" w:lineRule="exact"/>
              <w:jc w:val="right"/>
              <w:rPr>
                <w:rFonts w:cs="Times New Roman"/>
                <w:sz w:val="18"/>
                <w:szCs w:val="24"/>
              </w:rPr>
            </w:pPr>
          </w:p>
        </w:tc>
        <w:tc>
          <w:tcPr>
            <w:tcW w:w="630" w:type="dxa"/>
            <w:shd w:val="clear" w:color="auto" w:fill="auto"/>
            <w:vAlign w:val="bottom"/>
          </w:tcPr>
          <w:p w14:paraId="03E9894A" w14:textId="77777777" w:rsidR="00B950FD" w:rsidRPr="001A5851" w:rsidRDefault="00B950FD" w:rsidP="00B02DF3">
            <w:pPr>
              <w:spacing w:before="40" w:after="40" w:line="220" w:lineRule="exact"/>
              <w:jc w:val="right"/>
              <w:rPr>
                <w:rFonts w:cs="Times New Roman"/>
                <w:sz w:val="18"/>
                <w:szCs w:val="24"/>
              </w:rPr>
            </w:pPr>
          </w:p>
        </w:tc>
        <w:tc>
          <w:tcPr>
            <w:tcW w:w="1469" w:type="dxa"/>
            <w:shd w:val="clear" w:color="auto" w:fill="auto"/>
            <w:vAlign w:val="bottom"/>
          </w:tcPr>
          <w:p w14:paraId="31449401" w14:textId="77777777" w:rsidR="00B950FD" w:rsidRPr="001A5851" w:rsidRDefault="00B950FD" w:rsidP="00B02DF3">
            <w:pPr>
              <w:spacing w:before="40" w:after="40" w:line="220" w:lineRule="exact"/>
              <w:jc w:val="right"/>
              <w:rPr>
                <w:rFonts w:cs="Times New Roman"/>
                <w:sz w:val="18"/>
                <w:szCs w:val="24"/>
              </w:rPr>
            </w:pPr>
          </w:p>
        </w:tc>
        <w:tc>
          <w:tcPr>
            <w:tcW w:w="840" w:type="dxa"/>
            <w:shd w:val="clear" w:color="auto" w:fill="auto"/>
            <w:vAlign w:val="bottom"/>
          </w:tcPr>
          <w:p w14:paraId="2EEEC614" w14:textId="77777777" w:rsidR="00B950FD" w:rsidRPr="001A5851" w:rsidRDefault="00B950FD" w:rsidP="00B02DF3">
            <w:pPr>
              <w:spacing w:before="40" w:after="40" w:line="220" w:lineRule="exact"/>
              <w:jc w:val="right"/>
              <w:rPr>
                <w:rFonts w:cs="Times New Roman"/>
                <w:sz w:val="18"/>
                <w:szCs w:val="24"/>
              </w:rPr>
            </w:pPr>
          </w:p>
        </w:tc>
        <w:tc>
          <w:tcPr>
            <w:tcW w:w="607" w:type="dxa"/>
            <w:shd w:val="clear" w:color="auto" w:fill="auto"/>
            <w:vAlign w:val="bottom"/>
          </w:tcPr>
          <w:p w14:paraId="1931AD55" w14:textId="77777777" w:rsidR="00B950FD" w:rsidRPr="001A5851" w:rsidRDefault="00B950FD" w:rsidP="00B02DF3">
            <w:pPr>
              <w:spacing w:before="40" w:after="40" w:line="220" w:lineRule="exact"/>
              <w:jc w:val="right"/>
              <w:rPr>
                <w:rFonts w:cs="Times New Roman"/>
                <w:sz w:val="18"/>
                <w:szCs w:val="24"/>
              </w:rPr>
            </w:pPr>
          </w:p>
        </w:tc>
      </w:tr>
      <w:tr w:rsidR="00B950FD" w:rsidRPr="001A5851" w14:paraId="1D6C65C1" w14:textId="77777777" w:rsidTr="00B02DF3">
        <w:tc>
          <w:tcPr>
            <w:tcW w:w="1869" w:type="dxa"/>
            <w:shd w:val="clear" w:color="auto" w:fill="auto"/>
          </w:tcPr>
          <w:p w14:paraId="436F85AF"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Финляндия</w:t>
            </w:r>
          </w:p>
        </w:tc>
        <w:tc>
          <w:tcPr>
            <w:tcW w:w="837" w:type="dxa"/>
            <w:shd w:val="clear" w:color="auto" w:fill="auto"/>
            <w:textDirection w:val="lrTbV"/>
            <w:vAlign w:val="bottom"/>
          </w:tcPr>
          <w:p w14:paraId="28687161" w14:textId="77777777" w:rsidR="00B950FD" w:rsidRPr="001A5851" w:rsidRDefault="00B950FD" w:rsidP="00B02DF3">
            <w:pPr>
              <w:spacing w:before="40" w:after="40" w:line="220" w:lineRule="exact"/>
              <w:jc w:val="right"/>
              <w:rPr>
                <w:rFonts w:cs="Times New Roman"/>
                <w:sz w:val="18"/>
                <w:szCs w:val="24"/>
              </w:rPr>
            </w:pPr>
          </w:p>
        </w:tc>
        <w:tc>
          <w:tcPr>
            <w:tcW w:w="626" w:type="dxa"/>
            <w:shd w:val="clear" w:color="auto" w:fill="auto"/>
            <w:vAlign w:val="bottom"/>
          </w:tcPr>
          <w:p w14:paraId="49D251CE"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24993530" w14:textId="77777777" w:rsidR="00B950FD" w:rsidRPr="001A5851" w:rsidRDefault="00B950FD" w:rsidP="00B02DF3">
            <w:pPr>
              <w:spacing w:before="40" w:after="40" w:line="220" w:lineRule="exact"/>
              <w:jc w:val="right"/>
              <w:rPr>
                <w:rFonts w:cs="Times New Roman"/>
                <w:sz w:val="18"/>
                <w:szCs w:val="24"/>
              </w:rPr>
            </w:pPr>
          </w:p>
        </w:tc>
        <w:tc>
          <w:tcPr>
            <w:tcW w:w="728" w:type="dxa"/>
            <w:shd w:val="clear" w:color="auto" w:fill="auto"/>
            <w:vAlign w:val="bottom"/>
          </w:tcPr>
          <w:p w14:paraId="249A34C0"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4AE67A13" w14:textId="77777777" w:rsidR="00B950FD" w:rsidRPr="001A5851" w:rsidRDefault="00B950FD" w:rsidP="00B02DF3">
            <w:pPr>
              <w:spacing w:before="40" w:after="40" w:line="220" w:lineRule="exact"/>
              <w:jc w:val="right"/>
              <w:rPr>
                <w:rFonts w:cs="Times New Roman"/>
                <w:sz w:val="18"/>
                <w:szCs w:val="24"/>
              </w:rPr>
            </w:pPr>
          </w:p>
        </w:tc>
        <w:tc>
          <w:tcPr>
            <w:tcW w:w="993" w:type="dxa"/>
            <w:shd w:val="clear" w:color="auto" w:fill="auto"/>
            <w:vAlign w:val="bottom"/>
          </w:tcPr>
          <w:p w14:paraId="06E5F9F5" w14:textId="77777777" w:rsidR="00B950FD" w:rsidRPr="001A5851" w:rsidRDefault="00B950FD" w:rsidP="00B02DF3">
            <w:pPr>
              <w:spacing w:before="40" w:after="40" w:line="220" w:lineRule="exact"/>
              <w:jc w:val="right"/>
              <w:rPr>
                <w:rFonts w:cs="Times New Roman"/>
                <w:sz w:val="18"/>
                <w:szCs w:val="24"/>
              </w:rPr>
            </w:pPr>
          </w:p>
        </w:tc>
        <w:tc>
          <w:tcPr>
            <w:tcW w:w="1078" w:type="dxa"/>
            <w:shd w:val="clear" w:color="auto" w:fill="auto"/>
            <w:vAlign w:val="bottom"/>
          </w:tcPr>
          <w:p w14:paraId="3FB2D152" w14:textId="77777777" w:rsidR="00B950FD" w:rsidRPr="001A5851" w:rsidRDefault="00B950FD" w:rsidP="00B02DF3">
            <w:pPr>
              <w:spacing w:before="40" w:after="40" w:line="220" w:lineRule="exact"/>
              <w:jc w:val="right"/>
              <w:rPr>
                <w:rFonts w:cs="Times New Roman"/>
                <w:sz w:val="18"/>
                <w:szCs w:val="24"/>
              </w:rPr>
            </w:pPr>
          </w:p>
        </w:tc>
        <w:tc>
          <w:tcPr>
            <w:tcW w:w="924" w:type="dxa"/>
            <w:shd w:val="clear" w:color="auto" w:fill="auto"/>
            <w:vAlign w:val="bottom"/>
          </w:tcPr>
          <w:p w14:paraId="4A14FBCC" w14:textId="77777777" w:rsidR="00B950FD" w:rsidRPr="001A5851" w:rsidRDefault="00B950FD" w:rsidP="00B02DF3">
            <w:pPr>
              <w:spacing w:before="40" w:after="40" w:line="220" w:lineRule="exact"/>
              <w:jc w:val="right"/>
              <w:rPr>
                <w:rFonts w:cs="Times New Roman"/>
                <w:sz w:val="18"/>
                <w:szCs w:val="24"/>
              </w:rPr>
            </w:pPr>
          </w:p>
        </w:tc>
        <w:tc>
          <w:tcPr>
            <w:tcW w:w="994" w:type="dxa"/>
            <w:shd w:val="clear" w:color="auto" w:fill="auto"/>
            <w:vAlign w:val="bottom"/>
          </w:tcPr>
          <w:p w14:paraId="220CA61D" w14:textId="77777777" w:rsidR="00B950FD" w:rsidRPr="001A5851" w:rsidRDefault="00B950FD" w:rsidP="00B02DF3">
            <w:pPr>
              <w:spacing w:before="40" w:after="40" w:line="220" w:lineRule="exact"/>
              <w:jc w:val="right"/>
              <w:rPr>
                <w:rFonts w:cs="Times New Roman"/>
                <w:sz w:val="18"/>
                <w:szCs w:val="24"/>
              </w:rPr>
            </w:pPr>
          </w:p>
        </w:tc>
        <w:tc>
          <w:tcPr>
            <w:tcW w:w="938" w:type="dxa"/>
            <w:shd w:val="clear" w:color="auto" w:fill="auto"/>
            <w:vAlign w:val="bottom"/>
          </w:tcPr>
          <w:p w14:paraId="5A4D7AAE" w14:textId="77777777" w:rsidR="00B950FD" w:rsidRPr="001A5851" w:rsidRDefault="00B950FD" w:rsidP="00B02DF3">
            <w:pPr>
              <w:spacing w:before="40" w:after="40" w:line="220" w:lineRule="exact"/>
              <w:jc w:val="right"/>
              <w:rPr>
                <w:rFonts w:cs="Times New Roman"/>
                <w:sz w:val="18"/>
                <w:szCs w:val="24"/>
              </w:rPr>
            </w:pPr>
          </w:p>
        </w:tc>
        <w:tc>
          <w:tcPr>
            <w:tcW w:w="630" w:type="dxa"/>
            <w:shd w:val="clear" w:color="auto" w:fill="auto"/>
            <w:vAlign w:val="bottom"/>
          </w:tcPr>
          <w:p w14:paraId="69683E60" w14:textId="77777777" w:rsidR="00B950FD" w:rsidRPr="001A5851" w:rsidRDefault="00B950FD" w:rsidP="00B02DF3">
            <w:pPr>
              <w:spacing w:before="40" w:after="40" w:line="220" w:lineRule="exact"/>
              <w:jc w:val="right"/>
              <w:rPr>
                <w:rFonts w:cs="Times New Roman"/>
                <w:sz w:val="18"/>
                <w:szCs w:val="24"/>
              </w:rPr>
            </w:pPr>
          </w:p>
        </w:tc>
        <w:tc>
          <w:tcPr>
            <w:tcW w:w="1469" w:type="dxa"/>
            <w:shd w:val="clear" w:color="auto" w:fill="auto"/>
            <w:vAlign w:val="bottom"/>
          </w:tcPr>
          <w:p w14:paraId="5F2DC88F"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p w14:paraId="7A73EE10"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12 для местных детальных планов</w:t>
            </w:r>
          </w:p>
        </w:tc>
        <w:tc>
          <w:tcPr>
            <w:tcW w:w="840" w:type="dxa"/>
            <w:shd w:val="clear" w:color="auto" w:fill="auto"/>
            <w:vAlign w:val="bottom"/>
          </w:tcPr>
          <w:p w14:paraId="4C80CD07" w14:textId="77777777" w:rsidR="00B950FD" w:rsidRPr="001A5851" w:rsidRDefault="00B950FD" w:rsidP="00B02DF3">
            <w:pPr>
              <w:spacing w:before="40" w:after="40" w:line="220" w:lineRule="exact"/>
              <w:jc w:val="right"/>
              <w:rPr>
                <w:rFonts w:cs="Times New Roman"/>
                <w:sz w:val="18"/>
                <w:szCs w:val="24"/>
              </w:rPr>
            </w:pPr>
          </w:p>
        </w:tc>
        <w:tc>
          <w:tcPr>
            <w:tcW w:w="607" w:type="dxa"/>
            <w:shd w:val="clear" w:color="auto" w:fill="auto"/>
            <w:vAlign w:val="bottom"/>
          </w:tcPr>
          <w:p w14:paraId="04467112" w14:textId="77777777" w:rsidR="00B950FD" w:rsidRPr="001A5851" w:rsidRDefault="00B950FD" w:rsidP="00B02DF3">
            <w:pPr>
              <w:spacing w:before="40" w:after="40" w:line="220" w:lineRule="exact"/>
              <w:jc w:val="right"/>
              <w:rPr>
                <w:rFonts w:cs="Times New Roman"/>
                <w:sz w:val="18"/>
                <w:szCs w:val="24"/>
              </w:rPr>
            </w:pPr>
          </w:p>
        </w:tc>
      </w:tr>
      <w:tr w:rsidR="00B950FD" w:rsidRPr="001A5851" w14:paraId="696E2B11" w14:textId="77777777" w:rsidTr="00B02DF3">
        <w:tc>
          <w:tcPr>
            <w:tcW w:w="1869" w:type="dxa"/>
            <w:shd w:val="clear" w:color="auto" w:fill="auto"/>
          </w:tcPr>
          <w:p w14:paraId="62886904"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Венгрия</w:t>
            </w:r>
          </w:p>
        </w:tc>
        <w:tc>
          <w:tcPr>
            <w:tcW w:w="837" w:type="dxa"/>
            <w:shd w:val="clear" w:color="auto" w:fill="auto"/>
            <w:textDirection w:val="lrTbV"/>
            <w:vAlign w:val="bottom"/>
          </w:tcPr>
          <w:p w14:paraId="2631985E"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w:t>
            </w:r>
          </w:p>
        </w:tc>
        <w:tc>
          <w:tcPr>
            <w:tcW w:w="626" w:type="dxa"/>
            <w:shd w:val="clear" w:color="auto" w:fill="auto"/>
            <w:vAlign w:val="bottom"/>
          </w:tcPr>
          <w:p w14:paraId="57AF26CA"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w:t>
            </w:r>
          </w:p>
        </w:tc>
        <w:tc>
          <w:tcPr>
            <w:tcW w:w="742" w:type="dxa"/>
            <w:shd w:val="clear" w:color="auto" w:fill="auto"/>
            <w:vAlign w:val="bottom"/>
          </w:tcPr>
          <w:p w14:paraId="756FE8A6" w14:textId="77777777" w:rsidR="00B950FD" w:rsidRPr="001A5851" w:rsidRDefault="00B950FD" w:rsidP="00B02DF3">
            <w:pPr>
              <w:spacing w:before="40" w:after="40" w:line="220" w:lineRule="exact"/>
              <w:jc w:val="right"/>
              <w:rPr>
                <w:rFonts w:cs="Times New Roman"/>
                <w:sz w:val="18"/>
                <w:szCs w:val="24"/>
              </w:rPr>
            </w:pPr>
          </w:p>
        </w:tc>
        <w:tc>
          <w:tcPr>
            <w:tcW w:w="728" w:type="dxa"/>
            <w:shd w:val="clear" w:color="auto" w:fill="auto"/>
            <w:vAlign w:val="bottom"/>
          </w:tcPr>
          <w:p w14:paraId="613D1D44"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3–5/(3–5)</w:t>
            </w:r>
          </w:p>
        </w:tc>
        <w:tc>
          <w:tcPr>
            <w:tcW w:w="742" w:type="dxa"/>
            <w:shd w:val="clear" w:color="auto" w:fill="auto"/>
            <w:vAlign w:val="bottom"/>
          </w:tcPr>
          <w:p w14:paraId="0098A860"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w:t>
            </w:r>
          </w:p>
        </w:tc>
        <w:tc>
          <w:tcPr>
            <w:tcW w:w="993" w:type="dxa"/>
            <w:shd w:val="clear" w:color="auto" w:fill="auto"/>
            <w:vAlign w:val="bottom"/>
          </w:tcPr>
          <w:p w14:paraId="7B802936"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3–5/(3–5)</w:t>
            </w:r>
          </w:p>
        </w:tc>
        <w:tc>
          <w:tcPr>
            <w:tcW w:w="1078" w:type="dxa"/>
            <w:shd w:val="clear" w:color="auto" w:fill="auto"/>
            <w:vAlign w:val="bottom"/>
          </w:tcPr>
          <w:p w14:paraId="7EBA019D"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w:t>
            </w:r>
          </w:p>
        </w:tc>
        <w:tc>
          <w:tcPr>
            <w:tcW w:w="924" w:type="dxa"/>
            <w:shd w:val="clear" w:color="auto" w:fill="auto"/>
            <w:vAlign w:val="bottom"/>
          </w:tcPr>
          <w:p w14:paraId="40DCD94C"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3–5/(5)</w:t>
            </w:r>
          </w:p>
        </w:tc>
        <w:tc>
          <w:tcPr>
            <w:tcW w:w="994" w:type="dxa"/>
            <w:shd w:val="clear" w:color="auto" w:fill="auto"/>
            <w:vAlign w:val="bottom"/>
          </w:tcPr>
          <w:p w14:paraId="73891CC9"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w:t>
            </w:r>
          </w:p>
        </w:tc>
        <w:tc>
          <w:tcPr>
            <w:tcW w:w="938" w:type="dxa"/>
            <w:shd w:val="clear" w:color="auto" w:fill="auto"/>
            <w:vAlign w:val="bottom"/>
          </w:tcPr>
          <w:p w14:paraId="6E22459A"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w:t>
            </w:r>
          </w:p>
        </w:tc>
        <w:tc>
          <w:tcPr>
            <w:tcW w:w="630" w:type="dxa"/>
            <w:shd w:val="clear" w:color="auto" w:fill="auto"/>
            <w:vAlign w:val="bottom"/>
          </w:tcPr>
          <w:p w14:paraId="33D50514"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3–5/(4)</w:t>
            </w:r>
          </w:p>
        </w:tc>
        <w:tc>
          <w:tcPr>
            <w:tcW w:w="1469" w:type="dxa"/>
            <w:shd w:val="clear" w:color="auto" w:fill="auto"/>
            <w:vAlign w:val="bottom"/>
          </w:tcPr>
          <w:p w14:paraId="0E30ABE8"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3–5/(3–5)</w:t>
            </w:r>
          </w:p>
        </w:tc>
        <w:tc>
          <w:tcPr>
            <w:tcW w:w="840" w:type="dxa"/>
            <w:shd w:val="clear" w:color="auto" w:fill="auto"/>
            <w:vAlign w:val="bottom"/>
          </w:tcPr>
          <w:p w14:paraId="7C3F9C60"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3–5</w:t>
            </w:r>
          </w:p>
        </w:tc>
        <w:tc>
          <w:tcPr>
            <w:tcW w:w="607" w:type="dxa"/>
            <w:shd w:val="clear" w:color="auto" w:fill="auto"/>
            <w:vAlign w:val="bottom"/>
          </w:tcPr>
          <w:p w14:paraId="2F5EF873" w14:textId="77777777" w:rsidR="00B950FD" w:rsidRPr="001A5851" w:rsidRDefault="00B950FD" w:rsidP="00B02DF3">
            <w:pPr>
              <w:spacing w:before="40" w:after="40" w:line="220" w:lineRule="exact"/>
              <w:jc w:val="right"/>
              <w:rPr>
                <w:rFonts w:cs="Times New Roman"/>
                <w:sz w:val="18"/>
                <w:szCs w:val="24"/>
              </w:rPr>
            </w:pPr>
          </w:p>
        </w:tc>
      </w:tr>
      <w:tr w:rsidR="00B950FD" w:rsidRPr="001A5851" w14:paraId="3BBFE33F" w14:textId="77777777" w:rsidTr="00B02DF3">
        <w:tc>
          <w:tcPr>
            <w:tcW w:w="1869" w:type="dxa"/>
            <w:shd w:val="clear" w:color="auto" w:fill="auto"/>
          </w:tcPr>
          <w:p w14:paraId="42771C78"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Литва</w:t>
            </w:r>
          </w:p>
        </w:tc>
        <w:tc>
          <w:tcPr>
            <w:tcW w:w="837" w:type="dxa"/>
            <w:shd w:val="clear" w:color="auto" w:fill="auto"/>
            <w:textDirection w:val="lrTbV"/>
            <w:vAlign w:val="bottom"/>
          </w:tcPr>
          <w:p w14:paraId="6E8BF3A5" w14:textId="77777777" w:rsidR="00B950FD" w:rsidRPr="001A5851" w:rsidRDefault="00B950FD" w:rsidP="00B02DF3">
            <w:pPr>
              <w:spacing w:before="40" w:after="40" w:line="220" w:lineRule="exact"/>
              <w:jc w:val="right"/>
              <w:rPr>
                <w:rFonts w:cs="Times New Roman"/>
                <w:sz w:val="18"/>
                <w:szCs w:val="24"/>
              </w:rPr>
            </w:pPr>
          </w:p>
        </w:tc>
        <w:tc>
          <w:tcPr>
            <w:tcW w:w="626" w:type="dxa"/>
            <w:shd w:val="clear" w:color="auto" w:fill="auto"/>
            <w:vAlign w:val="bottom"/>
          </w:tcPr>
          <w:p w14:paraId="0A0EE8CC"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7905844A" w14:textId="77777777" w:rsidR="00B950FD" w:rsidRPr="001A5851" w:rsidRDefault="00B950FD" w:rsidP="00B02DF3">
            <w:pPr>
              <w:spacing w:before="40" w:after="40" w:line="220" w:lineRule="exact"/>
              <w:jc w:val="right"/>
              <w:rPr>
                <w:rFonts w:cs="Times New Roman"/>
                <w:sz w:val="18"/>
                <w:szCs w:val="24"/>
              </w:rPr>
            </w:pPr>
          </w:p>
        </w:tc>
        <w:tc>
          <w:tcPr>
            <w:tcW w:w="728" w:type="dxa"/>
            <w:shd w:val="clear" w:color="auto" w:fill="auto"/>
            <w:vAlign w:val="bottom"/>
          </w:tcPr>
          <w:p w14:paraId="63B11533"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1B872B5C" w14:textId="77777777" w:rsidR="00B950FD" w:rsidRPr="001A5851" w:rsidRDefault="00B950FD" w:rsidP="00B02DF3">
            <w:pPr>
              <w:spacing w:before="40" w:after="40" w:line="220" w:lineRule="exact"/>
              <w:jc w:val="right"/>
              <w:rPr>
                <w:rFonts w:cs="Times New Roman"/>
                <w:sz w:val="18"/>
                <w:szCs w:val="24"/>
              </w:rPr>
            </w:pPr>
          </w:p>
        </w:tc>
        <w:tc>
          <w:tcPr>
            <w:tcW w:w="993" w:type="dxa"/>
            <w:shd w:val="clear" w:color="auto" w:fill="auto"/>
            <w:vAlign w:val="bottom"/>
          </w:tcPr>
          <w:p w14:paraId="2B971621" w14:textId="77777777" w:rsidR="00B950FD" w:rsidRPr="001A5851" w:rsidRDefault="00B950FD" w:rsidP="00B02DF3">
            <w:pPr>
              <w:spacing w:before="40" w:after="40" w:line="220" w:lineRule="exact"/>
              <w:jc w:val="right"/>
              <w:rPr>
                <w:rFonts w:cs="Times New Roman"/>
                <w:sz w:val="18"/>
                <w:szCs w:val="24"/>
              </w:rPr>
            </w:pPr>
          </w:p>
        </w:tc>
        <w:tc>
          <w:tcPr>
            <w:tcW w:w="1078" w:type="dxa"/>
            <w:shd w:val="clear" w:color="auto" w:fill="auto"/>
            <w:vAlign w:val="bottom"/>
          </w:tcPr>
          <w:p w14:paraId="5E38C22F" w14:textId="77777777" w:rsidR="00B950FD" w:rsidRPr="001A5851" w:rsidRDefault="00B950FD" w:rsidP="00B02DF3">
            <w:pPr>
              <w:spacing w:before="40" w:after="40" w:line="220" w:lineRule="exact"/>
              <w:jc w:val="right"/>
              <w:rPr>
                <w:rFonts w:cs="Times New Roman"/>
                <w:sz w:val="18"/>
                <w:szCs w:val="24"/>
              </w:rPr>
            </w:pPr>
          </w:p>
        </w:tc>
        <w:tc>
          <w:tcPr>
            <w:tcW w:w="924" w:type="dxa"/>
            <w:shd w:val="clear" w:color="auto" w:fill="auto"/>
            <w:vAlign w:val="bottom"/>
          </w:tcPr>
          <w:p w14:paraId="427E68E1" w14:textId="77777777" w:rsidR="00B950FD" w:rsidRPr="001A5851" w:rsidRDefault="00B950FD" w:rsidP="00B02DF3">
            <w:pPr>
              <w:spacing w:before="40" w:after="40" w:line="220" w:lineRule="exact"/>
              <w:jc w:val="right"/>
              <w:rPr>
                <w:rFonts w:cs="Times New Roman"/>
                <w:sz w:val="18"/>
                <w:szCs w:val="24"/>
              </w:rPr>
            </w:pPr>
          </w:p>
        </w:tc>
        <w:tc>
          <w:tcPr>
            <w:tcW w:w="994" w:type="dxa"/>
            <w:shd w:val="clear" w:color="auto" w:fill="auto"/>
            <w:vAlign w:val="bottom"/>
          </w:tcPr>
          <w:p w14:paraId="068A577C" w14:textId="77777777" w:rsidR="00B950FD" w:rsidRPr="001A5851" w:rsidRDefault="00B950FD" w:rsidP="00B02DF3">
            <w:pPr>
              <w:spacing w:before="40" w:after="40" w:line="220" w:lineRule="exact"/>
              <w:jc w:val="right"/>
              <w:rPr>
                <w:rFonts w:cs="Times New Roman"/>
                <w:sz w:val="18"/>
                <w:szCs w:val="24"/>
              </w:rPr>
            </w:pPr>
          </w:p>
        </w:tc>
        <w:tc>
          <w:tcPr>
            <w:tcW w:w="938" w:type="dxa"/>
            <w:shd w:val="clear" w:color="auto" w:fill="auto"/>
            <w:vAlign w:val="bottom"/>
          </w:tcPr>
          <w:p w14:paraId="044AD810" w14:textId="77777777" w:rsidR="00B950FD" w:rsidRPr="001A5851" w:rsidRDefault="00B950FD" w:rsidP="00B02DF3">
            <w:pPr>
              <w:spacing w:before="40" w:after="40" w:line="220" w:lineRule="exact"/>
              <w:jc w:val="right"/>
              <w:rPr>
                <w:rFonts w:cs="Times New Roman"/>
                <w:sz w:val="18"/>
                <w:szCs w:val="24"/>
              </w:rPr>
            </w:pPr>
          </w:p>
        </w:tc>
        <w:tc>
          <w:tcPr>
            <w:tcW w:w="630" w:type="dxa"/>
            <w:shd w:val="clear" w:color="auto" w:fill="auto"/>
            <w:vAlign w:val="bottom"/>
          </w:tcPr>
          <w:p w14:paraId="464F9123" w14:textId="77777777" w:rsidR="00B950FD" w:rsidRPr="001A5851" w:rsidRDefault="00B950FD" w:rsidP="00B02DF3">
            <w:pPr>
              <w:spacing w:before="40" w:after="40" w:line="220" w:lineRule="exact"/>
              <w:jc w:val="right"/>
              <w:rPr>
                <w:rFonts w:cs="Times New Roman"/>
                <w:sz w:val="18"/>
                <w:szCs w:val="24"/>
              </w:rPr>
            </w:pPr>
          </w:p>
        </w:tc>
        <w:tc>
          <w:tcPr>
            <w:tcW w:w="1469" w:type="dxa"/>
            <w:shd w:val="clear" w:color="auto" w:fill="auto"/>
            <w:vAlign w:val="bottom"/>
          </w:tcPr>
          <w:p w14:paraId="757FD5CF"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(6)</w:t>
            </w:r>
          </w:p>
        </w:tc>
        <w:tc>
          <w:tcPr>
            <w:tcW w:w="840" w:type="dxa"/>
            <w:shd w:val="clear" w:color="auto" w:fill="auto"/>
            <w:vAlign w:val="bottom"/>
          </w:tcPr>
          <w:p w14:paraId="443A6E32" w14:textId="77777777" w:rsidR="00B950FD" w:rsidRPr="001A5851" w:rsidRDefault="00B950FD" w:rsidP="00B02DF3">
            <w:pPr>
              <w:spacing w:before="40" w:after="40" w:line="220" w:lineRule="exact"/>
              <w:jc w:val="right"/>
              <w:rPr>
                <w:rFonts w:cs="Times New Roman"/>
                <w:sz w:val="18"/>
                <w:szCs w:val="24"/>
              </w:rPr>
            </w:pPr>
          </w:p>
        </w:tc>
        <w:tc>
          <w:tcPr>
            <w:tcW w:w="607" w:type="dxa"/>
            <w:shd w:val="clear" w:color="auto" w:fill="auto"/>
            <w:vAlign w:val="bottom"/>
          </w:tcPr>
          <w:p w14:paraId="10A241B8" w14:textId="77777777" w:rsidR="00B950FD" w:rsidRPr="001A5851" w:rsidRDefault="00B950FD" w:rsidP="00B02DF3">
            <w:pPr>
              <w:spacing w:before="40" w:after="40" w:line="220" w:lineRule="exact"/>
              <w:jc w:val="right"/>
              <w:rPr>
                <w:rFonts w:cs="Times New Roman"/>
                <w:sz w:val="18"/>
                <w:szCs w:val="24"/>
              </w:rPr>
            </w:pPr>
          </w:p>
        </w:tc>
      </w:tr>
      <w:tr w:rsidR="00B950FD" w:rsidRPr="001A5851" w14:paraId="506C6218" w14:textId="77777777" w:rsidTr="00B02DF3">
        <w:tc>
          <w:tcPr>
            <w:tcW w:w="1869" w:type="dxa"/>
            <w:shd w:val="clear" w:color="auto" w:fill="auto"/>
          </w:tcPr>
          <w:p w14:paraId="4B7DB297"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Люксембург</w:t>
            </w:r>
          </w:p>
        </w:tc>
        <w:tc>
          <w:tcPr>
            <w:tcW w:w="837" w:type="dxa"/>
            <w:shd w:val="clear" w:color="auto" w:fill="auto"/>
            <w:textDirection w:val="lrTbV"/>
            <w:vAlign w:val="bottom"/>
          </w:tcPr>
          <w:p w14:paraId="3039285E"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8</w:t>
            </w:r>
          </w:p>
        </w:tc>
        <w:tc>
          <w:tcPr>
            <w:tcW w:w="626" w:type="dxa"/>
            <w:shd w:val="clear" w:color="auto" w:fill="auto"/>
            <w:vAlign w:val="bottom"/>
          </w:tcPr>
          <w:p w14:paraId="1BCE6C00"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59120B46" w14:textId="77777777" w:rsidR="00B950FD" w:rsidRPr="001A5851" w:rsidRDefault="00B950FD" w:rsidP="00B02DF3">
            <w:pPr>
              <w:spacing w:before="40" w:after="40" w:line="220" w:lineRule="exact"/>
              <w:jc w:val="right"/>
              <w:rPr>
                <w:rFonts w:cs="Times New Roman"/>
                <w:sz w:val="18"/>
                <w:szCs w:val="24"/>
              </w:rPr>
            </w:pPr>
          </w:p>
        </w:tc>
        <w:tc>
          <w:tcPr>
            <w:tcW w:w="728" w:type="dxa"/>
            <w:shd w:val="clear" w:color="auto" w:fill="auto"/>
            <w:vAlign w:val="bottom"/>
          </w:tcPr>
          <w:p w14:paraId="24475D04"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60C81B19" w14:textId="77777777" w:rsidR="00B950FD" w:rsidRPr="001A5851" w:rsidRDefault="00B950FD" w:rsidP="00B02DF3">
            <w:pPr>
              <w:spacing w:before="40" w:after="40" w:line="220" w:lineRule="exact"/>
              <w:jc w:val="right"/>
              <w:rPr>
                <w:rFonts w:cs="Times New Roman"/>
                <w:sz w:val="18"/>
                <w:szCs w:val="24"/>
              </w:rPr>
            </w:pPr>
          </w:p>
        </w:tc>
        <w:tc>
          <w:tcPr>
            <w:tcW w:w="993" w:type="dxa"/>
            <w:shd w:val="clear" w:color="auto" w:fill="auto"/>
            <w:vAlign w:val="bottom"/>
          </w:tcPr>
          <w:p w14:paraId="77C47435" w14:textId="77777777" w:rsidR="00B950FD" w:rsidRPr="001A5851" w:rsidRDefault="00B950FD" w:rsidP="00B02DF3">
            <w:pPr>
              <w:spacing w:before="40" w:after="40" w:line="220" w:lineRule="exact"/>
              <w:jc w:val="right"/>
              <w:rPr>
                <w:rFonts w:cs="Times New Roman"/>
                <w:sz w:val="18"/>
                <w:szCs w:val="24"/>
              </w:rPr>
            </w:pPr>
          </w:p>
        </w:tc>
        <w:tc>
          <w:tcPr>
            <w:tcW w:w="1078" w:type="dxa"/>
            <w:shd w:val="clear" w:color="auto" w:fill="auto"/>
            <w:vAlign w:val="bottom"/>
          </w:tcPr>
          <w:p w14:paraId="46AB0532" w14:textId="77777777" w:rsidR="00B950FD" w:rsidRPr="001A5851" w:rsidRDefault="00B950FD" w:rsidP="00B02DF3">
            <w:pPr>
              <w:spacing w:before="40" w:after="40" w:line="220" w:lineRule="exact"/>
              <w:jc w:val="right"/>
              <w:rPr>
                <w:rFonts w:cs="Times New Roman"/>
                <w:sz w:val="18"/>
                <w:szCs w:val="24"/>
              </w:rPr>
            </w:pPr>
          </w:p>
        </w:tc>
        <w:tc>
          <w:tcPr>
            <w:tcW w:w="924" w:type="dxa"/>
            <w:shd w:val="clear" w:color="auto" w:fill="auto"/>
            <w:vAlign w:val="bottom"/>
          </w:tcPr>
          <w:p w14:paraId="29F33764" w14:textId="77777777" w:rsidR="00B950FD" w:rsidRPr="001A5851" w:rsidRDefault="00B950FD" w:rsidP="00B02DF3">
            <w:pPr>
              <w:spacing w:before="40" w:after="40" w:line="220" w:lineRule="exact"/>
              <w:jc w:val="right"/>
              <w:rPr>
                <w:rFonts w:cs="Times New Roman"/>
                <w:sz w:val="18"/>
                <w:szCs w:val="24"/>
              </w:rPr>
            </w:pPr>
          </w:p>
        </w:tc>
        <w:tc>
          <w:tcPr>
            <w:tcW w:w="994" w:type="dxa"/>
            <w:shd w:val="clear" w:color="auto" w:fill="auto"/>
            <w:vAlign w:val="bottom"/>
          </w:tcPr>
          <w:p w14:paraId="72A0C434" w14:textId="77777777" w:rsidR="00B950FD" w:rsidRPr="001A5851" w:rsidRDefault="00B950FD" w:rsidP="00B02DF3">
            <w:pPr>
              <w:spacing w:before="40" w:after="40" w:line="220" w:lineRule="exact"/>
              <w:jc w:val="right"/>
              <w:rPr>
                <w:rFonts w:cs="Times New Roman"/>
                <w:sz w:val="18"/>
                <w:szCs w:val="24"/>
              </w:rPr>
            </w:pPr>
          </w:p>
        </w:tc>
        <w:tc>
          <w:tcPr>
            <w:tcW w:w="938" w:type="dxa"/>
            <w:shd w:val="clear" w:color="auto" w:fill="auto"/>
            <w:vAlign w:val="bottom"/>
          </w:tcPr>
          <w:p w14:paraId="1C93E6AB" w14:textId="77777777" w:rsidR="00B950FD" w:rsidRPr="001A5851" w:rsidRDefault="00B950FD" w:rsidP="00B02DF3">
            <w:pPr>
              <w:spacing w:before="40" w:after="40" w:line="220" w:lineRule="exact"/>
              <w:jc w:val="right"/>
              <w:rPr>
                <w:rFonts w:cs="Times New Roman"/>
                <w:sz w:val="18"/>
                <w:szCs w:val="24"/>
              </w:rPr>
            </w:pPr>
          </w:p>
        </w:tc>
        <w:tc>
          <w:tcPr>
            <w:tcW w:w="630" w:type="dxa"/>
            <w:shd w:val="clear" w:color="auto" w:fill="auto"/>
            <w:vAlign w:val="bottom"/>
          </w:tcPr>
          <w:p w14:paraId="7104F7A0" w14:textId="77777777" w:rsidR="00B950FD" w:rsidRPr="001A5851" w:rsidRDefault="00B950FD" w:rsidP="00B02DF3">
            <w:pPr>
              <w:spacing w:before="40" w:after="40" w:line="220" w:lineRule="exact"/>
              <w:jc w:val="right"/>
              <w:rPr>
                <w:rFonts w:cs="Times New Roman"/>
                <w:sz w:val="18"/>
                <w:szCs w:val="24"/>
              </w:rPr>
            </w:pPr>
          </w:p>
        </w:tc>
        <w:tc>
          <w:tcPr>
            <w:tcW w:w="1469" w:type="dxa"/>
            <w:shd w:val="clear" w:color="auto" w:fill="auto"/>
            <w:vAlign w:val="bottom"/>
          </w:tcPr>
          <w:p w14:paraId="669C963B" w14:textId="77777777" w:rsidR="00B950FD" w:rsidRPr="001A5851" w:rsidRDefault="00B950FD" w:rsidP="00B02DF3">
            <w:pPr>
              <w:spacing w:before="40" w:after="40" w:line="220" w:lineRule="exact"/>
              <w:jc w:val="right"/>
              <w:rPr>
                <w:rFonts w:cs="Times New Roman"/>
                <w:sz w:val="18"/>
                <w:szCs w:val="24"/>
              </w:rPr>
            </w:pPr>
          </w:p>
        </w:tc>
        <w:tc>
          <w:tcPr>
            <w:tcW w:w="840" w:type="dxa"/>
            <w:shd w:val="clear" w:color="auto" w:fill="auto"/>
            <w:vAlign w:val="bottom"/>
          </w:tcPr>
          <w:p w14:paraId="203C3EDC" w14:textId="77777777" w:rsidR="00B950FD" w:rsidRPr="001A5851" w:rsidRDefault="00B950FD" w:rsidP="00B02DF3">
            <w:pPr>
              <w:spacing w:before="40" w:after="40" w:line="220" w:lineRule="exact"/>
              <w:jc w:val="right"/>
              <w:rPr>
                <w:rFonts w:cs="Times New Roman"/>
                <w:sz w:val="18"/>
                <w:szCs w:val="24"/>
              </w:rPr>
            </w:pPr>
          </w:p>
        </w:tc>
        <w:tc>
          <w:tcPr>
            <w:tcW w:w="607" w:type="dxa"/>
            <w:shd w:val="clear" w:color="auto" w:fill="auto"/>
            <w:vAlign w:val="bottom"/>
          </w:tcPr>
          <w:p w14:paraId="42444734" w14:textId="77777777" w:rsidR="00B950FD" w:rsidRPr="001A5851" w:rsidRDefault="00B950FD" w:rsidP="00B02DF3">
            <w:pPr>
              <w:spacing w:before="40" w:after="40" w:line="220" w:lineRule="exact"/>
              <w:jc w:val="right"/>
              <w:rPr>
                <w:rFonts w:cs="Times New Roman"/>
                <w:sz w:val="18"/>
                <w:szCs w:val="24"/>
              </w:rPr>
            </w:pPr>
          </w:p>
        </w:tc>
      </w:tr>
      <w:tr w:rsidR="00B950FD" w:rsidRPr="001A5851" w14:paraId="7D118353" w14:textId="77777777" w:rsidTr="00B02DF3">
        <w:tc>
          <w:tcPr>
            <w:tcW w:w="1869" w:type="dxa"/>
            <w:shd w:val="clear" w:color="auto" w:fill="auto"/>
          </w:tcPr>
          <w:p w14:paraId="68FC0224"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Мальта</w:t>
            </w:r>
          </w:p>
        </w:tc>
        <w:tc>
          <w:tcPr>
            <w:tcW w:w="837" w:type="dxa"/>
            <w:shd w:val="clear" w:color="auto" w:fill="auto"/>
            <w:textDirection w:val="lrTbV"/>
            <w:vAlign w:val="bottom"/>
          </w:tcPr>
          <w:p w14:paraId="26EB0D99" w14:textId="77777777" w:rsidR="00B950FD" w:rsidRPr="001A5851" w:rsidRDefault="00B950FD" w:rsidP="00B02DF3">
            <w:pPr>
              <w:spacing w:before="40" w:after="40" w:line="220" w:lineRule="exact"/>
              <w:jc w:val="right"/>
              <w:rPr>
                <w:rFonts w:cs="Times New Roman"/>
                <w:sz w:val="18"/>
                <w:szCs w:val="24"/>
              </w:rPr>
            </w:pPr>
          </w:p>
        </w:tc>
        <w:tc>
          <w:tcPr>
            <w:tcW w:w="626" w:type="dxa"/>
            <w:shd w:val="clear" w:color="auto" w:fill="auto"/>
            <w:vAlign w:val="bottom"/>
          </w:tcPr>
          <w:p w14:paraId="22757D5A"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1056A636" w14:textId="77777777" w:rsidR="00B950FD" w:rsidRPr="001A5851" w:rsidRDefault="00B950FD" w:rsidP="00B02DF3">
            <w:pPr>
              <w:spacing w:before="40" w:after="40" w:line="220" w:lineRule="exact"/>
              <w:jc w:val="right"/>
              <w:rPr>
                <w:rFonts w:cs="Times New Roman"/>
                <w:sz w:val="18"/>
                <w:szCs w:val="24"/>
              </w:rPr>
            </w:pPr>
          </w:p>
        </w:tc>
        <w:tc>
          <w:tcPr>
            <w:tcW w:w="728" w:type="dxa"/>
            <w:shd w:val="clear" w:color="auto" w:fill="auto"/>
            <w:vAlign w:val="bottom"/>
          </w:tcPr>
          <w:p w14:paraId="67332827"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9–26</w:t>
            </w:r>
          </w:p>
        </w:tc>
        <w:tc>
          <w:tcPr>
            <w:tcW w:w="742" w:type="dxa"/>
            <w:shd w:val="clear" w:color="auto" w:fill="auto"/>
            <w:vAlign w:val="bottom"/>
          </w:tcPr>
          <w:p w14:paraId="30984566" w14:textId="77777777" w:rsidR="00B950FD" w:rsidRPr="001A5851" w:rsidRDefault="00B950FD" w:rsidP="00B02DF3">
            <w:pPr>
              <w:spacing w:before="40" w:after="40" w:line="220" w:lineRule="exact"/>
              <w:jc w:val="right"/>
              <w:rPr>
                <w:rFonts w:cs="Times New Roman"/>
                <w:sz w:val="18"/>
                <w:szCs w:val="24"/>
              </w:rPr>
            </w:pPr>
          </w:p>
        </w:tc>
        <w:tc>
          <w:tcPr>
            <w:tcW w:w="993" w:type="dxa"/>
            <w:shd w:val="clear" w:color="auto" w:fill="auto"/>
            <w:vAlign w:val="bottom"/>
          </w:tcPr>
          <w:p w14:paraId="5CAB1CBD" w14:textId="77777777" w:rsidR="00B950FD" w:rsidRPr="001A5851" w:rsidRDefault="00B950FD" w:rsidP="00B02DF3">
            <w:pPr>
              <w:spacing w:before="40" w:after="40" w:line="220" w:lineRule="exact"/>
              <w:jc w:val="right"/>
              <w:rPr>
                <w:rFonts w:cs="Times New Roman"/>
                <w:sz w:val="18"/>
                <w:szCs w:val="24"/>
              </w:rPr>
            </w:pPr>
          </w:p>
        </w:tc>
        <w:tc>
          <w:tcPr>
            <w:tcW w:w="1078" w:type="dxa"/>
            <w:shd w:val="clear" w:color="auto" w:fill="auto"/>
            <w:vAlign w:val="bottom"/>
          </w:tcPr>
          <w:p w14:paraId="2B7A71D4" w14:textId="77777777" w:rsidR="00B950FD" w:rsidRPr="001A5851" w:rsidRDefault="00B950FD" w:rsidP="00B02DF3">
            <w:pPr>
              <w:spacing w:before="40" w:after="40" w:line="220" w:lineRule="exact"/>
              <w:jc w:val="right"/>
              <w:rPr>
                <w:rFonts w:cs="Times New Roman"/>
                <w:sz w:val="18"/>
                <w:szCs w:val="24"/>
              </w:rPr>
            </w:pPr>
          </w:p>
        </w:tc>
        <w:tc>
          <w:tcPr>
            <w:tcW w:w="924" w:type="dxa"/>
            <w:shd w:val="clear" w:color="auto" w:fill="auto"/>
            <w:vAlign w:val="bottom"/>
          </w:tcPr>
          <w:p w14:paraId="136D8C76" w14:textId="77777777" w:rsidR="00B950FD" w:rsidRPr="001A5851" w:rsidRDefault="00B950FD" w:rsidP="00B02DF3">
            <w:pPr>
              <w:spacing w:before="40" w:after="40" w:line="220" w:lineRule="exact"/>
              <w:jc w:val="right"/>
              <w:rPr>
                <w:rFonts w:cs="Times New Roman"/>
                <w:sz w:val="18"/>
                <w:szCs w:val="24"/>
              </w:rPr>
            </w:pPr>
          </w:p>
        </w:tc>
        <w:tc>
          <w:tcPr>
            <w:tcW w:w="994" w:type="dxa"/>
            <w:shd w:val="clear" w:color="auto" w:fill="auto"/>
            <w:vAlign w:val="bottom"/>
          </w:tcPr>
          <w:p w14:paraId="6CB2586A"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7</w:t>
            </w:r>
          </w:p>
        </w:tc>
        <w:tc>
          <w:tcPr>
            <w:tcW w:w="938" w:type="dxa"/>
            <w:shd w:val="clear" w:color="auto" w:fill="auto"/>
            <w:vAlign w:val="bottom"/>
          </w:tcPr>
          <w:p w14:paraId="10F6DAA3" w14:textId="77777777" w:rsidR="00B950FD" w:rsidRPr="001A5851" w:rsidRDefault="00B950FD" w:rsidP="00B02DF3">
            <w:pPr>
              <w:spacing w:before="40" w:after="40" w:line="220" w:lineRule="exact"/>
              <w:jc w:val="right"/>
              <w:rPr>
                <w:rFonts w:cs="Times New Roman"/>
                <w:sz w:val="18"/>
                <w:szCs w:val="24"/>
              </w:rPr>
            </w:pPr>
          </w:p>
        </w:tc>
        <w:tc>
          <w:tcPr>
            <w:tcW w:w="630" w:type="dxa"/>
            <w:shd w:val="clear" w:color="auto" w:fill="auto"/>
            <w:vAlign w:val="bottom"/>
          </w:tcPr>
          <w:p w14:paraId="692E6A11" w14:textId="77777777" w:rsidR="00B950FD" w:rsidRPr="001A5851" w:rsidRDefault="00B950FD" w:rsidP="00B02DF3">
            <w:pPr>
              <w:spacing w:before="40" w:after="40" w:line="220" w:lineRule="exact"/>
              <w:jc w:val="right"/>
              <w:rPr>
                <w:rFonts w:cs="Times New Roman"/>
                <w:sz w:val="18"/>
                <w:szCs w:val="24"/>
              </w:rPr>
            </w:pPr>
          </w:p>
        </w:tc>
        <w:tc>
          <w:tcPr>
            <w:tcW w:w="1469" w:type="dxa"/>
            <w:shd w:val="clear" w:color="auto" w:fill="auto"/>
            <w:vAlign w:val="bottom"/>
          </w:tcPr>
          <w:p w14:paraId="34A7F9A0" w14:textId="77777777" w:rsidR="00B950FD" w:rsidRPr="001A5851" w:rsidRDefault="00B950FD" w:rsidP="00B02DF3">
            <w:pPr>
              <w:spacing w:before="40" w:after="40" w:line="220" w:lineRule="exact"/>
              <w:jc w:val="right"/>
              <w:rPr>
                <w:rFonts w:cs="Times New Roman"/>
                <w:sz w:val="18"/>
                <w:szCs w:val="24"/>
              </w:rPr>
            </w:pPr>
          </w:p>
        </w:tc>
        <w:tc>
          <w:tcPr>
            <w:tcW w:w="840" w:type="dxa"/>
            <w:shd w:val="clear" w:color="auto" w:fill="auto"/>
            <w:vAlign w:val="bottom"/>
          </w:tcPr>
          <w:p w14:paraId="2B2034BC" w14:textId="77777777" w:rsidR="00B950FD" w:rsidRPr="001A5851" w:rsidRDefault="00B950FD" w:rsidP="00B02DF3">
            <w:pPr>
              <w:spacing w:before="40" w:after="40" w:line="220" w:lineRule="exact"/>
              <w:jc w:val="right"/>
              <w:rPr>
                <w:rFonts w:cs="Times New Roman"/>
                <w:sz w:val="18"/>
                <w:szCs w:val="24"/>
              </w:rPr>
            </w:pPr>
          </w:p>
        </w:tc>
        <w:tc>
          <w:tcPr>
            <w:tcW w:w="607" w:type="dxa"/>
            <w:shd w:val="clear" w:color="auto" w:fill="auto"/>
            <w:vAlign w:val="bottom"/>
          </w:tcPr>
          <w:p w14:paraId="0D93E053" w14:textId="77777777" w:rsidR="00B950FD" w:rsidRPr="001A5851" w:rsidRDefault="00B950FD" w:rsidP="00B02DF3">
            <w:pPr>
              <w:spacing w:before="40" w:after="40" w:line="220" w:lineRule="exact"/>
              <w:jc w:val="right"/>
              <w:rPr>
                <w:rFonts w:cs="Times New Roman"/>
                <w:sz w:val="18"/>
                <w:szCs w:val="24"/>
              </w:rPr>
            </w:pPr>
          </w:p>
        </w:tc>
      </w:tr>
      <w:tr w:rsidR="00B950FD" w:rsidRPr="001A5851" w14:paraId="54BA8430" w14:textId="77777777" w:rsidTr="00B02DF3">
        <w:tc>
          <w:tcPr>
            <w:tcW w:w="1869" w:type="dxa"/>
            <w:shd w:val="clear" w:color="auto" w:fill="auto"/>
          </w:tcPr>
          <w:p w14:paraId="23E809AE"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Черногория</w:t>
            </w:r>
          </w:p>
        </w:tc>
        <w:tc>
          <w:tcPr>
            <w:tcW w:w="837" w:type="dxa"/>
            <w:shd w:val="clear" w:color="auto" w:fill="auto"/>
            <w:textDirection w:val="lrTbV"/>
            <w:vAlign w:val="bottom"/>
          </w:tcPr>
          <w:p w14:paraId="17C81BE0" w14:textId="77777777" w:rsidR="00B950FD" w:rsidRPr="001A5851" w:rsidRDefault="00B950FD" w:rsidP="00B02DF3">
            <w:pPr>
              <w:spacing w:before="40" w:after="40" w:line="220" w:lineRule="exact"/>
              <w:jc w:val="right"/>
              <w:rPr>
                <w:rFonts w:cs="Times New Roman"/>
                <w:sz w:val="18"/>
                <w:szCs w:val="24"/>
              </w:rPr>
            </w:pPr>
          </w:p>
        </w:tc>
        <w:tc>
          <w:tcPr>
            <w:tcW w:w="626" w:type="dxa"/>
            <w:shd w:val="clear" w:color="auto" w:fill="auto"/>
            <w:vAlign w:val="bottom"/>
          </w:tcPr>
          <w:p w14:paraId="72E214AC"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66400271" w14:textId="77777777" w:rsidR="00B950FD" w:rsidRPr="001A5851" w:rsidRDefault="00B950FD" w:rsidP="00B02DF3">
            <w:pPr>
              <w:spacing w:before="40" w:after="40" w:line="220" w:lineRule="exact"/>
              <w:jc w:val="right"/>
              <w:rPr>
                <w:rFonts w:cs="Times New Roman"/>
                <w:sz w:val="18"/>
                <w:szCs w:val="24"/>
              </w:rPr>
            </w:pPr>
          </w:p>
        </w:tc>
        <w:tc>
          <w:tcPr>
            <w:tcW w:w="728" w:type="dxa"/>
            <w:shd w:val="clear" w:color="auto" w:fill="auto"/>
            <w:vAlign w:val="bottom"/>
          </w:tcPr>
          <w:p w14:paraId="40AAA1E9" w14:textId="77777777" w:rsidR="00B950FD" w:rsidRPr="001A5851" w:rsidRDefault="00B950FD" w:rsidP="00B02DF3">
            <w:pPr>
              <w:spacing w:before="40" w:after="40" w:line="220" w:lineRule="exact"/>
              <w:jc w:val="right"/>
              <w:rPr>
                <w:rFonts w:cs="Times New Roman"/>
                <w:sz w:val="18"/>
                <w:szCs w:val="24"/>
              </w:rPr>
            </w:pPr>
          </w:p>
        </w:tc>
        <w:tc>
          <w:tcPr>
            <w:tcW w:w="742" w:type="dxa"/>
            <w:shd w:val="clear" w:color="auto" w:fill="auto"/>
            <w:vAlign w:val="bottom"/>
          </w:tcPr>
          <w:p w14:paraId="6D1240F5" w14:textId="77777777" w:rsidR="00B950FD" w:rsidRPr="001A5851" w:rsidRDefault="00B950FD" w:rsidP="00B02DF3">
            <w:pPr>
              <w:spacing w:before="40" w:after="40" w:line="220" w:lineRule="exact"/>
              <w:jc w:val="right"/>
              <w:rPr>
                <w:rFonts w:cs="Times New Roman"/>
                <w:sz w:val="18"/>
                <w:szCs w:val="24"/>
              </w:rPr>
            </w:pPr>
          </w:p>
        </w:tc>
        <w:tc>
          <w:tcPr>
            <w:tcW w:w="993" w:type="dxa"/>
            <w:shd w:val="clear" w:color="auto" w:fill="auto"/>
            <w:vAlign w:val="bottom"/>
          </w:tcPr>
          <w:p w14:paraId="7052E49F" w14:textId="77777777" w:rsidR="00B950FD" w:rsidRPr="001A5851" w:rsidRDefault="00B950FD" w:rsidP="00B02DF3">
            <w:pPr>
              <w:spacing w:before="40" w:after="40" w:line="220" w:lineRule="exact"/>
              <w:jc w:val="right"/>
              <w:rPr>
                <w:rFonts w:cs="Times New Roman"/>
                <w:sz w:val="18"/>
                <w:szCs w:val="24"/>
              </w:rPr>
            </w:pPr>
          </w:p>
        </w:tc>
        <w:tc>
          <w:tcPr>
            <w:tcW w:w="1078" w:type="dxa"/>
            <w:shd w:val="clear" w:color="auto" w:fill="auto"/>
            <w:vAlign w:val="bottom"/>
          </w:tcPr>
          <w:p w14:paraId="37199E13" w14:textId="77777777" w:rsidR="00B950FD" w:rsidRPr="001A5851" w:rsidRDefault="00B950FD" w:rsidP="00B02DF3">
            <w:pPr>
              <w:spacing w:before="40" w:after="40" w:line="220" w:lineRule="exact"/>
              <w:jc w:val="right"/>
              <w:rPr>
                <w:rFonts w:cs="Times New Roman"/>
                <w:sz w:val="18"/>
                <w:szCs w:val="24"/>
              </w:rPr>
            </w:pPr>
          </w:p>
        </w:tc>
        <w:tc>
          <w:tcPr>
            <w:tcW w:w="924" w:type="dxa"/>
            <w:shd w:val="clear" w:color="auto" w:fill="auto"/>
            <w:vAlign w:val="bottom"/>
          </w:tcPr>
          <w:p w14:paraId="6CD2118C" w14:textId="77777777" w:rsidR="00B950FD" w:rsidRPr="001A5851" w:rsidRDefault="00B950FD" w:rsidP="00B02DF3">
            <w:pPr>
              <w:spacing w:before="40" w:after="40" w:line="220" w:lineRule="exact"/>
              <w:jc w:val="right"/>
              <w:rPr>
                <w:rFonts w:cs="Times New Roman"/>
                <w:sz w:val="18"/>
                <w:szCs w:val="24"/>
              </w:rPr>
            </w:pPr>
          </w:p>
        </w:tc>
        <w:tc>
          <w:tcPr>
            <w:tcW w:w="994" w:type="dxa"/>
            <w:shd w:val="clear" w:color="auto" w:fill="auto"/>
            <w:vAlign w:val="bottom"/>
          </w:tcPr>
          <w:p w14:paraId="51F80F1C"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24</w:t>
            </w:r>
          </w:p>
        </w:tc>
        <w:tc>
          <w:tcPr>
            <w:tcW w:w="938" w:type="dxa"/>
            <w:shd w:val="clear" w:color="auto" w:fill="auto"/>
            <w:vAlign w:val="bottom"/>
          </w:tcPr>
          <w:p w14:paraId="34688AB3" w14:textId="77777777" w:rsidR="00B950FD" w:rsidRPr="001A5851" w:rsidRDefault="00B950FD" w:rsidP="00B02DF3">
            <w:pPr>
              <w:spacing w:before="40" w:after="40" w:line="220" w:lineRule="exact"/>
              <w:jc w:val="right"/>
              <w:rPr>
                <w:rFonts w:cs="Times New Roman"/>
                <w:sz w:val="18"/>
                <w:szCs w:val="24"/>
              </w:rPr>
            </w:pPr>
          </w:p>
        </w:tc>
        <w:tc>
          <w:tcPr>
            <w:tcW w:w="630" w:type="dxa"/>
            <w:shd w:val="clear" w:color="auto" w:fill="auto"/>
            <w:vAlign w:val="bottom"/>
          </w:tcPr>
          <w:p w14:paraId="299DD397" w14:textId="77777777" w:rsidR="00B950FD" w:rsidRPr="001A5851" w:rsidRDefault="00B950FD" w:rsidP="00B02DF3">
            <w:pPr>
              <w:spacing w:before="40" w:after="40" w:line="220" w:lineRule="exact"/>
              <w:jc w:val="right"/>
              <w:rPr>
                <w:rFonts w:cs="Times New Roman"/>
                <w:sz w:val="18"/>
                <w:szCs w:val="24"/>
              </w:rPr>
            </w:pPr>
          </w:p>
        </w:tc>
        <w:tc>
          <w:tcPr>
            <w:tcW w:w="1469" w:type="dxa"/>
            <w:shd w:val="clear" w:color="auto" w:fill="auto"/>
            <w:vAlign w:val="bottom"/>
          </w:tcPr>
          <w:p w14:paraId="26CB042D" w14:textId="77777777" w:rsidR="00B950FD" w:rsidRPr="001A5851" w:rsidRDefault="00B950FD" w:rsidP="00B02DF3">
            <w:pPr>
              <w:spacing w:before="40" w:after="40" w:line="220" w:lineRule="exact"/>
              <w:jc w:val="right"/>
              <w:rPr>
                <w:rFonts w:cs="Times New Roman"/>
                <w:sz w:val="18"/>
                <w:szCs w:val="24"/>
              </w:rPr>
            </w:pPr>
          </w:p>
        </w:tc>
        <w:tc>
          <w:tcPr>
            <w:tcW w:w="840" w:type="dxa"/>
            <w:shd w:val="clear" w:color="auto" w:fill="auto"/>
            <w:vAlign w:val="bottom"/>
          </w:tcPr>
          <w:p w14:paraId="556BEE4A" w14:textId="77777777" w:rsidR="00B950FD" w:rsidRPr="001A5851" w:rsidRDefault="00B950FD" w:rsidP="00B02DF3">
            <w:pPr>
              <w:spacing w:before="40" w:after="40" w:line="220" w:lineRule="exact"/>
              <w:jc w:val="right"/>
              <w:rPr>
                <w:rFonts w:cs="Times New Roman"/>
                <w:sz w:val="18"/>
                <w:szCs w:val="24"/>
              </w:rPr>
            </w:pPr>
          </w:p>
        </w:tc>
        <w:tc>
          <w:tcPr>
            <w:tcW w:w="607" w:type="dxa"/>
            <w:shd w:val="clear" w:color="auto" w:fill="auto"/>
            <w:vAlign w:val="bottom"/>
          </w:tcPr>
          <w:p w14:paraId="28A172B6" w14:textId="77777777" w:rsidR="00B950FD" w:rsidRPr="001A5851" w:rsidRDefault="00B950FD" w:rsidP="00B02DF3">
            <w:pPr>
              <w:spacing w:before="40" w:after="40" w:line="220" w:lineRule="exact"/>
              <w:jc w:val="right"/>
              <w:rPr>
                <w:rFonts w:cs="Times New Roman"/>
                <w:sz w:val="18"/>
                <w:szCs w:val="24"/>
              </w:rPr>
            </w:pPr>
          </w:p>
        </w:tc>
      </w:tr>
      <w:tr w:rsidR="00B950FD" w:rsidRPr="001A5851" w14:paraId="10D336F7" w14:textId="77777777" w:rsidTr="00B02DF3">
        <w:tc>
          <w:tcPr>
            <w:tcW w:w="1869" w:type="dxa"/>
            <w:shd w:val="clear" w:color="auto" w:fill="auto"/>
          </w:tcPr>
          <w:p w14:paraId="126DF7A3"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Испания</w:t>
            </w:r>
          </w:p>
        </w:tc>
        <w:tc>
          <w:tcPr>
            <w:tcW w:w="837" w:type="dxa"/>
            <w:shd w:val="clear" w:color="auto" w:fill="auto"/>
            <w:textDirection w:val="lrTbV"/>
            <w:vAlign w:val="bottom"/>
          </w:tcPr>
          <w:p w14:paraId="1FC1E5A9"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626" w:type="dxa"/>
            <w:shd w:val="clear" w:color="auto" w:fill="auto"/>
            <w:vAlign w:val="bottom"/>
          </w:tcPr>
          <w:p w14:paraId="6C9435C5"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742" w:type="dxa"/>
            <w:shd w:val="clear" w:color="auto" w:fill="auto"/>
            <w:vAlign w:val="bottom"/>
          </w:tcPr>
          <w:p w14:paraId="0CDFBB4F"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728" w:type="dxa"/>
            <w:shd w:val="clear" w:color="auto" w:fill="auto"/>
            <w:vAlign w:val="bottom"/>
          </w:tcPr>
          <w:p w14:paraId="7E21792C"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742" w:type="dxa"/>
            <w:shd w:val="clear" w:color="auto" w:fill="auto"/>
            <w:vAlign w:val="bottom"/>
          </w:tcPr>
          <w:p w14:paraId="65328504"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993" w:type="dxa"/>
            <w:shd w:val="clear" w:color="auto" w:fill="auto"/>
            <w:vAlign w:val="bottom"/>
          </w:tcPr>
          <w:p w14:paraId="5E25EA5B"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1078" w:type="dxa"/>
            <w:shd w:val="clear" w:color="auto" w:fill="auto"/>
            <w:vAlign w:val="bottom"/>
          </w:tcPr>
          <w:p w14:paraId="6F9C8138"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924" w:type="dxa"/>
            <w:shd w:val="clear" w:color="auto" w:fill="auto"/>
            <w:vAlign w:val="bottom"/>
          </w:tcPr>
          <w:p w14:paraId="62162B37"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994" w:type="dxa"/>
            <w:shd w:val="clear" w:color="auto" w:fill="auto"/>
            <w:vAlign w:val="bottom"/>
          </w:tcPr>
          <w:p w14:paraId="0784D026"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938" w:type="dxa"/>
            <w:shd w:val="clear" w:color="auto" w:fill="auto"/>
            <w:vAlign w:val="bottom"/>
          </w:tcPr>
          <w:p w14:paraId="0D31FC41"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630" w:type="dxa"/>
            <w:shd w:val="clear" w:color="auto" w:fill="auto"/>
            <w:vAlign w:val="bottom"/>
          </w:tcPr>
          <w:p w14:paraId="51A6F0CD"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1469" w:type="dxa"/>
            <w:shd w:val="clear" w:color="auto" w:fill="auto"/>
            <w:vAlign w:val="bottom"/>
          </w:tcPr>
          <w:p w14:paraId="0C70C23D"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840" w:type="dxa"/>
            <w:shd w:val="clear" w:color="auto" w:fill="auto"/>
            <w:vAlign w:val="bottom"/>
          </w:tcPr>
          <w:p w14:paraId="5CD868DD"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607" w:type="dxa"/>
            <w:shd w:val="clear" w:color="auto" w:fill="auto"/>
            <w:vAlign w:val="bottom"/>
          </w:tcPr>
          <w:p w14:paraId="753BC3CB"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r>
      <w:tr w:rsidR="00B950FD" w:rsidRPr="001A5851" w14:paraId="6939DFCE" w14:textId="77777777" w:rsidTr="00B02DF3">
        <w:tc>
          <w:tcPr>
            <w:tcW w:w="1869" w:type="dxa"/>
            <w:tcBorders>
              <w:bottom w:val="single" w:sz="12" w:space="0" w:color="auto"/>
            </w:tcBorders>
            <w:shd w:val="clear" w:color="auto" w:fill="auto"/>
          </w:tcPr>
          <w:p w14:paraId="11F04AB8" w14:textId="77777777" w:rsidR="00B950FD" w:rsidRPr="001A5851" w:rsidRDefault="00B950FD" w:rsidP="00B02DF3">
            <w:pPr>
              <w:spacing w:before="40" w:after="40" w:line="220" w:lineRule="exact"/>
              <w:rPr>
                <w:rFonts w:cs="Times New Roman"/>
                <w:sz w:val="18"/>
                <w:szCs w:val="24"/>
              </w:rPr>
            </w:pPr>
            <w:r w:rsidRPr="001A5851">
              <w:rPr>
                <w:rFonts w:cs="Times New Roman"/>
                <w:sz w:val="18"/>
              </w:rPr>
              <w:t>Швеция</w:t>
            </w:r>
          </w:p>
        </w:tc>
        <w:tc>
          <w:tcPr>
            <w:tcW w:w="837" w:type="dxa"/>
            <w:tcBorders>
              <w:bottom w:val="single" w:sz="12" w:space="0" w:color="auto"/>
            </w:tcBorders>
            <w:shd w:val="clear" w:color="auto" w:fill="auto"/>
            <w:textDirection w:val="lrTbV"/>
            <w:vAlign w:val="bottom"/>
          </w:tcPr>
          <w:p w14:paraId="4A6F3608"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22</w:t>
            </w:r>
          </w:p>
        </w:tc>
        <w:tc>
          <w:tcPr>
            <w:tcW w:w="626" w:type="dxa"/>
            <w:tcBorders>
              <w:bottom w:val="single" w:sz="12" w:space="0" w:color="auto"/>
            </w:tcBorders>
            <w:shd w:val="clear" w:color="auto" w:fill="auto"/>
            <w:vAlign w:val="bottom"/>
          </w:tcPr>
          <w:p w14:paraId="2778ABCC" w14:textId="77777777" w:rsidR="00B950FD" w:rsidRPr="001A5851" w:rsidRDefault="00B950FD" w:rsidP="00B02DF3">
            <w:pPr>
              <w:spacing w:before="40" w:after="40" w:line="220" w:lineRule="exact"/>
              <w:jc w:val="right"/>
              <w:rPr>
                <w:rFonts w:cs="Times New Roman"/>
                <w:sz w:val="18"/>
                <w:szCs w:val="24"/>
              </w:rPr>
            </w:pPr>
          </w:p>
        </w:tc>
        <w:tc>
          <w:tcPr>
            <w:tcW w:w="742" w:type="dxa"/>
            <w:tcBorders>
              <w:bottom w:val="single" w:sz="12" w:space="0" w:color="auto"/>
            </w:tcBorders>
            <w:shd w:val="clear" w:color="auto" w:fill="auto"/>
            <w:vAlign w:val="bottom"/>
          </w:tcPr>
          <w:p w14:paraId="5B63713F" w14:textId="77777777" w:rsidR="00B950FD" w:rsidRPr="001A5851" w:rsidRDefault="00B950FD" w:rsidP="00B02DF3">
            <w:pPr>
              <w:spacing w:before="40" w:after="40" w:line="220" w:lineRule="exact"/>
              <w:jc w:val="right"/>
              <w:rPr>
                <w:rFonts w:cs="Times New Roman"/>
                <w:sz w:val="18"/>
                <w:szCs w:val="24"/>
              </w:rPr>
            </w:pPr>
            <w:r w:rsidRPr="001A5851">
              <w:rPr>
                <w:rFonts w:cs="Times New Roman"/>
                <w:sz w:val="18"/>
              </w:rPr>
              <w:t>13</w:t>
            </w:r>
          </w:p>
        </w:tc>
        <w:tc>
          <w:tcPr>
            <w:tcW w:w="728" w:type="dxa"/>
            <w:tcBorders>
              <w:bottom w:val="single" w:sz="12" w:space="0" w:color="auto"/>
            </w:tcBorders>
            <w:shd w:val="clear" w:color="auto" w:fill="auto"/>
            <w:vAlign w:val="bottom"/>
          </w:tcPr>
          <w:p w14:paraId="10FC6A50" w14:textId="77777777" w:rsidR="00B950FD" w:rsidRPr="001A5851" w:rsidRDefault="00B950FD" w:rsidP="00B02DF3">
            <w:pPr>
              <w:spacing w:before="40" w:after="40" w:line="220" w:lineRule="exact"/>
              <w:jc w:val="right"/>
              <w:rPr>
                <w:rFonts w:cs="Times New Roman"/>
                <w:sz w:val="18"/>
                <w:szCs w:val="24"/>
              </w:rPr>
            </w:pPr>
          </w:p>
        </w:tc>
        <w:tc>
          <w:tcPr>
            <w:tcW w:w="742" w:type="dxa"/>
            <w:tcBorders>
              <w:bottom w:val="single" w:sz="12" w:space="0" w:color="auto"/>
            </w:tcBorders>
            <w:shd w:val="clear" w:color="auto" w:fill="auto"/>
            <w:vAlign w:val="bottom"/>
          </w:tcPr>
          <w:p w14:paraId="3E872C2B" w14:textId="77777777" w:rsidR="00B950FD" w:rsidRPr="001A5851" w:rsidRDefault="00B950FD" w:rsidP="00B02DF3">
            <w:pPr>
              <w:spacing w:before="40" w:after="40" w:line="220" w:lineRule="exact"/>
              <w:jc w:val="right"/>
              <w:rPr>
                <w:rFonts w:cs="Times New Roman"/>
                <w:sz w:val="18"/>
                <w:szCs w:val="24"/>
              </w:rPr>
            </w:pPr>
          </w:p>
        </w:tc>
        <w:tc>
          <w:tcPr>
            <w:tcW w:w="993" w:type="dxa"/>
            <w:tcBorders>
              <w:bottom w:val="single" w:sz="12" w:space="0" w:color="auto"/>
            </w:tcBorders>
            <w:shd w:val="clear" w:color="auto" w:fill="auto"/>
            <w:vAlign w:val="bottom"/>
          </w:tcPr>
          <w:p w14:paraId="62B654CC" w14:textId="77777777" w:rsidR="00B950FD" w:rsidRPr="001A5851" w:rsidRDefault="00B950FD" w:rsidP="00B02DF3">
            <w:pPr>
              <w:spacing w:before="40" w:after="40" w:line="220" w:lineRule="exact"/>
              <w:jc w:val="right"/>
              <w:rPr>
                <w:rFonts w:cs="Times New Roman"/>
                <w:sz w:val="18"/>
                <w:szCs w:val="24"/>
              </w:rPr>
            </w:pPr>
          </w:p>
        </w:tc>
        <w:tc>
          <w:tcPr>
            <w:tcW w:w="1078" w:type="dxa"/>
            <w:tcBorders>
              <w:bottom w:val="single" w:sz="12" w:space="0" w:color="auto"/>
            </w:tcBorders>
            <w:shd w:val="clear" w:color="auto" w:fill="auto"/>
            <w:vAlign w:val="bottom"/>
          </w:tcPr>
          <w:p w14:paraId="07DFF486" w14:textId="77777777" w:rsidR="00B950FD" w:rsidRPr="001A5851" w:rsidRDefault="00B950FD" w:rsidP="00B02DF3">
            <w:pPr>
              <w:spacing w:before="40" w:after="40" w:line="220" w:lineRule="exact"/>
              <w:jc w:val="right"/>
              <w:rPr>
                <w:rFonts w:cs="Times New Roman"/>
                <w:sz w:val="18"/>
                <w:szCs w:val="24"/>
              </w:rPr>
            </w:pPr>
          </w:p>
        </w:tc>
        <w:tc>
          <w:tcPr>
            <w:tcW w:w="924" w:type="dxa"/>
            <w:tcBorders>
              <w:bottom w:val="single" w:sz="12" w:space="0" w:color="auto"/>
            </w:tcBorders>
            <w:shd w:val="clear" w:color="auto" w:fill="auto"/>
            <w:vAlign w:val="bottom"/>
          </w:tcPr>
          <w:p w14:paraId="35B46710" w14:textId="77777777" w:rsidR="00B950FD" w:rsidRPr="001A5851" w:rsidRDefault="00B950FD" w:rsidP="00B02DF3">
            <w:pPr>
              <w:spacing w:before="40" w:after="40" w:line="220" w:lineRule="exact"/>
              <w:jc w:val="right"/>
              <w:rPr>
                <w:rFonts w:cs="Times New Roman"/>
                <w:sz w:val="18"/>
                <w:szCs w:val="24"/>
              </w:rPr>
            </w:pPr>
          </w:p>
        </w:tc>
        <w:tc>
          <w:tcPr>
            <w:tcW w:w="994" w:type="dxa"/>
            <w:tcBorders>
              <w:bottom w:val="single" w:sz="12" w:space="0" w:color="auto"/>
            </w:tcBorders>
            <w:shd w:val="clear" w:color="auto" w:fill="auto"/>
            <w:vAlign w:val="bottom"/>
          </w:tcPr>
          <w:p w14:paraId="64E294FF" w14:textId="77777777" w:rsidR="00B950FD" w:rsidRPr="001A5851" w:rsidRDefault="00B950FD" w:rsidP="00B02DF3">
            <w:pPr>
              <w:spacing w:before="40" w:after="40" w:line="220" w:lineRule="exact"/>
              <w:jc w:val="right"/>
              <w:rPr>
                <w:rFonts w:cs="Times New Roman"/>
                <w:sz w:val="18"/>
                <w:szCs w:val="24"/>
              </w:rPr>
            </w:pPr>
          </w:p>
        </w:tc>
        <w:tc>
          <w:tcPr>
            <w:tcW w:w="938" w:type="dxa"/>
            <w:tcBorders>
              <w:bottom w:val="single" w:sz="12" w:space="0" w:color="auto"/>
            </w:tcBorders>
            <w:shd w:val="clear" w:color="auto" w:fill="auto"/>
            <w:vAlign w:val="bottom"/>
          </w:tcPr>
          <w:p w14:paraId="637ADFB7" w14:textId="77777777" w:rsidR="00B950FD" w:rsidRPr="001A5851" w:rsidRDefault="00B950FD" w:rsidP="00B02DF3">
            <w:pPr>
              <w:spacing w:before="40" w:after="40" w:line="220" w:lineRule="exact"/>
              <w:jc w:val="right"/>
              <w:rPr>
                <w:rFonts w:cs="Times New Roman"/>
                <w:sz w:val="18"/>
                <w:szCs w:val="24"/>
              </w:rPr>
            </w:pPr>
          </w:p>
        </w:tc>
        <w:tc>
          <w:tcPr>
            <w:tcW w:w="630" w:type="dxa"/>
            <w:tcBorders>
              <w:bottom w:val="single" w:sz="12" w:space="0" w:color="auto"/>
            </w:tcBorders>
            <w:shd w:val="clear" w:color="auto" w:fill="auto"/>
            <w:vAlign w:val="bottom"/>
          </w:tcPr>
          <w:p w14:paraId="7BE54A97" w14:textId="77777777" w:rsidR="00B950FD" w:rsidRPr="001A5851" w:rsidRDefault="00B950FD" w:rsidP="00B02DF3">
            <w:pPr>
              <w:spacing w:before="40" w:after="40" w:line="220" w:lineRule="exact"/>
              <w:jc w:val="right"/>
              <w:rPr>
                <w:rFonts w:cs="Times New Roman"/>
                <w:sz w:val="18"/>
                <w:szCs w:val="24"/>
              </w:rPr>
            </w:pPr>
          </w:p>
        </w:tc>
        <w:tc>
          <w:tcPr>
            <w:tcW w:w="1469" w:type="dxa"/>
            <w:tcBorders>
              <w:bottom w:val="single" w:sz="12" w:space="0" w:color="auto"/>
            </w:tcBorders>
            <w:shd w:val="clear" w:color="auto" w:fill="auto"/>
            <w:vAlign w:val="bottom"/>
          </w:tcPr>
          <w:p w14:paraId="266B7E44" w14:textId="77777777" w:rsidR="00B950FD" w:rsidRPr="001A5851" w:rsidRDefault="00B950FD" w:rsidP="00B02DF3">
            <w:pPr>
              <w:spacing w:before="40" w:after="40" w:line="220" w:lineRule="exact"/>
              <w:jc w:val="right"/>
              <w:rPr>
                <w:rFonts w:cs="Times New Roman"/>
                <w:sz w:val="18"/>
                <w:szCs w:val="24"/>
              </w:rPr>
            </w:pPr>
          </w:p>
        </w:tc>
        <w:tc>
          <w:tcPr>
            <w:tcW w:w="840" w:type="dxa"/>
            <w:tcBorders>
              <w:bottom w:val="single" w:sz="12" w:space="0" w:color="auto"/>
            </w:tcBorders>
            <w:shd w:val="clear" w:color="auto" w:fill="auto"/>
            <w:vAlign w:val="bottom"/>
          </w:tcPr>
          <w:p w14:paraId="04D7B07A" w14:textId="77777777" w:rsidR="00B950FD" w:rsidRPr="001A5851" w:rsidRDefault="00B950FD" w:rsidP="00B02DF3">
            <w:pPr>
              <w:spacing w:before="40" w:after="40" w:line="220" w:lineRule="exact"/>
              <w:jc w:val="right"/>
              <w:rPr>
                <w:rFonts w:cs="Times New Roman"/>
                <w:sz w:val="18"/>
                <w:szCs w:val="24"/>
              </w:rPr>
            </w:pPr>
          </w:p>
        </w:tc>
        <w:tc>
          <w:tcPr>
            <w:tcW w:w="607" w:type="dxa"/>
            <w:tcBorders>
              <w:bottom w:val="single" w:sz="12" w:space="0" w:color="auto"/>
            </w:tcBorders>
            <w:shd w:val="clear" w:color="auto" w:fill="auto"/>
            <w:vAlign w:val="bottom"/>
          </w:tcPr>
          <w:p w14:paraId="6199ED85" w14:textId="77777777" w:rsidR="00B950FD" w:rsidRPr="001A5851" w:rsidRDefault="00B950FD" w:rsidP="00B02DF3">
            <w:pPr>
              <w:spacing w:before="40" w:after="40" w:line="220" w:lineRule="exact"/>
              <w:jc w:val="right"/>
              <w:rPr>
                <w:rFonts w:cs="Times New Roman"/>
                <w:sz w:val="18"/>
                <w:szCs w:val="24"/>
              </w:rPr>
            </w:pPr>
          </w:p>
        </w:tc>
      </w:tr>
    </w:tbl>
    <w:p w14:paraId="6C4BCF87" w14:textId="77777777" w:rsidR="00B950FD" w:rsidRDefault="00B950FD" w:rsidP="00B950FD">
      <w:r>
        <w:br w:type="page"/>
      </w:r>
    </w:p>
    <w:p w14:paraId="33656B40" w14:textId="77777777" w:rsidR="00B950FD" w:rsidRPr="00BC5410" w:rsidRDefault="00B950FD" w:rsidP="00B950FD">
      <w:pPr>
        <w:pStyle w:val="H23G"/>
        <w:ind w:left="0" w:firstLine="0"/>
        <w:rPr>
          <w:rFonts w:eastAsia="Times"/>
          <w:b w:val="0"/>
          <w:bCs/>
        </w:rPr>
      </w:pPr>
      <w:r w:rsidRPr="0095548B">
        <w:rPr>
          <w:b w:val="0"/>
          <w:bCs/>
        </w:rPr>
        <w:lastRenderedPageBreak/>
        <w:t>Таблица 5</w:t>
      </w:r>
      <w:r>
        <w:br/>
      </w:r>
      <w:r w:rsidRPr="00BF1C27">
        <w:t>Ссылки на реестры внутренних и/или трансграничных процедур стратегической экологической оценки (случаи)</w:t>
      </w:r>
    </w:p>
    <w:tbl>
      <w:tblPr>
        <w:tblW w:w="14031" w:type="dxa"/>
        <w:tblInd w:w="28" w:type="dxa"/>
        <w:tblLayout w:type="fixed"/>
        <w:tblCellMar>
          <w:left w:w="0" w:type="dxa"/>
          <w:right w:w="0" w:type="dxa"/>
        </w:tblCellMar>
        <w:tblLook w:val="0620" w:firstRow="1" w:lastRow="0" w:firstColumn="0" w:lastColumn="0" w:noHBand="1" w:noVBand="1"/>
      </w:tblPr>
      <w:tblGrid>
        <w:gridCol w:w="1809"/>
        <w:gridCol w:w="6178"/>
        <w:gridCol w:w="6044"/>
      </w:tblGrid>
      <w:tr w:rsidR="00B950FD" w:rsidRPr="00D62D8E" w14:paraId="2F095293" w14:textId="77777777" w:rsidTr="00B02DF3">
        <w:trPr>
          <w:tblHeader/>
        </w:trPr>
        <w:tc>
          <w:tcPr>
            <w:tcW w:w="1809" w:type="dxa"/>
            <w:tcBorders>
              <w:top w:val="single" w:sz="4" w:space="0" w:color="auto"/>
              <w:bottom w:val="single" w:sz="12" w:space="0" w:color="auto"/>
            </w:tcBorders>
            <w:shd w:val="clear" w:color="auto" w:fill="auto"/>
            <w:vAlign w:val="bottom"/>
          </w:tcPr>
          <w:p w14:paraId="54D03DCE" w14:textId="77777777" w:rsidR="00B950FD" w:rsidRPr="00BF1C27" w:rsidRDefault="00B950FD" w:rsidP="00B02DF3">
            <w:pPr>
              <w:spacing w:before="80" w:after="80" w:line="200" w:lineRule="exact"/>
              <w:ind w:right="113"/>
              <w:rPr>
                <w:rFonts w:eastAsia="Times"/>
                <w:i/>
                <w:sz w:val="16"/>
              </w:rPr>
            </w:pPr>
            <w:r w:rsidRPr="00BF1C27">
              <w:rPr>
                <w:i/>
                <w:sz w:val="16"/>
              </w:rPr>
              <w:t>Сторона</w:t>
            </w:r>
          </w:p>
        </w:tc>
        <w:tc>
          <w:tcPr>
            <w:tcW w:w="6178" w:type="dxa"/>
            <w:tcBorders>
              <w:top w:val="single" w:sz="4" w:space="0" w:color="auto"/>
              <w:bottom w:val="single" w:sz="12" w:space="0" w:color="auto"/>
            </w:tcBorders>
            <w:shd w:val="clear" w:color="auto" w:fill="auto"/>
            <w:vAlign w:val="bottom"/>
          </w:tcPr>
          <w:p w14:paraId="53DFF395" w14:textId="77777777" w:rsidR="00B950FD" w:rsidRPr="00BF1C27" w:rsidRDefault="00B950FD" w:rsidP="00B02DF3">
            <w:pPr>
              <w:spacing w:before="80" w:after="80" w:line="200" w:lineRule="exact"/>
              <w:ind w:right="113"/>
              <w:rPr>
                <w:rFonts w:eastAsia="Times"/>
                <w:i/>
                <w:sz w:val="16"/>
              </w:rPr>
            </w:pPr>
            <w:r w:rsidRPr="00BF1C27">
              <w:rPr>
                <w:i/>
                <w:sz w:val="16"/>
              </w:rPr>
              <w:t>Внутренние процедуры</w:t>
            </w:r>
          </w:p>
        </w:tc>
        <w:tc>
          <w:tcPr>
            <w:tcW w:w="6044" w:type="dxa"/>
            <w:tcBorders>
              <w:top w:val="single" w:sz="4" w:space="0" w:color="auto"/>
              <w:bottom w:val="single" w:sz="12" w:space="0" w:color="auto"/>
            </w:tcBorders>
            <w:shd w:val="clear" w:color="auto" w:fill="auto"/>
            <w:vAlign w:val="bottom"/>
          </w:tcPr>
          <w:p w14:paraId="51907C9C" w14:textId="77777777" w:rsidR="00B950FD" w:rsidRPr="00BF1C27" w:rsidRDefault="00B950FD" w:rsidP="00B02DF3">
            <w:pPr>
              <w:spacing w:before="80" w:after="80" w:line="200" w:lineRule="exact"/>
              <w:ind w:right="113"/>
              <w:rPr>
                <w:rFonts w:eastAsia="Times"/>
                <w:i/>
                <w:sz w:val="16"/>
              </w:rPr>
            </w:pPr>
            <w:r w:rsidRPr="00BF1C27">
              <w:rPr>
                <w:i/>
                <w:sz w:val="16"/>
              </w:rPr>
              <w:t>Трансграничные процедуры</w:t>
            </w:r>
          </w:p>
        </w:tc>
      </w:tr>
      <w:tr w:rsidR="00B950FD" w:rsidRPr="00D62D8E" w14:paraId="474D070E" w14:textId="77777777" w:rsidTr="00B02DF3">
        <w:trPr>
          <w:trHeight w:hRule="exact" w:val="113"/>
          <w:tblHeader/>
        </w:trPr>
        <w:tc>
          <w:tcPr>
            <w:tcW w:w="1809" w:type="dxa"/>
            <w:tcBorders>
              <w:top w:val="single" w:sz="12" w:space="0" w:color="auto"/>
            </w:tcBorders>
            <w:shd w:val="clear" w:color="auto" w:fill="auto"/>
          </w:tcPr>
          <w:p w14:paraId="13B1AC71" w14:textId="77777777" w:rsidR="00B950FD" w:rsidRPr="00D62D8E" w:rsidRDefault="00B950FD" w:rsidP="00B02DF3">
            <w:pPr>
              <w:spacing w:before="40" w:after="120"/>
              <w:ind w:right="113"/>
              <w:rPr>
                <w:rFonts w:eastAsia="Times"/>
              </w:rPr>
            </w:pPr>
          </w:p>
        </w:tc>
        <w:tc>
          <w:tcPr>
            <w:tcW w:w="6178" w:type="dxa"/>
            <w:tcBorders>
              <w:top w:val="single" w:sz="12" w:space="0" w:color="auto"/>
            </w:tcBorders>
            <w:shd w:val="clear" w:color="auto" w:fill="auto"/>
          </w:tcPr>
          <w:p w14:paraId="22313921" w14:textId="77777777" w:rsidR="00B950FD" w:rsidRPr="00D62D8E" w:rsidRDefault="00B950FD" w:rsidP="00B02DF3">
            <w:pPr>
              <w:spacing w:before="40" w:after="120"/>
              <w:ind w:right="113"/>
              <w:rPr>
                <w:rFonts w:eastAsia="Times"/>
              </w:rPr>
            </w:pPr>
          </w:p>
        </w:tc>
        <w:tc>
          <w:tcPr>
            <w:tcW w:w="6044" w:type="dxa"/>
            <w:tcBorders>
              <w:top w:val="single" w:sz="12" w:space="0" w:color="auto"/>
            </w:tcBorders>
            <w:shd w:val="clear" w:color="auto" w:fill="auto"/>
          </w:tcPr>
          <w:p w14:paraId="556964CE" w14:textId="77777777" w:rsidR="00B950FD" w:rsidRPr="00D62D8E" w:rsidRDefault="00B950FD" w:rsidP="00B02DF3">
            <w:pPr>
              <w:spacing w:before="40" w:after="120"/>
              <w:ind w:right="113"/>
              <w:rPr>
                <w:rFonts w:eastAsia="Times"/>
              </w:rPr>
            </w:pPr>
          </w:p>
        </w:tc>
      </w:tr>
      <w:tr w:rsidR="00B950FD" w:rsidRPr="00D62D8E" w14:paraId="095BEA02" w14:textId="77777777" w:rsidTr="00B02DF3">
        <w:tc>
          <w:tcPr>
            <w:tcW w:w="1809" w:type="dxa"/>
            <w:shd w:val="clear" w:color="auto" w:fill="auto"/>
          </w:tcPr>
          <w:p w14:paraId="71148437" w14:textId="77777777" w:rsidR="00B950FD" w:rsidRPr="00D62D8E" w:rsidRDefault="00B950FD" w:rsidP="00B02DF3">
            <w:pPr>
              <w:spacing w:before="40" w:after="120"/>
              <w:ind w:right="113"/>
              <w:rPr>
                <w:rFonts w:eastAsia="Times"/>
              </w:rPr>
            </w:pPr>
            <w:r>
              <w:t>Хорватия</w:t>
            </w:r>
          </w:p>
        </w:tc>
        <w:tc>
          <w:tcPr>
            <w:tcW w:w="6178" w:type="dxa"/>
            <w:shd w:val="clear" w:color="auto" w:fill="auto"/>
          </w:tcPr>
          <w:p w14:paraId="3B2133E8" w14:textId="77777777" w:rsidR="00B950FD" w:rsidRPr="00D62D8E" w:rsidRDefault="009951B1" w:rsidP="00B02DF3">
            <w:pPr>
              <w:spacing w:before="40" w:after="120"/>
              <w:ind w:right="113"/>
              <w:rPr>
                <w:rFonts w:eastAsia="Times"/>
              </w:rPr>
            </w:pPr>
            <w:hyperlink r:id="rId25" w:history="1">
              <w:r w:rsidR="00B950FD" w:rsidRPr="00604F8C">
                <w:rPr>
                  <w:rStyle w:val="af1"/>
                  <w:lang w:val="en-GB"/>
                </w:rPr>
                <w:t>https</w:t>
              </w:r>
              <w:r w:rsidR="00B950FD" w:rsidRPr="00604F8C">
                <w:rPr>
                  <w:rStyle w:val="af1"/>
                </w:rPr>
                <w:t>://</w:t>
              </w:r>
              <w:proofErr w:type="spellStart"/>
              <w:r w:rsidR="00B950FD" w:rsidRPr="00604F8C">
                <w:rPr>
                  <w:rStyle w:val="af1"/>
                  <w:lang w:val="en-GB"/>
                </w:rPr>
                <w:t>mingor</w:t>
              </w:r>
              <w:proofErr w:type="spellEnd"/>
              <w:r w:rsidR="00B950FD" w:rsidRPr="00604F8C">
                <w:rPr>
                  <w:rStyle w:val="af1"/>
                </w:rPr>
                <w:t>.</w:t>
              </w:r>
              <w:r w:rsidR="00B950FD" w:rsidRPr="00604F8C">
                <w:rPr>
                  <w:rStyle w:val="af1"/>
                  <w:lang w:val="en-GB"/>
                </w:rPr>
                <w:t>gov</w:t>
              </w:r>
              <w:r w:rsidR="00B950FD" w:rsidRPr="00604F8C">
                <w:rPr>
                  <w:rStyle w:val="af1"/>
                </w:rPr>
                <w:t>.</w:t>
              </w:r>
              <w:r w:rsidR="00B950FD" w:rsidRPr="00604F8C">
                <w:rPr>
                  <w:rStyle w:val="af1"/>
                  <w:lang w:val="en-GB"/>
                </w:rPr>
                <w:t>hr</w:t>
              </w:r>
              <w:r w:rsidR="00B950FD" w:rsidRPr="00604F8C">
                <w:rPr>
                  <w:rStyle w:val="af1"/>
                </w:rPr>
                <w:t>/</w:t>
              </w:r>
              <w:proofErr w:type="spellStart"/>
              <w:r w:rsidR="00B950FD" w:rsidRPr="00604F8C">
                <w:rPr>
                  <w:rStyle w:val="af1"/>
                  <w:lang w:val="en-GB"/>
                </w:rPr>
                <w:t>oministarstvu</w:t>
              </w:r>
              <w:proofErr w:type="spellEnd"/>
              <w:r w:rsidR="00B950FD" w:rsidRPr="00604F8C">
                <w:rPr>
                  <w:rStyle w:val="af1"/>
                </w:rPr>
                <w:t>–1065/</w:t>
              </w:r>
              <w:proofErr w:type="spellStart"/>
              <w:r w:rsidR="00B950FD" w:rsidRPr="00604F8C">
                <w:rPr>
                  <w:rStyle w:val="af1"/>
                  <w:lang w:val="en-GB"/>
                </w:rPr>
                <w:t>djelokrug</w:t>
              </w:r>
              <w:proofErr w:type="spellEnd"/>
              <w:r w:rsidR="00B950FD" w:rsidRPr="00604F8C">
                <w:rPr>
                  <w:rStyle w:val="af1"/>
                </w:rPr>
                <w:t>–</w:t>
              </w:r>
              <w:proofErr w:type="spellStart"/>
              <w:r w:rsidR="00B950FD" w:rsidRPr="00604F8C">
                <w:rPr>
                  <w:rStyle w:val="af1"/>
                  <w:lang w:val="en-GB"/>
                </w:rPr>
                <w:t>rada</w:t>
              </w:r>
              <w:proofErr w:type="spellEnd"/>
              <w:r w:rsidR="00B950FD" w:rsidRPr="00604F8C">
                <w:rPr>
                  <w:rStyle w:val="af1"/>
                </w:rPr>
                <w:t>/</w:t>
              </w:r>
              <w:proofErr w:type="spellStart"/>
              <w:r w:rsidR="00B950FD" w:rsidRPr="00604F8C">
                <w:rPr>
                  <w:rStyle w:val="af1"/>
                  <w:lang w:val="en-GB"/>
                </w:rPr>
                <w:t>upravaza</w:t>
              </w:r>
              <w:proofErr w:type="spellEnd"/>
              <w:r w:rsidR="00B950FD" w:rsidRPr="00604F8C">
                <w:rPr>
                  <w:rStyle w:val="af1"/>
                </w:rPr>
                <w:t>–</w:t>
              </w:r>
              <w:proofErr w:type="spellStart"/>
              <w:r w:rsidR="00B950FD" w:rsidRPr="00604F8C">
                <w:rPr>
                  <w:rStyle w:val="af1"/>
                  <w:lang w:val="en-GB"/>
                </w:rPr>
                <w:t>procjenu</w:t>
              </w:r>
              <w:proofErr w:type="spellEnd"/>
              <w:r w:rsidR="00B950FD" w:rsidRPr="00604F8C">
                <w:rPr>
                  <w:rStyle w:val="af1"/>
                </w:rPr>
                <w:t>–</w:t>
              </w:r>
              <w:proofErr w:type="spellStart"/>
              <w:r w:rsidR="00B950FD" w:rsidRPr="00604F8C">
                <w:rPr>
                  <w:rStyle w:val="af1"/>
                  <w:lang w:val="en-GB"/>
                </w:rPr>
                <w:t>utjecaja</w:t>
              </w:r>
              <w:proofErr w:type="spellEnd"/>
              <w:r w:rsidR="00B950FD" w:rsidRPr="00604F8C">
                <w:rPr>
                  <w:rStyle w:val="af1"/>
                </w:rPr>
                <w:t>–</w:t>
              </w:r>
              <w:proofErr w:type="spellStart"/>
              <w:r w:rsidR="00B950FD" w:rsidRPr="00604F8C">
                <w:rPr>
                  <w:rStyle w:val="af1"/>
                  <w:lang w:val="en-GB"/>
                </w:rPr>
                <w:t>na</w:t>
              </w:r>
              <w:proofErr w:type="spellEnd"/>
              <w:r w:rsidR="00B950FD" w:rsidRPr="00604F8C">
                <w:rPr>
                  <w:rStyle w:val="af1"/>
                </w:rPr>
                <w:t>–</w:t>
              </w:r>
              <w:proofErr w:type="spellStart"/>
              <w:r w:rsidR="00B950FD" w:rsidRPr="00604F8C">
                <w:rPr>
                  <w:rStyle w:val="af1"/>
                  <w:lang w:val="en-GB"/>
                </w:rPr>
                <w:t>okolis</w:t>
              </w:r>
              <w:proofErr w:type="spellEnd"/>
              <w:r w:rsidR="00B950FD" w:rsidRPr="00604F8C">
                <w:rPr>
                  <w:rStyle w:val="af1"/>
                </w:rPr>
                <w:t>–</w:t>
              </w:r>
              <w:proofErr w:type="spellStart"/>
              <w:r w:rsidR="00B950FD" w:rsidRPr="00604F8C">
                <w:rPr>
                  <w:rStyle w:val="af1"/>
                  <w:lang w:val="en-GB"/>
                </w:rPr>
                <w:t>i</w:t>
              </w:r>
              <w:proofErr w:type="spellEnd"/>
              <w:r w:rsidR="00B950FD" w:rsidRPr="00604F8C">
                <w:rPr>
                  <w:rStyle w:val="af1"/>
                </w:rPr>
                <w:t>–</w:t>
              </w:r>
              <w:proofErr w:type="spellStart"/>
              <w:r w:rsidR="00B950FD" w:rsidRPr="00604F8C">
                <w:rPr>
                  <w:rStyle w:val="af1"/>
                  <w:lang w:val="en-GB"/>
                </w:rPr>
                <w:t>odrzivogospodarenje</w:t>
              </w:r>
              <w:proofErr w:type="spellEnd"/>
              <w:r w:rsidR="00B950FD" w:rsidRPr="00604F8C">
                <w:rPr>
                  <w:rStyle w:val="af1"/>
                </w:rPr>
                <w:t>–</w:t>
              </w:r>
              <w:proofErr w:type="spellStart"/>
              <w:r w:rsidR="00B950FD" w:rsidRPr="00604F8C">
                <w:rPr>
                  <w:rStyle w:val="af1"/>
                  <w:lang w:val="en-GB"/>
                </w:rPr>
                <w:t>otpadom</w:t>
              </w:r>
              <w:proofErr w:type="spellEnd"/>
              <w:r w:rsidR="00B950FD" w:rsidRPr="00604F8C">
                <w:rPr>
                  <w:rStyle w:val="af1"/>
                </w:rPr>
                <w:t>–1271/</w:t>
              </w:r>
              <w:proofErr w:type="spellStart"/>
              <w:r w:rsidR="00B950FD" w:rsidRPr="00604F8C">
                <w:rPr>
                  <w:rStyle w:val="af1"/>
                  <w:lang w:val="en-GB"/>
                </w:rPr>
                <w:t>procjenautjecaja</w:t>
              </w:r>
              <w:proofErr w:type="spellEnd"/>
              <w:r w:rsidR="00B950FD" w:rsidRPr="00604F8C">
                <w:rPr>
                  <w:rStyle w:val="af1"/>
                </w:rPr>
                <w:t>–</w:t>
              </w:r>
              <w:proofErr w:type="spellStart"/>
              <w:r w:rsidR="00B950FD" w:rsidRPr="00604F8C">
                <w:rPr>
                  <w:rStyle w:val="af1"/>
                  <w:lang w:val="en-GB"/>
                </w:rPr>
                <w:t>na</w:t>
              </w:r>
              <w:proofErr w:type="spellEnd"/>
              <w:r w:rsidR="00B950FD" w:rsidRPr="00604F8C">
                <w:rPr>
                  <w:rStyle w:val="af1"/>
                </w:rPr>
                <w:t>–</w:t>
              </w:r>
              <w:proofErr w:type="spellStart"/>
              <w:r w:rsidR="00B950FD" w:rsidRPr="00604F8C">
                <w:rPr>
                  <w:rStyle w:val="af1"/>
                  <w:lang w:val="en-GB"/>
                </w:rPr>
                <w:t>okolis</w:t>
              </w:r>
              <w:proofErr w:type="spellEnd"/>
              <w:r w:rsidR="00B950FD" w:rsidRPr="00604F8C">
                <w:rPr>
                  <w:rStyle w:val="af1"/>
                </w:rPr>
                <w:t>–</w:t>
              </w:r>
              <w:proofErr w:type="spellStart"/>
              <w:r w:rsidR="00B950FD" w:rsidRPr="00604F8C">
                <w:rPr>
                  <w:rStyle w:val="af1"/>
                  <w:lang w:val="en-GB"/>
                </w:rPr>
                <w:t>puo</w:t>
              </w:r>
              <w:proofErr w:type="spellEnd"/>
              <w:r w:rsidR="00B950FD" w:rsidRPr="00604F8C">
                <w:rPr>
                  <w:rStyle w:val="af1"/>
                </w:rPr>
                <w:t>–</w:t>
              </w:r>
              <w:proofErr w:type="spellStart"/>
              <w:r w:rsidR="00B950FD" w:rsidRPr="00604F8C">
                <w:rPr>
                  <w:rStyle w:val="af1"/>
                  <w:lang w:val="en-GB"/>
                </w:rPr>
                <w:t>spuo</w:t>
              </w:r>
              <w:proofErr w:type="spellEnd"/>
              <w:r w:rsidR="00B950FD" w:rsidRPr="00604F8C">
                <w:rPr>
                  <w:rStyle w:val="af1"/>
                </w:rPr>
                <w:t>/</w:t>
              </w:r>
              <w:proofErr w:type="spellStart"/>
              <w:r w:rsidR="00B950FD" w:rsidRPr="00604F8C">
                <w:rPr>
                  <w:rStyle w:val="af1"/>
                  <w:lang w:val="en-GB"/>
                </w:rPr>
                <w:t>strateskaprocjena</w:t>
              </w:r>
              <w:proofErr w:type="spellEnd"/>
              <w:r w:rsidR="00B950FD" w:rsidRPr="00604F8C">
                <w:rPr>
                  <w:rStyle w:val="af1"/>
                </w:rPr>
                <w:t>–</w:t>
              </w:r>
              <w:proofErr w:type="spellStart"/>
              <w:r w:rsidR="00B950FD" w:rsidRPr="00604F8C">
                <w:rPr>
                  <w:rStyle w:val="af1"/>
                  <w:lang w:val="en-GB"/>
                </w:rPr>
                <w:t>utjecaja</w:t>
              </w:r>
              <w:proofErr w:type="spellEnd"/>
              <w:r w:rsidR="00B950FD" w:rsidRPr="00604F8C">
                <w:rPr>
                  <w:rStyle w:val="af1"/>
                </w:rPr>
                <w:t>–</w:t>
              </w:r>
              <w:proofErr w:type="spellStart"/>
              <w:r w:rsidR="00B950FD" w:rsidRPr="00604F8C">
                <w:rPr>
                  <w:rStyle w:val="af1"/>
                  <w:lang w:val="en-GB"/>
                </w:rPr>
                <w:t>na</w:t>
              </w:r>
              <w:proofErr w:type="spellEnd"/>
              <w:r w:rsidR="00B950FD" w:rsidRPr="00604F8C">
                <w:rPr>
                  <w:rStyle w:val="af1"/>
                </w:rPr>
                <w:t>–</w:t>
              </w:r>
              <w:proofErr w:type="spellStart"/>
              <w:r w:rsidR="00B950FD" w:rsidRPr="00604F8C">
                <w:rPr>
                  <w:rStyle w:val="af1"/>
                  <w:lang w:val="en-GB"/>
                </w:rPr>
                <w:t>okolis</w:t>
              </w:r>
              <w:proofErr w:type="spellEnd"/>
              <w:r w:rsidR="00B950FD" w:rsidRPr="00604F8C">
                <w:rPr>
                  <w:rStyle w:val="af1"/>
                </w:rPr>
                <w:t>–</w:t>
              </w:r>
              <w:proofErr w:type="spellStart"/>
              <w:r w:rsidR="00B950FD" w:rsidRPr="00604F8C">
                <w:rPr>
                  <w:rStyle w:val="af1"/>
                  <w:lang w:val="en-GB"/>
                </w:rPr>
                <w:t>spuo</w:t>
              </w:r>
              <w:proofErr w:type="spellEnd"/>
              <w:r w:rsidR="00B950FD" w:rsidRPr="00604F8C">
                <w:rPr>
                  <w:rStyle w:val="af1"/>
                </w:rPr>
                <w:t>4015/4015</w:t>
              </w:r>
            </w:hyperlink>
            <w:r w:rsidR="00B950FD">
              <w:t xml:space="preserve"> </w:t>
            </w:r>
          </w:p>
        </w:tc>
        <w:tc>
          <w:tcPr>
            <w:tcW w:w="6044" w:type="dxa"/>
            <w:shd w:val="clear" w:color="auto" w:fill="auto"/>
          </w:tcPr>
          <w:p w14:paraId="03D123ED" w14:textId="77777777" w:rsidR="00B950FD" w:rsidRPr="005B7E97" w:rsidRDefault="009951B1" w:rsidP="00B02DF3">
            <w:pPr>
              <w:spacing w:before="40" w:after="120"/>
              <w:ind w:right="113"/>
              <w:rPr>
                <w:rStyle w:val="af1"/>
              </w:rPr>
            </w:pPr>
            <w:hyperlink r:id="rId26" w:history="1">
              <w:r w:rsidR="00B950FD" w:rsidRPr="0095548B">
                <w:rPr>
                  <w:rStyle w:val="af1"/>
                  <w:lang w:val="en-GB"/>
                </w:rPr>
                <w:t>https</w:t>
              </w:r>
              <w:r w:rsidR="00B950FD" w:rsidRPr="005B7E97">
                <w:rPr>
                  <w:rStyle w:val="af1"/>
                </w:rPr>
                <w:t>://</w:t>
              </w:r>
              <w:proofErr w:type="spellStart"/>
              <w:r w:rsidR="00B950FD" w:rsidRPr="0095548B">
                <w:rPr>
                  <w:rStyle w:val="af1"/>
                  <w:lang w:val="en-GB"/>
                </w:rPr>
                <w:t>mingor</w:t>
              </w:r>
              <w:proofErr w:type="spellEnd"/>
              <w:r w:rsidR="00B950FD" w:rsidRPr="005B7E97">
                <w:rPr>
                  <w:rStyle w:val="af1"/>
                </w:rPr>
                <w:t>.</w:t>
              </w:r>
              <w:r w:rsidR="00B950FD" w:rsidRPr="0095548B">
                <w:rPr>
                  <w:rStyle w:val="af1"/>
                  <w:lang w:val="en-GB"/>
                </w:rPr>
                <w:t>gov</w:t>
              </w:r>
              <w:r w:rsidR="00B950FD" w:rsidRPr="005B7E97">
                <w:rPr>
                  <w:rStyle w:val="af1"/>
                </w:rPr>
                <w:t>.</w:t>
              </w:r>
              <w:r w:rsidR="00B950FD" w:rsidRPr="0095548B">
                <w:rPr>
                  <w:rStyle w:val="af1"/>
                  <w:lang w:val="en-GB"/>
                </w:rPr>
                <w:t>hr</w:t>
              </w:r>
              <w:r w:rsidR="00B950FD" w:rsidRPr="005B7E97">
                <w:rPr>
                  <w:rStyle w:val="af1"/>
                </w:rPr>
                <w:t>/</w:t>
              </w:r>
              <w:proofErr w:type="spellStart"/>
              <w:r w:rsidR="00B950FD" w:rsidRPr="0095548B">
                <w:rPr>
                  <w:rStyle w:val="af1"/>
                  <w:lang w:val="en-GB"/>
                </w:rPr>
                <w:t>oministarstvu</w:t>
              </w:r>
              <w:proofErr w:type="spellEnd"/>
              <w:r w:rsidR="00B950FD" w:rsidRPr="005B7E97">
                <w:rPr>
                  <w:rStyle w:val="af1"/>
                </w:rPr>
                <w:t>–1065/</w:t>
              </w:r>
              <w:proofErr w:type="spellStart"/>
              <w:r w:rsidR="00B950FD" w:rsidRPr="0095548B">
                <w:rPr>
                  <w:rStyle w:val="af1"/>
                  <w:lang w:val="en-GB"/>
                </w:rPr>
                <w:t>djelokrug</w:t>
              </w:r>
              <w:proofErr w:type="spellEnd"/>
              <w:r w:rsidR="00B950FD" w:rsidRPr="005B7E97">
                <w:rPr>
                  <w:rStyle w:val="af1"/>
                </w:rPr>
                <w:t>–</w:t>
              </w:r>
              <w:proofErr w:type="spellStart"/>
              <w:r w:rsidR="00B950FD" w:rsidRPr="0095548B">
                <w:rPr>
                  <w:rStyle w:val="af1"/>
                  <w:lang w:val="en-GB"/>
                </w:rPr>
                <w:t>rada</w:t>
              </w:r>
              <w:proofErr w:type="spellEnd"/>
              <w:r w:rsidR="00B950FD" w:rsidRPr="005B7E97">
                <w:rPr>
                  <w:rStyle w:val="af1"/>
                </w:rPr>
                <w:t>/</w:t>
              </w:r>
              <w:proofErr w:type="spellStart"/>
              <w:r w:rsidR="00B950FD" w:rsidRPr="0095548B">
                <w:rPr>
                  <w:rStyle w:val="af1"/>
                  <w:lang w:val="en-GB"/>
                </w:rPr>
                <w:t>uprava</w:t>
              </w:r>
              <w:proofErr w:type="spellEnd"/>
              <w:r w:rsidR="00B950FD" w:rsidRPr="005B7E97">
                <w:rPr>
                  <w:rStyle w:val="af1"/>
                </w:rPr>
                <w:t>–</w:t>
              </w:r>
              <w:proofErr w:type="spellStart"/>
              <w:r w:rsidR="00B950FD" w:rsidRPr="0095548B">
                <w:rPr>
                  <w:rStyle w:val="af1"/>
                  <w:lang w:val="en-GB"/>
                </w:rPr>
                <w:t>zaprocjenu</w:t>
              </w:r>
              <w:proofErr w:type="spellEnd"/>
              <w:r w:rsidR="00B950FD" w:rsidRPr="005B7E97">
                <w:rPr>
                  <w:rStyle w:val="af1"/>
                </w:rPr>
                <w:t>–</w:t>
              </w:r>
              <w:proofErr w:type="spellStart"/>
              <w:r w:rsidR="00B950FD" w:rsidRPr="0095548B">
                <w:rPr>
                  <w:rStyle w:val="af1"/>
                  <w:lang w:val="en-GB"/>
                </w:rPr>
                <w:t>utjecaja</w:t>
              </w:r>
              <w:proofErr w:type="spellEnd"/>
              <w:r w:rsidR="00B950FD" w:rsidRPr="005B7E97">
                <w:rPr>
                  <w:rStyle w:val="af1"/>
                </w:rPr>
                <w:t>–</w:t>
              </w:r>
              <w:proofErr w:type="spellStart"/>
              <w:r w:rsidR="00B950FD" w:rsidRPr="0095548B">
                <w:rPr>
                  <w:rStyle w:val="af1"/>
                  <w:lang w:val="en-GB"/>
                </w:rPr>
                <w:t>na</w:t>
              </w:r>
              <w:proofErr w:type="spellEnd"/>
              <w:r w:rsidR="00B950FD" w:rsidRPr="005B7E97">
                <w:rPr>
                  <w:rStyle w:val="af1"/>
                </w:rPr>
                <w:t>–</w:t>
              </w:r>
              <w:proofErr w:type="spellStart"/>
              <w:r w:rsidR="00B950FD" w:rsidRPr="0095548B">
                <w:rPr>
                  <w:rStyle w:val="af1"/>
                  <w:lang w:val="en-GB"/>
                </w:rPr>
                <w:t>okolis</w:t>
              </w:r>
              <w:proofErr w:type="spellEnd"/>
              <w:r w:rsidR="00B950FD" w:rsidRPr="005B7E97">
                <w:rPr>
                  <w:rStyle w:val="af1"/>
                </w:rPr>
                <w:t>–</w:t>
              </w:r>
              <w:proofErr w:type="spellStart"/>
              <w:r w:rsidR="00B950FD" w:rsidRPr="0095548B">
                <w:rPr>
                  <w:rStyle w:val="af1"/>
                  <w:lang w:val="en-GB"/>
                </w:rPr>
                <w:t>i</w:t>
              </w:r>
              <w:proofErr w:type="spellEnd"/>
              <w:r w:rsidR="00B950FD" w:rsidRPr="005B7E97">
                <w:rPr>
                  <w:rStyle w:val="af1"/>
                </w:rPr>
                <w:t>–</w:t>
              </w:r>
              <w:proofErr w:type="spellStart"/>
              <w:r w:rsidR="00B950FD" w:rsidRPr="0095548B">
                <w:rPr>
                  <w:rStyle w:val="af1"/>
                  <w:lang w:val="en-GB"/>
                </w:rPr>
                <w:t>odrzivogospodarenje</w:t>
              </w:r>
              <w:proofErr w:type="spellEnd"/>
              <w:r w:rsidR="00B950FD" w:rsidRPr="005B7E97">
                <w:rPr>
                  <w:rStyle w:val="af1"/>
                </w:rPr>
                <w:t>–</w:t>
              </w:r>
              <w:proofErr w:type="spellStart"/>
              <w:r w:rsidR="00B950FD" w:rsidRPr="0095548B">
                <w:rPr>
                  <w:rStyle w:val="af1"/>
                  <w:lang w:val="en-GB"/>
                </w:rPr>
                <w:t>otpadom</w:t>
              </w:r>
              <w:proofErr w:type="spellEnd"/>
              <w:r w:rsidR="00B950FD" w:rsidRPr="005B7E97">
                <w:rPr>
                  <w:rStyle w:val="af1"/>
                </w:rPr>
                <w:t>–1271/</w:t>
              </w:r>
              <w:proofErr w:type="spellStart"/>
              <w:r w:rsidR="00B950FD" w:rsidRPr="0095548B">
                <w:rPr>
                  <w:rStyle w:val="af1"/>
                  <w:lang w:val="en-GB"/>
                </w:rPr>
                <w:t>procjenautjecaja</w:t>
              </w:r>
              <w:proofErr w:type="spellEnd"/>
              <w:r w:rsidR="00B950FD" w:rsidRPr="005B7E97">
                <w:rPr>
                  <w:rStyle w:val="af1"/>
                </w:rPr>
                <w:t>–</w:t>
              </w:r>
              <w:proofErr w:type="spellStart"/>
              <w:r w:rsidR="00B950FD" w:rsidRPr="0095548B">
                <w:rPr>
                  <w:rStyle w:val="af1"/>
                  <w:lang w:val="en-GB"/>
                </w:rPr>
                <w:t>na</w:t>
              </w:r>
              <w:proofErr w:type="spellEnd"/>
              <w:r w:rsidR="00B950FD" w:rsidRPr="005B7E97">
                <w:rPr>
                  <w:rStyle w:val="af1"/>
                </w:rPr>
                <w:t>–</w:t>
              </w:r>
              <w:proofErr w:type="spellStart"/>
              <w:r w:rsidR="00B950FD" w:rsidRPr="0095548B">
                <w:rPr>
                  <w:rStyle w:val="af1"/>
                  <w:lang w:val="en-GB"/>
                </w:rPr>
                <w:t>okolis</w:t>
              </w:r>
              <w:proofErr w:type="spellEnd"/>
              <w:r w:rsidR="00B950FD" w:rsidRPr="005B7E97">
                <w:rPr>
                  <w:rStyle w:val="af1"/>
                </w:rPr>
                <w:t>–</w:t>
              </w:r>
              <w:proofErr w:type="spellStart"/>
              <w:r w:rsidR="00B950FD" w:rsidRPr="0095548B">
                <w:rPr>
                  <w:rStyle w:val="af1"/>
                  <w:lang w:val="en-GB"/>
                </w:rPr>
                <w:t>puo</w:t>
              </w:r>
              <w:proofErr w:type="spellEnd"/>
              <w:r w:rsidR="00B950FD" w:rsidRPr="005B7E97">
                <w:rPr>
                  <w:rStyle w:val="af1"/>
                </w:rPr>
                <w:t>–</w:t>
              </w:r>
              <w:proofErr w:type="spellStart"/>
              <w:r w:rsidR="00B950FD" w:rsidRPr="0095548B">
                <w:rPr>
                  <w:rStyle w:val="af1"/>
                  <w:lang w:val="en-GB"/>
                </w:rPr>
                <w:t>spuo</w:t>
              </w:r>
              <w:proofErr w:type="spellEnd"/>
              <w:r w:rsidR="00B950FD" w:rsidRPr="005B7E97">
                <w:rPr>
                  <w:rStyle w:val="af1"/>
                </w:rPr>
                <w:t>/</w:t>
              </w:r>
              <w:proofErr w:type="spellStart"/>
              <w:r w:rsidR="00B950FD" w:rsidRPr="0095548B">
                <w:rPr>
                  <w:rStyle w:val="af1"/>
                  <w:lang w:val="en-GB"/>
                </w:rPr>
                <w:t>strateskaprocjena</w:t>
              </w:r>
              <w:proofErr w:type="spellEnd"/>
              <w:r w:rsidR="00B950FD" w:rsidRPr="005B7E97">
                <w:rPr>
                  <w:rStyle w:val="af1"/>
                </w:rPr>
                <w:t>–</w:t>
              </w:r>
              <w:proofErr w:type="spellStart"/>
              <w:r w:rsidR="00B950FD" w:rsidRPr="0095548B">
                <w:rPr>
                  <w:rStyle w:val="af1"/>
                  <w:lang w:val="en-GB"/>
                </w:rPr>
                <w:t>utjecaja</w:t>
              </w:r>
              <w:proofErr w:type="spellEnd"/>
              <w:r w:rsidR="00B950FD" w:rsidRPr="005B7E97">
                <w:rPr>
                  <w:rStyle w:val="af1"/>
                </w:rPr>
                <w:t>–</w:t>
              </w:r>
              <w:proofErr w:type="spellStart"/>
              <w:r w:rsidR="00B950FD" w:rsidRPr="0095548B">
                <w:rPr>
                  <w:rStyle w:val="af1"/>
                  <w:lang w:val="en-GB"/>
                </w:rPr>
                <w:t>na</w:t>
              </w:r>
              <w:proofErr w:type="spellEnd"/>
              <w:r w:rsidR="00B950FD" w:rsidRPr="005B7E97">
                <w:rPr>
                  <w:rStyle w:val="af1"/>
                </w:rPr>
                <w:t>–</w:t>
              </w:r>
              <w:proofErr w:type="spellStart"/>
              <w:r w:rsidR="00B950FD" w:rsidRPr="0095548B">
                <w:rPr>
                  <w:rStyle w:val="af1"/>
                  <w:lang w:val="en-GB"/>
                </w:rPr>
                <w:t>okolis</w:t>
              </w:r>
              <w:proofErr w:type="spellEnd"/>
              <w:r w:rsidR="00B950FD" w:rsidRPr="005B7E97">
                <w:rPr>
                  <w:rStyle w:val="af1"/>
                </w:rPr>
                <w:t>–</w:t>
              </w:r>
              <w:proofErr w:type="spellStart"/>
              <w:r w:rsidR="00B950FD" w:rsidRPr="0095548B">
                <w:rPr>
                  <w:rStyle w:val="af1"/>
                  <w:lang w:val="en-GB"/>
                </w:rPr>
                <w:t>spuo</w:t>
              </w:r>
              <w:proofErr w:type="spellEnd"/>
              <w:r w:rsidR="00B950FD" w:rsidRPr="005B7E97">
                <w:rPr>
                  <w:rStyle w:val="af1"/>
                </w:rPr>
                <w:t>–4015/4015</w:t>
              </w:r>
            </w:hyperlink>
          </w:p>
        </w:tc>
      </w:tr>
      <w:tr w:rsidR="00B950FD" w:rsidRPr="00D62D8E" w14:paraId="10EBE834" w14:textId="77777777" w:rsidTr="00B02DF3">
        <w:tc>
          <w:tcPr>
            <w:tcW w:w="1809" w:type="dxa"/>
            <w:shd w:val="clear" w:color="auto" w:fill="auto"/>
          </w:tcPr>
          <w:p w14:paraId="262CF6F7" w14:textId="77777777" w:rsidR="00B950FD" w:rsidRPr="00D62D8E" w:rsidRDefault="00B950FD" w:rsidP="00B02DF3">
            <w:pPr>
              <w:spacing w:before="40" w:after="120"/>
              <w:ind w:right="113"/>
              <w:rPr>
                <w:rFonts w:eastAsia="Times"/>
              </w:rPr>
            </w:pPr>
            <w:r>
              <w:t>Чехия</w:t>
            </w:r>
          </w:p>
        </w:tc>
        <w:tc>
          <w:tcPr>
            <w:tcW w:w="6178" w:type="dxa"/>
            <w:shd w:val="clear" w:color="auto" w:fill="auto"/>
          </w:tcPr>
          <w:p w14:paraId="260B29F7" w14:textId="77777777" w:rsidR="00B950FD" w:rsidRPr="0095548B" w:rsidRDefault="009951B1" w:rsidP="00B02DF3">
            <w:pPr>
              <w:spacing w:before="40" w:after="120"/>
              <w:ind w:right="113"/>
              <w:rPr>
                <w:rStyle w:val="af1"/>
              </w:rPr>
            </w:pPr>
            <w:hyperlink r:id="rId27" w:history="1">
              <w:r w:rsidR="00B950FD" w:rsidRPr="0095548B">
                <w:rPr>
                  <w:rStyle w:val="af1"/>
                </w:rPr>
                <w:t>https://portal.cenia.cz/eiasea/view/SEA100_koncepce</w:t>
              </w:r>
            </w:hyperlink>
          </w:p>
        </w:tc>
        <w:tc>
          <w:tcPr>
            <w:tcW w:w="6044" w:type="dxa"/>
            <w:shd w:val="clear" w:color="auto" w:fill="auto"/>
          </w:tcPr>
          <w:p w14:paraId="1555A01B" w14:textId="77777777" w:rsidR="00B950FD" w:rsidRPr="0095548B" w:rsidRDefault="009951B1" w:rsidP="00B02DF3">
            <w:pPr>
              <w:spacing w:before="40" w:after="120"/>
              <w:ind w:right="113"/>
              <w:rPr>
                <w:rStyle w:val="af1"/>
              </w:rPr>
            </w:pPr>
            <w:hyperlink r:id="rId28" w:history="1">
              <w:r w:rsidR="00B950FD" w:rsidRPr="00604F8C">
                <w:rPr>
                  <w:rStyle w:val="af1"/>
                  <w:lang w:val="en-GB"/>
                </w:rPr>
                <w:t>https</w:t>
              </w:r>
              <w:r w:rsidR="00B950FD" w:rsidRPr="0095548B">
                <w:rPr>
                  <w:rStyle w:val="af1"/>
                </w:rPr>
                <w:t>://</w:t>
              </w:r>
              <w:r w:rsidR="00B950FD" w:rsidRPr="00604F8C">
                <w:rPr>
                  <w:rStyle w:val="af1"/>
                  <w:lang w:val="en-GB"/>
                </w:rPr>
                <w:t>portal</w:t>
              </w:r>
              <w:r w:rsidR="00B950FD" w:rsidRPr="0095548B">
                <w:rPr>
                  <w:rStyle w:val="af1"/>
                </w:rPr>
                <w:t>.</w:t>
              </w:r>
              <w:proofErr w:type="spellStart"/>
              <w:r w:rsidR="00B950FD" w:rsidRPr="00604F8C">
                <w:rPr>
                  <w:rStyle w:val="af1"/>
                  <w:lang w:val="en-GB"/>
                </w:rPr>
                <w:t>cenia</w:t>
              </w:r>
              <w:proofErr w:type="spellEnd"/>
              <w:r w:rsidR="00B950FD" w:rsidRPr="0095548B">
                <w:rPr>
                  <w:rStyle w:val="af1"/>
                </w:rPr>
                <w:t>.</w:t>
              </w:r>
              <w:proofErr w:type="spellStart"/>
              <w:r w:rsidR="00B950FD" w:rsidRPr="00604F8C">
                <w:rPr>
                  <w:rStyle w:val="af1"/>
                  <w:lang w:val="en-GB"/>
                </w:rPr>
                <w:t>cz</w:t>
              </w:r>
              <w:proofErr w:type="spellEnd"/>
              <w:r w:rsidR="00B950FD" w:rsidRPr="0095548B">
                <w:rPr>
                  <w:rStyle w:val="af1"/>
                </w:rPr>
                <w:t>/</w:t>
              </w:r>
              <w:proofErr w:type="spellStart"/>
              <w:r w:rsidR="00B950FD" w:rsidRPr="00604F8C">
                <w:rPr>
                  <w:rStyle w:val="af1"/>
                  <w:lang w:val="en-GB"/>
                </w:rPr>
                <w:t>eiasea</w:t>
              </w:r>
              <w:proofErr w:type="spellEnd"/>
              <w:r w:rsidR="00B950FD" w:rsidRPr="0095548B">
                <w:rPr>
                  <w:rStyle w:val="af1"/>
                </w:rPr>
                <w:t>/</w:t>
              </w:r>
              <w:r w:rsidR="00B950FD" w:rsidRPr="00604F8C">
                <w:rPr>
                  <w:rStyle w:val="af1"/>
                  <w:lang w:val="en-GB"/>
                </w:rPr>
                <w:t>view</w:t>
              </w:r>
              <w:r w:rsidR="00B950FD" w:rsidRPr="0095548B">
                <w:rPr>
                  <w:rStyle w:val="af1"/>
                </w:rPr>
                <w:t>/</w:t>
              </w:r>
              <w:r w:rsidR="00B950FD" w:rsidRPr="00604F8C">
                <w:rPr>
                  <w:rStyle w:val="af1"/>
                  <w:lang w:val="en-GB"/>
                </w:rPr>
                <w:t>sea</w:t>
              </w:r>
              <w:r w:rsidR="00B950FD" w:rsidRPr="0095548B">
                <w:rPr>
                  <w:rStyle w:val="af1"/>
                </w:rPr>
                <w:t>100_</w:t>
              </w:r>
              <w:proofErr w:type="spellStart"/>
              <w:r w:rsidR="00B950FD" w:rsidRPr="00604F8C">
                <w:rPr>
                  <w:rStyle w:val="af1"/>
                  <w:lang w:val="en-GB"/>
                </w:rPr>
                <w:t>mezistatni</w:t>
              </w:r>
              <w:proofErr w:type="spellEnd"/>
              <w:r w:rsidR="00B950FD" w:rsidRPr="0095548B">
                <w:rPr>
                  <w:rStyle w:val="af1"/>
                </w:rPr>
                <w:t>?</w:t>
              </w:r>
              <w:r w:rsidR="00B950FD" w:rsidRPr="00604F8C">
                <w:rPr>
                  <w:rStyle w:val="af1"/>
                  <w:lang w:val="en-GB"/>
                </w:rPr>
                <w:t>lang</w:t>
              </w:r>
              <w:r w:rsidR="00B950FD" w:rsidRPr="0095548B">
                <w:rPr>
                  <w:rStyle w:val="af1"/>
                </w:rPr>
                <w:t>=</w:t>
              </w:r>
              <w:r w:rsidR="00B950FD" w:rsidRPr="00604F8C">
                <w:rPr>
                  <w:rStyle w:val="af1"/>
                  <w:lang w:val="en-GB"/>
                </w:rPr>
                <w:t>cs</w:t>
              </w:r>
            </w:hyperlink>
          </w:p>
        </w:tc>
      </w:tr>
      <w:tr w:rsidR="00B950FD" w:rsidRPr="00ED26C5" w14:paraId="52201535" w14:textId="77777777" w:rsidTr="00B02DF3">
        <w:tc>
          <w:tcPr>
            <w:tcW w:w="1809" w:type="dxa"/>
            <w:shd w:val="clear" w:color="auto" w:fill="auto"/>
          </w:tcPr>
          <w:p w14:paraId="4537D5CD" w14:textId="77777777" w:rsidR="00B950FD" w:rsidRPr="00D62D8E" w:rsidRDefault="00B950FD" w:rsidP="00B02DF3">
            <w:pPr>
              <w:spacing w:before="40" w:after="120"/>
              <w:ind w:right="113"/>
              <w:rPr>
                <w:rFonts w:eastAsia="Times"/>
              </w:rPr>
            </w:pPr>
            <w:r>
              <w:t>Дания</w:t>
            </w:r>
          </w:p>
        </w:tc>
        <w:tc>
          <w:tcPr>
            <w:tcW w:w="6178" w:type="dxa"/>
            <w:shd w:val="clear" w:color="auto" w:fill="auto"/>
          </w:tcPr>
          <w:p w14:paraId="0A11FB2F" w14:textId="77777777" w:rsidR="00B950FD" w:rsidRPr="00DC33CE" w:rsidRDefault="00B950FD" w:rsidP="00B02DF3">
            <w:pPr>
              <w:spacing w:before="40" w:after="120"/>
              <w:ind w:right="113"/>
              <w:rPr>
                <w:rFonts w:eastAsia="Times"/>
                <w:lang w:val="en-US"/>
              </w:rPr>
            </w:pPr>
            <w:r>
              <w:rPr>
                <w:rFonts w:eastAsia="Times"/>
              </w:rPr>
              <w:t>–</w:t>
            </w:r>
          </w:p>
        </w:tc>
        <w:tc>
          <w:tcPr>
            <w:tcW w:w="6044" w:type="dxa"/>
            <w:shd w:val="clear" w:color="auto" w:fill="auto"/>
          </w:tcPr>
          <w:p w14:paraId="6EDDE827" w14:textId="77777777" w:rsidR="00B950FD" w:rsidRPr="005B7E97" w:rsidRDefault="009951B1" w:rsidP="00B02DF3">
            <w:pPr>
              <w:spacing w:before="40" w:after="120"/>
              <w:ind w:right="113"/>
              <w:rPr>
                <w:rStyle w:val="af1"/>
                <w:lang w:val="en-US"/>
              </w:rPr>
            </w:pPr>
            <w:hyperlink r:id="rId29" w:history="1">
              <w:r w:rsidR="00B950FD" w:rsidRPr="00604F8C">
                <w:rPr>
                  <w:rStyle w:val="af1"/>
                  <w:lang w:val="en-GB"/>
                </w:rPr>
                <w:t>https</w:t>
              </w:r>
              <w:r w:rsidR="00B950FD" w:rsidRPr="005B7E97">
                <w:rPr>
                  <w:rStyle w:val="af1"/>
                  <w:lang w:val="en-US"/>
                </w:rPr>
                <w:t>://</w:t>
              </w:r>
              <w:proofErr w:type="spellStart"/>
              <w:r w:rsidR="00B950FD" w:rsidRPr="00604F8C">
                <w:rPr>
                  <w:rStyle w:val="af1"/>
                  <w:lang w:val="en-GB"/>
                </w:rPr>
                <w:t>mst</w:t>
              </w:r>
              <w:proofErr w:type="spellEnd"/>
              <w:r w:rsidR="00B950FD" w:rsidRPr="005B7E97">
                <w:rPr>
                  <w:rStyle w:val="af1"/>
                  <w:lang w:val="en-US"/>
                </w:rPr>
                <w:t>.</w:t>
              </w:r>
              <w:r w:rsidR="00B950FD" w:rsidRPr="00604F8C">
                <w:rPr>
                  <w:rStyle w:val="af1"/>
                  <w:lang w:val="en-GB"/>
                </w:rPr>
                <w:t>dk</w:t>
              </w:r>
              <w:r w:rsidR="00B950FD" w:rsidRPr="005B7E97">
                <w:rPr>
                  <w:rStyle w:val="af1"/>
                  <w:lang w:val="en-US"/>
                </w:rPr>
                <w:t>/</w:t>
              </w:r>
              <w:r w:rsidR="00B950FD" w:rsidRPr="00604F8C">
                <w:rPr>
                  <w:rStyle w:val="af1"/>
                  <w:lang w:val="en-GB"/>
                </w:rPr>
                <w:t>service</w:t>
              </w:r>
              <w:r w:rsidR="00B950FD" w:rsidRPr="005B7E97">
                <w:rPr>
                  <w:rStyle w:val="af1"/>
                  <w:lang w:val="en-US"/>
                </w:rPr>
                <w:t>/</w:t>
              </w:r>
              <w:proofErr w:type="spellStart"/>
              <w:r w:rsidR="00B950FD" w:rsidRPr="00604F8C">
                <w:rPr>
                  <w:rStyle w:val="af1"/>
                  <w:lang w:val="en-GB"/>
                </w:rPr>
                <w:t>annoncering</w:t>
              </w:r>
              <w:proofErr w:type="spellEnd"/>
              <w:r w:rsidR="00B950FD" w:rsidRPr="005B7E97">
                <w:rPr>
                  <w:rStyle w:val="af1"/>
                  <w:lang w:val="en-US"/>
                </w:rPr>
                <w:t>/</w:t>
              </w:r>
              <w:proofErr w:type="spellStart"/>
              <w:r w:rsidR="00B950FD" w:rsidRPr="00604F8C">
                <w:rPr>
                  <w:rStyle w:val="af1"/>
                  <w:lang w:val="en-GB"/>
                </w:rPr>
                <w:t>espoo</w:t>
              </w:r>
              <w:proofErr w:type="spellEnd"/>
              <w:r w:rsidR="00B950FD" w:rsidRPr="005B7E97">
                <w:rPr>
                  <w:rStyle w:val="af1"/>
                  <w:lang w:val="en-US"/>
                </w:rPr>
                <w:t>/</w:t>
              </w:r>
            </w:hyperlink>
            <w:r w:rsidR="00B950FD" w:rsidRPr="005B7E97">
              <w:rPr>
                <w:rStyle w:val="af1"/>
                <w:lang w:val="en-US"/>
              </w:rPr>
              <w:t xml:space="preserve"> </w:t>
            </w:r>
          </w:p>
        </w:tc>
      </w:tr>
      <w:tr w:rsidR="00B950FD" w:rsidRPr="00D62D8E" w14:paraId="67F03BAE" w14:textId="77777777" w:rsidTr="00B02DF3">
        <w:tc>
          <w:tcPr>
            <w:tcW w:w="1809" w:type="dxa"/>
            <w:shd w:val="clear" w:color="auto" w:fill="auto"/>
          </w:tcPr>
          <w:p w14:paraId="33DA619B" w14:textId="77777777" w:rsidR="00B950FD" w:rsidRPr="00D62D8E" w:rsidRDefault="00B950FD" w:rsidP="00B02DF3">
            <w:pPr>
              <w:spacing w:before="40" w:after="120"/>
              <w:ind w:right="113"/>
              <w:rPr>
                <w:rFonts w:eastAsia="Times"/>
              </w:rPr>
            </w:pPr>
            <w:r>
              <w:t>Латвия</w:t>
            </w:r>
          </w:p>
        </w:tc>
        <w:tc>
          <w:tcPr>
            <w:tcW w:w="6178" w:type="dxa"/>
            <w:shd w:val="clear" w:color="auto" w:fill="auto"/>
          </w:tcPr>
          <w:p w14:paraId="5BDF387F" w14:textId="77777777" w:rsidR="00B950FD" w:rsidRPr="005B7E97" w:rsidRDefault="009951B1" w:rsidP="00B02DF3">
            <w:pPr>
              <w:spacing w:before="40" w:after="120"/>
              <w:ind w:right="113"/>
              <w:rPr>
                <w:rStyle w:val="af1"/>
              </w:rPr>
            </w:pPr>
            <w:hyperlink r:id="rId30" w:history="1">
              <w:r w:rsidR="00B950FD" w:rsidRPr="0095548B">
                <w:rPr>
                  <w:rStyle w:val="af1"/>
                  <w:lang w:val="en-GB"/>
                </w:rPr>
                <w:t>https</w:t>
              </w:r>
              <w:r w:rsidR="00B950FD" w:rsidRPr="005B7E97">
                <w:rPr>
                  <w:rStyle w:val="af1"/>
                </w:rPr>
                <w:t>://</w:t>
              </w:r>
              <w:r w:rsidR="00B950FD" w:rsidRPr="0095548B">
                <w:rPr>
                  <w:rStyle w:val="af1"/>
                  <w:lang w:val="en-GB"/>
                </w:rPr>
                <w:t>www</w:t>
              </w:r>
              <w:r w:rsidR="00B950FD" w:rsidRPr="005B7E97">
                <w:rPr>
                  <w:rStyle w:val="af1"/>
                </w:rPr>
                <w:t>.</w:t>
              </w:r>
              <w:proofErr w:type="spellStart"/>
              <w:r w:rsidR="00B950FD" w:rsidRPr="0095548B">
                <w:rPr>
                  <w:rStyle w:val="af1"/>
                  <w:lang w:val="en-GB"/>
                </w:rPr>
                <w:t>vpvb</w:t>
              </w:r>
              <w:proofErr w:type="spellEnd"/>
              <w:r w:rsidR="00B950FD" w:rsidRPr="005B7E97">
                <w:rPr>
                  <w:rStyle w:val="af1"/>
                </w:rPr>
                <w:t>.</w:t>
              </w:r>
              <w:r w:rsidR="00B950FD" w:rsidRPr="0095548B">
                <w:rPr>
                  <w:rStyle w:val="af1"/>
                  <w:lang w:val="en-GB"/>
                </w:rPr>
                <w:t>gov</w:t>
              </w:r>
              <w:r w:rsidR="00B950FD" w:rsidRPr="005B7E97">
                <w:rPr>
                  <w:rStyle w:val="af1"/>
                </w:rPr>
                <w:t>.</w:t>
              </w:r>
              <w:r w:rsidR="00B950FD" w:rsidRPr="0095548B">
                <w:rPr>
                  <w:rStyle w:val="af1"/>
                  <w:lang w:val="en-GB"/>
                </w:rPr>
                <w:t>lv</w:t>
              </w:r>
              <w:r w:rsidR="00B950FD" w:rsidRPr="005B7E97">
                <w:rPr>
                  <w:rStyle w:val="af1"/>
                </w:rPr>
                <w:t>/</w:t>
              </w:r>
              <w:r w:rsidR="00B950FD" w:rsidRPr="0095548B">
                <w:rPr>
                  <w:rStyle w:val="af1"/>
                  <w:lang w:val="en-GB"/>
                </w:rPr>
                <w:t>lv</w:t>
              </w:r>
              <w:r w:rsidR="00B950FD" w:rsidRPr="005B7E97">
                <w:rPr>
                  <w:rStyle w:val="af1"/>
                </w:rPr>
                <w:t>/</w:t>
              </w:r>
              <w:proofErr w:type="spellStart"/>
              <w:r w:rsidR="00B950FD" w:rsidRPr="0095548B">
                <w:rPr>
                  <w:rStyle w:val="af1"/>
                  <w:lang w:val="en-GB"/>
                </w:rPr>
                <w:t>darbibasjomas</w:t>
              </w:r>
              <w:proofErr w:type="spellEnd"/>
              <w:r w:rsidR="00B950FD" w:rsidRPr="005B7E97">
                <w:rPr>
                  <w:rStyle w:val="af1"/>
                </w:rPr>
                <w:t>–</w:t>
              </w:r>
              <w:proofErr w:type="spellStart"/>
              <w:r w:rsidR="00B950FD" w:rsidRPr="0095548B">
                <w:rPr>
                  <w:rStyle w:val="af1"/>
                  <w:lang w:val="en-GB"/>
                </w:rPr>
                <w:t>strategiskais</w:t>
              </w:r>
              <w:proofErr w:type="spellEnd"/>
              <w:r w:rsidR="00B950FD" w:rsidRPr="005B7E97">
                <w:rPr>
                  <w:rStyle w:val="af1"/>
                </w:rPr>
                <w:t>–</w:t>
              </w:r>
              <w:proofErr w:type="spellStart"/>
              <w:r w:rsidR="00B950FD" w:rsidRPr="0095548B">
                <w:rPr>
                  <w:rStyle w:val="af1"/>
                  <w:lang w:val="en-GB"/>
                </w:rPr>
                <w:t>ietekmes</w:t>
              </w:r>
              <w:proofErr w:type="spellEnd"/>
              <w:r w:rsidR="00B950FD" w:rsidRPr="005B7E97">
                <w:rPr>
                  <w:rStyle w:val="af1"/>
                </w:rPr>
                <w:t>–</w:t>
              </w:r>
              <w:proofErr w:type="spellStart"/>
              <w:r w:rsidR="00B950FD" w:rsidRPr="0095548B">
                <w:rPr>
                  <w:rStyle w:val="af1"/>
                  <w:lang w:val="en-GB"/>
                </w:rPr>
                <w:t>uz</w:t>
              </w:r>
              <w:proofErr w:type="spellEnd"/>
              <w:r w:rsidR="00B950FD" w:rsidRPr="005B7E97">
                <w:rPr>
                  <w:rStyle w:val="af1"/>
                </w:rPr>
                <w:t>–</w:t>
              </w:r>
              <w:proofErr w:type="spellStart"/>
              <w:r w:rsidR="00B950FD" w:rsidRPr="0095548B">
                <w:rPr>
                  <w:rStyle w:val="af1"/>
                  <w:lang w:val="en-GB"/>
                </w:rPr>
                <w:t>vidinovertejums</w:t>
              </w:r>
              <w:proofErr w:type="spellEnd"/>
            </w:hyperlink>
          </w:p>
        </w:tc>
        <w:tc>
          <w:tcPr>
            <w:tcW w:w="6044" w:type="dxa"/>
            <w:shd w:val="clear" w:color="auto" w:fill="auto"/>
          </w:tcPr>
          <w:p w14:paraId="1D873B07" w14:textId="77777777" w:rsidR="00B950FD" w:rsidRPr="005B7E97" w:rsidRDefault="009951B1" w:rsidP="00B02DF3">
            <w:pPr>
              <w:spacing w:before="40" w:after="120"/>
              <w:ind w:right="113"/>
              <w:rPr>
                <w:rStyle w:val="af1"/>
              </w:rPr>
            </w:pPr>
            <w:hyperlink r:id="rId31" w:history="1">
              <w:r w:rsidR="00B950FD" w:rsidRPr="0095548B">
                <w:rPr>
                  <w:rStyle w:val="af1"/>
                  <w:lang w:val="en-GB"/>
                </w:rPr>
                <w:t>https</w:t>
              </w:r>
              <w:r w:rsidR="00B950FD" w:rsidRPr="005B7E97">
                <w:rPr>
                  <w:rStyle w:val="af1"/>
                </w:rPr>
                <w:t>://</w:t>
              </w:r>
              <w:r w:rsidR="00B950FD" w:rsidRPr="0095548B">
                <w:rPr>
                  <w:rStyle w:val="af1"/>
                  <w:lang w:val="en-GB"/>
                </w:rPr>
                <w:t>www</w:t>
              </w:r>
              <w:r w:rsidR="00B950FD" w:rsidRPr="005B7E97">
                <w:rPr>
                  <w:rStyle w:val="af1"/>
                </w:rPr>
                <w:t>.</w:t>
              </w:r>
              <w:proofErr w:type="spellStart"/>
              <w:r w:rsidR="00B950FD" w:rsidRPr="0095548B">
                <w:rPr>
                  <w:rStyle w:val="af1"/>
                  <w:lang w:val="en-GB"/>
                </w:rPr>
                <w:t>vpvb</w:t>
              </w:r>
              <w:proofErr w:type="spellEnd"/>
              <w:r w:rsidR="00B950FD" w:rsidRPr="005B7E97">
                <w:rPr>
                  <w:rStyle w:val="af1"/>
                </w:rPr>
                <w:t>.</w:t>
              </w:r>
              <w:r w:rsidR="00B950FD" w:rsidRPr="0095548B">
                <w:rPr>
                  <w:rStyle w:val="af1"/>
                  <w:lang w:val="en-GB"/>
                </w:rPr>
                <w:t>gov</w:t>
              </w:r>
              <w:r w:rsidR="00B950FD" w:rsidRPr="005B7E97">
                <w:rPr>
                  <w:rStyle w:val="af1"/>
                </w:rPr>
                <w:t>.</w:t>
              </w:r>
              <w:r w:rsidR="00B950FD" w:rsidRPr="0095548B">
                <w:rPr>
                  <w:rStyle w:val="af1"/>
                  <w:lang w:val="en-GB"/>
                </w:rPr>
                <w:t>lv</w:t>
              </w:r>
              <w:r w:rsidR="00B950FD" w:rsidRPr="005B7E97">
                <w:rPr>
                  <w:rStyle w:val="af1"/>
                </w:rPr>
                <w:t>/</w:t>
              </w:r>
              <w:r w:rsidR="00B950FD" w:rsidRPr="0095548B">
                <w:rPr>
                  <w:rStyle w:val="af1"/>
                  <w:lang w:val="en-GB"/>
                </w:rPr>
                <w:t>lv</w:t>
              </w:r>
              <w:r w:rsidR="00B950FD" w:rsidRPr="005B7E97">
                <w:rPr>
                  <w:rStyle w:val="af1"/>
                </w:rPr>
                <w:t>/</w:t>
              </w:r>
              <w:proofErr w:type="spellStart"/>
              <w:r w:rsidR="00B950FD" w:rsidRPr="0095548B">
                <w:rPr>
                  <w:rStyle w:val="af1"/>
                  <w:lang w:val="en-GB"/>
                </w:rPr>
                <w:t>jaunumi</w:t>
              </w:r>
              <w:proofErr w:type="spellEnd"/>
            </w:hyperlink>
          </w:p>
        </w:tc>
      </w:tr>
      <w:tr w:rsidR="00B950FD" w:rsidRPr="0095548B" w14:paraId="59A3E224" w14:textId="77777777" w:rsidTr="00B02DF3">
        <w:tc>
          <w:tcPr>
            <w:tcW w:w="1809" w:type="dxa"/>
            <w:shd w:val="clear" w:color="auto" w:fill="auto"/>
          </w:tcPr>
          <w:p w14:paraId="062E6EA3" w14:textId="77777777" w:rsidR="00B950FD" w:rsidRPr="00D62D8E" w:rsidRDefault="00B950FD" w:rsidP="00B02DF3">
            <w:pPr>
              <w:spacing w:before="40" w:after="120"/>
              <w:ind w:right="113"/>
              <w:rPr>
                <w:rFonts w:eastAsia="Times"/>
              </w:rPr>
            </w:pPr>
            <w:r>
              <w:t>Мальта</w:t>
            </w:r>
          </w:p>
        </w:tc>
        <w:tc>
          <w:tcPr>
            <w:tcW w:w="6178" w:type="dxa"/>
            <w:shd w:val="clear" w:color="auto" w:fill="auto"/>
          </w:tcPr>
          <w:p w14:paraId="3E571052" w14:textId="77777777" w:rsidR="00B950FD" w:rsidRPr="005B7E97" w:rsidRDefault="009951B1" w:rsidP="00B02DF3">
            <w:pPr>
              <w:spacing w:before="40" w:after="120"/>
              <w:ind w:right="113"/>
              <w:rPr>
                <w:rStyle w:val="af1"/>
              </w:rPr>
            </w:pPr>
            <w:hyperlink r:id="rId32" w:history="1">
              <w:r w:rsidR="00B950FD" w:rsidRPr="0095548B">
                <w:rPr>
                  <w:rStyle w:val="af1"/>
                  <w:lang w:val="en-GB"/>
                </w:rPr>
                <w:t>https</w:t>
              </w:r>
              <w:r w:rsidR="00B950FD" w:rsidRPr="005B7E97">
                <w:rPr>
                  <w:rStyle w:val="af1"/>
                </w:rPr>
                <w:t>://</w:t>
              </w:r>
              <w:r w:rsidR="00B950FD" w:rsidRPr="0095548B">
                <w:rPr>
                  <w:rStyle w:val="af1"/>
                  <w:lang w:val="en-GB"/>
                </w:rPr>
                <w:t>environment</w:t>
              </w:r>
              <w:r w:rsidR="00B950FD" w:rsidRPr="005B7E97">
                <w:rPr>
                  <w:rStyle w:val="af1"/>
                </w:rPr>
                <w:t>.</w:t>
              </w:r>
              <w:r w:rsidR="00B950FD" w:rsidRPr="0095548B">
                <w:rPr>
                  <w:rStyle w:val="af1"/>
                  <w:lang w:val="en-GB"/>
                </w:rPr>
                <w:t>gov</w:t>
              </w:r>
              <w:r w:rsidR="00B950FD" w:rsidRPr="005B7E97">
                <w:rPr>
                  <w:rStyle w:val="af1"/>
                </w:rPr>
                <w:t>.</w:t>
              </w:r>
              <w:proofErr w:type="spellStart"/>
              <w:r w:rsidR="00B950FD" w:rsidRPr="0095548B">
                <w:rPr>
                  <w:rStyle w:val="af1"/>
                  <w:lang w:val="en-GB"/>
                </w:rPr>
                <w:t>mt</w:t>
              </w:r>
              <w:proofErr w:type="spellEnd"/>
              <w:r w:rsidR="00B950FD" w:rsidRPr="005B7E97">
                <w:rPr>
                  <w:rStyle w:val="af1"/>
                </w:rPr>
                <w:t>/</w:t>
              </w:r>
              <w:proofErr w:type="spellStart"/>
              <w:r w:rsidR="00B950FD" w:rsidRPr="0095548B">
                <w:rPr>
                  <w:rStyle w:val="af1"/>
                  <w:lang w:val="en-GB"/>
                </w:rPr>
                <w:t>en</w:t>
              </w:r>
              <w:proofErr w:type="spellEnd"/>
              <w:r w:rsidR="00B950FD" w:rsidRPr="005B7E97">
                <w:rPr>
                  <w:rStyle w:val="af1"/>
                </w:rPr>
                <w:t>/</w:t>
              </w:r>
              <w:r w:rsidR="00B950FD" w:rsidRPr="0095548B">
                <w:rPr>
                  <w:rStyle w:val="af1"/>
                  <w:lang w:val="en-GB"/>
                </w:rPr>
                <w:t>sea</w:t>
              </w:r>
              <w:r w:rsidR="00B950FD" w:rsidRPr="005B7E97">
                <w:rPr>
                  <w:rStyle w:val="af1"/>
                </w:rPr>
                <w:t>/</w:t>
              </w:r>
              <w:r w:rsidR="00B950FD" w:rsidRPr="0095548B">
                <w:rPr>
                  <w:rStyle w:val="af1"/>
                  <w:lang w:val="en-GB"/>
                </w:rPr>
                <w:t>Pages</w:t>
              </w:r>
              <w:r w:rsidR="00B950FD" w:rsidRPr="005B7E97">
                <w:rPr>
                  <w:rStyle w:val="af1"/>
                </w:rPr>
                <w:t>/</w:t>
              </w:r>
              <w:proofErr w:type="spellStart"/>
              <w:r w:rsidR="00B950FD" w:rsidRPr="0095548B">
                <w:rPr>
                  <w:rStyle w:val="af1"/>
                  <w:lang w:val="en-GB"/>
                </w:rPr>
                <w:t>plansProgrammes</w:t>
              </w:r>
              <w:proofErr w:type="spellEnd"/>
              <w:r w:rsidR="00B950FD" w:rsidRPr="005B7E97">
                <w:rPr>
                  <w:rStyle w:val="af1"/>
                </w:rPr>
                <w:t>.</w:t>
              </w:r>
              <w:proofErr w:type="spellStart"/>
              <w:r w:rsidR="00B950FD" w:rsidRPr="0095548B">
                <w:rPr>
                  <w:rStyle w:val="af1"/>
                  <w:lang w:val="en-GB"/>
                </w:rPr>
                <w:t>aspx</w:t>
              </w:r>
              <w:proofErr w:type="spellEnd"/>
            </w:hyperlink>
          </w:p>
        </w:tc>
        <w:tc>
          <w:tcPr>
            <w:tcW w:w="6044" w:type="dxa"/>
            <w:shd w:val="clear" w:color="auto" w:fill="auto"/>
          </w:tcPr>
          <w:p w14:paraId="2D1A00F8" w14:textId="77777777" w:rsidR="00B950FD" w:rsidRPr="005B7E97" w:rsidRDefault="009951B1" w:rsidP="00B02DF3">
            <w:pPr>
              <w:spacing w:before="40" w:after="120"/>
              <w:ind w:right="113"/>
              <w:rPr>
                <w:rStyle w:val="af1"/>
              </w:rPr>
            </w:pPr>
            <w:hyperlink r:id="rId33" w:history="1">
              <w:r w:rsidR="00B950FD" w:rsidRPr="00604F8C">
                <w:rPr>
                  <w:rStyle w:val="af1"/>
                  <w:lang w:val="en-GB"/>
                </w:rPr>
                <w:t>https</w:t>
              </w:r>
              <w:r w:rsidR="00B950FD" w:rsidRPr="005B7E97">
                <w:rPr>
                  <w:rStyle w:val="af1"/>
                </w:rPr>
                <w:t>://</w:t>
              </w:r>
              <w:r w:rsidR="00B950FD" w:rsidRPr="00604F8C">
                <w:rPr>
                  <w:rStyle w:val="af1"/>
                  <w:lang w:val="en-GB"/>
                </w:rPr>
                <w:t>environment</w:t>
              </w:r>
              <w:r w:rsidR="00B950FD" w:rsidRPr="005B7E97">
                <w:rPr>
                  <w:rStyle w:val="af1"/>
                </w:rPr>
                <w:t>.</w:t>
              </w:r>
              <w:r w:rsidR="00B950FD" w:rsidRPr="00604F8C">
                <w:rPr>
                  <w:rStyle w:val="af1"/>
                  <w:lang w:val="en-GB"/>
                </w:rPr>
                <w:t>gov</w:t>
              </w:r>
              <w:r w:rsidR="00B950FD" w:rsidRPr="005B7E97">
                <w:rPr>
                  <w:rStyle w:val="af1"/>
                </w:rPr>
                <w:t>.</w:t>
              </w:r>
              <w:proofErr w:type="spellStart"/>
              <w:r w:rsidR="00B950FD" w:rsidRPr="00604F8C">
                <w:rPr>
                  <w:rStyle w:val="af1"/>
                  <w:lang w:val="en-GB"/>
                </w:rPr>
                <w:t>mt</w:t>
              </w:r>
              <w:proofErr w:type="spellEnd"/>
              <w:r w:rsidR="00B950FD" w:rsidRPr="005B7E97">
                <w:rPr>
                  <w:rStyle w:val="af1"/>
                </w:rPr>
                <w:t>/</w:t>
              </w:r>
              <w:proofErr w:type="spellStart"/>
              <w:r w:rsidR="00B950FD" w:rsidRPr="00604F8C">
                <w:rPr>
                  <w:rStyle w:val="af1"/>
                  <w:lang w:val="en-GB"/>
                </w:rPr>
                <w:t>en</w:t>
              </w:r>
              <w:proofErr w:type="spellEnd"/>
              <w:r w:rsidR="00B950FD" w:rsidRPr="005B7E97">
                <w:rPr>
                  <w:rStyle w:val="af1"/>
                </w:rPr>
                <w:t>/</w:t>
              </w:r>
              <w:r w:rsidR="00B950FD" w:rsidRPr="00604F8C">
                <w:rPr>
                  <w:rStyle w:val="af1"/>
                  <w:lang w:val="en-GB"/>
                </w:rPr>
                <w:t>sea</w:t>
              </w:r>
              <w:r w:rsidR="00B950FD" w:rsidRPr="005B7E97">
                <w:rPr>
                  <w:rStyle w:val="af1"/>
                </w:rPr>
                <w:t>/</w:t>
              </w:r>
              <w:r w:rsidR="00B950FD" w:rsidRPr="00604F8C">
                <w:rPr>
                  <w:rStyle w:val="af1"/>
                  <w:lang w:val="en-GB"/>
                </w:rPr>
                <w:t>Pages</w:t>
              </w:r>
              <w:r w:rsidR="00B950FD" w:rsidRPr="005B7E97">
                <w:rPr>
                  <w:rStyle w:val="af1"/>
                </w:rPr>
                <w:t>/</w:t>
              </w:r>
              <w:proofErr w:type="spellStart"/>
              <w:r w:rsidR="00B950FD" w:rsidRPr="00604F8C">
                <w:rPr>
                  <w:rStyle w:val="af1"/>
                  <w:lang w:val="en-GB"/>
                </w:rPr>
                <w:t>plansProgrammes</w:t>
              </w:r>
              <w:proofErr w:type="spellEnd"/>
              <w:r w:rsidR="00B950FD" w:rsidRPr="005B7E97">
                <w:rPr>
                  <w:rStyle w:val="af1"/>
                </w:rPr>
                <w:t>.</w:t>
              </w:r>
              <w:proofErr w:type="spellStart"/>
              <w:r w:rsidR="00B950FD" w:rsidRPr="00604F8C">
                <w:rPr>
                  <w:rStyle w:val="af1"/>
                  <w:lang w:val="en-GB"/>
                </w:rPr>
                <w:t>aspx</w:t>
              </w:r>
              <w:proofErr w:type="spellEnd"/>
            </w:hyperlink>
          </w:p>
        </w:tc>
      </w:tr>
      <w:tr w:rsidR="00B950FD" w:rsidRPr="00D62D8E" w14:paraId="7CDB0224" w14:textId="77777777" w:rsidTr="00B02DF3">
        <w:tc>
          <w:tcPr>
            <w:tcW w:w="1809" w:type="dxa"/>
            <w:shd w:val="clear" w:color="auto" w:fill="auto"/>
          </w:tcPr>
          <w:p w14:paraId="7F2753D2" w14:textId="77777777" w:rsidR="00B950FD" w:rsidRPr="00D62D8E" w:rsidRDefault="00B950FD" w:rsidP="00B02DF3">
            <w:pPr>
              <w:spacing w:before="40" w:after="120"/>
              <w:ind w:right="113"/>
              <w:rPr>
                <w:rFonts w:eastAsia="Times"/>
              </w:rPr>
            </w:pPr>
            <w:r>
              <w:t>Черногория</w:t>
            </w:r>
          </w:p>
        </w:tc>
        <w:tc>
          <w:tcPr>
            <w:tcW w:w="6178" w:type="dxa"/>
            <w:shd w:val="clear" w:color="auto" w:fill="auto"/>
          </w:tcPr>
          <w:p w14:paraId="22C789D7" w14:textId="77777777" w:rsidR="00B950FD" w:rsidRPr="005B7E97" w:rsidRDefault="009951B1" w:rsidP="00B02DF3">
            <w:pPr>
              <w:spacing w:before="40" w:after="120"/>
              <w:ind w:right="113"/>
              <w:rPr>
                <w:rStyle w:val="af1"/>
              </w:rPr>
            </w:pPr>
            <w:hyperlink r:id="rId34" w:history="1">
              <w:r w:rsidR="00B950FD" w:rsidRPr="0095548B">
                <w:rPr>
                  <w:rStyle w:val="af1"/>
                  <w:lang w:val="en-GB"/>
                </w:rPr>
                <w:t>https</w:t>
              </w:r>
              <w:r w:rsidR="00B950FD" w:rsidRPr="005B7E97">
                <w:rPr>
                  <w:rStyle w:val="af1"/>
                </w:rPr>
                <w:t>://</w:t>
              </w:r>
              <w:proofErr w:type="spellStart"/>
              <w:r w:rsidR="00B950FD" w:rsidRPr="0095548B">
                <w:rPr>
                  <w:rStyle w:val="af1"/>
                  <w:lang w:val="en-GB"/>
                </w:rPr>
                <w:t>epa</w:t>
              </w:r>
              <w:proofErr w:type="spellEnd"/>
              <w:r w:rsidR="00B950FD" w:rsidRPr="005B7E97">
                <w:rPr>
                  <w:rStyle w:val="af1"/>
                </w:rPr>
                <w:t>.</w:t>
              </w:r>
              <w:r w:rsidR="00B950FD" w:rsidRPr="0095548B">
                <w:rPr>
                  <w:rStyle w:val="af1"/>
                  <w:lang w:val="en-GB"/>
                </w:rPr>
                <w:t>org</w:t>
              </w:r>
              <w:r w:rsidR="00B950FD" w:rsidRPr="005B7E97">
                <w:rPr>
                  <w:rStyle w:val="af1"/>
                </w:rPr>
                <w:t>.</w:t>
              </w:r>
              <w:r w:rsidR="00B950FD" w:rsidRPr="0095548B">
                <w:rPr>
                  <w:rStyle w:val="af1"/>
                  <w:lang w:val="en-GB"/>
                </w:rPr>
                <w:t>me</w:t>
              </w:r>
              <w:r w:rsidR="00B950FD" w:rsidRPr="005B7E97">
                <w:rPr>
                  <w:rStyle w:val="af1"/>
                </w:rPr>
                <w:t>/</w:t>
              </w:r>
              <w:proofErr w:type="spellStart"/>
              <w:r w:rsidR="00B950FD" w:rsidRPr="0095548B">
                <w:rPr>
                  <w:rStyle w:val="af1"/>
                  <w:lang w:val="en-GB"/>
                </w:rPr>
                <w:t>obavjestenja</w:t>
              </w:r>
              <w:proofErr w:type="spellEnd"/>
              <w:r w:rsidR="00B950FD" w:rsidRPr="005B7E97">
                <w:rPr>
                  <w:rStyle w:val="af1"/>
                </w:rPr>
                <w:t>–</w:t>
              </w:r>
              <w:r w:rsidR="00B950FD" w:rsidRPr="0095548B">
                <w:rPr>
                  <w:rStyle w:val="af1"/>
                  <w:lang w:val="en-GB"/>
                </w:rPr>
                <w:t>sea</w:t>
              </w:r>
              <w:r w:rsidR="00B950FD" w:rsidRPr="005B7E97">
                <w:rPr>
                  <w:rStyle w:val="af1"/>
                </w:rPr>
                <w:t>/</w:t>
              </w:r>
            </w:hyperlink>
          </w:p>
        </w:tc>
        <w:tc>
          <w:tcPr>
            <w:tcW w:w="6044" w:type="dxa"/>
            <w:shd w:val="clear" w:color="auto" w:fill="auto"/>
          </w:tcPr>
          <w:p w14:paraId="5BFFBBF8" w14:textId="77777777" w:rsidR="00B950FD" w:rsidRPr="005B7E97" w:rsidRDefault="009951B1" w:rsidP="00B02DF3">
            <w:pPr>
              <w:spacing w:before="40" w:after="120"/>
              <w:ind w:right="113"/>
              <w:rPr>
                <w:rStyle w:val="af1"/>
              </w:rPr>
            </w:pPr>
            <w:hyperlink r:id="rId35" w:history="1">
              <w:r w:rsidR="00B950FD" w:rsidRPr="0095548B">
                <w:rPr>
                  <w:rStyle w:val="af1"/>
                  <w:lang w:val="en-GB"/>
                </w:rPr>
                <w:t>https</w:t>
              </w:r>
              <w:r w:rsidR="00B950FD" w:rsidRPr="005B7E97">
                <w:rPr>
                  <w:rStyle w:val="af1"/>
                </w:rPr>
                <w:t>://</w:t>
              </w:r>
              <w:r w:rsidR="00B950FD" w:rsidRPr="0095548B">
                <w:rPr>
                  <w:rStyle w:val="af1"/>
                  <w:lang w:val="en-GB"/>
                </w:rPr>
                <w:t>www</w:t>
              </w:r>
              <w:r w:rsidR="00B950FD" w:rsidRPr="005B7E97">
                <w:rPr>
                  <w:rStyle w:val="af1"/>
                </w:rPr>
                <w:t>.</w:t>
              </w:r>
              <w:r w:rsidR="00B950FD" w:rsidRPr="0095548B">
                <w:rPr>
                  <w:rStyle w:val="af1"/>
                  <w:lang w:val="en-GB"/>
                </w:rPr>
                <w:t>gov</w:t>
              </w:r>
              <w:r w:rsidR="00B950FD" w:rsidRPr="005B7E97">
                <w:rPr>
                  <w:rStyle w:val="af1"/>
                </w:rPr>
                <w:t>.</w:t>
              </w:r>
              <w:r w:rsidR="00B950FD" w:rsidRPr="0095548B">
                <w:rPr>
                  <w:rStyle w:val="af1"/>
                  <w:lang w:val="en-GB"/>
                </w:rPr>
                <w:t>me</w:t>
              </w:r>
              <w:r w:rsidR="00B950FD" w:rsidRPr="005B7E97">
                <w:rPr>
                  <w:rStyle w:val="af1"/>
                </w:rPr>
                <w:t>/</w:t>
              </w:r>
              <w:proofErr w:type="spellStart"/>
              <w:r w:rsidR="00B950FD" w:rsidRPr="0095548B">
                <w:rPr>
                  <w:rStyle w:val="af1"/>
                  <w:lang w:val="en-GB"/>
                </w:rPr>
                <w:t>mepg</w:t>
              </w:r>
              <w:proofErr w:type="spellEnd"/>
            </w:hyperlink>
          </w:p>
        </w:tc>
      </w:tr>
      <w:tr w:rsidR="00B950FD" w:rsidRPr="00D62D8E" w14:paraId="1406DE7D" w14:textId="77777777" w:rsidTr="00B02DF3">
        <w:tc>
          <w:tcPr>
            <w:tcW w:w="1809" w:type="dxa"/>
            <w:shd w:val="clear" w:color="auto" w:fill="auto"/>
          </w:tcPr>
          <w:p w14:paraId="78EE123D" w14:textId="77777777" w:rsidR="00B950FD" w:rsidRPr="00D62D8E" w:rsidRDefault="00B950FD" w:rsidP="00B02DF3">
            <w:pPr>
              <w:spacing w:before="40" w:after="120"/>
              <w:ind w:right="113"/>
              <w:rPr>
                <w:rFonts w:eastAsia="Times"/>
              </w:rPr>
            </w:pPr>
            <w:r>
              <w:t>Польша</w:t>
            </w:r>
          </w:p>
        </w:tc>
        <w:tc>
          <w:tcPr>
            <w:tcW w:w="6178" w:type="dxa"/>
            <w:shd w:val="clear" w:color="auto" w:fill="auto"/>
          </w:tcPr>
          <w:p w14:paraId="603EB567" w14:textId="77777777" w:rsidR="00B950FD" w:rsidRPr="005B7E97" w:rsidRDefault="009951B1" w:rsidP="00B02DF3">
            <w:pPr>
              <w:spacing w:before="40" w:after="120"/>
              <w:ind w:right="113"/>
              <w:rPr>
                <w:rStyle w:val="af1"/>
              </w:rPr>
            </w:pPr>
            <w:hyperlink r:id="rId36" w:history="1">
              <w:r w:rsidR="00B950FD" w:rsidRPr="0095548B">
                <w:rPr>
                  <w:rStyle w:val="af1"/>
                  <w:lang w:val="en-GB"/>
                </w:rPr>
                <w:t>http</w:t>
              </w:r>
              <w:r w:rsidR="00B950FD" w:rsidRPr="005B7E97">
                <w:rPr>
                  <w:rStyle w:val="af1"/>
                </w:rPr>
                <w:t>://</w:t>
              </w:r>
              <w:proofErr w:type="spellStart"/>
              <w:r w:rsidR="00B950FD" w:rsidRPr="0095548B">
                <w:rPr>
                  <w:rStyle w:val="af1"/>
                  <w:lang w:val="en-GB"/>
                </w:rPr>
                <w:t>bazaoos</w:t>
              </w:r>
              <w:proofErr w:type="spellEnd"/>
              <w:r w:rsidR="00B950FD" w:rsidRPr="005B7E97">
                <w:rPr>
                  <w:rStyle w:val="af1"/>
                </w:rPr>
                <w:t>.</w:t>
              </w:r>
              <w:proofErr w:type="spellStart"/>
              <w:r w:rsidR="00B950FD" w:rsidRPr="0095548B">
                <w:rPr>
                  <w:rStyle w:val="af1"/>
                  <w:lang w:val="en-GB"/>
                </w:rPr>
                <w:t>gdos</w:t>
              </w:r>
              <w:proofErr w:type="spellEnd"/>
              <w:r w:rsidR="00B950FD" w:rsidRPr="005B7E97">
                <w:rPr>
                  <w:rStyle w:val="af1"/>
                </w:rPr>
                <w:t>.</w:t>
              </w:r>
              <w:r w:rsidR="00B950FD" w:rsidRPr="0095548B">
                <w:rPr>
                  <w:rStyle w:val="af1"/>
                  <w:lang w:val="en-GB"/>
                </w:rPr>
                <w:t>gov</w:t>
              </w:r>
              <w:r w:rsidR="00B950FD" w:rsidRPr="005B7E97">
                <w:rPr>
                  <w:rStyle w:val="af1"/>
                </w:rPr>
                <w:t>.</w:t>
              </w:r>
              <w:r w:rsidR="00B950FD" w:rsidRPr="0095548B">
                <w:rPr>
                  <w:rStyle w:val="af1"/>
                  <w:lang w:val="en-GB"/>
                </w:rPr>
                <w:t>pl</w:t>
              </w:r>
              <w:r w:rsidR="00B950FD" w:rsidRPr="005B7E97">
                <w:rPr>
                  <w:rStyle w:val="af1"/>
                </w:rPr>
                <w:t>/</w:t>
              </w:r>
              <w:r w:rsidR="00B950FD" w:rsidRPr="0095548B">
                <w:rPr>
                  <w:rStyle w:val="af1"/>
                  <w:lang w:val="en-GB"/>
                </w:rPr>
                <w:t>web</w:t>
              </w:r>
              <w:r w:rsidR="00B950FD" w:rsidRPr="005B7E97">
                <w:rPr>
                  <w:rStyle w:val="af1"/>
                </w:rPr>
                <w:t>/</w:t>
              </w:r>
              <w:r w:rsidR="00B950FD" w:rsidRPr="0095548B">
                <w:rPr>
                  <w:rStyle w:val="af1"/>
                  <w:lang w:val="en-GB"/>
                </w:rPr>
                <w:t>guest</w:t>
              </w:r>
              <w:r w:rsidR="00B950FD" w:rsidRPr="005B7E97">
                <w:rPr>
                  <w:rStyle w:val="af1"/>
                </w:rPr>
                <w:t>/</w:t>
              </w:r>
              <w:r w:rsidR="00B950FD" w:rsidRPr="0095548B">
                <w:rPr>
                  <w:rStyle w:val="af1"/>
                  <w:lang w:val="en-GB"/>
                </w:rPr>
                <w:t>home</w:t>
              </w:r>
            </w:hyperlink>
          </w:p>
        </w:tc>
        <w:tc>
          <w:tcPr>
            <w:tcW w:w="6044" w:type="dxa"/>
            <w:shd w:val="clear" w:color="auto" w:fill="auto"/>
          </w:tcPr>
          <w:p w14:paraId="60C22B60" w14:textId="77777777" w:rsidR="00B950FD" w:rsidRPr="0095548B" w:rsidRDefault="009951B1" w:rsidP="00B02DF3">
            <w:pPr>
              <w:spacing w:before="40" w:after="120"/>
              <w:ind w:right="113"/>
              <w:rPr>
                <w:rFonts w:eastAsia="Times"/>
              </w:rPr>
            </w:pPr>
            <w:hyperlink r:id="rId37" w:history="1">
              <w:r w:rsidR="00B950FD" w:rsidRPr="00604F8C">
                <w:rPr>
                  <w:rStyle w:val="af1"/>
                  <w:lang w:val="en-GB"/>
                </w:rPr>
                <w:t>http</w:t>
              </w:r>
              <w:r w:rsidR="00B950FD" w:rsidRPr="00604F8C">
                <w:rPr>
                  <w:rStyle w:val="af1"/>
                </w:rPr>
                <w:t>://</w:t>
              </w:r>
              <w:proofErr w:type="spellStart"/>
              <w:r w:rsidR="00B950FD" w:rsidRPr="00604F8C">
                <w:rPr>
                  <w:rStyle w:val="af1"/>
                  <w:lang w:val="en-GB"/>
                </w:rPr>
                <w:t>bazaoos</w:t>
              </w:r>
              <w:proofErr w:type="spellEnd"/>
              <w:r w:rsidR="00B950FD" w:rsidRPr="00604F8C">
                <w:rPr>
                  <w:rStyle w:val="af1"/>
                </w:rPr>
                <w:t>.</w:t>
              </w:r>
              <w:proofErr w:type="spellStart"/>
              <w:r w:rsidR="00B950FD" w:rsidRPr="00604F8C">
                <w:rPr>
                  <w:rStyle w:val="af1"/>
                  <w:lang w:val="en-GB"/>
                </w:rPr>
                <w:t>gdos</w:t>
              </w:r>
              <w:proofErr w:type="spellEnd"/>
              <w:r w:rsidR="00B950FD" w:rsidRPr="00604F8C">
                <w:rPr>
                  <w:rStyle w:val="af1"/>
                </w:rPr>
                <w:t>.</w:t>
              </w:r>
              <w:r w:rsidR="00B950FD" w:rsidRPr="00604F8C">
                <w:rPr>
                  <w:rStyle w:val="af1"/>
                  <w:lang w:val="en-GB"/>
                </w:rPr>
                <w:t>gov</w:t>
              </w:r>
              <w:r w:rsidR="00B950FD" w:rsidRPr="00604F8C">
                <w:rPr>
                  <w:rStyle w:val="af1"/>
                </w:rPr>
                <w:t>.</w:t>
              </w:r>
              <w:r w:rsidR="00B950FD" w:rsidRPr="00604F8C">
                <w:rPr>
                  <w:rStyle w:val="af1"/>
                  <w:lang w:val="en-GB"/>
                </w:rPr>
                <w:t>pl</w:t>
              </w:r>
              <w:r w:rsidR="00B950FD" w:rsidRPr="00604F8C">
                <w:rPr>
                  <w:rStyle w:val="af1"/>
                </w:rPr>
                <w:t>/</w:t>
              </w:r>
              <w:r w:rsidR="00B950FD" w:rsidRPr="00604F8C">
                <w:rPr>
                  <w:rStyle w:val="af1"/>
                  <w:lang w:val="en-GB"/>
                </w:rPr>
                <w:t>web</w:t>
              </w:r>
              <w:r w:rsidR="00B950FD" w:rsidRPr="00604F8C">
                <w:rPr>
                  <w:rStyle w:val="af1"/>
                </w:rPr>
                <w:t>/</w:t>
              </w:r>
              <w:r w:rsidR="00B950FD" w:rsidRPr="00604F8C">
                <w:rPr>
                  <w:rStyle w:val="af1"/>
                  <w:lang w:val="en-GB"/>
                </w:rPr>
                <w:t>guest</w:t>
              </w:r>
              <w:r w:rsidR="00B950FD" w:rsidRPr="00604F8C">
                <w:rPr>
                  <w:rStyle w:val="af1"/>
                </w:rPr>
                <w:t>/</w:t>
              </w:r>
              <w:r w:rsidR="00B950FD" w:rsidRPr="00604F8C">
                <w:rPr>
                  <w:rStyle w:val="af1"/>
                  <w:lang w:val="en-GB"/>
                </w:rPr>
                <w:t>home</w:t>
              </w:r>
            </w:hyperlink>
          </w:p>
        </w:tc>
      </w:tr>
      <w:tr w:rsidR="00B950FD" w:rsidRPr="00D62D8E" w14:paraId="35396CF6" w14:textId="77777777" w:rsidTr="00B02DF3">
        <w:tc>
          <w:tcPr>
            <w:tcW w:w="1809" w:type="dxa"/>
            <w:shd w:val="clear" w:color="auto" w:fill="auto"/>
          </w:tcPr>
          <w:p w14:paraId="6692285D" w14:textId="77777777" w:rsidR="00B950FD" w:rsidRPr="00D62D8E" w:rsidRDefault="00B950FD" w:rsidP="005F4700">
            <w:pPr>
              <w:spacing w:before="40" w:after="120"/>
              <w:ind w:left="170" w:right="113" w:hanging="170"/>
              <w:rPr>
                <w:rFonts w:eastAsia="Times"/>
              </w:rPr>
            </w:pPr>
            <w:r>
              <w:t>Республика Молдова</w:t>
            </w:r>
          </w:p>
        </w:tc>
        <w:tc>
          <w:tcPr>
            <w:tcW w:w="6178" w:type="dxa"/>
            <w:shd w:val="clear" w:color="auto" w:fill="auto"/>
          </w:tcPr>
          <w:p w14:paraId="10237884" w14:textId="77777777" w:rsidR="00B950FD" w:rsidRPr="005B7E97" w:rsidRDefault="009951B1" w:rsidP="00B02DF3">
            <w:pPr>
              <w:spacing w:before="40" w:after="120"/>
              <w:ind w:right="113"/>
              <w:rPr>
                <w:rStyle w:val="af1"/>
              </w:rPr>
            </w:pPr>
            <w:hyperlink r:id="rId38" w:history="1">
              <w:r w:rsidR="00B950FD" w:rsidRPr="0095548B">
                <w:rPr>
                  <w:rStyle w:val="af1"/>
                  <w:lang w:val="en-GB"/>
                </w:rPr>
                <w:t>https</w:t>
              </w:r>
              <w:r w:rsidR="00B950FD" w:rsidRPr="005B7E97">
                <w:rPr>
                  <w:rStyle w:val="af1"/>
                </w:rPr>
                <w:t>://</w:t>
              </w:r>
              <w:proofErr w:type="spellStart"/>
              <w:r w:rsidR="00B950FD" w:rsidRPr="0095548B">
                <w:rPr>
                  <w:rStyle w:val="af1"/>
                  <w:lang w:val="en-GB"/>
                </w:rPr>
                <w:t>mediu</w:t>
              </w:r>
              <w:proofErr w:type="spellEnd"/>
              <w:r w:rsidR="00B950FD" w:rsidRPr="005B7E97">
                <w:rPr>
                  <w:rStyle w:val="af1"/>
                </w:rPr>
                <w:t>.</w:t>
              </w:r>
              <w:r w:rsidR="00B950FD" w:rsidRPr="0095548B">
                <w:rPr>
                  <w:rStyle w:val="af1"/>
                  <w:lang w:val="en-GB"/>
                </w:rPr>
                <w:t>gov</w:t>
              </w:r>
              <w:r w:rsidR="00B950FD" w:rsidRPr="005B7E97">
                <w:rPr>
                  <w:rStyle w:val="af1"/>
                </w:rPr>
                <w:t>.</w:t>
              </w:r>
              <w:r w:rsidR="00B950FD" w:rsidRPr="0095548B">
                <w:rPr>
                  <w:rStyle w:val="af1"/>
                  <w:lang w:val="en-GB"/>
                </w:rPr>
                <w:t>md</w:t>
              </w:r>
              <w:r w:rsidR="00B950FD" w:rsidRPr="005B7E97">
                <w:rPr>
                  <w:rStyle w:val="af1"/>
                </w:rPr>
                <w:t>/</w:t>
              </w:r>
              <w:proofErr w:type="spellStart"/>
              <w:r w:rsidR="00B950FD" w:rsidRPr="0095548B">
                <w:rPr>
                  <w:rStyle w:val="af1"/>
                  <w:lang w:val="en-GB"/>
                </w:rPr>
                <w:t>ro</w:t>
              </w:r>
              <w:proofErr w:type="spellEnd"/>
              <w:r w:rsidR="00B950FD" w:rsidRPr="005B7E97">
                <w:rPr>
                  <w:rStyle w:val="af1"/>
                </w:rPr>
                <w:t>/</w:t>
              </w:r>
              <w:r w:rsidR="00B950FD" w:rsidRPr="0095548B">
                <w:rPr>
                  <w:rStyle w:val="af1"/>
                  <w:lang w:val="en-GB"/>
                </w:rPr>
                <w:t>content</w:t>
              </w:r>
              <w:r w:rsidR="00B950FD" w:rsidRPr="005B7E97">
                <w:rPr>
                  <w:rStyle w:val="af1"/>
                </w:rPr>
                <w:t>/</w:t>
              </w:r>
              <w:proofErr w:type="spellStart"/>
              <w:r w:rsidR="00B950FD" w:rsidRPr="0095548B">
                <w:rPr>
                  <w:rStyle w:val="af1"/>
                  <w:lang w:val="en-GB"/>
                </w:rPr>
                <w:t>consultarea</w:t>
              </w:r>
              <w:proofErr w:type="spellEnd"/>
              <w:r w:rsidR="00B950FD" w:rsidRPr="005B7E97">
                <w:rPr>
                  <w:rStyle w:val="af1"/>
                </w:rPr>
                <w:t>–</w:t>
              </w:r>
              <w:proofErr w:type="spellStart"/>
              <w:r w:rsidR="00B950FD" w:rsidRPr="0095548B">
                <w:rPr>
                  <w:rStyle w:val="af1"/>
                  <w:lang w:val="en-GB"/>
                </w:rPr>
                <w:t>proiectului</w:t>
              </w:r>
              <w:proofErr w:type="spellEnd"/>
              <w:r w:rsidR="00B950FD" w:rsidRPr="005B7E97">
                <w:rPr>
                  <w:rStyle w:val="af1"/>
                </w:rPr>
                <w:t>–</w:t>
              </w:r>
              <w:proofErr w:type="spellStart"/>
              <w:r w:rsidR="00B950FD" w:rsidRPr="0095548B">
                <w:rPr>
                  <w:rStyle w:val="af1"/>
                  <w:lang w:val="en-GB"/>
                </w:rPr>
                <w:t>planuluiprogramului</w:t>
              </w:r>
              <w:proofErr w:type="spellEnd"/>
            </w:hyperlink>
          </w:p>
          <w:p w14:paraId="3BD315AD" w14:textId="77777777" w:rsidR="00B950FD" w:rsidRPr="005B7E97" w:rsidRDefault="009951B1" w:rsidP="00B02DF3">
            <w:pPr>
              <w:spacing w:before="40" w:after="120"/>
              <w:ind w:right="113"/>
              <w:rPr>
                <w:rStyle w:val="af1"/>
              </w:rPr>
            </w:pPr>
            <w:hyperlink r:id="rId39" w:history="1">
              <w:r w:rsidR="00B950FD" w:rsidRPr="0095548B">
                <w:rPr>
                  <w:rStyle w:val="af1"/>
                  <w:lang w:val="en-GB"/>
                </w:rPr>
                <w:t>https</w:t>
              </w:r>
              <w:r w:rsidR="00B950FD" w:rsidRPr="005B7E97">
                <w:rPr>
                  <w:rStyle w:val="af1"/>
                </w:rPr>
                <w:t>://</w:t>
              </w:r>
              <w:proofErr w:type="spellStart"/>
              <w:r w:rsidR="00B950FD" w:rsidRPr="0095548B">
                <w:rPr>
                  <w:rStyle w:val="af1"/>
                  <w:lang w:val="en-GB"/>
                </w:rPr>
                <w:t>mediu</w:t>
              </w:r>
              <w:proofErr w:type="spellEnd"/>
              <w:r w:rsidR="00B950FD" w:rsidRPr="005B7E97">
                <w:rPr>
                  <w:rStyle w:val="af1"/>
                </w:rPr>
                <w:t>.</w:t>
              </w:r>
              <w:r w:rsidR="00B950FD" w:rsidRPr="0095548B">
                <w:rPr>
                  <w:rStyle w:val="af1"/>
                  <w:lang w:val="en-GB"/>
                </w:rPr>
                <w:t>gov</w:t>
              </w:r>
              <w:r w:rsidR="00B950FD" w:rsidRPr="005B7E97">
                <w:rPr>
                  <w:rStyle w:val="af1"/>
                </w:rPr>
                <w:t>.</w:t>
              </w:r>
              <w:r w:rsidR="00B950FD" w:rsidRPr="0095548B">
                <w:rPr>
                  <w:rStyle w:val="af1"/>
                  <w:lang w:val="en-GB"/>
                </w:rPr>
                <w:t>md</w:t>
              </w:r>
              <w:r w:rsidR="00B950FD" w:rsidRPr="005B7E97">
                <w:rPr>
                  <w:rStyle w:val="af1"/>
                </w:rPr>
                <w:t>/</w:t>
              </w:r>
              <w:proofErr w:type="spellStart"/>
              <w:r w:rsidR="00B950FD" w:rsidRPr="0095548B">
                <w:rPr>
                  <w:rStyle w:val="af1"/>
                  <w:lang w:val="en-GB"/>
                </w:rPr>
                <w:t>ro</w:t>
              </w:r>
              <w:proofErr w:type="spellEnd"/>
              <w:r w:rsidR="00B950FD" w:rsidRPr="005B7E97">
                <w:rPr>
                  <w:rStyle w:val="af1"/>
                </w:rPr>
                <w:t>/</w:t>
              </w:r>
              <w:r w:rsidR="00B950FD" w:rsidRPr="0095548B">
                <w:rPr>
                  <w:rStyle w:val="af1"/>
                  <w:lang w:val="en-GB"/>
                </w:rPr>
                <w:t>content</w:t>
              </w:r>
              <w:r w:rsidR="00B950FD" w:rsidRPr="005B7E97">
                <w:rPr>
                  <w:rStyle w:val="af1"/>
                </w:rPr>
                <w:t>/</w:t>
              </w:r>
              <w:proofErr w:type="spellStart"/>
              <w:r w:rsidR="00B950FD" w:rsidRPr="0095548B">
                <w:rPr>
                  <w:rStyle w:val="af1"/>
                  <w:lang w:val="en-GB"/>
                </w:rPr>
                <w:t>evaluarestrategic</w:t>
              </w:r>
              <w:proofErr w:type="spellEnd"/>
              <w:r w:rsidR="00B950FD" w:rsidRPr="005B7E97">
                <w:rPr>
                  <w:rStyle w:val="af1"/>
                </w:rPr>
                <w:t>%</w:t>
              </w:r>
              <w:r w:rsidR="00B950FD" w:rsidRPr="0095548B">
                <w:rPr>
                  <w:rStyle w:val="af1"/>
                  <w:lang w:val="en-GB"/>
                </w:rPr>
                <w:t>C</w:t>
              </w:r>
              <w:r w:rsidR="00B950FD" w:rsidRPr="005B7E97">
                <w:rPr>
                  <w:rStyle w:val="af1"/>
                </w:rPr>
                <w:t>4%83–</w:t>
              </w:r>
              <w:r w:rsidR="00B950FD" w:rsidRPr="0095548B">
                <w:rPr>
                  <w:rStyle w:val="af1"/>
                  <w:lang w:val="en-GB"/>
                </w:rPr>
                <w:t>de</w:t>
              </w:r>
              <w:r w:rsidR="00B950FD" w:rsidRPr="005B7E97">
                <w:rPr>
                  <w:rStyle w:val="af1"/>
                </w:rPr>
                <w:t>–</w:t>
              </w:r>
              <w:proofErr w:type="spellStart"/>
              <w:r w:rsidR="00B950FD" w:rsidRPr="0095548B">
                <w:rPr>
                  <w:rStyle w:val="af1"/>
                  <w:lang w:val="en-GB"/>
                </w:rPr>
                <w:t>mediu</w:t>
              </w:r>
              <w:proofErr w:type="spellEnd"/>
              <w:r w:rsidR="00B950FD" w:rsidRPr="005B7E97">
                <w:rPr>
                  <w:rStyle w:val="af1"/>
                </w:rPr>
                <w:t>–</w:t>
              </w:r>
              <w:r w:rsidR="00B950FD" w:rsidRPr="0095548B">
                <w:rPr>
                  <w:rStyle w:val="af1"/>
                  <w:lang w:val="en-GB"/>
                </w:rPr>
                <w:t>la</w:t>
              </w:r>
              <w:r w:rsidR="00B950FD" w:rsidRPr="005B7E97">
                <w:rPr>
                  <w:rStyle w:val="af1"/>
                </w:rPr>
                <w:t>–</w:t>
              </w:r>
              <w:proofErr w:type="spellStart"/>
              <w:r w:rsidR="00B950FD" w:rsidRPr="0095548B">
                <w:rPr>
                  <w:rStyle w:val="af1"/>
                  <w:lang w:val="en-GB"/>
                </w:rPr>
                <w:t>nivelna</w:t>
              </w:r>
              <w:proofErr w:type="spellEnd"/>
              <w:r w:rsidR="00B950FD" w:rsidRPr="005B7E97">
                <w:rPr>
                  <w:rStyle w:val="af1"/>
                </w:rPr>
                <w:t>%</w:t>
              </w:r>
              <w:r w:rsidR="00B950FD" w:rsidRPr="0095548B">
                <w:rPr>
                  <w:rStyle w:val="af1"/>
                  <w:lang w:val="en-GB"/>
                </w:rPr>
                <w:t>C</w:t>
              </w:r>
              <w:r w:rsidR="00B950FD" w:rsidRPr="005B7E97">
                <w:rPr>
                  <w:rStyle w:val="af1"/>
                </w:rPr>
                <w:t>8%9</w:t>
              </w:r>
              <w:proofErr w:type="spellStart"/>
              <w:r w:rsidR="00B950FD" w:rsidRPr="0095548B">
                <w:rPr>
                  <w:rStyle w:val="af1"/>
                  <w:lang w:val="en-GB"/>
                </w:rPr>
                <w:t>Bional</w:t>
              </w:r>
              <w:proofErr w:type="spellEnd"/>
            </w:hyperlink>
          </w:p>
        </w:tc>
        <w:tc>
          <w:tcPr>
            <w:tcW w:w="6044" w:type="dxa"/>
            <w:shd w:val="clear" w:color="auto" w:fill="auto"/>
          </w:tcPr>
          <w:p w14:paraId="2BF370C1" w14:textId="77777777" w:rsidR="00B950FD" w:rsidRPr="00D62D8E" w:rsidRDefault="009951B1" w:rsidP="00B02DF3">
            <w:pPr>
              <w:spacing w:before="40" w:after="120"/>
              <w:ind w:right="113"/>
              <w:rPr>
                <w:rFonts w:eastAsia="Times"/>
              </w:rPr>
            </w:pPr>
            <w:hyperlink r:id="rId40" w:history="1">
              <w:r w:rsidR="00B950FD" w:rsidRPr="00604F8C">
                <w:rPr>
                  <w:rStyle w:val="af1"/>
                  <w:lang w:val="en-GB"/>
                </w:rPr>
                <w:t>https</w:t>
              </w:r>
              <w:r w:rsidR="00B950FD" w:rsidRPr="00604F8C">
                <w:rPr>
                  <w:rStyle w:val="af1"/>
                </w:rPr>
                <w:t>://</w:t>
              </w:r>
              <w:proofErr w:type="spellStart"/>
              <w:r w:rsidR="00B950FD" w:rsidRPr="00604F8C">
                <w:rPr>
                  <w:rStyle w:val="af1"/>
                  <w:lang w:val="en-GB"/>
                </w:rPr>
                <w:t>mediu</w:t>
              </w:r>
              <w:proofErr w:type="spellEnd"/>
              <w:r w:rsidR="00B950FD" w:rsidRPr="00604F8C">
                <w:rPr>
                  <w:rStyle w:val="af1"/>
                </w:rPr>
                <w:t>.</w:t>
              </w:r>
              <w:r w:rsidR="00B950FD" w:rsidRPr="00604F8C">
                <w:rPr>
                  <w:rStyle w:val="af1"/>
                  <w:lang w:val="en-GB"/>
                </w:rPr>
                <w:t>gov</w:t>
              </w:r>
              <w:r w:rsidR="00B950FD" w:rsidRPr="00604F8C">
                <w:rPr>
                  <w:rStyle w:val="af1"/>
                </w:rPr>
                <w:t>.</w:t>
              </w:r>
              <w:r w:rsidR="00B950FD" w:rsidRPr="00604F8C">
                <w:rPr>
                  <w:rStyle w:val="af1"/>
                  <w:lang w:val="en-GB"/>
                </w:rPr>
                <w:t>md</w:t>
              </w:r>
              <w:r w:rsidR="00B950FD" w:rsidRPr="00604F8C">
                <w:rPr>
                  <w:rStyle w:val="af1"/>
                </w:rPr>
                <w:t>/</w:t>
              </w:r>
              <w:proofErr w:type="spellStart"/>
              <w:r w:rsidR="00B950FD" w:rsidRPr="00604F8C">
                <w:rPr>
                  <w:rStyle w:val="af1"/>
                  <w:lang w:val="en-GB"/>
                </w:rPr>
                <w:t>ro</w:t>
              </w:r>
              <w:proofErr w:type="spellEnd"/>
              <w:r w:rsidR="00B950FD" w:rsidRPr="00604F8C">
                <w:rPr>
                  <w:rStyle w:val="af1"/>
                </w:rPr>
                <w:t>/</w:t>
              </w:r>
              <w:r w:rsidR="00B950FD" w:rsidRPr="00604F8C">
                <w:rPr>
                  <w:rStyle w:val="af1"/>
                  <w:lang w:val="en-GB"/>
                </w:rPr>
                <w:t>content</w:t>
              </w:r>
              <w:r w:rsidR="00B950FD" w:rsidRPr="00604F8C">
                <w:rPr>
                  <w:rStyle w:val="af1"/>
                </w:rPr>
                <w:t>/</w:t>
              </w:r>
              <w:proofErr w:type="spellStart"/>
              <w:r w:rsidR="00B950FD" w:rsidRPr="00604F8C">
                <w:rPr>
                  <w:rStyle w:val="af1"/>
                  <w:lang w:val="en-GB"/>
                </w:rPr>
                <w:t>republicamoldova</w:t>
              </w:r>
              <w:proofErr w:type="spellEnd"/>
              <w:r w:rsidR="00B950FD" w:rsidRPr="00604F8C">
                <w:rPr>
                  <w:rStyle w:val="af1"/>
                </w:rPr>
                <w:t>–</w:t>
              </w:r>
              <w:proofErr w:type="spellStart"/>
              <w:r w:rsidR="00B950FD" w:rsidRPr="00604F8C">
                <w:rPr>
                  <w:rStyle w:val="af1"/>
                  <w:lang w:val="en-GB"/>
                </w:rPr>
                <w:t>parte</w:t>
              </w:r>
              <w:proofErr w:type="spellEnd"/>
              <w:r w:rsidR="00B950FD" w:rsidRPr="00604F8C">
                <w:rPr>
                  <w:rStyle w:val="af1"/>
                </w:rPr>
                <w:t>–</w:t>
              </w:r>
              <w:proofErr w:type="spellStart"/>
              <w:r w:rsidR="00B950FD" w:rsidRPr="00604F8C">
                <w:rPr>
                  <w:rStyle w:val="af1"/>
                  <w:lang w:val="en-GB"/>
                </w:rPr>
                <w:t>afectat</w:t>
              </w:r>
              <w:proofErr w:type="spellEnd"/>
              <w:r w:rsidR="00B950FD" w:rsidRPr="00604F8C">
                <w:rPr>
                  <w:rStyle w:val="af1"/>
                </w:rPr>
                <w:t>%</w:t>
              </w:r>
              <w:r w:rsidR="00B950FD" w:rsidRPr="00604F8C">
                <w:rPr>
                  <w:rStyle w:val="af1"/>
                  <w:lang w:val="en-GB"/>
                </w:rPr>
                <w:t>C</w:t>
              </w:r>
              <w:r w:rsidR="00B950FD" w:rsidRPr="00604F8C">
                <w:rPr>
                  <w:rStyle w:val="af1"/>
                </w:rPr>
                <w:t>4%83</w:t>
              </w:r>
            </w:hyperlink>
          </w:p>
        </w:tc>
      </w:tr>
      <w:tr w:rsidR="00B950FD" w:rsidRPr="00D62D8E" w14:paraId="2FD0B27E" w14:textId="77777777" w:rsidTr="00B02DF3">
        <w:tc>
          <w:tcPr>
            <w:tcW w:w="1809" w:type="dxa"/>
            <w:tcBorders>
              <w:bottom w:val="single" w:sz="12" w:space="0" w:color="auto"/>
            </w:tcBorders>
            <w:shd w:val="clear" w:color="auto" w:fill="auto"/>
          </w:tcPr>
          <w:p w14:paraId="7715F2D4" w14:textId="77777777" w:rsidR="00B950FD" w:rsidRPr="00D62D8E" w:rsidRDefault="00B950FD" w:rsidP="00B02DF3">
            <w:pPr>
              <w:spacing w:before="40" w:after="120"/>
              <w:ind w:right="113"/>
              <w:rPr>
                <w:rFonts w:eastAsia="Times"/>
              </w:rPr>
            </w:pPr>
            <w:r>
              <w:t>Испания</w:t>
            </w:r>
          </w:p>
        </w:tc>
        <w:tc>
          <w:tcPr>
            <w:tcW w:w="6178" w:type="dxa"/>
            <w:tcBorders>
              <w:bottom w:val="single" w:sz="12" w:space="0" w:color="auto"/>
            </w:tcBorders>
            <w:shd w:val="clear" w:color="auto" w:fill="auto"/>
          </w:tcPr>
          <w:p w14:paraId="2011AA93" w14:textId="77777777" w:rsidR="00B950FD" w:rsidRPr="005B7E97" w:rsidRDefault="009951B1" w:rsidP="00B02DF3">
            <w:pPr>
              <w:spacing w:before="40" w:after="120"/>
              <w:ind w:right="113"/>
              <w:rPr>
                <w:rStyle w:val="af1"/>
              </w:rPr>
            </w:pPr>
            <w:hyperlink r:id="rId41" w:history="1">
              <w:r w:rsidR="00B950FD" w:rsidRPr="0095548B">
                <w:rPr>
                  <w:rStyle w:val="af1"/>
                  <w:lang w:val="en-GB"/>
                </w:rPr>
                <w:t>https</w:t>
              </w:r>
              <w:r w:rsidR="00B950FD" w:rsidRPr="005B7E97">
                <w:rPr>
                  <w:rStyle w:val="af1"/>
                </w:rPr>
                <w:t>://</w:t>
              </w:r>
              <w:proofErr w:type="spellStart"/>
              <w:r w:rsidR="00B950FD" w:rsidRPr="0095548B">
                <w:rPr>
                  <w:rStyle w:val="af1"/>
                  <w:lang w:val="en-GB"/>
                </w:rPr>
                <w:t>sede</w:t>
              </w:r>
              <w:proofErr w:type="spellEnd"/>
              <w:r w:rsidR="00B950FD" w:rsidRPr="005B7E97">
                <w:rPr>
                  <w:rStyle w:val="af1"/>
                </w:rPr>
                <w:t>.</w:t>
              </w:r>
              <w:proofErr w:type="spellStart"/>
              <w:r w:rsidR="00B950FD" w:rsidRPr="0095548B">
                <w:rPr>
                  <w:rStyle w:val="af1"/>
                  <w:lang w:val="en-GB"/>
                </w:rPr>
                <w:t>miteco</w:t>
              </w:r>
              <w:proofErr w:type="spellEnd"/>
              <w:r w:rsidR="00B950FD" w:rsidRPr="005B7E97">
                <w:rPr>
                  <w:rStyle w:val="af1"/>
                </w:rPr>
                <w:t>.</w:t>
              </w:r>
              <w:r w:rsidR="00B950FD" w:rsidRPr="0095548B">
                <w:rPr>
                  <w:rStyle w:val="af1"/>
                  <w:lang w:val="en-GB"/>
                </w:rPr>
                <w:t>gob</w:t>
              </w:r>
              <w:r w:rsidR="00B950FD" w:rsidRPr="005B7E97">
                <w:rPr>
                  <w:rStyle w:val="af1"/>
                </w:rPr>
                <w:t>.</w:t>
              </w:r>
              <w:r w:rsidR="00B950FD" w:rsidRPr="0095548B">
                <w:rPr>
                  <w:rStyle w:val="af1"/>
                  <w:lang w:val="en-GB"/>
                </w:rPr>
                <w:t>es</w:t>
              </w:r>
              <w:r w:rsidR="00B950FD" w:rsidRPr="005B7E97">
                <w:rPr>
                  <w:rStyle w:val="af1"/>
                </w:rPr>
                <w:t>//</w:t>
              </w:r>
              <w:r w:rsidR="00B950FD" w:rsidRPr="0095548B">
                <w:rPr>
                  <w:rStyle w:val="af1"/>
                  <w:lang w:val="en-GB"/>
                </w:rPr>
                <w:t>portal</w:t>
              </w:r>
              <w:r w:rsidR="00B950FD" w:rsidRPr="005B7E97">
                <w:rPr>
                  <w:rStyle w:val="af1"/>
                </w:rPr>
                <w:t>/</w:t>
              </w:r>
              <w:r w:rsidR="00B950FD" w:rsidRPr="0095548B">
                <w:rPr>
                  <w:rStyle w:val="af1"/>
                  <w:lang w:val="en-GB"/>
                </w:rPr>
                <w:t>site</w:t>
              </w:r>
              <w:r w:rsidR="00B950FD" w:rsidRPr="005B7E97">
                <w:rPr>
                  <w:rStyle w:val="af1"/>
                </w:rPr>
                <w:t>/</w:t>
              </w:r>
              <w:proofErr w:type="spellStart"/>
              <w:r w:rsidR="00B950FD" w:rsidRPr="0095548B">
                <w:rPr>
                  <w:rStyle w:val="af1"/>
                  <w:lang w:val="en-GB"/>
                </w:rPr>
                <w:t>seMITECO</w:t>
              </w:r>
              <w:proofErr w:type="spellEnd"/>
              <w:r w:rsidR="00B950FD" w:rsidRPr="005B7E97">
                <w:rPr>
                  <w:rStyle w:val="af1"/>
                </w:rPr>
                <w:t>/</w:t>
              </w:r>
              <w:proofErr w:type="spellStart"/>
              <w:r w:rsidR="00B950FD" w:rsidRPr="0095548B">
                <w:rPr>
                  <w:rStyle w:val="af1"/>
                  <w:lang w:val="en-GB"/>
                </w:rPr>
                <w:t>navSabiaPlanes</w:t>
              </w:r>
              <w:proofErr w:type="spellEnd"/>
            </w:hyperlink>
          </w:p>
        </w:tc>
        <w:tc>
          <w:tcPr>
            <w:tcW w:w="6044" w:type="dxa"/>
            <w:tcBorders>
              <w:bottom w:val="single" w:sz="12" w:space="0" w:color="auto"/>
            </w:tcBorders>
            <w:shd w:val="clear" w:color="auto" w:fill="auto"/>
          </w:tcPr>
          <w:p w14:paraId="60C9911B" w14:textId="77777777" w:rsidR="00B950FD" w:rsidRPr="0095548B" w:rsidRDefault="009951B1" w:rsidP="00B02DF3">
            <w:pPr>
              <w:spacing w:before="40" w:after="120"/>
              <w:ind w:right="113"/>
              <w:rPr>
                <w:rFonts w:eastAsia="Times"/>
              </w:rPr>
            </w:pPr>
            <w:hyperlink r:id="rId42" w:history="1">
              <w:r w:rsidR="00B950FD" w:rsidRPr="00604F8C">
                <w:rPr>
                  <w:rStyle w:val="af1"/>
                  <w:lang w:val="en-GB"/>
                </w:rPr>
                <w:t>https</w:t>
              </w:r>
              <w:r w:rsidR="00B950FD" w:rsidRPr="00604F8C">
                <w:rPr>
                  <w:rStyle w:val="af1"/>
                </w:rPr>
                <w:t>://</w:t>
              </w:r>
              <w:proofErr w:type="spellStart"/>
              <w:r w:rsidR="00B950FD" w:rsidRPr="00604F8C">
                <w:rPr>
                  <w:rStyle w:val="af1"/>
                  <w:lang w:val="en-GB"/>
                </w:rPr>
                <w:t>sede</w:t>
              </w:r>
              <w:proofErr w:type="spellEnd"/>
              <w:r w:rsidR="00B950FD" w:rsidRPr="00604F8C">
                <w:rPr>
                  <w:rStyle w:val="af1"/>
                </w:rPr>
                <w:t>.</w:t>
              </w:r>
              <w:proofErr w:type="spellStart"/>
              <w:r w:rsidR="00B950FD" w:rsidRPr="00604F8C">
                <w:rPr>
                  <w:rStyle w:val="af1"/>
                  <w:lang w:val="en-GB"/>
                </w:rPr>
                <w:t>miteco</w:t>
              </w:r>
              <w:proofErr w:type="spellEnd"/>
              <w:r w:rsidR="00B950FD" w:rsidRPr="00604F8C">
                <w:rPr>
                  <w:rStyle w:val="af1"/>
                </w:rPr>
                <w:t>.</w:t>
              </w:r>
              <w:r w:rsidR="00B950FD" w:rsidRPr="00604F8C">
                <w:rPr>
                  <w:rStyle w:val="af1"/>
                  <w:lang w:val="en-GB"/>
                </w:rPr>
                <w:t>gob</w:t>
              </w:r>
              <w:r w:rsidR="00B950FD" w:rsidRPr="00604F8C">
                <w:rPr>
                  <w:rStyle w:val="af1"/>
                </w:rPr>
                <w:t>.</w:t>
              </w:r>
              <w:r w:rsidR="00B950FD" w:rsidRPr="00604F8C">
                <w:rPr>
                  <w:rStyle w:val="af1"/>
                  <w:lang w:val="en-GB"/>
                </w:rPr>
                <w:t>es</w:t>
              </w:r>
              <w:r w:rsidR="00B950FD" w:rsidRPr="00604F8C">
                <w:rPr>
                  <w:rStyle w:val="af1"/>
                </w:rPr>
                <w:t>//</w:t>
              </w:r>
              <w:r w:rsidR="00B950FD" w:rsidRPr="00604F8C">
                <w:rPr>
                  <w:rStyle w:val="af1"/>
                  <w:lang w:val="en-GB"/>
                </w:rPr>
                <w:t>portal</w:t>
              </w:r>
              <w:r w:rsidR="00B950FD" w:rsidRPr="00604F8C">
                <w:rPr>
                  <w:rStyle w:val="af1"/>
                </w:rPr>
                <w:t>/</w:t>
              </w:r>
              <w:r w:rsidR="00B950FD" w:rsidRPr="00604F8C">
                <w:rPr>
                  <w:rStyle w:val="af1"/>
                  <w:lang w:val="en-GB"/>
                </w:rPr>
                <w:t>site</w:t>
              </w:r>
              <w:r w:rsidR="00B950FD" w:rsidRPr="00604F8C">
                <w:rPr>
                  <w:rStyle w:val="af1"/>
                </w:rPr>
                <w:t>/</w:t>
              </w:r>
              <w:proofErr w:type="spellStart"/>
              <w:r w:rsidR="00B950FD" w:rsidRPr="00604F8C">
                <w:rPr>
                  <w:rStyle w:val="af1"/>
                  <w:lang w:val="en-GB"/>
                </w:rPr>
                <w:t>seMITECO</w:t>
              </w:r>
              <w:proofErr w:type="spellEnd"/>
              <w:r w:rsidR="00B950FD" w:rsidRPr="00604F8C">
                <w:rPr>
                  <w:rStyle w:val="af1"/>
                </w:rPr>
                <w:t>/</w:t>
              </w:r>
              <w:proofErr w:type="spellStart"/>
              <w:r w:rsidR="00B950FD" w:rsidRPr="00604F8C">
                <w:rPr>
                  <w:rStyle w:val="af1"/>
                  <w:lang w:val="en-GB"/>
                </w:rPr>
                <w:t>navSabiaPlanes</w:t>
              </w:r>
              <w:proofErr w:type="spellEnd"/>
            </w:hyperlink>
          </w:p>
        </w:tc>
      </w:tr>
    </w:tbl>
    <w:p w14:paraId="390AE24F" w14:textId="77777777" w:rsidR="008B0AB7" w:rsidRDefault="008B0AB7" w:rsidP="009F669A">
      <w:pPr>
        <w:suppressAutoHyphens w:val="0"/>
        <w:spacing w:line="240" w:lineRule="auto"/>
        <w:sectPr w:rsidR="008B0AB7" w:rsidSect="009F669A">
          <w:headerReference w:type="even" r:id="rId43"/>
          <w:headerReference w:type="default" r:id="rId44"/>
          <w:footerReference w:type="even" r:id="rId45"/>
          <w:footerReference w:type="default" r:id="rId46"/>
          <w:endnotePr>
            <w:numFmt w:val="decimal"/>
          </w:endnotePr>
          <w:pgSz w:w="16838" w:h="11906" w:orient="landscape" w:code="9"/>
          <w:pgMar w:top="1134" w:right="1417" w:bottom="1134" w:left="1134" w:header="567" w:footer="567" w:gutter="0"/>
          <w:cols w:space="708"/>
          <w:docGrid w:linePitch="360"/>
        </w:sectPr>
      </w:pPr>
    </w:p>
    <w:p w14:paraId="3E796BA5" w14:textId="77777777" w:rsidR="00A71F8E" w:rsidRPr="00BC5410" w:rsidRDefault="00A71F8E" w:rsidP="00A71F8E">
      <w:pPr>
        <w:pStyle w:val="H1G"/>
      </w:pPr>
      <w:r>
        <w:lastRenderedPageBreak/>
        <w:tab/>
        <w:t>A.</w:t>
      </w:r>
      <w:r>
        <w:tab/>
        <w:t xml:space="preserve">Информация, содержащаяся в докладе о воздействии </w:t>
      </w:r>
      <w:r>
        <w:br/>
        <w:t>на окружающую среду</w:t>
      </w:r>
    </w:p>
    <w:p w14:paraId="532370A5" w14:textId="77777777" w:rsidR="00A71F8E" w:rsidRPr="00BC5410" w:rsidRDefault="00A71F8E" w:rsidP="00A71F8E">
      <w:pPr>
        <w:pStyle w:val="SingleTxtG"/>
        <w:rPr>
          <w:rFonts w:eastAsia="Times"/>
        </w:rPr>
      </w:pPr>
      <w:r>
        <w:t>62.</w:t>
      </w:r>
      <w:r>
        <w:tab/>
        <w:t>Тринадцать (из 22) Сторон указали, что документация по стратегической экологической оценке всегда включает конкретную информацию о последствиях для здоровья (вопрос II.1), в то время как девять респондентов (Австрия, Дания, Латвия, Люксембург, Норвегия, Финляндия, Хорватия, Швеция и Эстония) заявили, что документация по стратегической экологической оценке включает информацию о последствиях для здоровья только в тех случаях, когда такие последствия выявлены.</w:t>
      </w:r>
    </w:p>
    <w:p w14:paraId="11A5480E" w14:textId="77777777" w:rsidR="00A71F8E" w:rsidRPr="00BC5410" w:rsidRDefault="00A71F8E" w:rsidP="00A71F8E">
      <w:pPr>
        <w:pStyle w:val="SingleTxtG"/>
        <w:rPr>
          <w:rFonts w:eastAsia="Times"/>
        </w:rPr>
      </w:pPr>
      <w:r>
        <w:t>63.</w:t>
      </w:r>
      <w:r>
        <w:tab/>
        <w:t>В вопросе II.2 предлагается указать, всегда ли экологический доклад включает конкретную информацию о потенциальных трансграничных экологических последствиях, в том числе для здоровья населения. Более половины Сторон сообщили, что документация по стратегической экологической оценке включает такую информацию только тогда, когда выявлено трансграничное воздействие (13 из 22). Девять Сторон (Албания, Армения, Венгрия, Польша, Республика Молдова, Румыния, Словакия, Черногория и Чехия) заявили, что такая информация всегда включается в документацию по стратегической экологической оценке.</w:t>
      </w:r>
    </w:p>
    <w:p w14:paraId="0CC9F9F6" w14:textId="77777777" w:rsidR="00A71F8E" w:rsidRPr="00BC5410" w:rsidRDefault="00A71F8E" w:rsidP="00A71F8E">
      <w:pPr>
        <w:pStyle w:val="SingleTxtG"/>
        <w:rPr>
          <w:rFonts w:eastAsia="Times"/>
        </w:rPr>
      </w:pPr>
      <w:r>
        <w:t>64.</w:t>
      </w:r>
      <w:r>
        <w:tab/>
        <w:t>В вопросе II.10 a) Сторонам предлагается описать свои процедуры для обеспечения надлежащего включения аспектов здравоохранения в экологический доклад и проведения консультаций с органами здравоохранения, как это предусмотрено в статье 3. Большинство Сторон (21 из 22) представили описание соответствующих процедур и/или привели ссылки на национальное законодательство. Норвегия сообщила, что в соответствующих случаях проводятся консультации с органами здравоохранения.</w:t>
      </w:r>
    </w:p>
    <w:p w14:paraId="3B8700AC" w14:textId="77777777" w:rsidR="00A71F8E" w:rsidRPr="00BC5410" w:rsidRDefault="00A71F8E" w:rsidP="00A71F8E">
      <w:pPr>
        <w:pStyle w:val="H1G"/>
        <w:rPr>
          <w:rFonts w:eastAsia="Times"/>
          <w:sz w:val="20"/>
        </w:rPr>
      </w:pPr>
      <w:r>
        <w:rPr>
          <w:bCs/>
        </w:rPr>
        <w:tab/>
        <w:t>B.</w:t>
      </w:r>
      <w:r>
        <w:tab/>
      </w:r>
      <w:r>
        <w:rPr>
          <w:bCs/>
        </w:rPr>
        <w:t>Преимущества</w:t>
      </w:r>
    </w:p>
    <w:p w14:paraId="4531AA10" w14:textId="77777777" w:rsidR="00A71F8E" w:rsidRPr="00BC5410" w:rsidRDefault="00A71F8E" w:rsidP="00A71F8E">
      <w:pPr>
        <w:pStyle w:val="SingleTxtG"/>
        <w:rPr>
          <w:rFonts w:eastAsia="Times"/>
        </w:rPr>
      </w:pPr>
      <w:r>
        <w:t>65.</w:t>
      </w:r>
      <w:r>
        <w:tab/>
        <w:t xml:space="preserve">Большинство респондентов отметили в качестве преимуществ стратегической экологической оценки «более целенаправленное и обоснованное планирование» </w:t>
      </w:r>
      <w:r>
        <w:br/>
        <w:t xml:space="preserve">(19 из 21) и «пользу для окружающей среды или здоровья человека» (20 из 21) </w:t>
      </w:r>
      <w:r>
        <w:br/>
        <w:t>(вопрос II.7, см. рис. XIII). Более половины респондентов (14 из 21) также указали среди преимуществ «координацию с другими секторами/т. е. предупреждение дублирования или расхождений», а три респондента (Армения, Босния и Герцеговина и Эстония) подчеркнули ее вклад в «</w:t>
      </w:r>
      <w:proofErr w:type="spellStart"/>
      <w:r>
        <w:t>затратоэффективность</w:t>
      </w:r>
      <w:proofErr w:type="spellEnd"/>
      <w:r>
        <w:t>». Некоторые респонденты перечислили другие преимущества, в том числе: учет экологических вопросов в отраслевых планах и программах; информирование общественности на ранних этапах и расширение возможностей участия в процессах планирования; вовлечение природоохранных органов в процесс планирования на ранних этапах; и повышение эффективности консультаций между природоохранными органами и органами планирования.</w:t>
      </w:r>
    </w:p>
    <w:p w14:paraId="1D561104" w14:textId="77777777" w:rsidR="00A71F8E" w:rsidRPr="001B3D09" w:rsidRDefault="00A71F8E" w:rsidP="00A71F8E">
      <w:pPr>
        <w:pStyle w:val="H23G"/>
      </w:pPr>
      <w:r>
        <w:lastRenderedPageBreak/>
        <w:tab/>
      </w:r>
      <w:r w:rsidRPr="001B3D09">
        <w:rPr>
          <w:b w:val="0"/>
          <w:bCs/>
        </w:rPr>
        <w:tab/>
        <w:t>Рис. XIII</w:t>
      </w:r>
      <w:r>
        <w:br/>
      </w:r>
      <w:r w:rsidRPr="00BF1C27">
        <w:t>Ответы на вопрос II.7: «Перечислите преимущества стратегической экологической оценки, которые выявлены в вашей стране»</w:t>
      </w:r>
      <w:r>
        <w:t xml:space="preserve"> </w:t>
      </w:r>
      <w:r w:rsidRPr="00BF1C27">
        <w:t>(кол</w:t>
      </w:r>
      <w:r>
        <w:t>-</w:t>
      </w:r>
      <w:r w:rsidRPr="00BF1C27">
        <w:t>во = 21)</w:t>
      </w:r>
    </w:p>
    <w:p w14:paraId="09D77AD5" w14:textId="77777777" w:rsidR="00A71F8E" w:rsidRDefault="00A71F8E" w:rsidP="00A71F8E">
      <w:pPr>
        <w:ind w:left="1134"/>
      </w:pPr>
      <w:r w:rsidRPr="00112BFD">
        <w:rPr>
          <w:noProof/>
          <w:lang w:val="en-US" w:eastAsia="ru-RU"/>
        </w:rPr>
        <w:drawing>
          <wp:inline distT="0" distB="0" distL="0" distR="0" wp14:anchorId="16FF83E2" wp14:editId="1D51DD4F">
            <wp:extent cx="4632325" cy="2760785"/>
            <wp:effectExtent l="0" t="0" r="15875" b="1905"/>
            <wp:docPr id="15"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A8FEF95" w14:textId="77777777" w:rsidR="00A71F8E" w:rsidRPr="00BC5410" w:rsidRDefault="00A71F8E" w:rsidP="00A71F8E">
      <w:pPr>
        <w:pStyle w:val="SingleTxtG"/>
        <w:spacing w:before="120"/>
        <w:rPr>
          <w:rFonts w:eastAsia="Times"/>
        </w:rPr>
      </w:pPr>
      <w:r>
        <w:t>66.</w:t>
      </w:r>
      <w:r>
        <w:tab/>
        <w:t xml:space="preserve">В ответ на вопрос II.10 b) десять Сторон привели примеры применения стратегической экологической оценки в следующих ключевых областях/темах, обозначенных в плане работы на 2021–2023 годы: </w:t>
      </w:r>
    </w:p>
    <w:p w14:paraId="6EE6F56D" w14:textId="77777777" w:rsidR="00A71F8E" w:rsidRPr="00BC5410" w:rsidRDefault="00A71F8E" w:rsidP="00A71F8E">
      <w:pPr>
        <w:pStyle w:val="Bullet1G"/>
        <w:numPr>
          <w:ilvl w:val="0"/>
          <w:numId w:val="29"/>
        </w:numPr>
        <w:rPr>
          <w:rFonts w:eastAsia="Times"/>
        </w:rPr>
      </w:pPr>
      <w:r>
        <w:t>биоразнообразие (Босния и Герцеговина, Финляндия);</w:t>
      </w:r>
    </w:p>
    <w:p w14:paraId="2D624FAF" w14:textId="335FC913" w:rsidR="00A71F8E" w:rsidRPr="00BC5410" w:rsidRDefault="00A71F8E" w:rsidP="00A71F8E">
      <w:pPr>
        <w:pStyle w:val="Bullet1G"/>
        <w:numPr>
          <w:ilvl w:val="0"/>
          <w:numId w:val="29"/>
        </w:numPr>
        <w:rPr>
          <w:rFonts w:eastAsia="Times"/>
        </w:rPr>
      </w:pPr>
      <w:r>
        <w:t>экономика замкнутого цикла (</w:t>
      </w:r>
      <w:r w:rsidR="00046A22">
        <w:t xml:space="preserve">Мальта и </w:t>
      </w:r>
      <w:r>
        <w:t>Финляндия);</w:t>
      </w:r>
    </w:p>
    <w:p w14:paraId="2F97B46F" w14:textId="61D8A732" w:rsidR="00A71F8E" w:rsidRPr="00BC5410" w:rsidRDefault="00A71F8E" w:rsidP="00A71F8E">
      <w:pPr>
        <w:pStyle w:val="Bullet1G"/>
        <w:numPr>
          <w:ilvl w:val="0"/>
          <w:numId w:val="29"/>
        </w:numPr>
        <w:rPr>
          <w:rFonts w:eastAsia="Times"/>
        </w:rPr>
      </w:pPr>
      <w:r>
        <w:t>энергетический переход (</w:t>
      </w:r>
      <w:r w:rsidR="00046A22">
        <w:t xml:space="preserve">Словакия, Финляндия, </w:t>
      </w:r>
      <w:r>
        <w:t>Хорватия</w:t>
      </w:r>
      <w:r w:rsidR="00046A22">
        <w:t xml:space="preserve"> и</w:t>
      </w:r>
      <w:r>
        <w:t xml:space="preserve"> Черногория);</w:t>
      </w:r>
    </w:p>
    <w:p w14:paraId="69F1C137" w14:textId="31D77727" w:rsidR="00A71F8E" w:rsidRPr="00BC5410" w:rsidRDefault="00A71F8E" w:rsidP="00A71F8E">
      <w:pPr>
        <w:pStyle w:val="Bullet1G"/>
        <w:numPr>
          <w:ilvl w:val="0"/>
          <w:numId w:val="29"/>
        </w:numPr>
        <w:rPr>
          <w:rFonts w:eastAsia="Times"/>
        </w:rPr>
      </w:pPr>
      <w:r>
        <w:t xml:space="preserve">«умные» и устойчивые города (Босния и Герцеговина, </w:t>
      </w:r>
      <w:r w:rsidR="00046A22">
        <w:t xml:space="preserve">Словакия и </w:t>
      </w:r>
      <w:r>
        <w:t>Финляндия);</w:t>
      </w:r>
    </w:p>
    <w:p w14:paraId="7A8E5257" w14:textId="0FF832A5" w:rsidR="00A71F8E" w:rsidRPr="00BC5410" w:rsidRDefault="00A71F8E" w:rsidP="00A71F8E">
      <w:pPr>
        <w:pStyle w:val="Bullet1G"/>
        <w:numPr>
          <w:ilvl w:val="0"/>
          <w:numId w:val="29"/>
        </w:numPr>
        <w:rPr>
          <w:rFonts w:eastAsia="Times"/>
        </w:rPr>
      </w:pPr>
      <w:r>
        <w:t>устойчивая инфраструктура (Босния и Герцеговина,</w:t>
      </w:r>
      <w:r w:rsidR="00046A22" w:rsidRPr="00046A22">
        <w:t xml:space="preserve"> </w:t>
      </w:r>
      <w:r w:rsidR="00046A22">
        <w:t>Испания,</w:t>
      </w:r>
      <w:r>
        <w:t xml:space="preserve"> </w:t>
      </w:r>
      <w:r w:rsidR="00046A22">
        <w:t xml:space="preserve">Финляндия и </w:t>
      </w:r>
      <w:r>
        <w:t>Хорватия);</w:t>
      </w:r>
    </w:p>
    <w:p w14:paraId="40F9BB02" w14:textId="1709BDE0" w:rsidR="00A71F8E" w:rsidRPr="00BC5410" w:rsidRDefault="00A71F8E" w:rsidP="00A71F8E">
      <w:pPr>
        <w:pStyle w:val="Bullet1G"/>
        <w:numPr>
          <w:ilvl w:val="0"/>
          <w:numId w:val="29"/>
        </w:numPr>
        <w:rPr>
          <w:rFonts w:eastAsia="Times"/>
        </w:rPr>
      </w:pPr>
      <w:r>
        <w:t xml:space="preserve">морское пространственное планирование (Дания, </w:t>
      </w:r>
      <w:r w:rsidR="00046A22">
        <w:t xml:space="preserve">Литва и </w:t>
      </w:r>
      <w:r>
        <w:t>Эстония).</w:t>
      </w:r>
    </w:p>
    <w:p w14:paraId="478808AE" w14:textId="77777777" w:rsidR="00A71F8E" w:rsidRPr="00BC5410" w:rsidRDefault="00A71F8E" w:rsidP="00A71F8E">
      <w:pPr>
        <w:pStyle w:val="SingleTxtG"/>
        <w:rPr>
          <w:rFonts w:eastAsia="Times"/>
        </w:rPr>
      </w:pPr>
      <w:r>
        <w:t>67.</w:t>
      </w:r>
      <w:r>
        <w:tab/>
        <w:t xml:space="preserve">Некоторые респонденты дали название и/или описание соответствующего плана/программы, другие описали свой опыт в виде примера передовой практики </w:t>
      </w:r>
      <w:r>
        <w:br/>
        <w:t>(см. п. 80 ниже).</w:t>
      </w:r>
    </w:p>
    <w:p w14:paraId="48C1C397" w14:textId="1F2D66CC" w:rsidR="00A71F8E" w:rsidRPr="00BC5410" w:rsidRDefault="00A71F8E" w:rsidP="00A71F8E">
      <w:pPr>
        <w:pStyle w:val="SingleTxtG"/>
        <w:rPr>
          <w:rFonts w:eastAsia="Times"/>
        </w:rPr>
      </w:pPr>
      <w:r>
        <w:t>68.</w:t>
      </w:r>
      <w:r>
        <w:tab/>
        <w:t xml:space="preserve">Большинство респондентов отметили, что (определенные) стратегические экологические оценки способствуют достижению целей в области устойчивого развития в некоторой степени (11 из 20) и/или в значительной степени (7 из 20). </w:t>
      </w:r>
      <w:r>
        <w:br/>
        <w:t>Три респондента (</w:t>
      </w:r>
      <w:r w:rsidR="000F6A4A">
        <w:t xml:space="preserve">Венгрия, </w:t>
      </w:r>
      <w:r>
        <w:t>Дания</w:t>
      </w:r>
      <w:r w:rsidR="000F6A4A">
        <w:t xml:space="preserve"> и</w:t>
      </w:r>
      <w:r>
        <w:t xml:space="preserve"> Финляндия) сообщили, что у них нет доказательств того, что стратегическая экологическая оценка способствует достижению целей в области устойчивого развития (вопрос II.10 c)). Венгрия не располагает данными по этому вопросу.</w:t>
      </w:r>
    </w:p>
    <w:p w14:paraId="4C796387" w14:textId="77777777" w:rsidR="00A71F8E" w:rsidRPr="00BC5410" w:rsidRDefault="00A71F8E" w:rsidP="00A71F8E">
      <w:pPr>
        <w:pStyle w:val="H1G"/>
      </w:pPr>
      <w:r>
        <w:rPr>
          <w:bCs/>
        </w:rPr>
        <w:tab/>
        <w:t>C.</w:t>
      </w:r>
      <w:r>
        <w:tab/>
      </w:r>
      <w:r>
        <w:rPr>
          <w:bCs/>
        </w:rPr>
        <w:t>Испытываемые трудности</w:t>
      </w:r>
    </w:p>
    <w:p w14:paraId="67EC0C8E" w14:textId="1DDF71E8" w:rsidR="00A71F8E" w:rsidRPr="00BC5410" w:rsidRDefault="00A71F8E" w:rsidP="00A71F8E">
      <w:pPr>
        <w:pStyle w:val="SingleTxtG"/>
        <w:rPr>
          <w:rFonts w:eastAsia="Times"/>
        </w:rPr>
      </w:pPr>
      <w:r>
        <w:t>69.</w:t>
      </w:r>
      <w:r>
        <w:tab/>
        <w:t>Большинство респондентов (19 из 22) сообщили об отсутствии значительных трудностей при толковании конкретных терминов, содержащихся в Протоколе (вопрос</w:t>
      </w:r>
      <w:r w:rsidR="00360528">
        <w:t> </w:t>
      </w:r>
      <w:r>
        <w:t xml:space="preserve">II.8). Словакия указала трудности в интерпретации терминов «план» и «программа», а два респондента описали существенные практические трудности, включая проблемы с: </w:t>
      </w:r>
    </w:p>
    <w:p w14:paraId="65AA8D9C" w14:textId="77777777" w:rsidR="00A71F8E" w:rsidRPr="00BC5410" w:rsidRDefault="00A71F8E" w:rsidP="00A71F8E">
      <w:pPr>
        <w:pStyle w:val="Bullet1G"/>
        <w:numPr>
          <w:ilvl w:val="0"/>
          <w:numId w:val="29"/>
        </w:numPr>
        <w:rPr>
          <w:rFonts w:eastAsia="Times"/>
        </w:rPr>
      </w:pPr>
      <w:r>
        <w:t>определением содержания и уровня детализации экологического доклада (Австрия);</w:t>
      </w:r>
    </w:p>
    <w:p w14:paraId="5B077455" w14:textId="77777777" w:rsidR="00A71F8E" w:rsidRPr="00BC5410" w:rsidRDefault="00A71F8E" w:rsidP="00A71F8E">
      <w:pPr>
        <w:pStyle w:val="Bullet1G"/>
        <w:numPr>
          <w:ilvl w:val="0"/>
          <w:numId w:val="29"/>
        </w:numPr>
        <w:rPr>
          <w:rFonts w:eastAsia="Times"/>
        </w:rPr>
      </w:pPr>
      <w:r>
        <w:lastRenderedPageBreak/>
        <w:t>определением разумных альтернатив и сроков проведения стратегической экологической оценки (Австрия);</w:t>
      </w:r>
    </w:p>
    <w:p w14:paraId="4806D8D7" w14:textId="77777777" w:rsidR="00A71F8E" w:rsidRPr="00BC5410" w:rsidRDefault="00A71F8E" w:rsidP="00A71F8E">
      <w:pPr>
        <w:pStyle w:val="Bullet1G"/>
        <w:numPr>
          <w:ilvl w:val="0"/>
          <w:numId w:val="29"/>
        </w:numPr>
        <w:rPr>
          <w:rFonts w:eastAsia="Times"/>
        </w:rPr>
      </w:pPr>
      <w:r>
        <w:t>координацией между субъектами и внутри правительства (Босния и Герцеговина);</w:t>
      </w:r>
    </w:p>
    <w:p w14:paraId="49B98287" w14:textId="77777777" w:rsidR="00A71F8E" w:rsidRPr="00BC5410" w:rsidRDefault="00A71F8E" w:rsidP="00A71F8E">
      <w:pPr>
        <w:pStyle w:val="Bullet1G"/>
        <w:numPr>
          <w:ilvl w:val="0"/>
          <w:numId w:val="29"/>
        </w:numPr>
        <w:rPr>
          <w:rFonts w:eastAsia="Times"/>
        </w:rPr>
      </w:pPr>
      <w:r>
        <w:t>временем, необходимым для связи с органами, ответственными за иностранные дела, в трансграничных процедурах (Босния и Герцеговина).</w:t>
      </w:r>
    </w:p>
    <w:p w14:paraId="6CD14763" w14:textId="77777777" w:rsidR="00A71F8E" w:rsidRPr="00BC5410" w:rsidRDefault="00A71F8E" w:rsidP="00A71F8E">
      <w:pPr>
        <w:pStyle w:val="SingleTxtG"/>
        <w:rPr>
          <w:rFonts w:eastAsia="Times"/>
        </w:rPr>
      </w:pPr>
      <w:r>
        <w:t>70.</w:t>
      </w:r>
      <w:r>
        <w:tab/>
        <w:t>Некоторые респонденты, отвечая на вопрос II.9, заявили, что лучшим способом преодоления трудностей является сотрудничество между заинтересованными органами и Сторонами (Эстония). Другие средства решения проблем, предложенные респондентами, включают: получение руководящих указаний, публикацию сборника примеров стратегической экологической оценки или информационных бюллетеней, обмен информацией между компетентными органами и обмен опытом между Сторонами (Австрия и Эстония).</w:t>
      </w:r>
    </w:p>
    <w:p w14:paraId="33AC92B5" w14:textId="77777777" w:rsidR="00A71F8E" w:rsidRPr="00BC5410" w:rsidRDefault="00A71F8E" w:rsidP="00A71F8E">
      <w:pPr>
        <w:pStyle w:val="H1G"/>
        <w:rPr>
          <w:rFonts w:eastAsia="Times"/>
          <w:sz w:val="20"/>
        </w:rPr>
      </w:pPr>
      <w:r>
        <w:rPr>
          <w:bCs/>
        </w:rPr>
        <w:tab/>
        <w:t>D.</w:t>
      </w:r>
      <w:r>
        <w:tab/>
      </w:r>
      <w:r>
        <w:rPr>
          <w:bCs/>
        </w:rPr>
        <w:t>Мониторинг</w:t>
      </w:r>
    </w:p>
    <w:p w14:paraId="7E84F966" w14:textId="77777777" w:rsidR="00A71F8E" w:rsidRPr="00BC5410" w:rsidRDefault="00A71F8E" w:rsidP="00A71F8E">
      <w:pPr>
        <w:pStyle w:val="SingleTxtG"/>
        <w:rPr>
          <w:rFonts w:eastAsia="Times"/>
        </w:rPr>
      </w:pPr>
      <w:r>
        <w:t>71.</w:t>
      </w:r>
      <w:r>
        <w:tab/>
        <w:t>Двенадцать (из 22) Сторон осуществляют мониторинг в соответствии со статьей 12 (вопрос II.11); некоторые Стороны привели примеры передовой практики (например, Румыния и Эстония). При осуществлении мониторинга используются различные методы и подходы. Например, в Польше последствия реализации плана/программы могут отслеживаться Региональной инспекцией по охране окружающей среды в ходе планового мониторинга или в рамках контрольного механизма, предназначенного для отслеживания хода реализации того или иного конкретного проекта. В Финляндии мониторинг воздействия на окружающую среду обычно осуществляется как часть более общего контроля за ходом реализации плана или программы и может также совпадать с регулярным пересмотром плана или программы. Некоторые респонденты используют показатели (Испания</w:t>
      </w:r>
      <w:r w:rsidRPr="008B5AAE">
        <w:t xml:space="preserve"> </w:t>
      </w:r>
      <w:r>
        <w:t>и Эстония). Девять респондентов не осуществляли мониторинг, причем трое из них заявили, что никакой информации по этому вопросу нет.</w:t>
      </w:r>
    </w:p>
    <w:p w14:paraId="4E60C17A" w14:textId="77777777" w:rsidR="00A71F8E" w:rsidRPr="00BC5410" w:rsidRDefault="00A71F8E" w:rsidP="00A71F8E">
      <w:pPr>
        <w:pStyle w:val="H1G"/>
      </w:pPr>
      <w:r>
        <w:rPr>
          <w:bCs/>
        </w:rPr>
        <w:tab/>
        <w:t>E.</w:t>
      </w:r>
      <w:r>
        <w:tab/>
      </w:r>
      <w:r>
        <w:rPr>
          <w:bCs/>
        </w:rPr>
        <w:t>Практика перевода</w:t>
      </w:r>
    </w:p>
    <w:p w14:paraId="70EB563C" w14:textId="77777777" w:rsidR="00A71F8E" w:rsidRPr="00BC5410" w:rsidRDefault="00A71F8E" w:rsidP="00A71F8E">
      <w:pPr>
        <w:pStyle w:val="SingleTxtG"/>
      </w:pPr>
      <w:r>
        <w:t>72.</w:t>
      </w:r>
      <w:r>
        <w:tab/>
        <w:t>Что касается трудностей, связанных с трансграничными процедурами, то более половины Сторон (13 из 22) не испытывали существенных проблем с письменным и устным переводом (вопрос II.12 a) i)). Несколько Сторон (9) привели конкретные примеры своего опыта и/или трудностей, включая: проблемы со сроками и ресурсами, необходимыми для перевода документации; проблемы с качеством переводов; перевод только некоторых частей, а не всей документации или всего резюме; необходимость перевода документации на несколько иностранных языков; и перевод документации на английский язык вместо официального языка затрагиваемой Стороны. В качестве примеров положительного опыта или решений респонденты сообщили о сотрудничестве на раннем этапе между контактными пунктами затронутой Стороны и Стороны происхождения (Финляндия); указание в ответе на уведомление требования о переводе документации на официальный язык (Венгрия); и указание объема информации, подлежащей переводу Стороной происхождения (Польша).</w:t>
      </w:r>
    </w:p>
    <w:p w14:paraId="0F5831BD" w14:textId="77777777" w:rsidR="00A71F8E" w:rsidRPr="00BC5410" w:rsidRDefault="00A71F8E" w:rsidP="00A71F8E">
      <w:pPr>
        <w:pStyle w:val="SingleTxtG"/>
        <w:rPr>
          <w:rFonts w:eastAsia="Times"/>
        </w:rPr>
      </w:pPr>
      <w:bookmarkStart w:id="18" w:name="_Hlk18267288"/>
      <w:r>
        <w:t>73.</w:t>
      </w:r>
      <w:r>
        <w:tab/>
        <w:t>Несколько Сторон (Австрия, Венгрия, Румыния, Словакия, Финляндия и Хорватия) обычно переводят план/программу и экологический доклад полностью (вопрос II.12 b)). Другие Стороны переводят часть плана/программы (или описания этих документов), включая части, касающиеся трансграничного воздействия, и/или нетехническое резюме. Некоторые Стороны предоставляют документацию на английском языке, однако затрагиваемые Стороны нередко просят перевести ее на свой национальный язык (языки).</w:t>
      </w:r>
      <w:bookmarkEnd w:id="18"/>
    </w:p>
    <w:p w14:paraId="4578CF8A" w14:textId="77777777" w:rsidR="00A71F8E" w:rsidRPr="00BC5410" w:rsidRDefault="00A71F8E" w:rsidP="00A71F8E">
      <w:pPr>
        <w:pStyle w:val="H1G"/>
      </w:pPr>
      <w:r>
        <w:rPr>
          <w:bCs/>
        </w:rPr>
        <w:lastRenderedPageBreak/>
        <w:tab/>
        <w:t>F.</w:t>
      </w:r>
      <w:r>
        <w:tab/>
      </w:r>
      <w:r>
        <w:rPr>
          <w:bCs/>
        </w:rPr>
        <w:t>Участие общественности в трансграничном контексте</w:t>
      </w:r>
    </w:p>
    <w:p w14:paraId="46BEBD98" w14:textId="77777777" w:rsidR="00A71F8E" w:rsidRPr="00BC5410" w:rsidRDefault="00A71F8E" w:rsidP="00A71F8E">
      <w:pPr>
        <w:pStyle w:val="SingleTxtG"/>
        <w:rPr>
          <w:rFonts w:eastAsia="Times"/>
        </w:rPr>
      </w:pPr>
      <w:bookmarkStart w:id="19" w:name="_Hlk18267383"/>
      <w:r>
        <w:t>74.</w:t>
      </w:r>
      <w:r>
        <w:tab/>
        <w:t>Большинство Сторон (18) обеспечивают участие общественности в трансграничном контексте в соответствии с пунктом 4 статьи 10 (вопрос II.12 с)), в котором предусмотрено, что Стороны обеспечивают участие заинтересованной общественности и компетентных органов затрагиваемой Стороны/затрагиваемых Сторон. Некоторые респонденты придерживаются принципа, согласно которому общественности и органам затрагиваемой Стороны должны быть предоставлены возможности для участия, во-первых, эквивалентные возможностям, предоставляемым общественности и компетентным органам в Стороне происхождения (например, Австрия, Польша и Эстония), и, во-вторых, также соответствующие любым применимым национальным правовым требованиям. Наиболее распространенные подходы, используемые респондентами в качестве затрагиваемой Стороны для решения этой задачи, включают: уведомление собственной общественности и предоставление доступа к информации через электронные и/или печатные средства массовой информации; направление информации природоохранным органам и органам здравоохранения, а также проведение консультаций с ними; и препровождение замечаний, полученных от общественности и компетентных органов, Стороне происхождения. Некоторые Стороны могут также организовывать общественные слушания на территории затрагиваемой Стороны (например, Дания и Латвия).</w:t>
      </w:r>
    </w:p>
    <w:bookmarkEnd w:id="19"/>
    <w:p w14:paraId="1E7C4F9B" w14:textId="77777777" w:rsidR="00A71F8E" w:rsidRPr="00BC5410" w:rsidRDefault="00A71F8E" w:rsidP="00A71F8E">
      <w:pPr>
        <w:pStyle w:val="SingleTxtG"/>
        <w:rPr>
          <w:rFonts w:eastAsia="Times"/>
        </w:rPr>
      </w:pPr>
      <w:r>
        <w:t>75.</w:t>
      </w:r>
      <w:r>
        <w:tab/>
        <w:t xml:space="preserve">В ответе на вопрос II.12 d) девять респондентов положительно оценили эффективность участия общественности. Вместе с тем Стороны сообщили, что во многих случаях интерес общественности к планам и/или программам ниже, чем к проектам, хотя общественность проявляет большую активность, когда проект плана/программы определяет основу для спорной деятельности. </w:t>
      </w:r>
    </w:p>
    <w:p w14:paraId="2206A98E" w14:textId="77777777" w:rsidR="00A71F8E" w:rsidRPr="00BC5410" w:rsidRDefault="00A71F8E" w:rsidP="00A71F8E">
      <w:pPr>
        <w:pStyle w:val="SingleTxtG"/>
        <w:rPr>
          <w:rFonts w:eastAsia="Times"/>
          <w:color w:val="000000"/>
        </w:rPr>
      </w:pPr>
      <w:r>
        <w:t>76.</w:t>
      </w:r>
      <w:r>
        <w:tab/>
        <w:t>Девять респондентов сообщили о своем опыте организации трансграничных процедур стратегической экологической оценки в отношении совместных трансграничных планов и программ (Венгрия, Дания, Испания, Латвия, Польша, Румыния, Словакия, Хорватия и Чехия) (вопрос II.12 e)).</w:t>
      </w:r>
    </w:p>
    <w:p w14:paraId="74A3618F" w14:textId="77777777" w:rsidR="00A71F8E" w:rsidRPr="00BC5410" w:rsidRDefault="00A71F8E" w:rsidP="00A71F8E">
      <w:pPr>
        <w:pStyle w:val="H1G"/>
      </w:pPr>
      <w:r>
        <w:rPr>
          <w:bCs/>
        </w:rPr>
        <w:tab/>
        <w:t>G.</w:t>
      </w:r>
      <w:r>
        <w:tab/>
        <w:t>Примеры из практики</w:t>
      </w:r>
    </w:p>
    <w:p w14:paraId="3AE294E6" w14:textId="77777777" w:rsidR="00A71F8E" w:rsidRPr="00BC5410" w:rsidRDefault="00A71F8E" w:rsidP="00A71F8E">
      <w:pPr>
        <w:pStyle w:val="SingleTxtG"/>
        <w:rPr>
          <w:rFonts w:eastAsia="Times"/>
          <w:i/>
          <w:iCs/>
          <w:color w:val="000000"/>
        </w:rPr>
      </w:pPr>
      <w:r>
        <w:t>77.</w:t>
      </w:r>
      <w:r>
        <w:tab/>
        <w:t>Десять респондентов использовали приложение III, чтобы сообщить о примерах того, что они считают надлежащей практикой внедрения стратегической экологической оценки на национальном уровне (Албания, Армения, Мальта, Польша и Хорватия) и/или в трансграничном контексте (Дания, Испания, Румыния, Черногория и Эстония). Большинство респондентов описали внутренние процедуры стратегической экологической оценки в следующих секторах: туризм (Албания), городское и сельское планирование (Армения), региональное развитие (Хорватия), управление отходами (Мальта) и управление водными ресурсами (Польша). Черногория привела описание внутренних и трансграничных процедур в таких секторах, как городское и сельское планирование и энергетика, а Эстония и Румыния поделились опытом трансграничных консультаций по проекту морского пространственного планирования и энергетическому сектору соответственно. Некоторые респонденты выделили конкретные элементы, которые, по их мнению, представляют собой надлежащую практику, например использование электронных инструментов для участия общественности (морской пространственный план, Дания) и двусторонние соглашения (гидрологические планы и планы управления рисками наводнений, Испания).</w:t>
      </w:r>
    </w:p>
    <w:p w14:paraId="21770F67" w14:textId="77777777" w:rsidR="00A71F8E" w:rsidRPr="00BC5410" w:rsidRDefault="00A71F8E" w:rsidP="00A71F8E">
      <w:pPr>
        <w:pStyle w:val="H1G"/>
      </w:pPr>
      <w:r>
        <w:rPr>
          <w:bCs/>
        </w:rPr>
        <w:lastRenderedPageBreak/>
        <w:tab/>
        <w:t>H.</w:t>
      </w:r>
      <w:r>
        <w:tab/>
        <w:t>Опыт использования руководящих документов</w:t>
      </w:r>
      <w:bookmarkStart w:id="20" w:name="_Toc14170027"/>
      <w:bookmarkEnd w:id="20"/>
    </w:p>
    <w:p w14:paraId="6F969FB5" w14:textId="77777777" w:rsidR="00A71F8E" w:rsidRPr="00BC5410" w:rsidRDefault="00A71F8E" w:rsidP="00A71F8E">
      <w:pPr>
        <w:pStyle w:val="SingleTxtG"/>
        <w:rPr>
          <w:rFonts w:eastAsia="Times"/>
        </w:rPr>
      </w:pPr>
      <w:r>
        <w:t>78.</w:t>
      </w:r>
      <w:r>
        <w:tab/>
        <w:t xml:space="preserve">Тринадцать респондентов использовали </w:t>
      </w:r>
      <w:r w:rsidRPr="005D2359">
        <w:rPr>
          <w:i/>
        </w:rPr>
        <w:t>Рекомендации по надлежащей практике участия общественности в стратегической экологической оценке</w:t>
      </w:r>
      <w:r w:rsidRPr="00522B52">
        <w:rPr>
          <w:rFonts w:eastAsia="Times"/>
          <w:sz w:val="18"/>
          <w:vertAlign w:val="superscript"/>
        </w:rPr>
        <w:footnoteReference w:id="6"/>
      </w:r>
      <w:r>
        <w:rPr>
          <w:i/>
        </w:rPr>
        <w:t xml:space="preserve"> </w:t>
      </w:r>
      <w:r>
        <w:rPr>
          <w:i/>
        </w:rPr>
        <w:br/>
      </w:r>
      <w:r>
        <w:t>(вопрос II.13). Пять респондентов указали, что они не использовали это Руководство, потому что не знали о нем. Некоторые Стороны сообщили об использовании национальных руководящих принципов (Финляндия) или руководящих принципов и рекомендаций Европейской комиссии (Люксембург).</w:t>
      </w:r>
    </w:p>
    <w:p w14:paraId="0079D2ED" w14:textId="197AD8FB" w:rsidR="00A71F8E" w:rsidRPr="00BC5410" w:rsidRDefault="00A71F8E" w:rsidP="00A71F8E">
      <w:pPr>
        <w:pStyle w:val="SingleTxtG"/>
        <w:rPr>
          <w:rFonts w:eastAsia="Times"/>
        </w:rPr>
      </w:pPr>
      <w:r>
        <w:t>79.</w:t>
      </w:r>
      <w:r>
        <w:tab/>
        <w:t xml:space="preserve">Четырнадцать респондентов использовали </w:t>
      </w:r>
      <w:r>
        <w:rPr>
          <w:i/>
        </w:rPr>
        <w:t>Информационно-справочное р</w:t>
      </w:r>
      <w:r w:rsidRPr="005D2359">
        <w:rPr>
          <w:i/>
        </w:rPr>
        <w:t>уководство по применени</w:t>
      </w:r>
      <w:r>
        <w:rPr>
          <w:i/>
        </w:rPr>
        <w:t>ю</w:t>
      </w:r>
      <w:r w:rsidRPr="005D2359">
        <w:rPr>
          <w:i/>
        </w:rPr>
        <w:t xml:space="preserve"> Протокола по стратегической экологической оценке</w:t>
      </w:r>
      <w:r w:rsidRPr="00522B52">
        <w:rPr>
          <w:rFonts w:eastAsia="Times"/>
          <w:sz w:val="18"/>
          <w:vertAlign w:val="superscript"/>
        </w:rPr>
        <w:footnoteReference w:id="7"/>
      </w:r>
      <w:r>
        <w:t>, в то время как шесть респондентов заявили, что не знали об этом Руководстве. Польша отметила, что вопросы, связанные с переводом и участием общественности, объясняются очень четко и что в этих областях Руководство очень полезно, но рекомендует включить более полную информацию о мониторинге.</w:t>
      </w:r>
    </w:p>
    <w:p w14:paraId="5C9D7E6D" w14:textId="77777777" w:rsidR="00A71F8E" w:rsidRPr="00BC5410" w:rsidRDefault="00A71F8E" w:rsidP="00A71F8E">
      <w:pPr>
        <w:pStyle w:val="H1G"/>
      </w:pPr>
      <w:r>
        <w:rPr>
          <w:bCs/>
        </w:rPr>
        <w:tab/>
        <w:t>I.</w:t>
      </w:r>
      <w:r>
        <w:tab/>
        <w:t>Взносы на финансирование планов работы</w:t>
      </w:r>
    </w:p>
    <w:p w14:paraId="2107FB82" w14:textId="77777777" w:rsidR="00A71F8E" w:rsidRPr="00BC5410" w:rsidRDefault="00A71F8E" w:rsidP="00A71F8E">
      <w:pPr>
        <w:pStyle w:val="SingleTxtG"/>
        <w:rPr>
          <w:rFonts w:eastAsia="Times"/>
          <w:i/>
          <w:iCs/>
        </w:rPr>
      </w:pPr>
      <w:r>
        <w:t>80.</w:t>
      </w:r>
      <w:r>
        <w:tab/>
        <w:t xml:space="preserve">Информацию о взносах на финансирование планов работы см. в седьмом обзоре хода осуществления Конвенции об оценке воздействия на окружающую среду в трансграничном контексте (ECE/MP.EIA/WG.2/2022/3, </w:t>
      </w:r>
      <w:proofErr w:type="spellStart"/>
      <w:r>
        <w:t>пп</w:t>
      </w:r>
      <w:proofErr w:type="spellEnd"/>
      <w:r>
        <w:t>. 82–83).</w:t>
      </w:r>
    </w:p>
    <w:p w14:paraId="4A487C59" w14:textId="77777777" w:rsidR="00A71F8E" w:rsidRPr="00BC5410" w:rsidRDefault="00A71F8E" w:rsidP="00A71F8E">
      <w:pPr>
        <w:pStyle w:val="HChG"/>
      </w:pPr>
      <w:r>
        <w:rPr>
          <w:bCs/>
        </w:rPr>
        <w:tab/>
        <w:t>IV.</w:t>
      </w:r>
      <w:r>
        <w:tab/>
      </w:r>
      <w:r>
        <w:rPr>
          <w:bCs/>
        </w:rPr>
        <w:t>Выводы</w:t>
      </w:r>
    </w:p>
    <w:p w14:paraId="59D73F2B" w14:textId="77777777" w:rsidR="00A71F8E" w:rsidRPr="00BC5410" w:rsidRDefault="00A71F8E" w:rsidP="00A71F8E">
      <w:pPr>
        <w:pStyle w:val="SingleTxtG"/>
        <w:rPr>
          <w:rFonts w:eastAsia="Times"/>
        </w:rPr>
      </w:pPr>
      <w:bookmarkStart w:id="21" w:name="_Hlk31813669"/>
      <w:r>
        <w:t>81.</w:t>
      </w:r>
      <w:r>
        <w:tab/>
        <w:t xml:space="preserve">Анализ национальных докладов Сторон об осуществлении Протокола в период 2019–2021 годов подтверждает большинство выводов, сделанных по итогам </w:t>
      </w:r>
      <w:r w:rsidRPr="002575E4">
        <w:rPr>
          <w:i/>
        </w:rPr>
        <w:t xml:space="preserve">Третьего обзора осуществления Протокола по стратегической экологической оценке </w:t>
      </w:r>
      <w:r>
        <w:rPr>
          <w:i/>
        </w:rPr>
        <w:br/>
      </w:r>
      <w:r w:rsidRPr="002575E4">
        <w:rPr>
          <w:i/>
        </w:rPr>
        <w:t>(2016–2018 г</w:t>
      </w:r>
      <w:r>
        <w:rPr>
          <w:i/>
        </w:rPr>
        <w:t>оды</w:t>
      </w:r>
      <w:r w:rsidRPr="002575E4">
        <w:rPr>
          <w:i/>
        </w:rPr>
        <w:t>)</w:t>
      </w:r>
      <w:r>
        <w:rPr>
          <w:rStyle w:val="aa"/>
          <w:rFonts w:eastAsia="Times"/>
        </w:rPr>
        <w:footnoteReference w:id="8"/>
      </w:r>
      <w:r w:rsidRPr="00445376">
        <w:rPr>
          <w:iCs/>
        </w:rPr>
        <w:t>,</w:t>
      </w:r>
      <w:r>
        <w:t xml:space="preserve"> и эти выводы должны быть подтверждены Совещанием Сторон Протокола на его пятой сессии (Женева, 12–15 декабря 2023 года)</w:t>
      </w:r>
      <w:r w:rsidRPr="00E258BD">
        <w:rPr>
          <w:rFonts w:eastAsia="Times"/>
          <w:sz w:val="18"/>
          <w:vertAlign w:val="superscript"/>
        </w:rPr>
        <w:footnoteReference w:id="9"/>
      </w:r>
      <w:r>
        <w:t>. Ниже приводятся основные дополнительные выводы, сделанные по итогам четвертого обзора хода осуществления:</w:t>
      </w:r>
      <w:bookmarkStart w:id="22" w:name="_Hlk18410911"/>
    </w:p>
    <w:bookmarkEnd w:id="22"/>
    <w:p w14:paraId="319F307C" w14:textId="77777777" w:rsidR="00A71F8E" w:rsidRPr="004A1407" w:rsidRDefault="00A71F8E" w:rsidP="00A71F8E">
      <w:pPr>
        <w:pStyle w:val="SingleTxtG"/>
      </w:pPr>
      <w:r>
        <w:tab/>
      </w:r>
      <w:r w:rsidRPr="004A1407">
        <w:t>a)</w:t>
      </w:r>
      <w:r w:rsidRPr="004A1407">
        <w:tab/>
        <w:t>только около половины Сторон отчитались вовремя, и большее</w:t>
      </w:r>
      <w:r>
        <w:t>, нежели в предыдущий отчетный период,</w:t>
      </w:r>
      <w:r w:rsidRPr="004A1407">
        <w:t xml:space="preserve"> количество Сторон не вернули заполненные вопросники в течение двух месяцев после крайнего срока представления докладов (на момент подготовки обзора заполненные вопросники </w:t>
      </w:r>
      <w:r>
        <w:t xml:space="preserve">препроводили </w:t>
      </w:r>
      <w:r w:rsidRPr="004A1407">
        <w:t xml:space="preserve">22 Стороны по сравнению с 30 Сторонами в </w:t>
      </w:r>
      <w:r>
        <w:t xml:space="preserve">ходе </w:t>
      </w:r>
      <w:r w:rsidRPr="004A1407">
        <w:t>предыдуще</w:t>
      </w:r>
      <w:r>
        <w:t>го</w:t>
      </w:r>
      <w:r w:rsidRPr="004A1407">
        <w:t xml:space="preserve"> обзор</w:t>
      </w:r>
      <w:r>
        <w:t>а</w:t>
      </w:r>
      <w:r w:rsidRPr="004A1407">
        <w:t>). Невыполнение Сторонами обязательства по своевременному представлению докладов (в соответствии с пунктом</w:t>
      </w:r>
      <w:r>
        <w:t> </w:t>
      </w:r>
      <w:r w:rsidRPr="004A1407">
        <w:t xml:space="preserve">7 статьи 14) осложняет процесс обзора; </w:t>
      </w:r>
    </w:p>
    <w:p w14:paraId="4313D30C" w14:textId="77777777" w:rsidR="00A71F8E" w:rsidRPr="004A1407" w:rsidRDefault="00A71F8E" w:rsidP="00A71F8E">
      <w:pPr>
        <w:pStyle w:val="SingleTxtG"/>
      </w:pPr>
      <w:r>
        <w:tab/>
      </w:r>
      <w:r w:rsidRPr="004A1407">
        <w:t>b)</w:t>
      </w:r>
      <w:r w:rsidRPr="004A1407">
        <w:tab/>
        <w:t xml:space="preserve">отсутствие центрального реестра или базы данных национальных процедур стратегической экологической оценки </w:t>
      </w:r>
      <w:r>
        <w:t>у</w:t>
      </w:r>
      <w:r w:rsidRPr="004A1407">
        <w:t xml:space="preserve"> многих Сторон осложнило отчетность о количестве процедур за отчетный период и привело к неточности;</w:t>
      </w:r>
    </w:p>
    <w:p w14:paraId="6A945091" w14:textId="77777777" w:rsidR="00A71F8E" w:rsidRPr="004A1407" w:rsidRDefault="00A71F8E" w:rsidP="00A71F8E">
      <w:pPr>
        <w:pStyle w:val="SingleTxtG"/>
      </w:pPr>
      <w:r>
        <w:tab/>
      </w:r>
      <w:r w:rsidRPr="004A1407">
        <w:t>c)</w:t>
      </w:r>
      <w:r w:rsidRPr="004A1407">
        <w:tab/>
        <w:t>Стороны сообщили о</w:t>
      </w:r>
      <w:r>
        <w:t>б</w:t>
      </w:r>
      <w:r w:rsidRPr="004A1407">
        <w:t xml:space="preserve"> </w:t>
      </w:r>
      <w:r>
        <w:t>обширной</w:t>
      </w:r>
      <w:r w:rsidRPr="004A1407">
        <w:t xml:space="preserve"> наработанн</w:t>
      </w:r>
      <w:r>
        <w:t>ой</w:t>
      </w:r>
      <w:r w:rsidRPr="004A1407">
        <w:t xml:space="preserve"> практик</w:t>
      </w:r>
      <w:r>
        <w:t>е</w:t>
      </w:r>
      <w:r w:rsidRPr="004A1407">
        <w:t xml:space="preserve"> и </w:t>
      </w:r>
      <w:r>
        <w:t xml:space="preserve">разнообразном приобретенном </w:t>
      </w:r>
      <w:r w:rsidRPr="004A1407">
        <w:t>опыт</w:t>
      </w:r>
      <w:r>
        <w:t>е</w:t>
      </w:r>
      <w:r w:rsidRPr="004A1407">
        <w:t xml:space="preserve"> осуществления, и эту информацию можно было бы использовать при разработке материалов</w:t>
      </w:r>
      <w:r>
        <w:t xml:space="preserve">, направленных на </w:t>
      </w:r>
      <w:r w:rsidRPr="004A1407">
        <w:t>активизаци</w:t>
      </w:r>
      <w:r>
        <w:t>ю</w:t>
      </w:r>
      <w:r w:rsidRPr="004A1407">
        <w:t xml:space="preserve"> осуществления. Десять Сторон привели примеры того, что, по их мнению, является надлежащей практикой осуществления;</w:t>
      </w:r>
    </w:p>
    <w:p w14:paraId="56E3C961" w14:textId="3CB30720" w:rsidR="00A71F8E" w:rsidRPr="004A1407" w:rsidRDefault="00A71F8E" w:rsidP="00A71F8E">
      <w:pPr>
        <w:pStyle w:val="SingleTxtG"/>
      </w:pPr>
      <w:r>
        <w:tab/>
      </w:r>
      <w:r w:rsidRPr="004A1407">
        <w:t>d)</w:t>
      </w:r>
      <w:r w:rsidRPr="004A1407">
        <w:tab/>
        <w:t>некоторые Стороны приобрели опыт использования электронных технологий для дистанционного проведения консультаций и мероприятий с участием населения во время пандемии коронавирусно</w:t>
      </w:r>
      <w:r>
        <w:t xml:space="preserve">го заболевания </w:t>
      </w:r>
      <w:r w:rsidRPr="004A1407">
        <w:t>(COVID</w:t>
      </w:r>
      <w:r w:rsidR="0008762F">
        <w:t>-</w:t>
      </w:r>
      <w:r w:rsidRPr="004A1407">
        <w:t xml:space="preserve">19). Содействие </w:t>
      </w:r>
      <w:r w:rsidRPr="004A1407">
        <w:lastRenderedPageBreak/>
        <w:t xml:space="preserve">применению извлеченных уроков и </w:t>
      </w:r>
      <w:r>
        <w:t>передовой</w:t>
      </w:r>
      <w:r w:rsidRPr="004A1407">
        <w:t xml:space="preserve"> практики </w:t>
      </w:r>
      <w:r>
        <w:t xml:space="preserve">в области </w:t>
      </w:r>
      <w:r w:rsidRPr="004A1407">
        <w:t>использования технологий дистанционной связи может способствовать эффективн</w:t>
      </w:r>
      <w:r>
        <w:t>ым</w:t>
      </w:r>
      <w:r w:rsidRPr="004A1407">
        <w:t xml:space="preserve"> и </w:t>
      </w:r>
      <w:r>
        <w:t xml:space="preserve">результативным </w:t>
      </w:r>
      <w:r w:rsidRPr="004A1407">
        <w:t>консультаци</w:t>
      </w:r>
      <w:r>
        <w:t>ям</w:t>
      </w:r>
      <w:r w:rsidRPr="004A1407">
        <w:t xml:space="preserve"> и участи</w:t>
      </w:r>
      <w:r>
        <w:t>ю;</w:t>
      </w:r>
    </w:p>
    <w:p w14:paraId="7BB16DFE" w14:textId="77777777" w:rsidR="00A71F8E" w:rsidRPr="004A1407" w:rsidRDefault="00A71F8E" w:rsidP="00A71F8E">
      <w:pPr>
        <w:pStyle w:val="SingleTxtG"/>
      </w:pPr>
      <w:r>
        <w:tab/>
      </w:r>
      <w:r w:rsidRPr="004A1407">
        <w:t>e)</w:t>
      </w:r>
      <w:r w:rsidRPr="004A1407">
        <w:tab/>
        <w:t>для осуществления статьи 12 Протокола применяются различные методы мониторинга, что приводит к различиям в определении сферы охвата мониторинга и его продолжительности, а также используемых показателей. Рекомендуется поощрять дальнейший сбор и обмен информацией о передовом опыте, а также разработать рекомендации относительно надлежащей практики;</w:t>
      </w:r>
    </w:p>
    <w:p w14:paraId="60D5AEB8" w14:textId="77777777" w:rsidR="00A71F8E" w:rsidRPr="00BC5410" w:rsidRDefault="00A71F8E" w:rsidP="00A71F8E">
      <w:pPr>
        <w:pStyle w:val="SingleTxtG"/>
      </w:pPr>
      <w:r>
        <w:tab/>
        <w:t>f)</w:t>
      </w:r>
      <w:r>
        <w:tab/>
        <w:t xml:space="preserve">ряд Сторон используют </w:t>
      </w:r>
      <w:r>
        <w:rPr>
          <w:i/>
          <w:iCs/>
        </w:rPr>
        <w:t>Информационно-справочное р</w:t>
      </w:r>
      <w:r w:rsidRPr="004A1407">
        <w:rPr>
          <w:i/>
          <w:iCs/>
        </w:rPr>
        <w:t>уководство по применени</w:t>
      </w:r>
      <w:r>
        <w:rPr>
          <w:i/>
          <w:iCs/>
        </w:rPr>
        <w:t>ю</w:t>
      </w:r>
      <w:r w:rsidRPr="004A1407">
        <w:rPr>
          <w:i/>
          <w:iCs/>
        </w:rPr>
        <w:t xml:space="preserve"> Протокола по стратегической экологической оценке </w:t>
      </w:r>
      <w:r w:rsidRPr="008912CD">
        <w:t xml:space="preserve">и </w:t>
      </w:r>
      <w:r w:rsidRPr="004A1407">
        <w:rPr>
          <w:i/>
          <w:iCs/>
        </w:rPr>
        <w:t>Рекомендации по надлежащей практике участия общественности в стратегической экологической оценке</w:t>
      </w:r>
      <w:r>
        <w:t>, однако несколько Сторон указали на недостаточную осведомленность об этих документах как на причину их неиспользования. Следует продолжать усилия по повышению осведомленности о руководящих документах и поощрению их использования.</w:t>
      </w:r>
    </w:p>
    <w:bookmarkEnd w:id="21"/>
    <w:p w14:paraId="62F4362E" w14:textId="54F84FE2" w:rsidR="008B0AB7" w:rsidRPr="00A71F8E" w:rsidRDefault="00A71F8E" w:rsidP="00A71F8E">
      <w:pPr>
        <w:spacing w:before="240"/>
        <w:jc w:val="center"/>
        <w:rPr>
          <w:u w:val="single"/>
        </w:rPr>
      </w:pPr>
      <w:r w:rsidRPr="00BC5410">
        <w:rPr>
          <w:u w:val="single"/>
        </w:rPr>
        <w:tab/>
      </w:r>
      <w:r w:rsidRPr="00BC5410">
        <w:rPr>
          <w:u w:val="single"/>
        </w:rPr>
        <w:tab/>
      </w:r>
      <w:r w:rsidRPr="00BC5410">
        <w:rPr>
          <w:u w:val="single"/>
        </w:rPr>
        <w:tab/>
      </w:r>
    </w:p>
    <w:sectPr w:rsidR="008B0AB7" w:rsidRPr="00A71F8E" w:rsidSect="001B3D09">
      <w:headerReference w:type="even" r:id="rId48"/>
      <w:headerReference w:type="default" r:id="rId49"/>
      <w:footerReference w:type="even" r:id="rId50"/>
      <w:footerReference w:type="default" r:id="rId51"/>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F0E3" w14:textId="77777777" w:rsidR="00871053" w:rsidRPr="00A312BC" w:rsidRDefault="00871053" w:rsidP="00A312BC"/>
  </w:endnote>
  <w:endnote w:type="continuationSeparator" w:id="0">
    <w:p w14:paraId="090ED52B" w14:textId="77777777" w:rsidR="00871053" w:rsidRPr="00A312BC" w:rsidRDefault="00871053"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159A" w14:textId="1E6843CC" w:rsidR="0014512A" w:rsidRDefault="00217D57" w:rsidP="004C2DE1">
    <w:pPr>
      <w:pStyle w:val="a8"/>
    </w:pPr>
    <w:r w:rsidRPr="00217D57">
      <w:rPr>
        <w:b/>
        <w:sz w:val="18"/>
      </w:rPr>
      <w:fldChar w:fldCharType="begin"/>
    </w:r>
    <w:r w:rsidRPr="00217D57">
      <w:rPr>
        <w:b/>
        <w:sz w:val="18"/>
      </w:rPr>
      <w:instrText xml:space="preserve"> PAGE  \* MERGEFORMAT </w:instrText>
    </w:r>
    <w:r w:rsidRPr="00217D57">
      <w:rPr>
        <w:b/>
        <w:sz w:val="18"/>
      </w:rPr>
      <w:fldChar w:fldCharType="separate"/>
    </w:r>
    <w:r w:rsidRPr="00217D57">
      <w:rPr>
        <w:b/>
        <w:noProof/>
        <w:sz w:val="18"/>
      </w:rPr>
      <w:t>2</w:t>
    </w:r>
    <w:r w:rsidRPr="00217D57">
      <w:rPr>
        <w:b/>
        <w:sz w:val="18"/>
      </w:rPr>
      <w:fldChar w:fldCharType="end"/>
    </w:r>
    <w:r>
      <w:rPr>
        <w:b/>
        <w:sz w:val="18"/>
      </w:rPr>
      <w:tab/>
    </w:r>
    <w:r>
      <w:t>GE.23-18291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84D7" w14:textId="6AACE281" w:rsidR="0014512A" w:rsidRPr="004C2DE1" w:rsidRDefault="00217D57" w:rsidP="004C2DE1">
    <w:pPr>
      <w:pStyle w:val="a8"/>
      <w:rPr>
        <w:b/>
        <w:sz w:val="18"/>
      </w:rPr>
    </w:pPr>
    <w:r>
      <w:t>GE.23-18291</w:t>
    </w:r>
    <w:r>
      <w:tab/>
    </w:r>
    <w:r w:rsidRPr="00217D57">
      <w:rPr>
        <w:b/>
        <w:sz w:val="18"/>
      </w:rPr>
      <w:fldChar w:fldCharType="begin"/>
    </w:r>
    <w:r w:rsidRPr="00217D57">
      <w:rPr>
        <w:b/>
        <w:sz w:val="18"/>
      </w:rPr>
      <w:instrText xml:space="preserve"> PAGE  \* MERGEFORMAT </w:instrText>
    </w:r>
    <w:r w:rsidRPr="00217D57">
      <w:rPr>
        <w:b/>
        <w:sz w:val="18"/>
      </w:rPr>
      <w:fldChar w:fldCharType="separate"/>
    </w:r>
    <w:r w:rsidRPr="00217D57">
      <w:rPr>
        <w:b/>
        <w:noProof/>
        <w:sz w:val="18"/>
      </w:rPr>
      <w:t>3</w:t>
    </w:r>
    <w:r w:rsidRPr="00217D5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B48C" w14:textId="67372883" w:rsidR="00042B72" w:rsidRPr="00217D57" w:rsidRDefault="00217D57" w:rsidP="00217D57">
    <w:pPr>
      <w:spacing w:before="120" w:line="240" w:lineRule="auto"/>
    </w:pPr>
    <w:r>
      <w:t>GE.</w:t>
    </w:r>
    <w:r w:rsidR="00DF71B9">
      <w:rPr>
        <w:b/>
        <w:noProof/>
        <w:lang w:val="fr-CH" w:eastAsia="fr-CH"/>
      </w:rPr>
      <w:drawing>
        <wp:anchor distT="0" distB="0" distL="114300" distR="114300" simplePos="0" relativeHeight="251657216" behindDoc="0" locked="0" layoutInCell="1" allowOverlap="1" wp14:anchorId="11672DFE" wp14:editId="1384746B">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23-18291  (R)</w:t>
    </w:r>
    <w:r>
      <w:rPr>
        <w:noProof/>
      </w:rPr>
      <w:drawing>
        <wp:anchor distT="0" distB="0" distL="114300" distR="114300" simplePos="0" relativeHeight="251658240" behindDoc="0" locked="0" layoutInCell="1" allowOverlap="1" wp14:anchorId="0DB42686" wp14:editId="599DB12F">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3B18">
      <w:t xml:space="preserve">  131023  2</w:t>
    </w:r>
    <w:r w:rsidR="00ED26C5">
      <w:rPr>
        <w:lang w:val="en-US"/>
      </w:rPr>
      <w:t>6</w:t>
    </w:r>
    <w:r w:rsidR="004F3B18">
      <w:t>1023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2612" w14:textId="7EE6604F" w:rsidR="009F669A" w:rsidRPr="009F669A" w:rsidRDefault="009F669A" w:rsidP="009F669A">
    <w:pPr>
      <w:pStyle w:val="a8"/>
    </w:pPr>
    <w:r>
      <w:rPr>
        <w:noProof/>
      </w:rPr>
      <mc:AlternateContent>
        <mc:Choice Requires="wps">
          <w:drawing>
            <wp:anchor distT="0" distB="0" distL="114300" distR="114300" simplePos="0" relativeHeight="251661312" behindDoc="0" locked="0" layoutInCell="1" allowOverlap="1" wp14:anchorId="6709B0FB" wp14:editId="39137C4D">
              <wp:simplePos x="0" y="0"/>
              <wp:positionH relativeFrom="margin">
                <wp:posOffset>-431800</wp:posOffset>
              </wp:positionH>
              <wp:positionV relativeFrom="margin">
                <wp:posOffset>0</wp:posOffset>
              </wp:positionV>
              <wp:extent cx="215900" cy="6120130"/>
              <wp:effectExtent l="0" t="0" r="0" b="0"/>
              <wp:wrapNone/>
              <wp:docPr id="23" name="Надпись 23"/>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595F760" w14:textId="77777777" w:rsidR="009F669A" w:rsidRDefault="009F669A" w:rsidP="009F669A">
                          <w:pPr>
                            <w:pStyle w:val="a8"/>
                          </w:pPr>
                          <w:r w:rsidRPr="00217D57">
                            <w:rPr>
                              <w:b/>
                              <w:sz w:val="18"/>
                            </w:rPr>
                            <w:fldChar w:fldCharType="begin"/>
                          </w:r>
                          <w:r w:rsidRPr="00217D57">
                            <w:rPr>
                              <w:b/>
                              <w:sz w:val="18"/>
                            </w:rPr>
                            <w:instrText xml:space="preserve"> PAGE  \* MERGEFORMAT </w:instrText>
                          </w:r>
                          <w:r w:rsidRPr="00217D57">
                            <w:rPr>
                              <w:b/>
                              <w:sz w:val="18"/>
                            </w:rPr>
                            <w:fldChar w:fldCharType="separate"/>
                          </w:r>
                          <w:r>
                            <w:rPr>
                              <w:b/>
                              <w:sz w:val="18"/>
                            </w:rPr>
                            <w:t>22</w:t>
                          </w:r>
                          <w:r w:rsidRPr="00217D57">
                            <w:rPr>
                              <w:b/>
                              <w:sz w:val="18"/>
                            </w:rPr>
                            <w:fldChar w:fldCharType="end"/>
                          </w:r>
                          <w:r>
                            <w:rPr>
                              <w:b/>
                              <w:sz w:val="18"/>
                            </w:rPr>
                            <w:tab/>
                          </w:r>
                          <w:r>
                            <w:t>GE.23-18291</w:t>
                          </w:r>
                        </w:p>
                        <w:p w14:paraId="5A1C05E2" w14:textId="77777777" w:rsidR="009F669A" w:rsidRDefault="009F669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709B0FB" id="_x0000_t202" coordsize="21600,21600" o:spt="202" path="m,l,21600r21600,l21600,xe">
              <v:stroke joinstyle="miter"/>
              <v:path gradientshapeok="t" o:connecttype="rect"/>
            </v:shapetype>
            <v:shape id="Надпись 23" o:spid="_x0000_s1028" type="#_x0000_t202" style="position:absolute;margin-left:-34pt;margin-top:0;width:17pt;height:481.9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4595F760" w14:textId="77777777" w:rsidR="009F669A" w:rsidRDefault="009F669A" w:rsidP="009F669A">
                    <w:pPr>
                      <w:pStyle w:val="a8"/>
                    </w:pPr>
                    <w:r w:rsidRPr="00217D57">
                      <w:rPr>
                        <w:b/>
                        <w:sz w:val="18"/>
                      </w:rPr>
                      <w:fldChar w:fldCharType="begin"/>
                    </w:r>
                    <w:r w:rsidRPr="00217D57">
                      <w:rPr>
                        <w:b/>
                        <w:sz w:val="18"/>
                      </w:rPr>
                      <w:instrText xml:space="preserve"> PAGE  \* MERGEFORMAT </w:instrText>
                    </w:r>
                    <w:r w:rsidRPr="00217D57">
                      <w:rPr>
                        <w:b/>
                        <w:sz w:val="18"/>
                      </w:rPr>
                      <w:fldChar w:fldCharType="separate"/>
                    </w:r>
                    <w:r>
                      <w:rPr>
                        <w:b/>
                        <w:sz w:val="18"/>
                      </w:rPr>
                      <w:t>22</w:t>
                    </w:r>
                    <w:r w:rsidRPr="00217D57">
                      <w:rPr>
                        <w:b/>
                        <w:sz w:val="18"/>
                      </w:rPr>
                      <w:fldChar w:fldCharType="end"/>
                    </w:r>
                    <w:r>
                      <w:rPr>
                        <w:b/>
                        <w:sz w:val="18"/>
                      </w:rPr>
                      <w:tab/>
                    </w:r>
                    <w:r>
                      <w:t>GE.23-18291</w:t>
                    </w:r>
                  </w:p>
                  <w:p w14:paraId="5A1C05E2" w14:textId="77777777" w:rsidR="009F669A" w:rsidRDefault="009F669A"/>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568D" w14:textId="4B1C7F81" w:rsidR="009F669A" w:rsidRPr="009F669A" w:rsidRDefault="009F669A" w:rsidP="009F669A">
    <w:pPr>
      <w:pStyle w:val="a8"/>
    </w:pPr>
    <w:r>
      <w:rPr>
        <w:noProof/>
      </w:rPr>
      <mc:AlternateContent>
        <mc:Choice Requires="wps">
          <w:drawing>
            <wp:anchor distT="0" distB="0" distL="114300" distR="114300" simplePos="0" relativeHeight="251663360" behindDoc="0" locked="0" layoutInCell="1" allowOverlap="1" wp14:anchorId="1F545A65" wp14:editId="0AEFCE97">
              <wp:simplePos x="0" y="0"/>
              <wp:positionH relativeFrom="margin">
                <wp:posOffset>-431800</wp:posOffset>
              </wp:positionH>
              <wp:positionV relativeFrom="margin">
                <wp:posOffset>0</wp:posOffset>
              </wp:positionV>
              <wp:extent cx="215900" cy="6120130"/>
              <wp:effectExtent l="0" t="0" r="0" b="0"/>
              <wp:wrapNone/>
              <wp:docPr id="26" name="Надпись 2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3CD512D" w14:textId="77777777" w:rsidR="009F669A" w:rsidRPr="004C2DE1" w:rsidRDefault="009F669A" w:rsidP="009F669A">
                          <w:pPr>
                            <w:pStyle w:val="a8"/>
                            <w:rPr>
                              <w:b/>
                              <w:sz w:val="18"/>
                            </w:rPr>
                          </w:pPr>
                          <w:r>
                            <w:t>GE.23-18291</w:t>
                          </w:r>
                          <w:r>
                            <w:tab/>
                          </w:r>
                          <w:r w:rsidRPr="00217D57">
                            <w:rPr>
                              <w:b/>
                              <w:sz w:val="18"/>
                            </w:rPr>
                            <w:fldChar w:fldCharType="begin"/>
                          </w:r>
                          <w:r w:rsidRPr="00217D57">
                            <w:rPr>
                              <w:b/>
                              <w:sz w:val="18"/>
                            </w:rPr>
                            <w:instrText xml:space="preserve"> PAGE  \* MERGEFORMAT </w:instrText>
                          </w:r>
                          <w:r w:rsidRPr="00217D57">
                            <w:rPr>
                              <w:b/>
                              <w:sz w:val="18"/>
                            </w:rPr>
                            <w:fldChar w:fldCharType="separate"/>
                          </w:r>
                          <w:r>
                            <w:rPr>
                              <w:b/>
                              <w:sz w:val="18"/>
                            </w:rPr>
                            <w:t>23</w:t>
                          </w:r>
                          <w:r w:rsidRPr="00217D57">
                            <w:rPr>
                              <w:b/>
                              <w:sz w:val="18"/>
                            </w:rPr>
                            <w:fldChar w:fldCharType="end"/>
                          </w:r>
                        </w:p>
                        <w:p w14:paraId="208E9285" w14:textId="77777777" w:rsidR="009F669A" w:rsidRDefault="009F669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F545A65" id="_x0000_t202" coordsize="21600,21600" o:spt="202" path="m,l,21600r21600,l21600,xe">
              <v:stroke joinstyle="miter"/>
              <v:path gradientshapeok="t" o:connecttype="rect"/>
            </v:shapetype>
            <v:shape id="Надпись 26" o:spid="_x0000_s1029" type="#_x0000_t202" style="position:absolute;margin-left:-34pt;margin-top:0;width:17pt;height:481.9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23CD512D" w14:textId="77777777" w:rsidR="009F669A" w:rsidRPr="004C2DE1" w:rsidRDefault="009F669A" w:rsidP="009F669A">
                    <w:pPr>
                      <w:pStyle w:val="a8"/>
                      <w:rPr>
                        <w:b/>
                        <w:sz w:val="18"/>
                      </w:rPr>
                    </w:pPr>
                    <w:r>
                      <w:t>GE.23-18291</w:t>
                    </w:r>
                    <w:r>
                      <w:tab/>
                    </w:r>
                    <w:r w:rsidRPr="00217D57">
                      <w:rPr>
                        <w:b/>
                        <w:sz w:val="18"/>
                      </w:rPr>
                      <w:fldChar w:fldCharType="begin"/>
                    </w:r>
                    <w:r w:rsidRPr="00217D57">
                      <w:rPr>
                        <w:b/>
                        <w:sz w:val="18"/>
                      </w:rPr>
                      <w:instrText xml:space="preserve"> PAGE  \* MERGEFORMAT </w:instrText>
                    </w:r>
                    <w:r w:rsidRPr="00217D57">
                      <w:rPr>
                        <w:b/>
                        <w:sz w:val="18"/>
                      </w:rPr>
                      <w:fldChar w:fldCharType="separate"/>
                    </w:r>
                    <w:r>
                      <w:rPr>
                        <w:b/>
                        <w:sz w:val="18"/>
                      </w:rPr>
                      <w:t>23</w:t>
                    </w:r>
                    <w:r w:rsidRPr="00217D57">
                      <w:rPr>
                        <w:b/>
                        <w:sz w:val="18"/>
                      </w:rPr>
                      <w:fldChar w:fldCharType="end"/>
                    </w:r>
                  </w:p>
                  <w:p w14:paraId="208E9285" w14:textId="77777777" w:rsidR="009F669A" w:rsidRDefault="009F669A"/>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77CD" w14:textId="27522D8A" w:rsidR="001B3D09" w:rsidRPr="001B3D09" w:rsidRDefault="0008762F" w:rsidP="001B3D09">
    <w:pPr>
      <w:pStyle w:val="a8"/>
      <w:rPr>
        <w:b/>
        <w:sz w:val="18"/>
      </w:rPr>
    </w:pPr>
    <w:r>
      <w:rPr>
        <w:b/>
        <w:sz w:val="18"/>
      </w:rPr>
      <w:fldChar w:fldCharType="begin"/>
    </w:r>
    <w:r>
      <w:rPr>
        <w:b/>
        <w:sz w:val="18"/>
      </w:rPr>
      <w:instrText xml:space="preserve"> PAGE  \* MERGEFORMAT </w:instrText>
    </w:r>
    <w:r>
      <w:rPr>
        <w:b/>
        <w:sz w:val="18"/>
      </w:rPr>
      <w:fldChar w:fldCharType="separate"/>
    </w:r>
    <w:r>
      <w:rPr>
        <w:b/>
        <w:noProof/>
        <w:sz w:val="18"/>
      </w:rPr>
      <w:t>26</w:t>
    </w:r>
    <w:r>
      <w:rPr>
        <w:b/>
        <w:sz w:val="18"/>
      </w:rPr>
      <w:fldChar w:fldCharType="end"/>
    </w:r>
    <w:r>
      <w:rPr>
        <w:b/>
        <w:sz w:val="18"/>
      </w:rPr>
      <w:tab/>
    </w:r>
    <w:r w:rsidR="000A7879">
      <w:t>GE.23-18291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61A8" w14:textId="3996F248" w:rsidR="001B3D09" w:rsidRPr="001B3D09" w:rsidRDefault="000A7879" w:rsidP="001B3D09">
    <w:pPr>
      <w:pStyle w:val="a8"/>
      <w:rPr>
        <w:b/>
        <w:sz w:val="18"/>
      </w:rPr>
    </w:pPr>
    <w:r>
      <w:t>GE.23-18291</w:t>
    </w:r>
    <w:r w:rsidR="0008762F">
      <w:tab/>
    </w:r>
    <w:r w:rsidR="0008762F">
      <w:rPr>
        <w:b/>
        <w:sz w:val="18"/>
      </w:rPr>
      <w:fldChar w:fldCharType="begin"/>
    </w:r>
    <w:r w:rsidR="0008762F">
      <w:rPr>
        <w:b/>
        <w:sz w:val="18"/>
      </w:rPr>
      <w:instrText xml:space="preserve"> PAGE  \* MERGEFORMAT </w:instrText>
    </w:r>
    <w:r w:rsidR="0008762F">
      <w:rPr>
        <w:b/>
        <w:sz w:val="18"/>
      </w:rPr>
      <w:fldChar w:fldCharType="separate"/>
    </w:r>
    <w:r w:rsidR="0008762F">
      <w:rPr>
        <w:b/>
        <w:noProof/>
        <w:sz w:val="18"/>
      </w:rPr>
      <w:t>25</w:t>
    </w:r>
    <w:r w:rsidR="0008762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1283" w14:textId="77777777" w:rsidR="00871053" w:rsidRPr="001075E9" w:rsidRDefault="00871053" w:rsidP="001075E9">
      <w:pPr>
        <w:tabs>
          <w:tab w:val="right" w:pos="2155"/>
        </w:tabs>
        <w:spacing w:after="80" w:line="240" w:lineRule="auto"/>
        <w:ind w:left="680"/>
        <w:rPr>
          <w:u w:val="single"/>
        </w:rPr>
      </w:pPr>
      <w:r>
        <w:rPr>
          <w:u w:val="single"/>
        </w:rPr>
        <w:tab/>
      </w:r>
    </w:p>
  </w:footnote>
  <w:footnote w:type="continuationSeparator" w:id="0">
    <w:p w14:paraId="2320D82B" w14:textId="77777777" w:rsidR="00871053" w:rsidRDefault="00871053" w:rsidP="00407B78">
      <w:pPr>
        <w:tabs>
          <w:tab w:val="right" w:pos="2155"/>
        </w:tabs>
        <w:spacing w:after="80"/>
        <w:ind w:left="680"/>
        <w:rPr>
          <w:u w:val="single"/>
        </w:rPr>
      </w:pPr>
      <w:r>
        <w:rPr>
          <w:u w:val="single"/>
        </w:rPr>
        <w:tab/>
      </w:r>
    </w:p>
  </w:footnote>
  <w:footnote w:id="1">
    <w:p w14:paraId="29885B35" w14:textId="3869D2A1" w:rsidR="00123BFA" w:rsidRPr="0061559A" w:rsidRDefault="00123BFA" w:rsidP="00123BFA">
      <w:pPr>
        <w:pStyle w:val="ad"/>
      </w:pPr>
      <w:r>
        <w:rPr>
          <w:vertAlign w:val="superscript"/>
        </w:rPr>
        <w:tab/>
      </w:r>
      <w:r>
        <w:rPr>
          <w:rStyle w:val="aa"/>
        </w:rPr>
        <w:footnoteRef/>
      </w:r>
      <w:r>
        <w:tab/>
        <w:t xml:space="preserve">См. </w:t>
      </w:r>
      <w:hyperlink r:id="rId1" w:history="1">
        <w:r w:rsidRPr="00604F8C">
          <w:rPr>
            <w:rStyle w:val="af1"/>
          </w:rPr>
          <w:t>www.unece.org/environment-policy/environmental-assessment/review-implementation-2019-protocol</w:t>
        </w:r>
      </w:hyperlink>
      <w:r w:rsidRPr="0061559A">
        <w:t>.</w:t>
      </w:r>
    </w:p>
  </w:footnote>
  <w:footnote w:id="2">
    <w:p w14:paraId="6F1FDB70" w14:textId="77777777" w:rsidR="00123BFA" w:rsidRPr="00BC5410" w:rsidRDefault="00123BFA" w:rsidP="00123BFA">
      <w:pPr>
        <w:pStyle w:val="ad"/>
        <w:ind w:hanging="567"/>
      </w:pPr>
      <w:r>
        <w:rPr>
          <w:vertAlign w:val="superscript"/>
        </w:rPr>
        <w:tab/>
      </w:r>
      <w:r w:rsidRPr="00D92A41">
        <w:rPr>
          <w:vertAlign w:val="superscript"/>
        </w:rPr>
        <w:footnoteRef/>
      </w:r>
      <w:r>
        <w:tab/>
        <w:t xml:space="preserve">Формуляр вопросника (на английском, русском и французском языках) и заполненные вопросники размещены на веб-сайте Протокола. </w:t>
      </w:r>
      <w:r>
        <w:br/>
        <w:t xml:space="preserve">См. </w:t>
      </w:r>
      <w:hyperlink r:id="rId2" w:history="1">
        <w:r w:rsidRPr="00604F8C">
          <w:rPr>
            <w:rStyle w:val="af1"/>
          </w:rPr>
          <w:t>www.unece.org/env/eia/implementation/review_implementation.html</w:t>
        </w:r>
      </w:hyperlink>
      <w:r>
        <w:t xml:space="preserve">. </w:t>
      </w:r>
    </w:p>
  </w:footnote>
  <w:footnote w:id="3">
    <w:p w14:paraId="34325A10" w14:textId="7E37656D" w:rsidR="00123BFA" w:rsidRPr="00BC5410" w:rsidRDefault="00123BFA" w:rsidP="00123BFA">
      <w:pPr>
        <w:pStyle w:val="ad"/>
      </w:pPr>
      <w:r>
        <w:tab/>
      </w:r>
      <w:r>
        <w:rPr>
          <w:rStyle w:val="aa"/>
        </w:rPr>
        <w:footnoteRef/>
      </w:r>
      <w:r>
        <w:tab/>
        <w:t>В связи с этим информация, предоставленная Европейским союзом, не включена в общее количество ответов.</w:t>
      </w:r>
    </w:p>
  </w:footnote>
  <w:footnote w:id="4">
    <w:p w14:paraId="0AB5F3C1" w14:textId="77777777" w:rsidR="00123BFA" w:rsidRPr="005B7E97" w:rsidRDefault="00123BFA" w:rsidP="00123BFA">
      <w:pPr>
        <w:pStyle w:val="ad"/>
      </w:pPr>
      <w:r>
        <w:tab/>
      </w:r>
      <w:r>
        <w:rPr>
          <w:rStyle w:val="aa"/>
        </w:rPr>
        <w:footnoteRef/>
      </w:r>
      <w:r w:rsidRPr="0061559A">
        <w:tab/>
      </w:r>
      <w:r>
        <w:t>См</w:t>
      </w:r>
      <w:r w:rsidRPr="0061559A">
        <w:t xml:space="preserve">. </w:t>
      </w:r>
      <w:hyperlink r:id="rId3" w:history="1">
        <w:r w:rsidRPr="00604F8C">
          <w:rPr>
            <w:rStyle w:val="af1"/>
            <w:lang w:val="fr-CH"/>
          </w:rPr>
          <w:t>https</w:t>
        </w:r>
        <w:r w:rsidRPr="005B7E97">
          <w:rPr>
            <w:rStyle w:val="af1"/>
          </w:rPr>
          <w:t>://</w:t>
        </w:r>
        <w:proofErr w:type="spellStart"/>
        <w:r w:rsidRPr="00604F8C">
          <w:rPr>
            <w:rStyle w:val="af1"/>
            <w:lang w:val="fr-CH"/>
          </w:rPr>
          <w:t>eur</w:t>
        </w:r>
        <w:proofErr w:type="spellEnd"/>
        <w:r w:rsidRPr="005B7E97">
          <w:rPr>
            <w:rStyle w:val="af1"/>
          </w:rPr>
          <w:t>-</w:t>
        </w:r>
        <w:proofErr w:type="spellStart"/>
        <w:r w:rsidRPr="00604F8C">
          <w:rPr>
            <w:rStyle w:val="af1"/>
            <w:lang w:val="fr-CH"/>
          </w:rPr>
          <w:t>lex</w:t>
        </w:r>
        <w:proofErr w:type="spellEnd"/>
        <w:r w:rsidRPr="005B7E97">
          <w:rPr>
            <w:rStyle w:val="af1"/>
          </w:rPr>
          <w:t>.</w:t>
        </w:r>
        <w:proofErr w:type="spellStart"/>
        <w:r w:rsidRPr="00604F8C">
          <w:rPr>
            <w:rStyle w:val="af1"/>
            <w:lang w:val="fr-CH"/>
          </w:rPr>
          <w:t>europa</w:t>
        </w:r>
        <w:proofErr w:type="spellEnd"/>
        <w:r w:rsidRPr="005B7E97">
          <w:rPr>
            <w:rStyle w:val="af1"/>
          </w:rPr>
          <w:t>.</w:t>
        </w:r>
        <w:r w:rsidRPr="00604F8C">
          <w:rPr>
            <w:rStyle w:val="af1"/>
            <w:lang w:val="fr-CH"/>
          </w:rPr>
          <w:t>eu</w:t>
        </w:r>
        <w:r w:rsidRPr="005B7E97">
          <w:rPr>
            <w:rStyle w:val="af1"/>
          </w:rPr>
          <w:t>/</w:t>
        </w:r>
        <w:proofErr w:type="spellStart"/>
        <w:r w:rsidRPr="00604F8C">
          <w:rPr>
            <w:rStyle w:val="af1"/>
            <w:lang w:val="fr-CH"/>
          </w:rPr>
          <w:t>legal</w:t>
        </w:r>
        <w:proofErr w:type="spellEnd"/>
        <w:r w:rsidRPr="005B7E97">
          <w:rPr>
            <w:rStyle w:val="af1"/>
          </w:rPr>
          <w:t>-</w:t>
        </w:r>
        <w:r w:rsidRPr="00604F8C">
          <w:rPr>
            <w:rStyle w:val="af1"/>
            <w:lang w:val="fr-CH"/>
          </w:rPr>
          <w:t>content</w:t>
        </w:r>
        <w:r w:rsidRPr="005B7E97">
          <w:rPr>
            <w:rStyle w:val="af1"/>
          </w:rPr>
          <w:t>/</w:t>
        </w:r>
        <w:r w:rsidRPr="00604F8C">
          <w:rPr>
            <w:rStyle w:val="af1"/>
            <w:lang w:val="fr-CH"/>
          </w:rPr>
          <w:t>EN</w:t>
        </w:r>
        <w:r w:rsidRPr="005B7E97">
          <w:rPr>
            <w:rStyle w:val="af1"/>
          </w:rPr>
          <w:t>/</w:t>
        </w:r>
        <w:r w:rsidRPr="00604F8C">
          <w:rPr>
            <w:rStyle w:val="af1"/>
            <w:lang w:val="fr-CH"/>
          </w:rPr>
          <w:t>ALL</w:t>
        </w:r>
        <w:r w:rsidRPr="005B7E97">
          <w:rPr>
            <w:rStyle w:val="af1"/>
          </w:rPr>
          <w:t>/?</w:t>
        </w:r>
        <w:proofErr w:type="spellStart"/>
        <w:r w:rsidRPr="00604F8C">
          <w:rPr>
            <w:rStyle w:val="af1"/>
            <w:lang w:val="fr-CH"/>
          </w:rPr>
          <w:t>uri</w:t>
        </w:r>
        <w:proofErr w:type="spellEnd"/>
        <w:r w:rsidRPr="005B7E97">
          <w:rPr>
            <w:rStyle w:val="af1"/>
          </w:rPr>
          <w:t>=</w:t>
        </w:r>
        <w:r w:rsidRPr="00604F8C">
          <w:rPr>
            <w:rStyle w:val="af1"/>
            <w:lang w:val="fr-CH"/>
          </w:rPr>
          <w:t>CELEX</w:t>
        </w:r>
        <w:r w:rsidRPr="005B7E97">
          <w:rPr>
            <w:rStyle w:val="af1"/>
          </w:rPr>
          <w:t>:32001</w:t>
        </w:r>
        <w:r w:rsidRPr="00604F8C">
          <w:rPr>
            <w:rStyle w:val="af1"/>
            <w:lang w:val="fr-CH"/>
          </w:rPr>
          <w:t>L</w:t>
        </w:r>
        <w:r w:rsidRPr="005B7E97">
          <w:rPr>
            <w:rStyle w:val="af1"/>
          </w:rPr>
          <w:t>0042</w:t>
        </w:r>
        <w:r w:rsidRPr="00604F8C">
          <w:rPr>
            <w:rStyle w:val="af1"/>
            <w:lang w:val="fr-CH"/>
          </w:rPr>
          <w:t>Directive</w:t>
        </w:r>
        <w:r w:rsidRPr="005B7E97">
          <w:rPr>
            <w:rStyle w:val="af1"/>
          </w:rPr>
          <w:t>2001/42/</w:t>
        </w:r>
        <w:r w:rsidRPr="00604F8C">
          <w:rPr>
            <w:rStyle w:val="af1"/>
            <w:lang w:val="fr-CH"/>
          </w:rPr>
          <w:t>EU</w:t>
        </w:r>
      </w:hyperlink>
      <w:r w:rsidRPr="005B7E97">
        <w:t>.</w:t>
      </w:r>
    </w:p>
  </w:footnote>
  <w:footnote w:id="5">
    <w:p w14:paraId="4DBFE1ED" w14:textId="6B431910" w:rsidR="007B3C83" w:rsidRPr="00BC5410" w:rsidRDefault="007B3C83" w:rsidP="007B3C83">
      <w:pPr>
        <w:pStyle w:val="ad"/>
      </w:pPr>
      <w:r w:rsidRPr="005B7E97">
        <w:tab/>
      </w:r>
      <w:r>
        <w:rPr>
          <w:rStyle w:val="aa"/>
        </w:rPr>
        <w:footnoteRef/>
      </w:r>
      <w:r>
        <w:tab/>
        <w:t>Перечень национальных контактных пунктов для уведомления, созданных в соответствии с решением I/2 Совещания Сторон (</w:t>
      </w:r>
      <w:hyperlink r:id="rId4" w:history="1">
        <w:r w:rsidR="009D2411">
          <w:rPr>
            <w:rStyle w:val="af1"/>
          </w:rPr>
          <w:t>ECE/MP.EIA/SEA/2</w:t>
        </w:r>
      </w:hyperlink>
      <w:r>
        <w:t>), размещен на веб-сайте Конвенции (</w:t>
      </w:r>
      <w:hyperlink r:id="rId5" w:history="1">
        <w:r w:rsidRPr="00604F8C">
          <w:rPr>
            <w:rStyle w:val="af1"/>
          </w:rPr>
          <w:t>http://www.unece.org/env/eia/contacts.html</w:t>
        </w:r>
      </w:hyperlink>
      <w:r>
        <w:t>); он обновляется секретариатом на основе предоставляемой странами информации.</w:t>
      </w:r>
    </w:p>
  </w:footnote>
  <w:footnote w:id="6">
    <w:p w14:paraId="557B00D5" w14:textId="77777777" w:rsidR="00A71F8E" w:rsidRPr="00BC5410" w:rsidRDefault="00A71F8E" w:rsidP="00A71F8E">
      <w:pPr>
        <w:pStyle w:val="ad"/>
      </w:pPr>
      <w:r>
        <w:tab/>
      </w:r>
      <w:r>
        <w:rPr>
          <w:rStyle w:val="aa"/>
        </w:rPr>
        <w:footnoteRef/>
      </w:r>
      <w:r>
        <w:tab/>
        <w:t xml:space="preserve">Издание Организации Объединенных Наций, в продаже под № </w:t>
      </w:r>
      <w:r w:rsidRPr="000A7879">
        <w:t>E.15.II.E.7</w:t>
      </w:r>
      <w:r>
        <w:t xml:space="preserve">. </w:t>
      </w:r>
    </w:p>
  </w:footnote>
  <w:footnote w:id="7">
    <w:p w14:paraId="6ADBD1E1" w14:textId="15A2D665" w:rsidR="00A71F8E" w:rsidRPr="00BC5410" w:rsidRDefault="00A71F8E" w:rsidP="00A71F8E">
      <w:pPr>
        <w:pStyle w:val="ad"/>
      </w:pPr>
      <w:r w:rsidRPr="00DB1F40">
        <w:tab/>
      </w:r>
      <w:r>
        <w:rPr>
          <w:rStyle w:val="aa"/>
        </w:rPr>
        <w:footnoteRef/>
      </w:r>
      <w:r>
        <w:tab/>
        <w:t xml:space="preserve">Издание Организации Объединенных Наций, </w:t>
      </w:r>
      <w:hyperlink r:id="rId6" w:history="1">
        <w:r w:rsidR="00633790">
          <w:rPr>
            <w:rStyle w:val="af1"/>
          </w:rPr>
          <w:t>ECE/MP.EIA/17</w:t>
        </w:r>
      </w:hyperlink>
      <w:r>
        <w:t>.</w:t>
      </w:r>
    </w:p>
  </w:footnote>
  <w:footnote w:id="8">
    <w:p w14:paraId="0E0F912A" w14:textId="37CE607C" w:rsidR="00A71F8E" w:rsidRPr="00BC5410" w:rsidRDefault="00A71F8E" w:rsidP="00A71F8E">
      <w:pPr>
        <w:pStyle w:val="ad"/>
      </w:pPr>
      <w:r>
        <w:tab/>
      </w:r>
      <w:r>
        <w:rPr>
          <w:rStyle w:val="aa"/>
        </w:rPr>
        <w:footnoteRef/>
      </w:r>
      <w:r>
        <w:tab/>
        <w:t xml:space="preserve">Издание Организации Объединенных Наций, </w:t>
      </w:r>
      <w:hyperlink r:id="rId7" w:history="1">
        <w:r w:rsidR="00AF0A93">
          <w:rPr>
            <w:rStyle w:val="af1"/>
          </w:rPr>
          <w:t>ECE/MP.EIA/SEA/14</w:t>
        </w:r>
      </w:hyperlink>
      <w:r>
        <w:t xml:space="preserve">, </w:t>
      </w:r>
      <w:proofErr w:type="spellStart"/>
      <w:r>
        <w:t>пп</w:t>
      </w:r>
      <w:proofErr w:type="spellEnd"/>
      <w:r>
        <w:t xml:space="preserve">. 84 a)–b) и d)–e) </w:t>
      </w:r>
      <w:r>
        <w:br/>
        <w:t>и 85 a)–b).</w:t>
      </w:r>
    </w:p>
  </w:footnote>
  <w:footnote w:id="9">
    <w:p w14:paraId="0640A572" w14:textId="639232FA" w:rsidR="00A71F8E" w:rsidRPr="00BC5410" w:rsidRDefault="00A71F8E" w:rsidP="00A71F8E">
      <w:pPr>
        <w:pStyle w:val="ad"/>
      </w:pPr>
      <w:r w:rsidRPr="00DB1F40">
        <w:tab/>
      </w:r>
      <w:r>
        <w:rPr>
          <w:rStyle w:val="aa"/>
        </w:rPr>
        <w:footnoteRef/>
      </w:r>
      <w:r>
        <w:tab/>
        <w:t>Решение V/5 о представлении отчетности и обзоре осуществления Протокола (</w:t>
      </w:r>
      <w:hyperlink r:id="rId8" w:history="1">
        <w:r w:rsidR="00AF0A93">
          <w:rPr>
            <w:rStyle w:val="af1"/>
          </w:rPr>
          <w:t>ECE/MP.EIA/SEA/2023/8</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D22B" w14:textId="5301D1D2" w:rsidR="00217D57" w:rsidRPr="00217D57" w:rsidRDefault="00B41187">
    <w:pPr>
      <w:pStyle w:val="a5"/>
    </w:pPr>
    <w:fldSimple w:instr=" TITLE  \* MERGEFORMAT ">
      <w:r w:rsidR="009951B1">
        <w:t>ECE/MP.EIA/SEA/2023/9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A5DB" w14:textId="05057924" w:rsidR="0014512A" w:rsidRDefault="009951B1" w:rsidP="004C2DE1">
    <w:pPr>
      <w:pStyle w:val="a5"/>
      <w:jc w:val="right"/>
    </w:pPr>
    <w:r>
      <w:fldChar w:fldCharType="begin"/>
    </w:r>
    <w:r>
      <w:instrText xml:space="preserve"> TITLE  \* MERGEFORMAT </w:instrText>
    </w:r>
    <w:r>
      <w:fldChar w:fldCharType="separate"/>
    </w:r>
    <w:r>
      <w:t>ECE/MP.EIA/SEA/2023/9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13B4" w14:textId="28116DEF" w:rsidR="009F669A" w:rsidRPr="009F669A" w:rsidRDefault="009F669A" w:rsidP="009F669A">
    <w:r>
      <w:rPr>
        <w:noProof/>
      </w:rPr>
      <mc:AlternateContent>
        <mc:Choice Requires="wps">
          <w:drawing>
            <wp:anchor distT="0" distB="0" distL="114300" distR="114300" simplePos="0" relativeHeight="251660288" behindDoc="0" locked="0" layoutInCell="1" allowOverlap="1" wp14:anchorId="3FB33F05" wp14:editId="0A7AB3A7">
              <wp:simplePos x="0" y="0"/>
              <wp:positionH relativeFrom="page">
                <wp:posOffset>9935845</wp:posOffset>
              </wp:positionH>
              <wp:positionV relativeFrom="margin">
                <wp:posOffset>0</wp:posOffset>
              </wp:positionV>
              <wp:extent cx="215900" cy="6120130"/>
              <wp:effectExtent l="0" t="0" r="0" b="0"/>
              <wp:wrapNone/>
              <wp:docPr id="22" name="Надпись 2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5B9A3A45" w14:textId="63E8869E" w:rsidR="009F669A" w:rsidRPr="00217D57" w:rsidRDefault="00B41187" w:rsidP="009F669A">
                          <w:pPr>
                            <w:pStyle w:val="a5"/>
                          </w:pPr>
                          <w:fldSimple w:instr=" TITLE  \* MERGEFORMAT ">
                            <w:r w:rsidR="009951B1">
                              <w:t>ECE/MP.EIA/SEA/2023/9</w:t>
                            </w:r>
                          </w:fldSimple>
                        </w:p>
                        <w:p w14:paraId="4B518A21" w14:textId="77777777" w:rsidR="009F669A" w:rsidRDefault="009F669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FB33F05" id="_x0000_t202" coordsize="21600,21600" o:spt="202" path="m,l,21600r21600,l21600,xe">
              <v:stroke joinstyle="miter"/>
              <v:path gradientshapeok="t" o:connecttype="rect"/>
            </v:shapetype>
            <v:shape id="Надпись 22" o:spid="_x0000_s1026" type="#_x0000_t202" style="position:absolute;margin-left:782.35pt;margin-top:0;width:17pt;height:481.9pt;z-index:25166028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5B9A3A45" w14:textId="63E8869E" w:rsidR="009F669A" w:rsidRPr="00217D57" w:rsidRDefault="00B41187" w:rsidP="009F669A">
                    <w:pPr>
                      <w:pStyle w:val="a5"/>
                    </w:pPr>
                    <w:fldSimple w:instr=" TITLE  \* MERGEFORMAT ">
                      <w:r w:rsidR="009951B1">
                        <w:t>ECE/MP.EIA/SEA/2023/9</w:t>
                      </w:r>
                    </w:fldSimple>
                  </w:p>
                  <w:p w14:paraId="4B518A21" w14:textId="77777777" w:rsidR="009F669A" w:rsidRDefault="009F669A"/>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8EDA" w14:textId="73615636" w:rsidR="009F669A" w:rsidRPr="009F669A" w:rsidRDefault="009F669A" w:rsidP="009F669A">
    <w:r>
      <w:rPr>
        <w:noProof/>
      </w:rPr>
      <mc:AlternateContent>
        <mc:Choice Requires="wps">
          <w:drawing>
            <wp:anchor distT="0" distB="0" distL="114300" distR="114300" simplePos="0" relativeHeight="251662336" behindDoc="0" locked="0" layoutInCell="1" allowOverlap="1" wp14:anchorId="7835531E" wp14:editId="4BEBB87D">
              <wp:simplePos x="0" y="0"/>
              <wp:positionH relativeFrom="page">
                <wp:posOffset>9935845</wp:posOffset>
              </wp:positionH>
              <wp:positionV relativeFrom="margin">
                <wp:posOffset>0</wp:posOffset>
              </wp:positionV>
              <wp:extent cx="215900" cy="6120130"/>
              <wp:effectExtent l="0" t="0" r="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2CF91E78" w14:textId="7BBBA19F" w:rsidR="009F669A" w:rsidRDefault="00B41187" w:rsidP="009F669A">
                          <w:pPr>
                            <w:pStyle w:val="a5"/>
                            <w:jc w:val="right"/>
                          </w:pPr>
                          <w:fldSimple w:instr=" TITLE  \* MERGEFORMAT ">
                            <w:r w:rsidR="009951B1">
                              <w:t>ECE/MP.EIA/SEA/2023/9</w:t>
                            </w:r>
                          </w:fldSimple>
                        </w:p>
                        <w:p w14:paraId="37DAF4A4" w14:textId="77777777" w:rsidR="009F669A" w:rsidRDefault="009F669A"/>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835531E" id="_x0000_t202" coordsize="21600,21600" o:spt="202" path="m,l,21600r21600,l21600,xe">
              <v:stroke joinstyle="miter"/>
              <v:path gradientshapeok="t" o:connecttype="rect"/>
            </v:shapetype>
            <v:shape id="Надпись 25" o:spid="_x0000_s1027" type="#_x0000_t202" style="position:absolute;margin-left:782.35pt;margin-top:0;width:17pt;height:481.9pt;z-index:25166233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JrPw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" fillcolor="#4f81bd [3204]" stroked="f" strokeweight=".5pt">
              <v:fill opacity="0"/>
              <v:path arrowok="t"/>
              <v:textbox style="layout-flow:vertical" inset="0,0,0,0">
                <w:txbxContent>
                  <w:p w14:paraId="2CF91E78" w14:textId="7BBBA19F" w:rsidR="009F669A" w:rsidRDefault="00B41187" w:rsidP="009F669A">
                    <w:pPr>
                      <w:pStyle w:val="a5"/>
                      <w:jc w:val="right"/>
                    </w:pPr>
                    <w:fldSimple w:instr=" TITLE  \* MERGEFORMAT ">
                      <w:r w:rsidR="009951B1">
                        <w:t>ECE/MP.EIA/SEA/2023/9</w:t>
                      </w:r>
                    </w:fldSimple>
                  </w:p>
                  <w:p w14:paraId="37DAF4A4" w14:textId="77777777" w:rsidR="009F669A" w:rsidRDefault="009F669A"/>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A7D4" w14:textId="77777777" w:rsidR="001B3D09" w:rsidRPr="001B3D09" w:rsidRDefault="0008762F" w:rsidP="001B3D09">
    <w:pPr>
      <w:pStyle w:val="a5"/>
    </w:pPr>
    <w:r>
      <w:t>ECE/MP.EIA/SEA/2023/9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551" w14:textId="77777777" w:rsidR="001B3D09" w:rsidRPr="001B3D09" w:rsidRDefault="0008762F" w:rsidP="001B3D09">
    <w:pPr>
      <w:pStyle w:val="a5"/>
      <w:jc w:val="right"/>
    </w:pPr>
    <w:r>
      <w:t>ECE/MP.EIA/SEA/2023/9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5F215E8"/>
    <w:multiLevelType w:val="hybridMultilevel"/>
    <w:tmpl w:val="438CBD16"/>
    <w:lvl w:ilvl="0" w:tplc="04140001">
      <w:start w:val="1"/>
      <w:numFmt w:val="bulle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13" w15:restartNumberingAfterBreak="0">
    <w:nsid w:val="1A5B482B"/>
    <w:multiLevelType w:val="hybridMultilevel"/>
    <w:tmpl w:val="780840A2"/>
    <w:lvl w:ilvl="0" w:tplc="D918F152">
      <w:start w:val="60"/>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53725E"/>
    <w:multiLevelType w:val="hybridMultilevel"/>
    <w:tmpl w:val="78D4C830"/>
    <w:lvl w:ilvl="0" w:tplc="19BCBD3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4BB6F27"/>
    <w:multiLevelType w:val="hybridMultilevel"/>
    <w:tmpl w:val="0F6052C6"/>
    <w:lvl w:ilvl="0" w:tplc="04140001">
      <w:start w:val="1"/>
      <w:numFmt w:val="bullet"/>
      <w:lvlText w:val=""/>
      <w:lvlJc w:val="left"/>
      <w:pPr>
        <w:ind w:left="1854" w:hanging="360"/>
      </w:pPr>
      <w:rPr>
        <w:rFonts w:ascii="Symbol" w:hAnsi="Symbol" w:hint="default"/>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30"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56733885">
    <w:abstractNumId w:val="27"/>
  </w:num>
  <w:num w:numId="2" w16cid:durableId="966817556">
    <w:abstractNumId w:val="21"/>
  </w:num>
  <w:num w:numId="3" w16cid:durableId="1816291531">
    <w:abstractNumId w:val="15"/>
  </w:num>
  <w:num w:numId="4" w16cid:durableId="1492480875">
    <w:abstractNumId w:val="28"/>
  </w:num>
  <w:num w:numId="5" w16cid:durableId="1298685170">
    <w:abstractNumId w:val="2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26"/>
  </w:num>
  <w:num w:numId="17" w16cid:durableId="53941411">
    <w:abstractNumId w:val="22"/>
  </w:num>
  <w:num w:numId="18" w16cid:durableId="961153681">
    <w:abstractNumId w:val="24"/>
  </w:num>
  <w:num w:numId="19" w16cid:durableId="1272468768">
    <w:abstractNumId w:val="26"/>
  </w:num>
  <w:num w:numId="20" w16cid:durableId="807743971">
    <w:abstractNumId w:val="22"/>
  </w:num>
  <w:num w:numId="21" w16cid:durableId="1591162185">
    <w:abstractNumId w:val="24"/>
  </w:num>
  <w:num w:numId="22" w16cid:durableId="1321931487">
    <w:abstractNumId w:val="13"/>
  </w:num>
  <w:num w:numId="23" w16cid:durableId="757751788">
    <w:abstractNumId w:val="19"/>
  </w:num>
  <w:num w:numId="24" w16cid:durableId="962419939">
    <w:abstractNumId w:val="17"/>
  </w:num>
  <w:num w:numId="25" w16cid:durableId="1216812715">
    <w:abstractNumId w:val="10"/>
  </w:num>
  <w:num w:numId="26" w16cid:durableId="1481337893">
    <w:abstractNumId w:val="14"/>
  </w:num>
  <w:num w:numId="27" w16cid:durableId="618412644">
    <w:abstractNumId w:val="20"/>
  </w:num>
  <w:num w:numId="28" w16cid:durableId="1469207786">
    <w:abstractNumId w:val="16"/>
  </w:num>
  <w:num w:numId="29" w16cid:durableId="1811244148">
    <w:abstractNumId w:val="25"/>
  </w:num>
  <w:num w:numId="30" w16cid:durableId="27606270">
    <w:abstractNumId w:val="30"/>
  </w:num>
  <w:num w:numId="31" w16cid:durableId="415632293">
    <w:abstractNumId w:val="11"/>
  </w:num>
  <w:num w:numId="32" w16cid:durableId="1499225523">
    <w:abstractNumId w:val="12"/>
  </w:num>
  <w:num w:numId="33" w16cid:durableId="1786580710">
    <w:abstractNumId w:val="29"/>
  </w:num>
  <w:num w:numId="34" w16cid:durableId="130176717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38"/>
    <w:rsid w:val="000156EC"/>
    <w:rsid w:val="00033EE1"/>
    <w:rsid w:val="00042B72"/>
    <w:rsid w:val="00046A22"/>
    <w:rsid w:val="000558BD"/>
    <w:rsid w:val="0008762F"/>
    <w:rsid w:val="000A7879"/>
    <w:rsid w:val="000B57E7"/>
    <w:rsid w:val="000B6373"/>
    <w:rsid w:val="000D67B8"/>
    <w:rsid w:val="000E4E5B"/>
    <w:rsid w:val="000F09DF"/>
    <w:rsid w:val="000F61B2"/>
    <w:rsid w:val="000F6A4A"/>
    <w:rsid w:val="001075E9"/>
    <w:rsid w:val="00123BFA"/>
    <w:rsid w:val="001264ED"/>
    <w:rsid w:val="0014152F"/>
    <w:rsid w:val="0014512A"/>
    <w:rsid w:val="00180183"/>
    <w:rsid w:val="0018024D"/>
    <w:rsid w:val="001813ED"/>
    <w:rsid w:val="0018649F"/>
    <w:rsid w:val="00196389"/>
    <w:rsid w:val="001B3EF6"/>
    <w:rsid w:val="001C7A89"/>
    <w:rsid w:val="001D35C8"/>
    <w:rsid w:val="00217D57"/>
    <w:rsid w:val="00255343"/>
    <w:rsid w:val="0027151D"/>
    <w:rsid w:val="002859C2"/>
    <w:rsid w:val="00293F20"/>
    <w:rsid w:val="0029472F"/>
    <w:rsid w:val="002A2C57"/>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60528"/>
    <w:rsid w:val="003712D9"/>
    <w:rsid w:val="00381C24"/>
    <w:rsid w:val="00387CD4"/>
    <w:rsid w:val="003958D0"/>
    <w:rsid w:val="003A0D43"/>
    <w:rsid w:val="003A48CE"/>
    <w:rsid w:val="003B00E5"/>
    <w:rsid w:val="003E0B46"/>
    <w:rsid w:val="00407B78"/>
    <w:rsid w:val="00424203"/>
    <w:rsid w:val="004470FD"/>
    <w:rsid w:val="00452493"/>
    <w:rsid w:val="00453318"/>
    <w:rsid w:val="00454AF2"/>
    <w:rsid w:val="00454E07"/>
    <w:rsid w:val="00472C5C"/>
    <w:rsid w:val="00485F8A"/>
    <w:rsid w:val="004C2DE1"/>
    <w:rsid w:val="004C70DA"/>
    <w:rsid w:val="004D21D2"/>
    <w:rsid w:val="004E05B7"/>
    <w:rsid w:val="004F3B18"/>
    <w:rsid w:val="0050108D"/>
    <w:rsid w:val="00513081"/>
    <w:rsid w:val="00517901"/>
    <w:rsid w:val="00526683"/>
    <w:rsid w:val="00526DB8"/>
    <w:rsid w:val="00541EF7"/>
    <w:rsid w:val="005639C1"/>
    <w:rsid w:val="005709E0"/>
    <w:rsid w:val="00572E19"/>
    <w:rsid w:val="005914A8"/>
    <w:rsid w:val="005961C8"/>
    <w:rsid w:val="005966F1"/>
    <w:rsid w:val="005B516B"/>
    <w:rsid w:val="005D7914"/>
    <w:rsid w:val="005E2B41"/>
    <w:rsid w:val="005F0B42"/>
    <w:rsid w:val="005F4700"/>
    <w:rsid w:val="00617A43"/>
    <w:rsid w:val="00633790"/>
    <w:rsid w:val="006345DB"/>
    <w:rsid w:val="00640F49"/>
    <w:rsid w:val="00680D03"/>
    <w:rsid w:val="00681A10"/>
    <w:rsid w:val="00695983"/>
    <w:rsid w:val="006A1ED8"/>
    <w:rsid w:val="006C2031"/>
    <w:rsid w:val="006C2EFC"/>
    <w:rsid w:val="006D461A"/>
    <w:rsid w:val="006F35EE"/>
    <w:rsid w:val="007021FF"/>
    <w:rsid w:val="00712895"/>
    <w:rsid w:val="00734ACB"/>
    <w:rsid w:val="00737D38"/>
    <w:rsid w:val="00752B89"/>
    <w:rsid w:val="00757357"/>
    <w:rsid w:val="007851AD"/>
    <w:rsid w:val="00790219"/>
    <w:rsid w:val="00792497"/>
    <w:rsid w:val="007B3C83"/>
    <w:rsid w:val="00806737"/>
    <w:rsid w:val="00825F8D"/>
    <w:rsid w:val="0083034A"/>
    <w:rsid w:val="00834B71"/>
    <w:rsid w:val="0086445C"/>
    <w:rsid w:val="00871053"/>
    <w:rsid w:val="00894693"/>
    <w:rsid w:val="00896A5F"/>
    <w:rsid w:val="008A0351"/>
    <w:rsid w:val="008A08D7"/>
    <w:rsid w:val="008A37C8"/>
    <w:rsid w:val="008B0AB7"/>
    <w:rsid w:val="008B6909"/>
    <w:rsid w:val="008D53B6"/>
    <w:rsid w:val="008F7609"/>
    <w:rsid w:val="0090381B"/>
    <w:rsid w:val="00906890"/>
    <w:rsid w:val="009075B0"/>
    <w:rsid w:val="00911BE4"/>
    <w:rsid w:val="00951972"/>
    <w:rsid w:val="0095719F"/>
    <w:rsid w:val="009608F3"/>
    <w:rsid w:val="00970178"/>
    <w:rsid w:val="00992C50"/>
    <w:rsid w:val="009951B1"/>
    <w:rsid w:val="009A24AC"/>
    <w:rsid w:val="009C59D7"/>
    <w:rsid w:val="009C6FE6"/>
    <w:rsid w:val="009D2411"/>
    <w:rsid w:val="009D7B8D"/>
    <w:rsid w:val="009D7E7D"/>
    <w:rsid w:val="009E5544"/>
    <w:rsid w:val="009F669A"/>
    <w:rsid w:val="00A14DA8"/>
    <w:rsid w:val="00A260DD"/>
    <w:rsid w:val="00A312BC"/>
    <w:rsid w:val="00A46B32"/>
    <w:rsid w:val="00A52F1B"/>
    <w:rsid w:val="00A71F8E"/>
    <w:rsid w:val="00A84021"/>
    <w:rsid w:val="00A84D35"/>
    <w:rsid w:val="00A917B3"/>
    <w:rsid w:val="00AB4B51"/>
    <w:rsid w:val="00AD20BD"/>
    <w:rsid w:val="00AF0A93"/>
    <w:rsid w:val="00B10CC7"/>
    <w:rsid w:val="00B36DF7"/>
    <w:rsid w:val="00B41187"/>
    <w:rsid w:val="00B42A68"/>
    <w:rsid w:val="00B539E7"/>
    <w:rsid w:val="00B62458"/>
    <w:rsid w:val="00B950FD"/>
    <w:rsid w:val="00BC18B2"/>
    <w:rsid w:val="00BC358E"/>
    <w:rsid w:val="00BD33EE"/>
    <w:rsid w:val="00BE1CC7"/>
    <w:rsid w:val="00C106D6"/>
    <w:rsid w:val="00C119AE"/>
    <w:rsid w:val="00C16EAE"/>
    <w:rsid w:val="00C57E07"/>
    <w:rsid w:val="00C60F0C"/>
    <w:rsid w:val="00C71E84"/>
    <w:rsid w:val="00C744DD"/>
    <w:rsid w:val="00C805C9"/>
    <w:rsid w:val="00C92939"/>
    <w:rsid w:val="00CA1679"/>
    <w:rsid w:val="00CB151C"/>
    <w:rsid w:val="00CE5A1A"/>
    <w:rsid w:val="00CF55F6"/>
    <w:rsid w:val="00D14B9B"/>
    <w:rsid w:val="00D232E0"/>
    <w:rsid w:val="00D32A76"/>
    <w:rsid w:val="00D33D63"/>
    <w:rsid w:val="00D412A0"/>
    <w:rsid w:val="00D5253A"/>
    <w:rsid w:val="00D873A8"/>
    <w:rsid w:val="00D90028"/>
    <w:rsid w:val="00D90138"/>
    <w:rsid w:val="00D9145B"/>
    <w:rsid w:val="00D95FC0"/>
    <w:rsid w:val="00DB3B77"/>
    <w:rsid w:val="00DD78D1"/>
    <w:rsid w:val="00DE32CD"/>
    <w:rsid w:val="00DF5767"/>
    <w:rsid w:val="00DF71B9"/>
    <w:rsid w:val="00E03A46"/>
    <w:rsid w:val="00E12C5F"/>
    <w:rsid w:val="00E73F76"/>
    <w:rsid w:val="00E7660D"/>
    <w:rsid w:val="00EA2C9F"/>
    <w:rsid w:val="00EA420E"/>
    <w:rsid w:val="00ED0BDA"/>
    <w:rsid w:val="00ED26C5"/>
    <w:rsid w:val="00EE142A"/>
    <w:rsid w:val="00EE6EB0"/>
    <w:rsid w:val="00EF1360"/>
    <w:rsid w:val="00EF3220"/>
    <w:rsid w:val="00EF5F26"/>
    <w:rsid w:val="00F16D0D"/>
    <w:rsid w:val="00F2523A"/>
    <w:rsid w:val="00F43903"/>
    <w:rsid w:val="00F55C9F"/>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6F240"/>
  <w15:docId w15:val="{6033C3AF-4B4B-4E08-9AA1-D9C17D59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qFormat/>
    <w:rsid w:val="009C6FE6"/>
    <w:pPr>
      <w:keepNext/>
      <w:outlineLvl w:val="1"/>
    </w:pPr>
    <w:rPr>
      <w:rFonts w:cs="Arial"/>
      <w:bCs/>
      <w:iCs/>
      <w:szCs w:val="28"/>
    </w:rPr>
  </w:style>
  <w:style w:type="paragraph" w:styleId="3">
    <w:name w:val="heading 3"/>
    <w:basedOn w:val="a"/>
    <w:next w:val="a"/>
    <w:semiHidden/>
    <w:qFormat/>
    <w:rsid w:val="009C6FE6"/>
    <w:pPr>
      <w:keepNext/>
      <w:spacing w:before="240" w:after="60"/>
      <w:outlineLvl w:val="2"/>
    </w:pPr>
    <w:rPr>
      <w:rFonts w:ascii="Arial" w:hAnsi="Arial" w:cs="Arial"/>
      <w:b/>
      <w:bCs/>
      <w:sz w:val="26"/>
      <w:szCs w:val="26"/>
    </w:rPr>
  </w:style>
  <w:style w:type="paragraph" w:styleId="4">
    <w:name w:val="heading 4"/>
    <w:basedOn w:val="a"/>
    <w:next w:val="a"/>
    <w:semiHidden/>
    <w:qFormat/>
    <w:rsid w:val="009C6FE6"/>
    <w:pPr>
      <w:keepNext/>
      <w:spacing w:before="240" w:after="60"/>
      <w:outlineLvl w:val="3"/>
    </w:pPr>
    <w:rPr>
      <w:b/>
      <w:bCs/>
      <w:sz w:val="28"/>
      <w:szCs w:val="28"/>
    </w:rPr>
  </w:style>
  <w:style w:type="paragraph" w:styleId="5">
    <w:name w:val="heading 5"/>
    <w:basedOn w:val="a"/>
    <w:next w:val="a"/>
    <w:semiHidden/>
    <w:qFormat/>
    <w:rsid w:val="009C6FE6"/>
    <w:pPr>
      <w:spacing w:before="240" w:after="60"/>
      <w:outlineLvl w:val="4"/>
    </w:pPr>
    <w:rPr>
      <w:b/>
      <w:bCs/>
      <w:i/>
      <w:iCs/>
      <w:sz w:val="26"/>
      <w:szCs w:val="26"/>
    </w:rPr>
  </w:style>
  <w:style w:type="paragraph" w:styleId="6">
    <w:name w:val="heading 6"/>
    <w:basedOn w:val="a"/>
    <w:next w:val="a"/>
    <w:semiHidden/>
    <w:qFormat/>
    <w:rsid w:val="009C6FE6"/>
    <w:pPr>
      <w:spacing w:before="240" w:after="60"/>
      <w:outlineLvl w:val="5"/>
    </w:pPr>
    <w:rPr>
      <w:b/>
      <w:bCs/>
      <w:sz w:val="22"/>
    </w:rPr>
  </w:style>
  <w:style w:type="paragraph" w:styleId="7">
    <w:name w:val="heading 7"/>
    <w:basedOn w:val="a"/>
    <w:next w:val="a"/>
    <w:semiHidden/>
    <w:qFormat/>
    <w:rsid w:val="009C6FE6"/>
    <w:pPr>
      <w:spacing w:before="240" w:after="60"/>
      <w:outlineLvl w:val="6"/>
    </w:pPr>
    <w:rPr>
      <w:sz w:val="24"/>
      <w:szCs w:val="24"/>
    </w:rPr>
  </w:style>
  <w:style w:type="paragraph" w:styleId="8">
    <w:name w:val="heading 8"/>
    <w:basedOn w:val="a"/>
    <w:next w:val="a"/>
    <w:semiHidden/>
    <w:qFormat/>
    <w:rsid w:val="009C6FE6"/>
    <w:pPr>
      <w:spacing w:before="240" w:after="60"/>
      <w:outlineLvl w:val="7"/>
    </w:pPr>
    <w:rPr>
      <w:i/>
      <w:iCs/>
      <w:sz w:val="24"/>
      <w:szCs w:val="24"/>
    </w:rPr>
  </w:style>
  <w:style w:type="paragraph" w:styleId="9">
    <w:name w:val="heading 9"/>
    <w:basedOn w:val="a"/>
    <w:next w:val="a"/>
    <w:semiHidden/>
    <w:qFormat/>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link w:val="H23GChar"/>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uiPriority w:val="99"/>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
    <w:basedOn w:val="a0"/>
    <w:uiPriority w:val="99"/>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uiPriority w:val="99"/>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uiPriority w:val="99"/>
    <w:rsid w:val="00617A43"/>
    <w:rPr>
      <w:color w:val="0000FF"/>
      <w:u w:val="none"/>
    </w:rPr>
  </w:style>
  <w:style w:type="character" w:styleId="af2">
    <w:name w:val="FollowedHyperlink"/>
    <w:basedOn w:val="a0"/>
    <w:rsid w:val="00617A43"/>
    <w:rPr>
      <w:color w:val="0000FF"/>
      <w:u w:val="none"/>
    </w:rPr>
  </w:style>
  <w:style w:type="character" w:customStyle="1" w:styleId="SingleTxtGChar">
    <w:name w:val="_ Single Txt_G Char"/>
    <w:link w:val="SingleTxtG"/>
    <w:rsid w:val="00D14B9B"/>
    <w:rPr>
      <w:lang w:val="ru-RU" w:eastAsia="en-US"/>
    </w:rPr>
  </w:style>
  <w:style w:type="character" w:customStyle="1" w:styleId="H23GChar">
    <w:name w:val="_ H_2/3_G Char"/>
    <w:link w:val="H23G"/>
    <w:rsid w:val="00123BFA"/>
    <w:rPr>
      <w:b/>
      <w:lang w:val="ru-RU" w:eastAsia="ru-RU"/>
    </w:rPr>
  </w:style>
  <w:style w:type="paragraph" w:styleId="af3">
    <w:name w:val="List Paragraph"/>
    <w:basedOn w:val="a"/>
    <w:uiPriority w:val="34"/>
    <w:qFormat/>
    <w:rsid w:val="00B950FD"/>
    <w:pPr>
      <w:ind w:left="720"/>
      <w:contextualSpacing/>
    </w:pPr>
    <w:rPr>
      <w:rFonts w:eastAsia="Times New Roman" w:cs="Times New Roman"/>
      <w:szCs w:val="20"/>
      <w:lang w:val="en-GB" w:eastAsia="fr-FR"/>
    </w:rPr>
  </w:style>
  <w:style w:type="paragraph" w:customStyle="1" w:styleId="ParNoG">
    <w:name w:val="_ParNo_G"/>
    <w:basedOn w:val="SingleTxtG"/>
    <w:qFormat/>
    <w:rsid w:val="00B950FD"/>
    <w:pPr>
      <w:numPr>
        <w:numId w:val="31"/>
      </w:numPr>
      <w:tabs>
        <w:tab w:val="clear" w:pos="2268"/>
        <w:tab w:val="clear" w:pos="2835"/>
      </w:tabs>
      <w:suppressAutoHyphens w:val="0"/>
    </w:pPr>
    <w:rPr>
      <w:lang w:val="en-GB" w:eastAsia="fr-FR"/>
    </w:rPr>
  </w:style>
  <w:style w:type="character" w:styleId="af4">
    <w:name w:val="annotation reference"/>
    <w:basedOn w:val="a0"/>
    <w:semiHidden/>
    <w:unhideWhenUsed/>
    <w:rsid w:val="00B950FD"/>
    <w:rPr>
      <w:sz w:val="16"/>
      <w:szCs w:val="16"/>
    </w:rPr>
  </w:style>
  <w:style w:type="paragraph" w:styleId="af5">
    <w:name w:val="annotation text"/>
    <w:basedOn w:val="a"/>
    <w:link w:val="af6"/>
    <w:unhideWhenUsed/>
    <w:rsid w:val="00B950FD"/>
    <w:pPr>
      <w:spacing w:line="240" w:lineRule="auto"/>
    </w:pPr>
    <w:rPr>
      <w:rFonts w:eastAsia="Times New Roman" w:cs="Times New Roman"/>
      <w:szCs w:val="20"/>
      <w:lang w:val="en-GB" w:eastAsia="fr-FR"/>
    </w:rPr>
  </w:style>
  <w:style w:type="character" w:customStyle="1" w:styleId="af6">
    <w:name w:val="Текст примечания Знак"/>
    <w:basedOn w:val="a0"/>
    <w:link w:val="af5"/>
    <w:rsid w:val="00B950FD"/>
    <w:rPr>
      <w:lang w:val="en-GB" w:eastAsia="fr-FR"/>
    </w:rPr>
  </w:style>
  <w:style w:type="paragraph" w:styleId="af7">
    <w:name w:val="annotation subject"/>
    <w:basedOn w:val="af5"/>
    <w:next w:val="af5"/>
    <w:link w:val="af8"/>
    <w:semiHidden/>
    <w:unhideWhenUsed/>
    <w:rsid w:val="00B950FD"/>
    <w:rPr>
      <w:b/>
      <w:bCs/>
    </w:rPr>
  </w:style>
  <w:style w:type="character" w:customStyle="1" w:styleId="af8">
    <w:name w:val="Тема примечания Знак"/>
    <w:basedOn w:val="af6"/>
    <w:link w:val="af7"/>
    <w:semiHidden/>
    <w:rsid w:val="00B950FD"/>
    <w:rPr>
      <w:b/>
      <w:bCs/>
      <w:lang w:val="en-GB" w:eastAsia="fr-FR"/>
    </w:rPr>
  </w:style>
  <w:style w:type="paragraph" w:styleId="af9">
    <w:name w:val="Revision"/>
    <w:hidden/>
    <w:uiPriority w:val="99"/>
    <w:semiHidden/>
    <w:rsid w:val="00B950FD"/>
    <w:rPr>
      <w:lang w:val="en-GB" w:eastAsia="fr-FR"/>
    </w:rPr>
  </w:style>
  <w:style w:type="character" w:customStyle="1" w:styleId="11">
    <w:name w:val="Неразрешенное упоминание1"/>
    <w:basedOn w:val="a0"/>
    <w:uiPriority w:val="99"/>
    <w:semiHidden/>
    <w:unhideWhenUsed/>
    <w:rsid w:val="00B950FD"/>
    <w:rPr>
      <w:color w:val="605E5C"/>
      <w:shd w:val="clear" w:color="auto" w:fill="E1DFDD"/>
    </w:rPr>
  </w:style>
  <w:style w:type="paragraph" w:styleId="afa">
    <w:name w:val="Normal (Web)"/>
    <w:basedOn w:val="a"/>
    <w:uiPriority w:val="99"/>
    <w:unhideWhenUsed/>
    <w:rsid w:val="00B950FD"/>
    <w:pPr>
      <w:suppressAutoHyphens w:val="0"/>
      <w:spacing w:before="100" w:beforeAutospacing="1" w:after="100" w:afterAutospacing="1" w:line="240" w:lineRule="auto"/>
    </w:pPr>
    <w:rPr>
      <w:rFonts w:eastAsia="Times New Roman" w:cs="Times New Roman"/>
      <w:szCs w:val="20"/>
      <w:lang w:eastAsia="ru-RU"/>
    </w:rPr>
  </w:style>
  <w:style w:type="character" w:styleId="afb">
    <w:name w:val="Unresolved Mention"/>
    <w:basedOn w:val="a0"/>
    <w:uiPriority w:val="99"/>
    <w:semiHidden/>
    <w:unhideWhenUsed/>
    <w:rsid w:val="00B95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hyperlink" Target="https://mingor.gov.hr/oministarstvu-1065/djelokrug-rada/uprava-zaprocjenu-utjecaja-na-okolis-i-odrzivogospodarenje-otpadom-1271/procjenautjecaja-na-okolis-puo-spuo/strateskaprocjena-utjecaja-na-okolis-spuo-4015/4015" TargetMode="External"/><Relationship Id="rId39" Type="http://schemas.openxmlformats.org/officeDocument/2006/relationships/hyperlink" Target="https://mediu.gov.md/ro/content/evaluarestrategic%C4%83-de-mediu-la-nivelna%C8%9Bional" TargetMode="External"/><Relationship Id="rId21" Type="http://schemas.openxmlformats.org/officeDocument/2006/relationships/header" Target="header2.xml"/><Relationship Id="rId34" Type="http://schemas.openxmlformats.org/officeDocument/2006/relationships/hyperlink" Target="https://epa.org.me/obavjestenja&#8211;sea/" TargetMode="External"/><Relationship Id="rId42" Type="http://schemas.openxmlformats.org/officeDocument/2006/relationships/hyperlink" Target="https://sede.miteco.gob.es//portal/site/seMITECO/navSabiaPlanes" TargetMode="External"/><Relationship Id="rId47" Type="http://schemas.openxmlformats.org/officeDocument/2006/relationships/chart" Target="charts/chart12.xml"/><Relationship Id="rId50" Type="http://schemas.openxmlformats.org/officeDocument/2006/relationships/footer" Target="footer6.xml"/><Relationship Id="rId55" Type="http://schemas.openxmlformats.org/officeDocument/2006/relationships/customXml" Target="../customXml/item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hart" Target="charts/chart8.xml"/><Relationship Id="rId29" Type="http://schemas.openxmlformats.org/officeDocument/2006/relationships/hyperlink" Target="https://mst.dk/service/annoncering/espoo/" TargetMode="External"/><Relationship Id="rId11" Type="http://schemas.openxmlformats.org/officeDocument/2006/relationships/chart" Target="charts/chart4.xml"/><Relationship Id="rId24" Type="http://schemas.openxmlformats.org/officeDocument/2006/relationships/footer" Target="footer3.xml"/><Relationship Id="rId32" Type="http://schemas.openxmlformats.org/officeDocument/2006/relationships/hyperlink" Target="https://environment.gov.mt/en/sea/Pages/plansProgrammes.aspx" TargetMode="External"/><Relationship Id="rId37" Type="http://schemas.openxmlformats.org/officeDocument/2006/relationships/hyperlink" Target="http://bazaoos.gdos.gov.pl/web/guest/home" TargetMode="External"/><Relationship Id="rId40" Type="http://schemas.openxmlformats.org/officeDocument/2006/relationships/hyperlink" Target="https://mediu.gov.md/ro/content/republicamoldova&#8211;parte&#8211;afectat%C4%83" TargetMode="External"/><Relationship Id="rId45" Type="http://schemas.openxmlformats.org/officeDocument/2006/relationships/footer" Target="footer4.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hyperlink" Target="https://www.vpvb.gov.lv/lv/jaunumi" TargetMode="External"/><Relationship Id="rId44" Type="http://schemas.openxmlformats.org/officeDocument/2006/relationships/header" Target="header4.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hyperlink" Target="https://portal.cenia.cz/eiasea/view/SEA100_koncepce" TargetMode="External"/><Relationship Id="rId30" Type="http://schemas.openxmlformats.org/officeDocument/2006/relationships/hyperlink" Target="https://www.vpvb.gov.lv/lv/darbibasjomas-strategiskais-ietekmes-uz-vidinovertejums" TargetMode="External"/><Relationship Id="rId35" Type="http://schemas.openxmlformats.org/officeDocument/2006/relationships/hyperlink" Target="https://www.gov.me/mepg" TargetMode="External"/><Relationship Id="rId43" Type="http://schemas.openxmlformats.org/officeDocument/2006/relationships/header" Target="header3.xml"/><Relationship Id="rId48" Type="http://schemas.openxmlformats.org/officeDocument/2006/relationships/header" Target="header5.xml"/><Relationship Id="rId8" Type="http://schemas.openxmlformats.org/officeDocument/2006/relationships/chart" Target="charts/chart1.xml"/><Relationship Id="rId51"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hyperlink" Target="https://mingor.gov.hr/oministarstvu&#8211;1065/djelokrug&#8211;rada/upravaza&#8211;procjenu&#8211;utjecaja&#8211;na&#8211;okolis&#8211;i&#8211;odrzivogospodarenje&#8211;otpadom&#8211;1271/procjenautjecaja&#8211;na&#8211;okolis&#8211;puo&#8211;spuo/strateskaprocjena&#8211;utjecaja&#8211;na&#8211;okolis&#8211;spuo4015/4015" TargetMode="External"/><Relationship Id="rId33" Type="http://schemas.openxmlformats.org/officeDocument/2006/relationships/hyperlink" Target="https://environment.gov.mt/en/sea/Pages/plansProgrammes.aspx" TargetMode="External"/><Relationship Id="rId38" Type="http://schemas.openxmlformats.org/officeDocument/2006/relationships/hyperlink" Target="https://mediu.gov.md/ro/content/consultarea-proiectului-planuluiprogramului" TargetMode="External"/><Relationship Id="rId46" Type="http://schemas.openxmlformats.org/officeDocument/2006/relationships/footer" Target="footer5.xml"/><Relationship Id="rId20" Type="http://schemas.openxmlformats.org/officeDocument/2006/relationships/header" Target="header1.xml"/><Relationship Id="rId41" Type="http://schemas.openxmlformats.org/officeDocument/2006/relationships/hyperlink" Target="https://sede.miteco.gob.es//portal/site/seMITECO/navSabiaPlanes" TargetMode="Externa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hyperlink" Target="https://portal.cenia.cz/eiasea/view/sea100_mezistatni?lang=cs" TargetMode="External"/><Relationship Id="rId36" Type="http://schemas.openxmlformats.org/officeDocument/2006/relationships/hyperlink" Target="http://bazaoos.gdos.gov.pl/web/guest/home" TargetMode="External"/><Relationship Id="rId49"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undocs.org/ru/ECE/MP.EIA/SEA/2023/8" TargetMode="External"/><Relationship Id="rId3" Type="http://schemas.openxmlformats.org/officeDocument/2006/relationships/hyperlink" Target="https://eur-lex.europa.eu/legal-content/EN/ALL/?uri=CELEX:32001L0042Directive2001/42/EU" TargetMode="External"/><Relationship Id="rId7" Type="http://schemas.openxmlformats.org/officeDocument/2006/relationships/hyperlink" Target="http://undocs.org/ru/ECE/MP.EIA/SEA/14" TargetMode="External"/><Relationship Id="rId2" Type="http://schemas.openxmlformats.org/officeDocument/2006/relationships/hyperlink" Target="http://www.unece.org/env/eia/implementation/review_implementation.html" TargetMode="External"/><Relationship Id="rId1" Type="http://schemas.openxmlformats.org/officeDocument/2006/relationships/hyperlink" Target="http://www.unece.org/environment-policy/environmental-assessment/review-implementation-2019-protocol" TargetMode="External"/><Relationship Id="rId6" Type="http://schemas.openxmlformats.org/officeDocument/2006/relationships/hyperlink" Target="http://undocs.org/ru/ECE/MP.EIA/17" TargetMode="External"/><Relationship Id="rId5" Type="http://schemas.openxmlformats.org/officeDocument/2006/relationships/hyperlink" Target="http://www.unece.org/env/eia/contacts.html" TargetMode="External"/><Relationship Id="rId4" Type="http://schemas.openxmlformats.org/officeDocument/2006/relationships/hyperlink" Target="http://undocs.org/ru/ECE/MP.EIA/SEA/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95-4D76-A752-DC0AFB53F8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95-4D76-A752-DC0AFB53F8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95-4D76-A752-DC0AFB53F8E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95-4D76-A752-DC0AFB53F8E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a) На основе индивидуального подхода</c:v>
                </c:pt>
                <c:pt idx="1">
                  <c:v>b) Путем указания типов планов и программ</c:v>
                </c:pt>
                <c:pt idx="2">
                  <c:v>c) Посредством использования сочетания подходов a) и  b) </c:v>
                </c:pt>
                <c:pt idx="3">
                  <c:v>d) Другими способами</c:v>
                </c:pt>
              </c:strCache>
            </c:strRef>
          </c:cat>
          <c:val>
            <c:numRef>
              <c:f>Аркуш1!$B$2:$B$5</c:f>
              <c:numCache>
                <c:formatCode>General</c:formatCode>
                <c:ptCount val="4"/>
                <c:pt idx="0">
                  <c:v>11</c:v>
                </c:pt>
                <c:pt idx="1">
                  <c:v>2</c:v>
                </c:pt>
                <c:pt idx="2">
                  <c:v>12</c:v>
                </c:pt>
                <c:pt idx="3">
                  <c:v>0</c:v>
                </c:pt>
              </c:numCache>
            </c:numRef>
          </c:val>
          <c:extLst>
            <c:ext xmlns:c16="http://schemas.microsoft.com/office/drawing/2014/chart" uri="{C3380CC4-5D6E-409C-BE32-E72D297353CC}">
              <c16:uniqueId val="{00000008-F495-4D76-A752-DC0AFB53F8E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Ряд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20-48A9-8EB0-7B13882078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20-48A9-8EB0-7B13882078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F20-48A9-8EB0-7B13882078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Аркуш1!$A$2:$A$4</c:f>
              <c:strCache>
                <c:ptCount val="3"/>
                <c:pt idx="0">
                  <c:v>a) План или программу</c:v>
                </c:pt>
                <c:pt idx="1">
                  <c:v>b) Краткое изложение того, каким образом в плане или программе были учтены экологические, в том числе связанные со здоровьем населения, соображения
и насколько были приняты во внимание полученные замечания </c:v>
                </c:pt>
                <c:pt idx="2">
                  <c:v>c) Причины принятия плана или программы в свете рассмотренных разумных альтернатив </c:v>
                </c:pt>
              </c:strCache>
            </c:strRef>
          </c:cat>
          <c:val>
            <c:numRef>
              <c:f>Аркуш1!$B$2:$B$4</c:f>
              <c:numCache>
                <c:formatCode>General</c:formatCode>
                <c:ptCount val="3"/>
                <c:pt idx="0">
                  <c:v>19</c:v>
                </c:pt>
                <c:pt idx="1">
                  <c:v>21</c:v>
                </c:pt>
                <c:pt idx="2">
                  <c:v>22</c:v>
                </c:pt>
              </c:numCache>
            </c:numRef>
          </c:val>
          <c:extLst>
            <c:ext xmlns:c16="http://schemas.microsoft.com/office/drawing/2014/chart" uri="{C3380CC4-5D6E-409C-BE32-E72D297353CC}">
              <c16:uniqueId val="{00000006-FF20-48A9-8EB0-7B13882078A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1.65061898211829E-2"/>
          <c:y val="2.0069474472128399E-2"/>
          <c:w val="0.41036207475441083"/>
          <c:h val="0.959861051055743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224887070747404"/>
          <c:y val="0.11605883796899499"/>
          <c:w val="0.46879979276065498"/>
          <c:h val="0.83118336826601702"/>
        </c:manualLayout>
      </c:layout>
      <c:barChart>
        <c:barDir val="bar"/>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a) Путем информирования контактного пункта </c:v>
                </c:pt>
                <c:pt idx="1">
                  <c:v>b)  Путем информирования контактного лица в ведомстве, отвечающем
за стратегическую экологическую оценку, которое затем придерживается национальной процедуры и информирует свои собственные компетентные органы и общественность </c:v>
                </c:pt>
                <c:pt idx="2">
                  <c:v>c) Путем информирования всех компетентных органов, участвующих в оценке,
и предоставления им возможности проинформировать свою общественность </c:v>
                </c:pt>
                <c:pt idx="3">
                  <c:v>d) Другими способами</c:v>
                </c:pt>
              </c:strCache>
            </c:strRef>
          </c:cat>
          <c:val>
            <c:numRef>
              <c:f>Аркуш1!$B$2:$B$5</c:f>
              <c:numCache>
                <c:formatCode>General</c:formatCode>
                <c:ptCount val="4"/>
                <c:pt idx="0">
                  <c:v>20</c:v>
                </c:pt>
                <c:pt idx="1">
                  <c:v>11</c:v>
                </c:pt>
                <c:pt idx="2">
                  <c:v>2</c:v>
                </c:pt>
                <c:pt idx="3">
                  <c:v>0</c:v>
                </c:pt>
              </c:numCache>
            </c:numRef>
          </c:val>
          <c:extLst>
            <c:ext xmlns:c16="http://schemas.microsoft.com/office/drawing/2014/chart" uri="{C3380CC4-5D6E-409C-BE32-E72D297353CC}">
              <c16:uniqueId val="{00000000-6219-4328-81C3-799BCAA0C10B}"/>
            </c:ext>
          </c:extLst>
        </c:ser>
        <c:dLbls>
          <c:showLegendKey val="0"/>
          <c:showVal val="0"/>
          <c:showCatName val="0"/>
          <c:showSerName val="0"/>
          <c:showPercent val="0"/>
          <c:showBubbleSize val="0"/>
        </c:dLbls>
        <c:gapWidth val="182"/>
        <c:axId val="2070637912"/>
        <c:axId val="2070641496"/>
      </c:barChart>
      <c:catAx>
        <c:axId val="20706379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641496"/>
        <c:crosses val="autoZero"/>
        <c:auto val="1"/>
        <c:lblAlgn val="ctr"/>
        <c:lblOffset val="100"/>
        <c:noMultiLvlLbl val="0"/>
      </c:catAx>
      <c:valAx>
        <c:axId val="2070641496"/>
        <c:scaling>
          <c:orientation val="minMax"/>
          <c:max val="3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637912"/>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a) Затратоэффективность</c:v>
                </c:pt>
                <c:pt idx="1">
                  <c:v>b) Более целенаправленное и обоснованное планирование</c:v>
                </c:pt>
                <c:pt idx="2">
                  <c:v>c) Координация с другими секторами/ т. е. предупреждение дублирования или расхождений </c:v>
                </c:pt>
                <c:pt idx="3">
                  <c:v>d) Польза для окружающей среды или здоровья человека</c:v>
                </c:pt>
                <c:pt idx="4">
                  <c:v>e) Другое</c:v>
                </c:pt>
              </c:strCache>
            </c:strRef>
          </c:cat>
          <c:val>
            <c:numRef>
              <c:f>Аркуш1!$B$2:$B$6</c:f>
              <c:numCache>
                <c:formatCode>General</c:formatCode>
                <c:ptCount val="5"/>
                <c:pt idx="0">
                  <c:v>3</c:v>
                </c:pt>
                <c:pt idx="1">
                  <c:v>19</c:v>
                </c:pt>
                <c:pt idx="2">
                  <c:v>14</c:v>
                </c:pt>
                <c:pt idx="3">
                  <c:v>20</c:v>
                </c:pt>
                <c:pt idx="4">
                  <c:v>3</c:v>
                </c:pt>
              </c:numCache>
            </c:numRef>
          </c:val>
          <c:extLst>
            <c:ext xmlns:c16="http://schemas.microsoft.com/office/drawing/2014/chart" uri="{C3380CC4-5D6E-409C-BE32-E72D297353CC}">
              <c16:uniqueId val="{00000000-51CD-49E1-85C0-72A583887D30}"/>
            </c:ext>
          </c:extLst>
        </c:ser>
        <c:dLbls>
          <c:showLegendKey val="0"/>
          <c:showVal val="0"/>
          <c:showCatName val="0"/>
          <c:showSerName val="0"/>
          <c:showPercent val="0"/>
          <c:showBubbleSize val="0"/>
        </c:dLbls>
        <c:gapWidth val="182"/>
        <c:axId val="2070793208"/>
        <c:axId val="2070796792"/>
      </c:barChart>
      <c:catAx>
        <c:axId val="20707932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796792"/>
        <c:crosses val="autoZero"/>
        <c:auto val="1"/>
        <c:lblAlgn val="ctr"/>
        <c:lblOffset val="100"/>
        <c:noMultiLvlLbl val="0"/>
      </c:catAx>
      <c:valAx>
        <c:axId val="207079679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793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2BC-4768-AAC5-755AA03358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2BC-4768-AAC5-755AA033581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2BC-4768-AAC5-755AA033581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2BC-4768-AAC5-755AA03358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a) Путем направления письменных замечаний соответствующему органу </c:v>
                </c:pt>
                <c:pt idx="1">
                  <c:v>b) Путем заполнения вопросника  </c:v>
                </c:pt>
                <c:pt idx="2">
                  <c:v>c) Путем участия в общественных слушаниях</c:v>
                </c:pt>
                <c:pt idx="3">
                  <c:v>d) Другими способами</c:v>
                </c:pt>
              </c:strCache>
            </c:strRef>
          </c:cat>
          <c:val>
            <c:numRef>
              <c:f>Аркуш1!$B$2:$B$5</c:f>
              <c:numCache>
                <c:formatCode>General</c:formatCode>
                <c:ptCount val="4"/>
                <c:pt idx="0">
                  <c:v>11</c:v>
                </c:pt>
                <c:pt idx="1">
                  <c:v>0</c:v>
                </c:pt>
                <c:pt idx="2">
                  <c:v>6</c:v>
                </c:pt>
                <c:pt idx="3">
                  <c:v>4</c:v>
                </c:pt>
              </c:numCache>
            </c:numRef>
          </c:val>
          <c:extLst>
            <c:ext xmlns:c16="http://schemas.microsoft.com/office/drawing/2014/chart" uri="{C3380CC4-5D6E-409C-BE32-E72D297353CC}">
              <c16:uniqueId val="{00000008-72BC-4768-AAC5-755AA033581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95-4DF4-A655-5B112D4740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95-4DF4-A655-5B112D47401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95-4DF4-A655-5B112D47401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895-4DF4-A655-5B112D4740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a) Путем направления письменных замечаний соответствующему органу</c:v>
                </c:pt>
                <c:pt idx="1">
                  <c:v>b) Путем заполнения вопросника</c:v>
                </c:pt>
                <c:pt idx="2">
                  <c:v>c) Путем участия в общественных слушаниях</c:v>
                </c:pt>
                <c:pt idx="3">
                  <c:v>d) Другими способами</c:v>
                </c:pt>
              </c:strCache>
            </c:strRef>
          </c:cat>
          <c:val>
            <c:numRef>
              <c:f>Аркуш1!$B$2:$B$5</c:f>
              <c:numCache>
                <c:formatCode>General</c:formatCode>
                <c:ptCount val="4"/>
                <c:pt idx="0">
                  <c:v>15</c:v>
                </c:pt>
                <c:pt idx="1">
                  <c:v>1</c:v>
                </c:pt>
                <c:pt idx="2">
                  <c:v>9</c:v>
                </c:pt>
                <c:pt idx="3">
                  <c:v>0</c:v>
                </c:pt>
              </c:numCache>
            </c:numRef>
          </c:val>
          <c:extLst>
            <c:ext xmlns:c16="http://schemas.microsoft.com/office/drawing/2014/chart" uri="{C3380CC4-5D6E-409C-BE32-E72D297353CC}">
              <c16:uniqueId val="{00000008-F895-4DF4-A655-5B112D47401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65-4B62-9734-2DCA3C2D87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65-4B62-9734-2DCA3C2D874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65-4B62-9734-2DCA3C2D874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D65-4B62-9734-2DCA3C2D874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a) На индивидуальной основе</c:v>
                </c:pt>
                <c:pt idx="1">
                  <c:v>b) В соответствии с национальным законодательством</c:v>
                </c:pt>
                <c:pt idx="2">
                  <c:v>c) Посредством использования сочетания подходов a) и b)</c:v>
                </c:pt>
                <c:pt idx="3">
                  <c:v>d) Другими способами</c:v>
                </c:pt>
              </c:strCache>
            </c:strRef>
          </c:cat>
          <c:val>
            <c:numRef>
              <c:f>Аркуш1!$B$2:$B$5</c:f>
              <c:numCache>
                <c:formatCode>General</c:formatCode>
                <c:ptCount val="4"/>
                <c:pt idx="0">
                  <c:v>17</c:v>
                </c:pt>
                <c:pt idx="1">
                  <c:v>3</c:v>
                </c:pt>
                <c:pt idx="2">
                  <c:v>5</c:v>
                </c:pt>
                <c:pt idx="3">
                  <c:v>0</c:v>
                </c:pt>
              </c:numCache>
            </c:numRef>
          </c:val>
          <c:extLst>
            <c:ext xmlns:c16="http://schemas.microsoft.com/office/drawing/2014/chart" uri="{C3380CC4-5D6E-409C-BE32-E72D297353CC}">
              <c16:uniqueId val="{00000008-AD65-4B62-9734-2DCA3C2D8744}"/>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Аркуш1!$A$2:$A$5</c:f>
              <c:strCache>
                <c:ptCount val="4"/>
                <c:pt idx="0">
                  <c:v>a) Компетентный орган проверяет представленную информацию и как минимум перед представлением ее для замечаний обеспечивает, чтобы она включала в себя все сведения, предусмотренные в приложении IV</c:v>
                </c:pt>
                <c:pt idx="1">
                  <c:v>b) Используя контрольные перечни мер проверки качества </c:v>
                </c:pt>
                <c:pt idx="2">
                  <c:v>c) Никаких конкретных процедур или механизмов не предусмотрено </c:v>
                </c:pt>
                <c:pt idx="3">
                  <c:v>d) Другими способами</c:v>
                </c:pt>
              </c:strCache>
            </c:strRef>
          </c:cat>
          <c:val>
            <c:numRef>
              <c:f>Аркуш1!$B$2:$B$5</c:f>
              <c:numCache>
                <c:formatCode>General</c:formatCode>
                <c:ptCount val="4"/>
                <c:pt idx="0">
                  <c:v>17</c:v>
                </c:pt>
                <c:pt idx="1">
                  <c:v>2</c:v>
                </c:pt>
                <c:pt idx="2">
                  <c:v>3</c:v>
                </c:pt>
                <c:pt idx="3">
                  <c:v>10</c:v>
                </c:pt>
              </c:numCache>
            </c:numRef>
          </c:val>
          <c:extLst>
            <c:ext xmlns:c16="http://schemas.microsoft.com/office/drawing/2014/chart" uri="{C3380CC4-5D6E-409C-BE32-E72D297353CC}">
              <c16:uniqueId val="{00000000-D7E6-4A16-833A-546B92567242}"/>
            </c:ext>
          </c:extLst>
        </c:ser>
        <c:ser>
          <c:idx val="1"/>
          <c:order val="1"/>
          <c:tx>
            <c:strRef>
              <c:f>Аркуш1!$C$1</c:f>
              <c:strCache>
                <c:ptCount val="1"/>
                <c:pt idx="0">
                  <c:v>Ряд 2</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Аркуш1!$A$2:$A$5</c:f>
              <c:strCache>
                <c:ptCount val="4"/>
                <c:pt idx="0">
                  <c:v>a) Компетентный орган проверяет представленную информацию и как минимум перед представлением ее для замечаний обеспечивает, чтобы она включала в себя все сведения, предусмотренные в приложении IV</c:v>
                </c:pt>
                <c:pt idx="1">
                  <c:v>b) Используя контрольные перечни мер проверки качества </c:v>
                </c:pt>
                <c:pt idx="2">
                  <c:v>c) Никаких конкретных процедур или механизмов не предусмотрено </c:v>
                </c:pt>
                <c:pt idx="3">
                  <c:v>d) Другими способами</c:v>
                </c:pt>
              </c:strCache>
            </c:strRef>
          </c:cat>
          <c:val>
            <c:numRef>
              <c:f>Аркуш1!$C$2:$C$5</c:f>
              <c:numCache>
                <c:formatCode>General</c:formatCode>
                <c:ptCount val="4"/>
              </c:numCache>
            </c:numRef>
          </c:val>
          <c:extLst>
            <c:ext xmlns:c16="http://schemas.microsoft.com/office/drawing/2014/chart" uri="{C3380CC4-5D6E-409C-BE32-E72D297353CC}">
              <c16:uniqueId val="{00000001-D7E6-4A16-833A-546B92567242}"/>
            </c:ext>
          </c:extLst>
        </c:ser>
        <c:ser>
          <c:idx val="2"/>
          <c:order val="2"/>
          <c:tx>
            <c:strRef>
              <c:f>Аркуш1!$D$1</c:f>
              <c:strCache>
                <c:ptCount val="1"/>
                <c:pt idx="0">
                  <c:v>Ряд 3</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cat>
            <c:strRef>
              <c:f>Аркуш1!$A$2:$A$5</c:f>
              <c:strCache>
                <c:ptCount val="4"/>
                <c:pt idx="0">
                  <c:v>a) Компетентный орган проверяет представленную информацию и как минимум перед представлением ее для замечаний обеспечивает, чтобы она включала в себя все сведения, предусмотренные в приложении IV</c:v>
                </c:pt>
                <c:pt idx="1">
                  <c:v>b) Используя контрольные перечни мер проверки качества </c:v>
                </c:pt>
                <c:pt idx="2">
                  <c:v>c) Никаких конкретных процедур или механизмов не предусмотрено </c:v>
                </c:pt>
                <c:pt idx="3">
                  <c:v>d) Другими способами</c:v>
                </c:pt>
              </c:strCache>
            </c:strRef>
          </c:cat>
          <c:val>
            <c:numRef>
              <c:f>Аркуш1!$D$2:$D$5</c:f>
              <c:numCache>
                <c:formatCode>General</c:formatCode>
                <c:ptCount val="4"/>
              </c:numCache>
            </c:numRef>
          </c:val>
          <c:extLst>
            <c:ext xmlns:c16="http://schemas.microsoft.com/office/drawing/2014/chart" uri="{C3380CC4-5D6E-409C-BE32-E72D297353CC}">
              <c16:uniqueId val="{00000002-D7E6-4A16-833A-546B92567242}"/>
            </c:ext>
          </c:extLst>
        </c:ser>
        <c:dLbls>
          <c:showLegendKey val="0"/>
          <c:showVal val="0"/>
          <c:showCatName val="0"/>
          <c:showSerName val="0"/>
          <c:showPercent val="0"/>
          <c:showBubbleSize val="0"/>
        </c:dLbls>
        <c:gapWidth val="227"/>
        <c:overlap val="-48"/>
        <c:axId val="2070369048"/>
        <c:axId val="2070372616"/>
      </c:barChart>
      <c:catAx>
        <c:axId val="2070369048"/>
        <c:scaling>
          <c:orientation val="maxMin"/>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372616"/>
        <c:crosses val="autoZero"/>
        <c:auto val="1"/>
        <c:lblAlgn val="ctr"/>
        <c:lblOffset val="100"/>
        <c:noMultiLvlLbl val="0"/>
      </c:catAx>
      <c:valAx>
        <c:axId val="2070372616"/>
        <c:scaling>
          <c:orientation val="minMax"/>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369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a) Через публичные объявления в печатных СМИ </c:v>
                </c:pt>
                <c:pt idx="1">
                  <c:v>b) Через электронные средства массовой информации </c:v>
                </c:pt>
                <c:pt idx="2">
                  <c:v>c) Размещение на стендах в государственных учреждениях для ознакомления общественности </c:v>
                </c:pt>
                <c:pt idx="3">
                  <c:v>d) С помощью других средств</c:v>
                </c:pt>
              </c:strCache>
            </c:strRef>
          </c:cat>
          <c:val>
            <c:numRef>
              <c:f>Аркуш1!$B$2:$B$5</c:f>
              <c:numCache>
                <c:formatCode>General</c:formatCode>
                <c:ptCount val="4"/>
                <c:pt idx="0">
                  <c:v>22</c:v>
                </c:pt>
                <c:pt idx="1">
                  <c:v>23</c:v>
                </c:pt>
                <c:pt idx="2">
                  <c:v>14</c:v>
                </c:pt>
                <c:pt idx="3">
                  <c:v>2</c:v>
                </c:pt>
              </c:numCache>
            </c:numRef>
          </c:val>
          <c:extLst>
            <c:ext xmlns:c16="http://schemas.microsoft.com/office/drawing/2014/chart" uri="{C3380CC4-5D6E-409C-BE32-E72D297353CC}">
              <c16:uniqueId val="{00000000-736B-4719-9DB8-C7214EAA35DA}"/>
            </c:ext>
          </c:extLst>
        </c:ser>
        <c:dLbls>
          <c:showLegendKey val="0"/>
          <c:showVal val="0"/>
          <c:showCatName val="0"/>
          <c:showSerName val="0"/>
          <c:showPercent val="0"/>
          <c:showBubbleSize val="0"/>
        </c:dLbls>
        <c:gapWidth val="182"/>
        <c:axId val="2068793400"/>
        <c:axId val="2068796872"/>
      </c:barChart>
      <c:catAx>
        <c:axId val="20687934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68796872"/>
        <c:crosses val="autoZero"/>
        <c:auto val="1"/>
        <c:lblAlgn val="ctr"/>
        <c:lblOffset val="100"/>
        <c:noMultiLvlLbl val="0"/>
      </c:catAx>
      <c:valAx>
        <c:axId val="206879687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68793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a) На основании географической привязки планов и программ </c:v>
                </c:pt>
                <c:pt idx="1">
                  <c:v>b) На основе экологических последствий (значение, степень, накопление и т. д.) планов и программ </c:v>
                </c:pt>
                <c:pt idx="2">
                  <c:v>c) Посредством предоставления информации всей общественности и предоставления ей возможности самоопределиться в качестве заинтересованной общественности </c:v>
                </c:pt>
                <c:pt idx="3">
                  <c:v>d) С помощью других средств</c:v>
                </c:pt>
              </c:strCache>
            </c:strRef>
          </c:cat>
          <c:val>
            <c:numRef>
              <c:f>Аркуш1!$B$2:$B$5</c:f>
              <c:numCache>
                <c:formatCode>General</c:formatCode>
                <c:ptCount val="4"/>
                <c:pt idx="0">
                  <c:v>21</c:v>
                </c:pt>
                <c:pt idx="1">
                  <c:v>15</c:v>
                </c:pt>
                <c:pt idx="2">
                  <c:v>22</c:v>
                </c:pt>
                <c:pt idx="3">
                  <c:v>1</c:v>
                </c:pt>
              </c:numCache>
            </c:numRef>
          </c:val>
          <c:extLst>
            <c:ext xmlns:c16="http://schemas.microsoft.com/office/drawing/2014/chart" uri="{C3380CC4-5D6E-409C-BE32-E72D297353CC}">
              <c16:uniqueId val="{00000000-A9BB-4854-992B-DA1C56FEDEC0}"/>
            </c:ext>
          </c:extLst>
        </c:ser>
        <c:dLbls>
          <c:showLegendKey val="0"/>
          <c:showVal val="0"/>
          <c:showCatName val="0"/>
          <c:showSerName val="0"/>
          <c:showPercent val="0"/>
          <c:showBubbleSize val="0"/>
        </c:dLbls>
        <c:gapWidth val="219"/>
        <c:overlap val="-27"/>
        <c:axId val="2070409320"/>
        <c:axId val="2070412904"/>
      </c:barChart>
      <c:catAx>
        <c:axId val="2070409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412904"/>
        <c:crosses val="autoZero"/>
        <c:auto val="1"/>
        <c:lblAlgn val="ctr"/>
        <c:lblOffset val="100"/>
        <c:noMultiLvlLbl val="0"/>
      </c:catAx>
      <c:valAx>
        <c:axId val="2070412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409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a) Путем представления замечаний</c:v>
                </c:pt>
                <c:pt idx="1">
                  <c:v>b) Путем заполнения вопросника</c:v>
                </c:pt>
                <c:pt idx="2">
                  <c:v>c) Во время совещания</c:v>
                </c:pt>
                <c:pt idx="3">
                  <c:v>d) Другими способами</c:v>
                </c:pt>
              </c:strCache>
            </c:strRef>
          </c:cat>
          <c:val>
            <c:numRef>
              <c:f>Аркуш1!$B$2:$B$5</c:f>
              <c:numCache>
                <c:formatCode>General</c:formatCode>
                <c:ptCount val="4"/>
                <c:pt idx="0">
                  <c:v>24</c:v>
                </c:pt>
                <c:pt idx="1">
                  <c:v>0</c:v>
                </c:pt>
                <c:pt idx="2">
                  <c:v>14</c:v>
                </c:pt>
                <c:pt idx="3">
                  <c:v>0</c:v>
                </c:pt>
              </c:numCache>
            </c:numRef>
          </c:val>
          <c:extLst>
            <c:ext xmlns:c16="http://schemas.microsoft.com/office/drawing/2014/chart" uri="{C3380CC4-5D6E-409C-BE32-E72D297353CC}">
              <c16:uniqueId val="{00000000-B85A-4968-BF59-2275EA0CA6AC}"/>
            </c:ext>
          </c:extLst>
        </c:ser>
        <c:dLbls>
          <c:showLegendKey val="0"/>
          <c:showVal val="0"/>
          <c:showCatName val="0"/>
          <c:showSerName val="0"/>
          <c:showPercent val="0"/>
          <c:showBubbleSize val="0"/>
        </c:dLbls>
        <c:gapWidth val="182"/>
        <c:axId val="2070477848"/>
        <c:axId val="2070481496"/>
      </c:barChart>
      <c:catAx>
        <c:axId val="20704778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481496"/>
        <c:crosses val="autoZero"/>
        <c:auto val="1"/>
        <c:lblAlgn val="ctr"/>
        <c:lblOffset val="100"/>
        <c:noMultiLvlLbl val="0"/>
      </c:catAx>
      <c:valAx>
        <c:axId val="207048149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477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Аркуш1!$A$2:$A$6</c:f>
              <c:strCache>
                <c:ptCount val="5"/>
                <c:pt idx="0">
                  <c:v>a) За основу берутся предложения Стороны происхождения </c:v>
                </c:pt>
                <c:pt idx="1">
                  <c:v>b) За основу берутся предложения затрагиваемой Стороны </c:v>
                </c:pt>
                <c:pt idx="2">
                  <c:v>c) На основе индивидуального подхода </c:v>
                </c:pt>
                <c:pt idx="3">
                  <c:v>d)  В соответствии с существующими договоренностями (например, двустороннее соглашение) </c:v>
                </c:pt>
                <c:pt idx="4">
                  <c:v>e) Другими способами </c:v>
                </c:pt>
              </c:strCache>
            </c:strRef>
          </c:cat>
          <c:val>
            <c:numRef>
              <c:f>Аркуш1!$B$2:$B$6</c:f>
              <c:numCache>
                <c:formatCode>General</c:formatCode>
                <c:ptCount val="5"/>
                <c:pt idx="0">
                  <c:v>12</c:v>
                </c:pt>
                <c:pt idx="1">
                  <c:v>5</c:v>
                </c:pt>
                <c:pt idx="2">
                  <c:v>10</c:v>
                </c:pt>
                <c:pt idx="3">
                  <c:v>4</c:v>
                </c:pt>
                <c:pt idx="4">
                  <c:v>1</c:v>
                </c:pt>
              </c:numCache>
            </c:numRef>
          </c:val>
          <c:extLst>
            <c:ext xmlns:c16="http://schemas.microsoft.com/office/drawing/2014/chart" uri="{C3380CC4-5D6E-409C-BE32-E72D297353CC}">
              <c16:uniqueId val="{00000000-23AB-4A6E-9319-5F4ABF61E722}"/>
            </c:ext>
          </c:extLst>
        </c:ser>
        <c:dLbls>
          <c:showLegendKey val="0"/>
          <c:showVal val="0"/>
          <c:showCatName val="0"/>
          <c:showSerName val="0"/>
          <c:showPercent val="0"/>
          <c:showBubbleSize val="0"/>
        </c:dLbls>
        <c:gapWidth val="182"/>
        <c:axId val="2070547176"/>
        <c:axId val="2070543320"/>
      </c:barChart>
      <c:valAx>
        <c:axId val="207054332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547176"/>
        <c:crosses val="autoZero"/>
        <c:crossBetween val="between"/>
      </c:valAx>
      <c:catAx>
        <c:axId val="20705471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70543320"/>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8" ma:contentTypeDescription="Create a new document." ma:contentTypeScope="" ma:versionID="d22e6ad98b7321529a84105081bfcf9c">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0b3bd6ac9ac9790cf6efe025ca4e12b4"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D053F-8925-4C28-BD2E-A3D4E335EBF4}"/>
</file>

<file path=customXml/itemProps2.xml><?xml version="1.0" encoding="utf-8"?>
<ds:datastoreItem xmlns:ds="http://schemas.openxmlformats.org/officeDocument/2006/customXml" ds:itemID="{5180F3CA-5F43-4124-9BD0-8C6D47CA0AD0}"/>
</file>

<file path=docProps/app.xml><?xml version="1.0" encoding="utf-8"?>
<Properties xmlns="http://schemas.openxmlformats.org/officeDocument/2006/extended-properties" xmlns:vt="http://schemas.openxmlformats.org/officeDocument/2006/docPropsVTypes">
  <Template>ECE.dotm</Template>
  <TotalTime>3</TotalTime>
  <Pages>30</Pages>
  <Words>9837</Words>
  <Characters>56071</Characters>
  <Application>Microsoft Office Word</Application>
  <DocSecurity>0</DocSecurity>
  <Lines>467</Lines>
  <Paragraphs>131</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ECE/MP.EIA/SEA/2023/9</vt:lpstr>
      <vt:lpstr>A/</vt:lpstr>
      <vt:lpstr>A/</vt:lpstr>
    </vt:vector>
  </TitlesOfParts>
  <Company>DCM</Company>
  <LinksUpToDate>false</LinksUpToDate>
  <CharactersWithSpaces>65777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ECE/MP.EIA/SEA/2023/9</dc:title>
  <dc:subject/>
  <dc:creator>Uliana ANTIPOVA</dc:creator>
  <cp:keywords/>
  <cp:lastModifiedBy>Tatiana Chvets</cp:lastModifiedBy>
  <cp:revision>3</cp:revision>
  <cp:lastPrinted>2023-10-26T09:52:00Z</cp:lastPrinted>
  <dcterms:created xsi:type="dcterms:W3CDTF">2023-10-26T09:51:00Z</dcterms:created>
  <dcterms:modified xsi:type="dcterms:W3CDTF">2023-10-26T09:53:00Z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