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chart9.xml" ContentType="application/vnd.openxmlformats-officedocument.drawingml.chart+xml"/>
  <Override PartName="/word/charts/chart1.xml" ContentType="application/vnd.openxmlformats-officedocument.drawingml.chart+xml"/>
  <Override PartName="/word/theme/themeOverride12.xml" ContentType="application/vnd.openxmlformats-officedocument.themeOverride+xml"/>
  <Override PartName="/word/theme/themeOverride1.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1.xml" ContentType="application/vnd.openxmlformats-officedocument.them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4C6B9387" w14:textId="77777777" w:rsidTr="00DF5712">
        <w:trPr>
          <w:trHeight w:hRule="exact" w:val="851"/>
        </w:trPr>
        <w:tc>
          <w:tcPr>
            <w:tcW w:w="1276" w:type="dxa"/>
            <w:tcBorders>
              <w:bottom w:val="single" w:sz="4" w:space="0" w:color="auto"/>
            </w:tcBorders>
          </w:tcPr>
          <w:p w14:paraId="20FD403C" w14:textId="77777777" w:rsidR="00A14420" w:rsidRPr="00DB58B5" w:rsidRDefault="00A14420" w:rsidP="00D902EB"/>
        </w:tc>
        <w:tc>
          <w:tcPr>
            <w:tcW w:w="2268" w:type="dxa"/>
            <w:tcBorders>
              <w:bottom w:val="single" w:sz="4" w:space="0" w:color="auto"/>
            </w:tcBorders>
            <w:vAlign w:val="bottom"/>
          </w:tcPr>
          <w:p w14:paraId="2E95FBC4"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AE849FF" w14:textId="22284297" w:rsidR="00A14420" w:rsidRPr="00DB58B5" w:rsidRDefault="00D902EB" w:rsidP="00D902EB">
            <w:pPr>
              <w:jc w:val="right"/>
            </w:pPr>
            <w:r w:rsidRPr="00D902EB">
              <w:rPr>
                <w:sz w:val="40"/>
              </w:rPr>
              <w:t>ECE</w:t>
            </w:r>
            <w:r>
              <w:t>/MP.EIA/SEA/2023/9</w:t>
            </w:r>
          </w:p>
        </w:tc>
      </w:tr>
      <w:tr w:rsidR="00A14420" w:rsidRPr="00DB58B5" w14:paraId="7D378DDA" w14:textId="77777777" w:rsidTr="00DF5712">
        <w:trPr>
          <w:trHeight w:hRule="exact" w:val="2835"/>
        </w:trPr>
        <w:tc>
          <w:tcPr>
            <w:tcW w:w="1276" w:type="dxa"/>
            <w:tcBorders>
              <w:top w:val="single" w:sz="4" w:space="0" w:color="auto"/>
              <w:bottom w:val="single" w:sz="12" w:space="0" w:color="auto"/>
            </w:tcBorders>
          </w:tcPr>
          <w:p w14:paraId="56077E5B" w14:textId="77777777" w:rsidR="00A14420" w:rsidRPr="00DB58B5" w:rsidRDefault="00A14420" w:rsidP="00DF5712">
            <w:pPr>
              <w:spacing w:before="120"/>
              <w:jc w:val="center"/>
            </w:pPr>
            <w:r>
              <w:rPr>
                <w:noProof/>
                <w:lang w:eastAsia="fr-CH"/>
              </w:rPr>
              <w:drawing>
                <wp:inline distT="0" distB="0" distL="0" distR="0" wp14:anchorId="6E2E7094" wp14:editId="06A1C83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8873A81"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3116974" w14:textId="77777777" w:rsidR="00A14420" w:rsidRDefault="00D902EB" w:rsidP="00DF5712">
            <w:pPr>
              <w:spacing w:before="240"/>
            </w:pPr>
            <w:proofErr w:type="spellStart"/>
            <w:r>
              <w:t>Distr</w:t>
            </w:r>
            <w:proofErr w:type="spellEnd"/>
            <w:r>
              <w:t>. générale</w:t>
            </w:r>
          </w:p>
          <w:p w14:paraId="45345005" w14:textId="77777777" w:rsidR="00D902EB" w:rsidRDefault="00D902EB" w:rsidP="00D902EB">
            <w:pPr>
              <w:spacing w:line="240" w:lineRule="exact"/>
            </w:pPr>
            <w:r>
              <w:t>3 octobre 2023</w:t>
            </w:r>
          </w:p>
          <w:p w14:paraId="6616A80B" w14:textId="77777777" w:rsidR="00D902EB" w:rsidRDefault="00D902EB" w:rsidP="00D902EB">
            <w:pPr>
              <w:spacing w:line="240" w:lineRule="exact"/>
            </w:pPr>
            <w:r>
              <w:t>Français</w:t>
            </w:r>
          </w:p>
          <w:p w14:paraId="76DC51B5" w14:textId="556111C2" w:rsidR="00D902EB" w:rsidRPr="00DB58B5" w:rsidRDefault="00D902EB" w:rsidP="00D902EB">
            <w:pPr>
              <w:spacing w:line="240" w:lineRule="exact"/>
            </w:pPr>
            <w:r>
              <w:t>Original : anglais</w:t>
            </w:r>
          </w:p>
        </w:tc>
      </w:tr>
    </w:tbl>
    <w:p w14:paraId="5749E333" w14:textId="77777777" w:rsidR="00C554CE" w:rsidRDefault="00C554CE" w:rsidP="00C554CE">
      <w:pPr>
        <w:spacing w:before="120"/>
        <w:rPr>
          <w:b/>
          <w:sz w:val="28"/>
          <w:szCs w:val="28"/>
        </w:rPr>
      </w:pPr>
      <w:r w:rsidRPr="000312C0">
        <w:rPr>
          <w:b/>
          <w:sz w:val="28"/>
          <w:szCs w:val="28"/>
        </w:rPr>
        <w:t>Commission économique pour l’Europe</w:t>
      </w:r>
    </w:p>
    <w:p w14:paraId="35A76356" w14:textId="77777777" w:rsidR="00D902EB" w:rsidRDefault="00D902EB" w:rsidP="00D902EB">
      <w:pPr>
        <w:spacing w:before="120"/>
        <w:rPr>
          <w:sz w:val="24"/>
          <w:szCs w:val="24"/>
          <w:lang w:val="fr-FR"/>
        </w:rPr>
      </w:pPr>
      <w:r w:rsidRPr="00D93102">
        <w:rPr>
          <w:sz w:val="24"/>
          <w:szCs w:val="24"/>
          <w:lang w:val="fr-FR"/>
        </w:rPr>
        <w:t xml:space="preserve">Réunion des Parties à la Convention sur </w:t>
      </w:r>
      <w:r w:rsidRPr="00D93102">
        <w:rPr>
          <w:sz w:val="24"/>
          <w:szCs w:val="24"/>
          <w:lang w:val="fr-FR"/>
        </w:rPr>
        <w:br/>
        <w:t>l</w:t>
      </w:r>
      <w:r>
        <w:rPr>
          <w:sz w:val="24"/>
          <w:szCs w:val="24"/>
          <w:lang w:val="fr-FR"/>
        </w:rPr>
        <w:t>’</w:t>
      </w:r>
      <w:r w:rsidRPr="00D93102">
        <w:rPr>
          <w:sz w:val="24"/>
          <w:szCs w:val="24"/>
          <w:lang w:val="fr-FR"/>
        </w:rPr>
        <w:t>évaluation de l</w:t>
      </w:r>
      <w:r>
        <w:rPr>
          <w:sz w:val="24"/>
          <w:szCs w:val="24"/>
          <w:lang w:val="fr-FR"/>
        </w:rPr>
        <w:t>’</w:t>
      </w:r>
      <w:r w:rsidRPr="00D93102">
        <w:rPr>
          <w:sz w:val="24"/>
          <w:szCs w:val="24"/>
          <w:lang w:val="fr-FR"/>
        </w:rPr>
        <w:t>impact sur l</w:t>
      </w:r>
      <w:r>
        <w:rPr>
          <w:sz w:val="24"/>
          <w:szCs w:val="24"/>
          <w:lang w:val="fr-FR"/>
        </w:rPr>
        <w:t>’</w:t>
      </w:r>
      <w:r w:rsidRPr="00D93102">
        <w:rPr>
          <w:sz w:val="24"/>
          <w:szCs w:val="24"/>
          <w:lang w:val="fr-FR"/>
        </w:rPr>
        <w:t xml:space="preserve">environnement </w:t>
      </w:r>
      <w:r w:rsidRPr="00D93102">
        <w:rPr>
          <w:sz w:val="24"/>
          <w:szCs w:val="24"/>
          <w:lang w:val="fr-FR"/>
        </w:rPr>
        <w:br/>
        <w:t>dans un contexte transfrontière</w:t>
      </w:r>
    </w:p>
    <w:p w14:paraId="719AAF0F" w14:textId="77777777" w:rsidR="00D902EB" w:rsidRPr="006846DA" w:rsidRDefault="00D902EB" w:rsidP="00D902EB">
      <w:pPr>
        <w:spacing w:before="120"/>
        <w:rPr>
          <w:b/>
          <w:bCs/>
          <w:lang w:val="fr-FR"/>
        </w:rPr>
      </w:pPr>
      <w:r w:rsidRPr="006846DA">
        <w:rPr>
          <w:b/>
          <w:bCs/>
          <w:lang w:val="fr-FR"/>
        </w:rPr>
        <w:t>Neuvième session</w:t>
      </w:r>
    </w:p>
    <w:p w14:paraId="563AC3F7" w14:textId="77777777" w:rsidR="00D902EB" w:rsidRPr="00D93102" w:rsidRDefault="00D902EB" w:rsidP="00D902EB">
      <w:pPr>
        <w:spacing w:before="120"/>
        <w:rPr>
          <w:sz w:val="24"/>
          <w:szCs w:val="24"/>
          <w:lang w:val="fr-FR"/>
        </w:rPr>
      </w:pPr>
      <w:r w:rsidRPr="00D93102">
        <w:rPr>
          <w:sz w:val="24"/>
          <w:szCs w:val="24"/>
          <w:lang w:val="fr-FR"/>
        </w:rPr>
        <w:t xml:space="preserve">Réunion des Parties à la Convention sur </w:t>
      </w:r>
      <w:r w:rsidRPr="00D93102">
        <w:rPr>
          <w:sz w:val="24"/>
          <w:szCs w:val="24"/>
          <w:lang w:val="fr-FR"/>
        </w:rPr>
        <w:br/>
        <w:t>l</w:t>
      </w:r>
      <w:r>
        <w:rPr>
          <w:sz w:val="24"/>
          <w:szCs w:val="24"/>
          <w:lang w:val="fr-FR"/>
        </w:rPr>
        <w:t>’</w:t>
      </w:r>
      <w:r w:rsidRPr="00D93102">
        <w:rPr>
          <w:sz w:val="24"/>
          <w:szCs w:val="24"/>
          <w:lang w:val="fr-FR"/>
        </w:rPr>
        <w:t>évaluation de l</w:t>
      </w:r>
      <w:r>
        <w:rPr>
          <w:sz w:val="24"/>
          <w:szCs w:val="24"/>
          <w:lang w:val="fr-FR"/>
        </w:rPr>
        <w:t>’</w:t>
      </w:r>
      <w:r w:rsidRPr="00D93102">
        <w:rPr>
          <w:sz w:val="24"/>
          <w:szCs w:val="24"/>
          <w:lang w:val="fr-FR"/>
        </w:rPr>
        <w:t>impact sur l</w:t>
      </w:r>
      <w:r>
        <w:rPr>
          <w:sz w:val="24"/>
          <w:szCs w:val="24"/>
          <w:lang w:val="fr-FR"/>
        </w:rPr>
        <w:t>’</w:t>
      </w:r>
      <w:r w:rsidRPr="00D93102">
        <w:rPr>
          <w:sz w:val="24"/>
          <w:szCs w:val="24"/>
          <w:lang w:val="fr-FR"/>
        </w:rPr>
        <w:t xml:space="preserve">environnement </w:t>
      </w:r>
      <w:r w:rsidRPr="00D93102">
        <w:rPr>
          <w:sz w:val="24"/>
          <w:szCs w:val="24"/>
          <w:lang w:val="fr-FR"/>
        </w:rPr>
        <w:br/>
        <w:t xml:space="preserve">dans un contexte transfrontière agissant </w:t>
      </w:r>
      <w:r w:rsidRPr="00D93102">
        <w:rPr>
          <w:sz w:val="24"/>
          <w:szCs w:val="24"/>
          <w:lang w:val="fr-FR"/>
        </w:rPr>
        <w:br/>
        <w:t xml:space="preserve">comme réunion des Parties au Protocole relatif </w:t>
      </w:r>
      <w:r w:rsidRPr="00D93102">
        <w:rPr>
          <w:sz w:val="24"/>
          <w:szCs w:val="24"/>
          <w:lang w:val="fr-FR"/>
        </w:rPr>
        <w:br/>
        <w:t>à l</w:t>
      </w:r>
      <w:r>
        <w:rPr>
          <w:sz w:val="24"/>
          <w:szCs w:val="24"/>
          <w:lang w:val="fr-FR"/>
        </w:rPr>
        <w:t>’</w:t>
      </w:r>
      <w:r w:rsidRPr="00D93102">
        <w:rPr>
          <w:sz w:val="24"/>
          <w:szCs w:val="24"/>
          <w:lang w:val="fr-FR"/>
        </w:rPr>
        <w:t>évaluation stratégique environnementale</w:t>
      </w:r>
    </w:p>
    <w:p w14:paraId="277CBBC4" w14:textId="511FE8A5" w:rsidR="00D902EB" w:rsidRPr="004F59EF" w:rsidRDefault="00D902EB" w:rsidP="00D902EB">
      <w:pPr>
        <w:spacing w:before="120"/>
        <w:rPr>
          <w:b/>
          <w:bCs/>
          <w:lang w:val="fr-FR"/>
        </w:rPr>
      </w:pPr>
      <w:r>
        <w:rPr>
          <w:b/>
          <w:bCs/>
          <w:lang w:val="fr-FR"/>
        </w:rPr>
        <w:t>Cinquième session</w:t>
      </w:r>
    </w:p>
    <w:p w14:paraId="773C0A4B" w14:textId="77777777" w:rsidR="00D902EB" w:rsidRPr="00E15B31" w:rsidRDefault="00D902EB" w:rsidP="00D902EB">
      <w:pPr>
        <w:rPr>
          <w:lang w:val="fr-FR"/>
        </w:rPr>
      </w:pPr>
      <w:r>
        <w:rPr>
          <w:lang w:val="fr-FR"/>
        </w:rPr>
        <w:t>Genève, 12-15 </w:t>
      </w:r>
      <w:r w:rsidRPr="004C3D1A">
        <w:rPr>
          <w:lang w:val="fr-FR"/>
        </w:rPr>
        <w:t>décembre</w:t>
      </w:r>
      <w:r>
        <w:rPr>
          <w:lang w:val="fr-FR"/>
        </w:rPr>
        <w:t> </w:t>
      </w:r>
      <w:r w:rsidRPr="004C3D1A">
        <w:rPr>
          <w:lang w:val="fr-FR"/>
        </w:rPr>
        <w:t>202</w:t>
      </w:r>
      <w:r>
        <w:rPr>
          <w:lang w:val="fr-FR"/>
        </w:rPr>
        <w:t>3</w:t>
      </w:r>
    </w:p>
    <w:p w14:paraId="71A2E5FD" w14:textId="502CDE1A" w:rsidR="00D902EB" w:rsidRPr="00C43B72" w:rsidRDefault="00D902EB" w:rsidP="00D902EB">
      <w:pPr>
        <w:rPr>
          <w:lang w:val="fr-FR"/>
        </w:rPr>
      </w:pPr>
      <w:r>
        <w:rPr>
          <w:lang w:val="fr-FR"/>
        </w:rPr>
        <w:t>Points 3 c) et 8 c) de l’ordre du jour provisoire</w:t>
      </w:r>
    </w:p>
    <w:p w14:paraId="6245D913" w14:textId="55237B99" w:rsidR="00D902EB" w:rsidRDefault="00D902EB" w:rsidP="00C43B72">
      <w:pPr>
        <w:spacing w:after="120"/>
        <w:rPr>
          <w:b/>
          <w:bCs/>
          <w:lang w:val="fr-FR"/>
        </w:rPr>
      </w:pPr>
      <w:r>
        <w:rPr>
          <w:b/>
          <w:bCs/>
          <w:lang w:val="fr-FR"/>
        </w:rPr>
        <w:t xml:space="preserve">Questions en suspens : projets de décision </w:t>
      </w:r>
      <w:r w:rsidR="00C43B72">
        <w:rPr>
          <w:b/>
          <w:bCs/>
          <w:lang w:val="fr-FR"/>
        </w:rPr>
        <w:br/>
      </w:r>
      <w:r>
        <w:rPr>
          <w:b/>
          <w:bCs/>
          <w:lang w:val="fr-FR"/>
        </w:rPr>
        <w:t>de la Réunion</w:t>
      </w:r>
      <w:r w:rsidR="00C43B72">
        <w:rPr>
          <w:b/>
          <w:bCs/>
          <w:lang w:val="fr-FR"/>
        </w:rPr>
        <w:t xml:space="preserve"> </w:t>
      </w:r>
      <w:r>
        <w:rPr>
          <w:b/>
          <w:bCs/>
          <w:lang w:val="fr-FR"/>
        </w:rPr>
        <w:t>des Parties au Protocole</w:t>
      </w:r>
    </w:p>
    <w:p w14:paraId="2CA5A989" w14:textId="39271527" w:rsidR="00D902EB" w:rsidRPr="00E15B31" w:rsidRDefault="00D902EB" w:rsidP="00D902EB">
      <w:pPr>
        <w:rPr>
          <w:b/>
          <w:bCs/>
          <w:lang w:val="fr-FR"/>
        </w:rPr>
      </w:pPr>
      <w:r>
        <w:rPr>
          <w:b/>
          <w:bCs/>
          <w:lang w:val="fr-FR"/>
        </w:rPr>
        <w:t xml:space="preserve">Adoption des décisions : décisions à adopter </w:t>
      </w:r>
      <w:r w:rsidR="00C43B72">
        <w:rPr>
          <w:b/>
          <w:bCs/>
          <w:lang w:val="fr-FR"/>
        </w:rPr>
        <w:br/>
      </w:r>
      <w:r>
        <w:rPr>
          <w:b/>
          <w:bCs/>
          <w:lang w:val="fr-FR"/>
        </w:rPr>
        <w:t>par la Réunion des Parties au Protocole</w:t>
      </w:r>
    </w:p>
    <w:p w14:paraId="6A65BB5E" w14:textId="2773576A" w:rsidR="00D902EB" w:rsidRPr="00E15B31" w:rsidRDefault="00D902EB" w:rsidP="00D902EB">
      <w:pPr>
        <w:pStyle w:val="HChG"/>
        <w:rPr>
          <w:lang w:val="fr-FR"/>
        </w:rPr>
      </w:pPr>
      <w:r>
        <w:rPr>
          <w:lang w:val="fr-FR"/>
        </w:rPr>
        <w:tab/>
      </w:r>
      <w:r>
        <w:rPr>
          <w:lang w:val="fr-FR"/>
        </w:rPr>
        <w:tab/>
        <w:t xml:space="preserve">Rapport sur le quatrième examen de l’application </w:t>
      </w:r>
      <w:r w:rsidR="00C43B72">
        <w:rPr>
          <w:lang w:val="fr-FR"/>
        </w:rPr>
        <w:br/>
      </w:r>
      <w:r>
        <w:rPr>
          <w:lang w:val="fr-FR"/>
        </w:rPr>
        <w:t>du Protocole relatif à l’évaluation stratégique environnementale</w:t>
      </w:r>
    </w:p>
    <w:p w14:paraId="5BD1F3BE" w14:textId="3E5FEF7E" w:rsidR="00D902EB" w:rsidRDefault="00D902EB" w:rsidP="00D902EB">
      <w:pPr>
        <w:pStyle w:val="H1G"/>
        <w:rPr>
          <w:lang w:val="fr-FR"/>
        </w:rPr>
      </w:pPr>
      <w:r>
        <w:rPr>
          <w:lang w:val="fr-FR"/>
        </w:rPr>
        <w:tab/>
      </w:r>
      <w:r>
        <w:rPr>
          <w:lang w:val="fr-FR"/>
        </w:rPr>
        <w:tab/>
        <w:t xml:space="preserve">Note du Groupe de travail de l’évaluation de l’impact </w:t>
      </w:r>
      <w:r w:rsidR="00C43B72">
        <w:rPr>
          <w:lang w:val="fr-FR"/>
        </w:rPr>
        <w:br/>
      </w:r>
      <w:r>
        <w:rPr>
          <w:lang w:val="fr-FR"/>
        </w:rPr>
        <w:t xml:space="preserve">sur l’environnement et de l’évaluation stratégique </w:t>
      </w:r>
      <w:r w:rsidR="00C43B72">
        <w:rPr>
          <w:lang w:val="fr-FR"/>
        </w:rPr>
        <w:br/>
      </w:r>
      <w:r>
        <w:rPr>
          <w:lang w:val="fr-FR"/>
        </w:rPr>
        <w:t>environnementale</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D902EB" w14:paraId="0130FE3C" w14:textId="77777777" w:rsidTr="0039665D">
        <w:trPr>
          <w:jc w:val="center"/>
        </w:trPr>
        <w:tc>
          <w:tcPr>
            <w:tcW w:w="9628" w:type="dxa"/>
            <w:shd w:val="clear" w:color="auto" w:fill="auto"/>
          </w:tcPr>
          <w:p w14:paraId="20809DC3" w14:textId="77777777" w:rsidR="00D902EB" w:rsidRDefault="00D902EB" w:rsidP="0039665D">
            <w:pPr>
              <w:spacing w:before="240" w:after="120"/>
              <w:ind w:left="255"/>
              <w:rPr>
                <w:i/>
                <w:sz w:val="24"/>
              </w:rPr>
            </w:pPr>
            <w:r>
              <w:rPr>
                <w:i/>
                <w:sz w:val="24"/>
              </w:rPr>
              <w:t>Résumé</w:t>
            </w:r>
          </w:p>
        </w:tc>
      </w:tr>
      <w:tr w:rsidR="00D902EB" w14:paraId="498C2F76" w14:textId="77777777" w:rsidTr="0039665D">
        <w:trPr>
          <w:jc w:val="center"/>
        </w:trPr>
        <w:tc>
          <w:tcPr>
            <w:tcW w:w="9628" w:type="dxa"/>
            <w:tcBorders>
              <w:bottom w:val="nil"/>
            </w:tcBorders>
            <w:shd w:val="clear" w:color="auto" w:fill="auto"/>
          </w:tcPr>
          <w:p w14:paraId="4F9606B5" w14:textId="2141A205" w:rsidR="00D902EB" w:rsidRDefault="00D902EB" w:rsidP="0039665D">
            <w:pPr>
              <w:pStyle w:val="SingleTxtG"/>
              <w:ind w:firstLine="567"/>
            </w:pPr>
            <w:r>
              <w:rPr>
                <w:lang w:val="fr-FR"/>
              </w:rPr>
              <w:t>La Réunion des Parties à la Convention sur l’évaluation de l’impact sur l’environnement dans un contexte transfrontière agissant comme réunion des Parties au Protocole relatif à l’évaluation stratégique environnementale a décidé qu’un rapport sur le quatrième examen de l’application du Protocole pendant la période 2019-2021, reposant sur les rapports soumis par les Parties, lui serait présenté à sa cinquième session (Genève,</w:t>
            </w:r>
            <w:r w:rsidR="00C43B72">
              <w:rPr>
                <w:lang w:val="fr-FR"/>
              </w:rPr>
              <w:t> </w:t>
            </w:r>
            <w:r>
              <w:rPr>
                <w:lang w:val="fr-FR"/>
              </w:rPr>
              <w:t>12</w:t>
            </w:r>
            <w:r w:rsidR="00C43B72">
              <w:rPr>
                <w:lang w:val="fr-FR"/>
              </w:rPr>
              <w:noBreakHyphen/>
            </w:r>
            <w:r>
              <w:rPr>
                <w:lang w:val="fr-FR"/>
              </w:rPr>
              <w:t>15 décembre 2023) (ECE/MP</w:t>
            </w:r>
            <w:r w:rsidR="00A3423F" w:rsidRPr="00A3423F">
              <w:rPr>
                <w:lang w:val="fr-FR"/>
              </w:rPr>
              <w:t>.</w:t>
            </w:r>
            <w:r>
              <w:rPr>
                <w:lang w:val="fr-FR"/>
              </w:rPr>
              <w:t>EIA/30/Add</w:t>
            </w:r>
            <w:r w:rsidR="00A3423F" w:rsidRPr="00A3423F">
              <w:rPr>
                <w:lang w:val="fr-FR"/>
              </w:rPr>
              <w:t>.</w:t>
            </w:r>
            <w:r>
              <w:rPr>
                <w:lang w:val="fr-FR"/>
              </w:rPr>
              <w:t>1</w:t>
            </w:r>
            <w:r>
              <w:rPr>
                <w:lang w:val="fr-FR"/>
              </w:rPr>
              <w:noBreakHyphen/>
              <w:t>ECE/MP</w:t>
            </w:r>
            <w:r w:rsidR="00A3423F" w:rsidRPr="00A3423F">
              <w:rPr>
                <w:lang w:val="fr-FR"/>
              </w:rPr>
              <w:t>.</w:t>
            </w:r>
            <w:r>
              <w:rPr>
                <w:lang w:val="fr-FR"/>
              </w:rPr>
              <w:t>EIA/SEA/13/Add</w:t>
            </w:r>
            <w:r w:rsidR="00A3423F" w:rsidRPr="00A3423F">
              <w:rPr>
                <w:lang w:val="fr-FR"/>
              </w:rPr>
              <w:t>.</w:t>
            </w:r>
            <w:r>
              <w:rPr>
                <w:lang w:val="fr-FR"/>
              </w:rPr>
              <w:t>1, décision</w:t>
            </w:r>
            <w:r w:rsidR="00C43B72">
              <w:rPr>
                <w:lang w:val="fr-FR"/>
              </w:rPr>
              <w:t xml:space="preserve"> </w:t>
            </w:r>
            <w:r>
              <w:rPr>
                <w:lang w:val="fr-FR"/>
              </w:rPr>
              <w:t>VIII/2</w:t>
            </w:r>
            <w:r>
              <w:rPr>
                <w:lang w:val="fr-FR"/>
              </w:rPr>
              <w:noBreakHyphen/>
              <w:t>IV/2)</w:t>
            </w:r>
            <w:r w:rsidR="00A3423F" w:rsidRPr="00A3423F">
              <w:rPr>
                <w:lang w:val="fr-FR"/>
              </w:rPr>
              <w:t>.</w:t>
            </w:r>
          </w:p>
        </w:tc>
      </w:tr>
      <w:tr w:rsidR="00D902EB" w14:paraId="4D1C15F3" w14:textId="77777777" w:rsidTr="0039665D">
        <w:trPr>
          <w:jc w:val="center"/>
        </w:trPr>
        <w:tc>
          <w:tcPr>
            <w:tcW w:w="9628" w:type="dxa"/>
            <w:tcBorders>
              <w:top w:val="nil"/>
              <w:bottom w:val="nil"/>
            </w:tcBorders>
            <w:shd w:val="clear" w:color="auto" w:fill="auto"/>
          </w:tcPr>
          <w:p w14:paraId="2205A1C7" w14:textId="003A920D" w:rsidR="00D902EB" w:rsidRDefault="00D902EB" w:rsidP="00C43B72">
            <w:pPr>
              <w:pStyle w:val="SingleTxtG"/>
              <w:keepNext/>
              <w:ind w:firstLine="567"/>
              <w:rPr>
                <w:lang w:val="fr-FR"/>
              </w:rPr>
            </w:pPr>
            <w:r>
              <w:rPr>
                <w:lang w:val="fr-FR"/>
              </w:rPr>
              <w:lastRenderedPageBreak/>
              <w:t>On trouvera dans la présente note le rapport sur le quatrième examen, qui a été établi sur la base des rapports nationaux reçus au 30 juin 2022</w:t>
            </w:r>
            <w:r w:rsidR="00A3423F" w:rsidRPr="00A3423F">
              <w:rPr>
                <w:lang w:val="fr-FR"/>
              </w:rPr>
              <w:t>.</w:t>
            </w:r>
            <w:r>
              <w:rPr>
                <w:lang w:val="fr-FR"/>
              </w:rPr>
              <w:t xml:space="preserve"> L’examen a été établi dans sa version définitive compte tenu des observations formulées pendant et après la onzième réunion du Groupe de travail de l’évaluation de l’impact sur l’environnement et de l’évaluation stratégique environnementale (Genève, 19-21 décembre 2022) et des autres modifications arrêtées par le Groupe de travail à sa douzième réunion (Genève, 13</w:t>
            </w:r>
            <w:r w:rsidR="00C43B72">
              <w:rPr>
                <w:lang w:val="fr-FR"/>
              </w:rPr>
              <w:noBreakHyphen/>
            </w:r>
            <w:r>
              <w:rPr>
                <w:lang w:val="fr-FR"/>
              </w:rPr>
              <w:t>15 juin 2023)</w:t>
            </w:r>
            <w:r w:rsidR="00A3423F" w:rsidRPr="00A3423F">
              <w:rPr>
                <w:lang w:val="fr-FR"/>
              </w:rPr>
              <w:t>.</w:t>
            </w:r>
          </w:p>
        </w:tc>
      </w:tr>
      <w:tr w:rsidR="00D902EB" w14:paraId="3F430E8F" w14:textId="77777777" w:rsidTr="0039665D">
        <w:trPr>
          <w:jc w:val="center"/>
        </w:trPr>
        <w:tc>
          <w:tcPr>
            <w:tcW w:w="9628" w:type="dxa"/>
            <w:tcBorders>
              <w:top w:val="nil"/>
            </w:tcBorders>
            <w:shd w:val="clear" w:color="auto" w:fill="auto"/>
          </w:tcPr>
          <w:p w14:paraId="4982F021" w14:textId="759DA887" w:rsidR="00D902EB" w:rsidRDefault="00D902EB" w:rsidP="0039665D">
            <w:pPr>
              <w:pStyle w:val="SingleTxtG"/>
              <w:ind w:firstLine="567"/>
              <w:rPr>
                <w:lang w:val="fr-FR"/>
              </w:rPr>
            </w:pPr>
            <w:r>
              <w:rPr>
                <w:lang w:val="fr-FR"/>
              </w:rPr>
              <w:t>La réunion des Parties au Protocole est invitée à envisager d’adopter le présent rapport sur le quatrième examen de l’application du Protocole dans sa décision V/5</w:t>
            </w:r>
            <w:r w:rsidR="00A3423F" w:rsidRPr="00A3423F">
              <w:rPr>
                <w:lang w:val="fr-FR"/>
              </w:rPr>
              <w:t>.</w:t>
            </w:r>
          </w:p>
        </w:tc>
      </w:tr>
      <w:tr w:rsidR="00D902EB" w14:paraId="2D4732FF" w14:textId="77777777" w:rsidTr="0039665D">
        <w:trPr>
          <w:jc w:val="center"/>
        </w:trPr>
        <w:tc>
          <w:tcPr>
            <w:tcW w:w="9628" w:type="dxa"/>
            <w:shd w:val="clear" w:color="auto" w:fill="auto"/>
          </w:tcPr>
          <w:p w14:paraId="0A92655C" w14:textId="77777777" w:rsidR="00D902EB" w:rsidRDefault="00D902EB" w:rsidP="0039665D"/>
        </w:tc>
      </w:tr>
    </w:tbl>
    <w:p w14:paraId="76E88506" w14:textId="77777777" w:rsidR="00D902EB" w:rsidRDefault="00D902EB" w:rsidP="00D902EB">
      <w:pPr>
        <w:suppressAutoHyphens w:val="0"/>
        <w:kinsoku/>
        <w:overflowPunct/>
        <w:autoSpaceDE/>
        <w:autoSpaceDN/>
        <w:adjustRightInd/>
        <w:snapToGrid/>
        <w:spacing w:after="200" w:line="276" w:lineRule="auto"/>
        <w:rPr>
          <w:bCs/>
          <w:lang w:val="fr-FR"/>
        </w:rPr>
      </w:pPr>
      <w:r>
        <w:rPr>
          <w:bCs/>
          <w:lang w:val="fr-FR"/>
        </w:rPr>
        <w:br w:type="page"/>
      </w:r>
    </w:p>
    <w:p w14:paraId="51441EE1" w14:textId="77777777" w:rsidR="00D902EB" w:rsidRPr="00E15B31" w:rsidRDefault="00D902EB" w:rsidP="00D902EB">
      <w:pPr>
        <w:pStyle w:val="HChG"/>
        <w:rPr>
          <w:lang w:val="fr-FR"/>
        </w:rPr>
      </w:pPr>
      <w:r>
        <w:rPr>
          <w:lang w:val="fr-FR"/>
        </w:rPr>
        <w:lastRenderedPageBreak/>
        <w:tab/>
      </w:r>
      <w:r>
        <w:rPr>
          <w:lang w:val="fr-FR"/>
        </w:rPr>
        <w:tab/>
        <w:t>Introduction</w:t>
      </w:r>
    </w:p>
    <w:p w14:paraId="3D618690" w14:textId="16BBEF09" w:rsidR="00D902EB" w:rsidRPr="00E15B31" w:rsidRDefault="00D902EB" w:rsidP="00D902EB">
      <w:pPr>
        <w:pStyle w:val="SingleTxtG"/>
        <w:rPr>
          <w:rFonts w:eastAsia="Times"/>
          <w:lang w:val="fr-FR"/>
        </w:rPr>
      </w:pPr>
      <w:r>
        <w:rPr>
          <w:lang w:val="fr-FR"/>
        </w:rPr>
        <w:t>1</w:t>
      </w:r>
      <w:r w:rsidR="00A3423F" w:rsidRPr="00A3423F">
        <w:rPr>
          <w:lang w:val="fr-FR"/>
        </w:rPr>
        <w:t>.</w:t>
      </w:r>
      <w:r>
        <w:rPr>
          <w:lang w:val="fr-FR"/>
        </w:rPr>
        <w:tab/>
        <w:t>Le présent document contient le rapport sur le quatrième examen de l’application du Protocole relatif à l’évaluation stratégique environnementale</w:t>
      </w:r>
      <w:r w:rsidR="00A3423F" w:rsidRPr="00A3423F">
        <w:rPr>
          <w:lang w:val="fr-FR"/>
        </w:rPr>
        <w:t>.</w:t>
      </w:r>
      <w:r>
        <w:rPr>
          <w:lang w:val="fr-FR"/>
        </w:rPr>
        <w:t xml:space="preserve"> Y sont examinées les réponses à un questionnaire destiné à permettre aux Parties de rendre compte de l’application du Protocole au cours de la période 2019-2021 et de leurs expériences concrètes en la matière aux fins d’améliorer l’application du Protocole et le respect de ses dispositions juridiques</w:t>
      </w:r>
      <w:r w:rsidR="00A3423F" w:rsidRPr="00A3423F">
        <w:rPr>
          <w:lang w:val="fr-FR"/>
        </w:rPr>
        <w:t>.</w:t>
      </w:r>
    </w:p>
    <w:p w14:paraId="61742092" w14:textId="14BE109E" w:rsidR="00D902EB" w:rsidRPr="00E15B31" w:rsidRDefault="00D902EB" w:rsidP="00D902EB">
      <w:pPr>
        <w:pStyle w:val="SingleTxtG"/>
        <w:rPr>
          <w:u w:val="single"/>
          <w:lang w:val="fr-FR"/>
        </w:rPr>
      </w:pPr>
      <w:r>
        <w:rPr>
          <w:lang w:val="fr-FR"/>
        </w:rPr>
        <w:t>2</w:t>
      </w:r>
      <w:r w:rsidR="00A3423F" w:rsidRPr="00A3423F">
        <w:rPr>
          <w:lang w:val="fr-FR"/>
        </w:rPr>
        <w:t>.</w:t>
      </w:r>
      <w:r>
        <w:rPr>
          <w:lang w:val="fr-FR"/>
        </w:rPr>
        <w:tab/>
        <w:t>La méthode appliquée dans le cadre du quatrième examen est décrite dans la section I</w:t>
      </w:r>
      <w:r w:rsidR="00A3423F" w:rsidRPr="00A3423F">
        <w:rPr>
          <w:lang w:val="fr-FR"/>
        </w:rPr>
        <w:t>.</w:t>
      </w:r>
      <w:r>
        <w:rPr>
          <w:lang w:val="fr-FR"/>
        </w:rPr>
        <w:t xml:space="preserve"> Dans la section II, certains aspects des cadres juridique et administratif nationaux régissant l’application du Protocole sont passés en revue</w:t>
      </w:r>
      <w:r w:rsidR="00A3423F" w:rsidRPr="00A3423F">
        <w:rPr>
          <w:lang w:val="fr-FR"/>
        </w:rPr>
        <w:t>.</w:t>
      </w:r>
      <w:r>
        <w:rPr>
          <w:lang w:val="fr-FR"/>
        </w:rPr>
        <w:t xml:space="preserve"> La manière dont les Parties ont appliqué le Protocole et leurs expériences concrètes en la matière pendant la période considérée sont analysées dans la section III</w:t>
      </w:r>
      <w:r w:rsidR="00A3423F" w:rsidRPr="00A3423F">
        <w:rPr>
          <w:lang w:val="fr-FR"/>
        </w:rPr>
        <w:t>.</w:t>
      </w:r>
      <w:r>
        <w:rPr>
          <w:lang w:val="fr-FR"/>
        </w:rPr>
        <w:t xml:space="preserve"> Les principales conclusions du quatrième examen sont présentées dans la section IV</w:t>
      </w:r>
      <w:r w:rsidR="00A3423F" w:rsidRPr="00A3423F">
        <w:rPr>
          <w:lang w:val="fr-FR"/>
        </w:rPr>
        <w:t>.</w:t>
      </w:r>
    </w:p>
    <w:p w14:paraId="3F126E36" w14:textId="63EEDC9A" w:rsidR="00D902EB" w:rsidRPr="00E15B31" w:rsidRDefault="00D902EB" w:rsidP="00D902EB">
      <w:pPr>
        <w:pStyle w:val="SingleTxtG"/>
        <w:rPr>
          <w:lang w:val="fr-FR"/>
        </w:rPr>
      </w:pPr>
      <w:r>
        <w:rPr>
          <w:lang w:val="fr-FR"/>
        </w:rPr>
        <w:t>3</w:t>
      </w:r>
      <w:r w:rsidR="00A3423F" w:rsidRPr="00A3423F">
        <w:rPr>
          <w:lang w:val="fr-FR"/>
        </w:rPr>
        <w:t>.</w:t>
      </w:r>
      <w:r>
        <w:rPr>
          <w:lang w:val="fr-FR"/>
        </w:rPr>
        <w:tab/>
        <w:t>En raison des contraintes de longueur auxquelles est soumis le présent rapport, des informations supplémentaires pourront être consultées sur le site Web du protocole</w:t>
      </w:r>
      <w:r w:rsidRPr="006846DA">
        <w:rPr>
          <w:rStyle w:val="Appelnotedebasdep"/>
        </w:rPr>
        <w:footnoteReference w:id="2"/>
      </w:r>
      <w:r w:rsidR="00A3423F" w:rsidRPr="00A3423F">
        <w:rPr>
          <w:lang w:val="fr-FR"/>
        </w:rPr>
        <w:t>.</w:t>
      </w:r>
    </w:p>
    <w:p w14:paraId="411ADA0B" w14:textId="406DD968" w:rsidR="00D902EB" w:rsidRPr="00E15B31" w:rsidRDefault="00D902EB" w:rsidP="00D902EB">
      <w:pPr>
        <w:pStyle w:val="HChG"/>
        <w:rPr>
          <w:lang w:val="fr-FR"/>
        </w:rPr>
      </w:pPr>
      <w:bookmarkStart w:id="0" w:name="_Toc14170009"/>
      <w:r>
        <w:rPr>
          <w:lang w:val="fr-FR"/>
        </w:rPr>
        <w:tab/>
        <w:t>I</w:t>
      </w:r>
      <w:r w:rsidR="00A3423F" w:rsidRPr="00A3423F">
        <w:rPr>
          <w:lang w:val="fr-FR"/>
        </w:rPr>
        <w:t>.</w:t>
      </w:r>
      <w:r>
        <w:rPr>
          <w:lang w:val="fr-FR"/>
        </w:rPr>
        <w:tab/>
      </w:r>
      <w:r>
        <w:rPr>
          <w:lang w:val="fr-FR"/>
        </w:rPr>
        <w:tab/>
        <w:t>Méthode</w:t>
      </w:r>
      <w:bookmarkEnd w:id="0"/>
    </w:p>
    <w:p w14:paraId="3E2BBC53" w14:textId="64089086" w:rsidR="00D902EB" w:rsidRPr="00E15B31" w:rsidRDefault="00D902EB" w:rsidP="00D902EB">
      <w:pPr>
        <w:pStyle w:val="SingleTxtG"/>
        <w:rPr>
          <w:lang w:val="fr-FR"/>
        </w:rPr>
      </w:pPr>
      <w:bookmarkStart w:id="1" w:name="_uyfop1ssokq6" w:colFirst="0" w:colLast="0"/>
      <w:bookmarkEnd w:id="1"/>
      <w:r>
        <w:rPr>
          <w:lang w:val="fr-FR"/>
        </w:rPr>
        <w:t>4</w:t>
      </w:r>
      <w:r w:rsidR="00A3423F" w:rsidRPr="00A3423F">
        <w:rPr>
          <w:lang w:val="fr-FR"/>
        </w:rPr>
        <w:t>.</w:t>
      </w:r>
      <w:r>
        <w:rPr>
          <w:lang w:val="fr-FR"/>
        </w:rPr>
        <w:tab/>
        <w:t>Le rapport sur le quatrième examen de l’application du Protocole a été établi conformément au plan de travail adopté par la Réunion des Parties à sa quatrième session CE/MP</w:t>
      </w:r>
      <w:r w:rsidR="00A3423F" w:rsidRPr="00A3423F">
        <w:rPr>
          <w:lang w:val="fr-FR"/>
        </w:rPr>
        <w:t>.</w:t>
      </w:r>
      <w:r>
        <w:rPr>
          <w:lang w:val="fr-FR"/>
        </w:rPr>
        <w:t>EIA/30/Add</w:t>
      </w:r>
      <w:r w:rsidR="00A3423F" w:rsidRPr="00A3423F">
        <w:rPr>
          <w:lang w:val="fr-FR"/>
        </w:rPr>
        <w:t>.</w:t>
      </w:r>
      <w:r>
        <w:rPr>
          <w:lang w:val="fr-FR"/>
        </w:rPr>
        <w:t>1</w:t>
      </w:r>
      <w:r>
        <w:rPr>
          <w:lang w:val="fr-FR"/>
        </w:rPr>
        <w:noBreakHyphen/>
        <w:t>ECE/MP</w:t>
      </w:r>
      <w:r w:rsidR="00A3423F" w:rsidRPr="00A3423F">
        <w:rPr>
          <w:lang w:val="fr-FR"/>
        </w:rPr>
        <w:t>.</w:t>
      </w:r>
      <w:r>
        <w:rPr>
          <w:lang w:val="fr-FR"/>
        </w:rPr>
        <w:t>EIA/SEA/13/Add</w:t>
      </w:r>
      <w:r w:rsidR="00A3423F" w:rsidRPr="00A3423F">
        <w:rPr>
          <w:lang w:val="fr-FR"/>
        </w:rPr>
        <w:t>.</w:t>
      </w:r>
      <w:r>
        <w:rPr>
          <w:lang w:val="fr-FR"/>
        </w:rPr>
        <w:t>1, décision VIII/2</w:t>
      </w:r>
      <w:r>
        <w:rPr>
          <w:lang w:val="fr-FR"/>
        </w:rPr>
        <w:noBreakHyphen/>
        <w:t>IV/2)</w:t>
      </w:r>
      <w:r w:rsidR="00A3423F" w:rsidRPr="00A3423F">
        <w:rPr>
          <w:lang w:val="fr-FR"/>
        </w:rPr>
        <w:t>.</w:t>
      </w:r>
      <w:r>
        <w:rPr>
          <w:lang w:val="fr-FR"/>
        </w:rPr>
        <w:t xml:space="preserve"> Les Parties ont fait état de la manière dont elles avaient appliqué le Protocole et de leurs expériences concrètes en la matière en remplissant un questionnaire élaboré par le Comité d’application et approuvé par le Groupe de travail de l’évaluation de l’impact sur l’environnement et de l’évaluation stratégique environnementale (</w:t>
      </w:r>
      <w:r w:rsidRPr="007C7BFF">
        <w:rPr>
          <w:lang w:val="fr-FR"/>
        </w:rPr>
        <w:t>Groupe de travail de l</w:t>
      </w:r>
      <w:r>
        <w:rPr>
          <w:lang w:val="fr-FR"/>
        </w:rPr>
        <w:t>’</w:t>
      </w:r>
      <w:r w:rsidRPr="007C7BFF">
        <w:rPr>
          <w:lang w:val="fr-FR"/>
        </w:rPr>
        <w:t>EIE et de l</w:t>
      </w:r>
      <w:r>
        <w:rPr>
          <w:lang w:val="fr-FR"/>
        </w:rPr>
        <w:t>’</w:t>
      </w:r>
      <w:r w:rsidRPr="007C7BFF">
        <w:rPr>
          <w:lang w:val="fr-FR"/>
        </w:rPr>
        <w:t>ESE</w:t>
      </w:r>
      <w:r>
        <w:rPr>
          <w:lang w:val="fr-FR"/>
        </w:rPr>
        <w:t>)</w:t>
      </w:r>
      <w:r w:rsidRPr="006846DA">
        <w:rPr>
          <w:rStyle w:val="Appelnotedebasdep"/>
        </w:rPr>
        <w:footnoteReference w:id="3"/>
      </w:r>
      <w:r w:rsidR="00A3423F" w:rsidRPr="00A3423F">
        <w:rPr>
          <w:lang w:val="fr-FR"/>
        </w:rPr>
        <w:t>.</w:t>
      </w:r>
      <w:bookmarkStart w:id="2" w:name="_Ref9933233"/>
      <w:bookmarkEnd w:id="2"/>
    </w:p>
    <w:p w14:paraId="2EE49E4F" w14:textId="6E2CA99D" w:rsidR="00D902EB" w:rsidRPr="00265B89" w:rsidRDefault="00D902EB" w:rsidP="00D902EB">
      <w:pPr>
        <w:pStyle w:val="SingleTxtG"/>
        <w:rPr>
          <w:lang w:val="fr-FR"/>
        </w:rPr>
      </w:pPr>
      <w:r>
        <w:rPr>
          <w:lang w:val="fr-FR"/>
        </w:rPr>
        <w:t>5</w:t>
      </w:r>
      <w:r w:rsidR="00A3423F" w:rsidRPr="00A3423F">
        <w:rPr>
          <w:lang w:val="fr-FR"/>
        </w:rPr>
        <w:t>.</w:t>
      </w:r>
      <w:r>
        <w:rPr>
          <w:lang w:val="fr-FR"/>
        </w:rPr>
        <w:tab/>
        <w:t xml:space="preserve">En s’appuyant sur les questionnaires renvoyés au 30 juin 2022, le secrétariat a élaboré, avec le concours d’un consultant, un projet de rapport destiné à être examiné par le Groupe de travail </w:t>
      </w:r>
      <w:r w:rsidRPr="006959C7">
        <w:rPr>
          <w:lang w:val="fr-FR"/>
        </w:rPr>
        <w:t>de l</w:t>
      </w:r>
      <w:r>
        <w:rPr>
          <w:lang w:val="fr-FR"/>
        </w:rPr>
        <w:t>’</w:t>
      </w:r>
      <w:r w:rsidRPr="006959C7">
        <w:rPr>
          <w:lang w:val="fr-FR"/>
        </w:rPr>
        <w:t>EIE et de l</w:t>
      </w:r>
      <w:r>
        <w:rPr>
          <w:lang w:val="fr-FR"/>
        </w:rPr>
        <w:t>’</w:t>
      </w:r>
      <w:r w:rsidRPr="006959C7">
        <w:rPr>
          <w:lang w:val="fr-FR"/>
        </w:rPr>
        <w:t xml:space="preserve">ESE </w:t>
      </w:r>
      <w:r>
        <w:rPr>
          <w:lang w:val="fr-FR"/>
        </w:rPr>
        <w:t>à sa onzième réunion (Genève, 19-21 décembre 2022)</w:t>
      </w:r>
      <w:r w:rsidR="00A3423F" w:rsidRPr="00A3423F">
        <w:rPr>
          <w:lang w:val="fr-FR"/>
        </w:rPr>
        <w:t>.</w:t>
      </w:r>
      <w:r>
        <w:rPr>
          <w:lang w:val="fr-FR"/>
        </w:rPr>
        <w:t xml:space="preserve"> Le rapport a ensuite été établi dans sa version définitive compte tenu des observations formulées par les Parties pendant et après la onzième réunion du Groupe de travail et soumis pour adoption à la Réunion des Parties à la Convention à sa prochaine session (Genève, 12-15</w:t>
      </w:r>
      <w:r w:rsidR="00C43B72">
        <w:rPr>
          <w:lang w:val="fr-FR"/>
        </w:rPr>
        <w:t> </w:t>
      </w:r>
      <w:r>
        <w:rPr>
          <w:lang w:val="fr-FR"/>
        </w:rPr>
        <w:t>décembre 2023)</w:t>
      </w:r>
      <w:r w:rsidR="00A3423F" w:rsidRPr="00A3423F">
        <w:rPr>
          <w:lang w:val="fr-FR"/>
        </w:rPr>
        <w:t>.</w:t>
      </w:r>
    </w:p>
    <w:p w14:paraId="139A1498" w14:textId="391FF5AF" w:rsidR="00D902EB" w:rsidRPr="00E15B31" w:rsidRDefault="00D902EB" w:rsidP="00D902EB">
      <w:pPr>
        <w:pStyle w:val="SingleTxtG"/>
        <w:rPr>
          <w:rFonts w:eastAsia="Times"/>
          <w:lang w:val="fr-FR"/>
        </w:rPr>
      </w:pPr>
      <w:r>
        <w:rPr>
          <w:lang w:val="fr-FR"/>
        </w:rPr>
        <w:t>6</w:t>
      </w:r>
      <w:r w:rsidR="00A3423F" w:rsidRPr="00A3423F">
        <w:rPr>
          <w:lang w:val="fr-FR"/>
        </w:rPr>
        <w:t>.</w:t>
      </w:r>
      <w:r>
        <w:rPr>
          <w:lang w:val="fr-FR"/>
        </w:rPr>
        <w:tab/>
        <w:t>À la date limite (30 avril 2022), à peine plus de 50 % des Parties avaient renvoyé le questionnaire</w:t>
      </w:r>
      <w:r w:rsidR="00A3423F" w:rsidRPr="00A3423F">
        <w:rPr>
          <w:lang w:val="fr-FR"/>
        </w:rPr>
        <w:t>.</w:t>
      </w:r>
      <w:r>
        <w:rPr>
          <w:lang w:val="fr-FR"/>
        </w:rPr>
        <w:t xml:space="preserve"> Au 30 juin, 22 des 33 Parties au Protocole, ainsi que la Géorgie et le Kazakhstan, qui ne sont pas parties au Protocole, avaient renvoyé des questionnaires remplis</w:t>
      </w:r>
      <w:r w:rsidR="00A3423F" w:rsidRPr="00A3423F">
        <w:rPr>
          <w:lang w:val="fr-FR"/>
        </w:rPr>
        <w:t>.</w:t>
      </w:r>
      <w:r>
        <w:rPr>
          <w:lang w:val="fr-FR"/>
        </w:rPr>
        <w:t xml:space="preserve"> Ainsi, le présent examen portait sur un total de 24 réponses</w:t>
      </w:r>
      <w:r w:rsidR="00A3423F" w:rsidRPr="00A3423F">
        <w:rPr>
          <w:lang w:val="fr-FR"/>
        </w:rPr>
        <w:t>.</w:t>
      </w:r>
    </w:p>
    <w:p w14:paraId="1914C12B" w14:textId="5C01116B" w:rsidR="00D902EB" w:rsidRPr="00E15B31" w:rsidRDefault="00D902EB" w:rsidP="00D902EB">
      <w:pPr>
        <w:pStyle w:val="SingleTxtG"/>
        <w:rPr>
          <w:lang w:val="fr-FR"/>
        </w:rPr>
      </w:pPr>
      <w:r>
        <w:rPr>
          <w:lang w:val="fr-FR"/>
        </w:rPr>
        <w:t>7</w:t>
      </w:r>
      <w:r w:rsidR="00A3423F" w:rsidRPr="00A3423F">
        <w:rPr>
          <w:lang w:val="fr-FR"/>
        </w:rPr>
        <w:t>.</w:t>
      </w:r>
      <w:r>
        <w:rPr>
          <w:lang w:val="fr-FR"/>
        </w:rPr>
        <w:tab/>
        <w:t>Toutes les Parties n’ont pas répondu à l’ensemble des questions ; le nombre de réponses fournies pour chaque question (« n ») est donc parfois inférieur au nombre total de Parties ayant rempli le questionnaire</w:t>
      </w:r>
      <w:r w:rsidR="00A3423F" w:rsidRPr="00A3423F">
        <w:rPr>
          <w:lang w:val="fr-FR"/>
        </w:rPr>
        <w:t>.</w:t>
      </w:r>
      <w:r>
        <w:rPr>
          <w:lang w:val="fr-FR"/>
        </w:rPr>
        <w:t xml:space="preserve"> Il convient de noter que, pour certaines questions, il était possible de donner plusieurs réponses</w:t>
      </w:r>
      <w:r w:rsidR="00A3423F" w:rsidRPr="00A3423F">
        <w:rPr>
          <w:lang w:val="fr-FR"/>
        </w:rPr>
        <w:t>.</w:t>
      </w:r>
      <w:r>
        <w:rPr>
          <w:lang w:val="fr-FR"/>
        </w:rPr>
        <w:t xml:space="preserve"> En outre, certaines Parties ont fourni plusieurs réponses à des questions pour lesquelles les possibilités de réponse étaient censées s’exclure mutuellement</w:t>
      </w:r>
      <w:r w:rsidR="00A3423F" w:rsidRPr="00A3423F">
        <w:rPr>
          <w:lang w:val="fr-FR"/>
        </w:rPr>
        <w:t>.</w:t>
      </w:r>
      <w:r>
        <w:rPr>
          <w:lang w:val="fr-FR"/>
        </w:rPr>
        <w:t xml:space="preserve"> Par conséquent, le chiffre total indiqué pour une question donnée est parfois supérieur au nombre de répondants</w:t>
      </w:r>
      <w:r w:rsidR="00A3423F" w:rsidRPr="00A3423F">
        <w:rPr>
          <w:lang w:val="fr-FR"/>
        </w:rPr>
        <w:t>.</w:t>
      </w:r>
    </w:p>
    <w:p w14:paraId="4C436011" w14:textId="6B3358B6" w:rsidR="00D902EB" w:rsidRPr="00E15B31" w:rsidRDefault="00D902EB" w:rsidP="00D902EB">
      <w:pPr>
        <w:pStyle w:val="SingleTxtG"/>
        <w:rPr>
          <w:lang w:val="fr-FR"/>
        </w:rPr>
      </w:pPr>
      <w:r>
        <w:rPr>
          <w:lang w:val="fr-FR"/>
        </w:rPr>
        <w:t>8</w:t>
      </w:r>
      <w:r w:rsidR="00A3423F" w:rsidRPr="00A3423F">
        <w:rPr>
          <w:lang w:val="fr-FR"/>
        </w:rPr>
        <w:t>.</w:t>
      </w:r>
      <w:r>
        <w:rPr>
          <w:lang w:val="fr-FR"/>
        </w:rPr>
        <w:tab/>
        <w:t>Au moment de la rédaction du présent rapport (juillet</w:t>
      </w:r>
      <w:r>
        <w:rPr>
          <w:lang w:val="fr-BE"/>
        </w:rPr>
        <w:t>-septembre 2022)</w:t>
      </w:r>
      <w:r>
        <w:rPr>
          <w:lang w:val="fr-FR"/>
        </w:rPr>
        <w:t>, l’Allemagne, la Bulgarie, Chypre, l’Italie, la Macédoine du Nord, les Pays-Bas (Royaume des), le Portugal, la Serbie, la Slovénie et l’Ukraine n’avaient pas soumis de questionnaire rempli</w:t>
      </w:r>
      <w:r w:rsidR="00A3423F" w:rsidRPr="00A3423F">
        <w:rPr>
          <w:lang w:val="fr-FR"/>
        </w:rPr>
        <w:t>.</w:t>
      </w:r>
      <w:r>
        <w:rPr>
          <w:lang w:val="fr-FR"/>
        </w:rPr>
        <w:t xml:space="preserve"> L’Allemagne, Chypre, l’Italie, les Pays-Bas (Royaume des), le Portugal, la Slovénie et l’Ukraine l’ont fait par la suite</w:t>
      </w:r>
      <w:r w:rsidR="00A3423F" w:rsidRPr="00A3423F">
        <w:rPr>
          <w:lang w:val="fr-FR"/>
        </w:rPr>
        <w:t>.</w:t>
      </w:r>
      <w:r>
        <w:rPr>
          <w:lang w:val="fr-FR"/>
        </w:rPr>
        <w:t xml:space="preserve"> Les questionnaires remplis qui ont été soumis à un stade </w:t>
      </w:r>
      <w:r>
        <w:rPr>
          <w:lang w:val="fr-FR"/>
        </w:rPr>
        <w:lastRenderedPageBreak/>
        <w:t>ultérieur ne sont pas pris en compte dans le présent examen, mais ils peuvent être consultés sur le site Web du Protocole</w:t>
      </w:r>
      <w:r w:rsidR="00A3423F" w:rsidRPr="00A3423F">
        <w:rPr>
          <w:lang w:val="fr-FR"/>
        </w:rPr>
        <w:t>.</w:t>
      </w:r>
      <w:r>
        <w:rPr>
          <w:lang w:val="fr-FR"/>
        </w:rPr>
        <w:t xml:space="preserve"> </w:t>
      </w:r>
    </w:p>
    <w:p w14:paraId="4FC95706" w14:textId="0B9D2516" w:rsidR="00D902EB" w:rsidRPr="00E15B31" w:rsidRDefault="00D902EB" w:rsidP="00D902EB">
      <w:pPr>
        <w:pStyle w:val="SingleTxtG"/>
        <w:rPr>
          <w:lang w:val="fr-FR"/>
        </w:rPr>
      </w:pPr>
      <w:r>
        <w:rPr>
          <w:lang w:val="fr-FR"/>
        </w:rPr>
        <w:t>9</w:t>
      </w:r>
      <w:r w:rsidR="00A3423F" w:rsidRPr="00A3423F">
        <w:rPr>
          <w:lang w:val="fr-FR"/>
        </w:rPr>
        <w:t>.</w:t>
      </w:r>
      <w:r>
        <w:rPr>
          <w:lang w:val="fr-FR"/>
        </w:rPr>
        <w:tab/>
        <w:t>L’Union européenne n’a pas rempli le questionnaire</w:t>
      </w:r>
      <w:r w:rsidRPr="006846DA">
        <w:rPr>
          <w:rStyle w:val="Appelnotedebasdep"/>
        </w:rPr>
        <w:footnoteReference w:id="4"/>
      </w:r>
      <w:r w:rsidR="00A3423F" w:rsidRPr="00A3423F">
        <w:rPr>
          <w:lang w:val="fr-FR"/>
        </w:rPr>
        <w:t>.</w:t>
      </w:r>
      <w:r>
        <w:rPr>
          <w:lang w:val="fr-FR"/>
        </w:rPr>
        <w:t xml:space="preserve"> Elle a fourni, à la place, des informations sur l’application de la législation de l’Union européenne relative à l’évaluation stratégique environnementale, sur les résultats de la première évaluation interne de sa directive relative à l’évaluation environnementale stratégique</w:t>
      </w:r>
      <w:r w:rsidRPr="006846DA">
        <w:rPr>
          <w:rStyle w:val="Appelnotedebasdep"/>
        </w:rPr>
        <w:footnoteReference w:id="5"/>
      </w:r>
      <w:r>
        <w:rPr>
          <w:lang w:val="fr-FR"/>
        </w:rPr>
        <w:t>, sur l’application de cette directive et sur quatre arrêts de la Cour de justice de l’Union européenne relatifs à l’évaluation stratégique environnementale</w:t>
      </w:r>
      <w:r w:rsidR="00A3423F" w:rsidRPr="00A3423F">
        <w:rPr>
          <w:lang w:val="fr-FR"/>
        </w:rPr>
        <w:t>.</w:t>
      </w:r>
    </w:p>
    <w:p w14:paraId="7A1C5BC4" w14:textId="0DD1B964" w:rsidR="00D902EB" w:rsidRPr="00E15B31" w:rsidRDefault="00D902EB" w:rsidP="00D902EB">
      <w:pPr>
        <w:pStyle w:val="HChG"/>
        <w:rPr>
          <w:lang w:val="fr-FR"/>
        </w:rPr>
      </w:pPr>
      <w:bookmarkStart w:id="3" w:name="_Toc14170010"/>
      <w:r>
        <w:rPr>
          <w:lang w:val="fr-FR"/>
        </w:rPr>
        <w:tab/>
        <w:t>II</w:t>
      </w:r>
      <w:r w:rsidR="00A3423F" w:rsidRPr="00A3423F">
        <w:rPr>
          <w:lang w:val="fr-FR"/>
        </w:rPr>
        <w:t>.</w:t>
      </w:r>
      <w:r>
        <w:rPr>
          <w:lang w:val="fr-FR"/>
        </w:rPr>
        <w:tab/>
      </w:r>
      <w:r>
        <w:rPr>
          <w:lang w:val="fr-FR"/>
        </w:rPr>
        <w:tab/>
        <w:t>Examen de l’application du Protocole par les Parties</w:t>
      </w:r>
      <w:bookmarkEnd w:id="3"/>
    </w:p>
    <w:p w14:paraId="2CF95F32" w14:textId="4BBC0B4B" w:rsidR="00D902EB" w:rsidRPr="00E15B31" w:rsidRDefault="00D902EB" w:rsidP="00D902EB">
      <w:pPr>
        <w:pStyle w:val="SingleTxtG"/>
        <w:rPr>
          <w:rFonts w:eastAsia="Times"/>
          <w:lang w:val="fr-FR"/>
        </w:rPr>
      </w:pPr>
      <w:r>
        <w:rPr>
          <w:lang w:val="fr-FR"/>
        </w:rPr>
        <w:t>10</w:t>
      </w:r>
      <w:r w:rsidR="00A3423F" w:rsidRPr="00A3423F">
        <w:rPr>
          <w:lang w:val="fr-FR"/>
        </w:rPr>
        <w:t>.</w:t>
      </w:r>
      <w:r>
        <w:rPr>
          <w:lang w:val="fr-FR"/>
        </w:rPr>
        <w:tab/>
        <w:t>La présente section porte sur les principales conclusions tirées de la première partie du questionnaire, consacrée au cadre juridique et administratif en vigueur pour l’application du Protocole</w:t>
      </w:r>
      <w:r w:rsidR="00A3423F" w:rsidRPr="00A3423F">
        <w:rPr>
          <w:lang w:val="fr-FR"/>
        </w:rPr>
        <w:t>.</w:t>
      </w:r>
    </w:p>
    <w:p w14:paraId="75C5D7B4" w14:textId="03F8B2F2" w:rsidR="00D902EB" w:rsidRPr="000C02C5" w:rsidRDefault="00D902EB" w:rsidP="00D902EB">
      <w:pPr>
        <w:pStyle w:val="H1G"/>
      </w:pPr>
      <w:bookmarkStart w:id="4" w:name="_Toc14170011"/>
      <w:r>
        <w:rPr>
          <w:lang w:val="fr-FR"/>
        </w:rPr>
        <w:tab/>
        <w:t>A</w:t>
      </w:r>
      <w:r w:rsidR="00A3423F" w:rsidRPr="00A3423F">
        <w:rPr>
          <w:lang w:val="fr-FR"/>
        </w:rPr>
        <w:t>.</w:t>
      </w:r>
      <w:r>
        <w:rPr>
          <w:lang w:val="fr-FR"/>
        </w:rPr>
        <w:tab/>
      </w:r>
      <w:r>
        <w:rPr>
          <w:lang w:val="fr-FR"/>
        </w:rPr>
        <w:tab/>
        <w:t>Dispositions générales</w:t>
      </w:r>
      <w:bookmarkEnd w:id="4"/>
    </w:p>
    <w:p w14:paraId="41F10CBA" w14:textId="6F32E750" w:rsidR="00D902EB" w:rsidRPr="00265B89" w:rsidRDefault="00D902EB" w:rsidP="00D902EB">
      <w:pPr>
        <w:pStyle w:val="SingleTxtG"/>
        <w:rPr>
          <w:rFonts w:eastAsia="Times"/>
          <w:lang w:val="fr-FR"/>
        </w:rPr>
      </w:pPr>
      <w:r>
        <w:rPr>
          <w:lang w:val="fr-FR"/>
        </w:rPr>
        <w:t>11</w:t>
      </w:r>
      <w:r w:rsidR="00A3423F" w:rsidRPr="00A3423F">
        <w:rPr>
          <w:lang w:val="fr-FR"/>
        </w:rPr>
        <w:t>.</w:t>
      </w:r>
      <w:r>
        <w:rPr>
          <w:lang w:val="fr-FR"/>
        </w:rPr>
        <w:tab/>
        <w:t>La question I</w:t>
      </w:r>
      <w:r w:rsidR="00A3423F" w:rsidRPr="00A3423F">
        <w:rPr>
          <w:lang w:val="fr-FR"/>
        </w:rPr>
        <w:t>.</w:t>
      </w:r>
      <w:r>
        <w:rPr>
          <w:lang w:val="fr-FR"/>
        </w:rPr>
        <w:t>3 porte sur la manière dont les Parties ont transposé le Protocole dans le droit interne</w:t>
      </w:r>
      <w:r w:rsidR="00A3423F" w:rsidRPr="00A3423F">
        <w:rPr>
          <w:lang w:val="fr-FR"/>
        </w:rPr>
        <w:t>.</w:t>
      </w:r>
      <w:r>
        <w:rPr>
          <w:lang w:val="fr-FR"/>
        </w:rPr>
        <w:t xml:space="preserve"> La majorité des répondants (23) définissent le cadre d’application du Protocole soit comme faisant l’objet d’une loi spécifique, soit comme relevant d’une législation environnementale plus large se rapportant à la loi sur l’évaluation de l’impact sur l’environnement et/ou à d’autres lois (lois relatives à l’urbanisme, à l’utilisation des terres, à la construction, etc</w:t>
      </w:r>
      <w:r w:rsidR="00A3423F" w:rsidRPr="00A3423F">
        <w:rPr>
          <w:lang w:val="fr-FR"/>
        </w:rPr>
        <w:t>.</w:t>
      </w:r>
      <w:r>
        <w:rPr>
          <w:lang w:val="fr-FR"/>
        </w:rPr>
        <w:t>)</w:t>
      </w:r>
      <w:r w:rsidR="00A3423F" w:rsidRPr="00A3423F">
        <w:rPr>
          <w:lang w:val="fr-FR"/>
        </w:rPr>
        <w:t>.</w:t>
      </w:r>
      <w:r>
        <w:rPr>
          <w:lang w:val="fr-FR"/>
        </w:rPr>
        <w:t xml:space="preserve"> Malte applique les dispositions du Protocole par le biais de règlements relatifs à l’évaluation stratégique environnementale</w:t>
      </w:r>
      <w:r w:rsidR="00A3423F" w:rsidRPr="00A3423F">
        <w:rPr>
          <w:lang w:val="fr-FR"/>
        </w:rPr>
        <w:t>.</w:t>
      </w:r>
    </w:p>
    <w:p w14:paraId="57820A9E" w14:textId="27EE9742" w:rsidR="00D902EB" w:rsidRPr="00265B89" w:rsidRDefault="00D902EB" w:rsidP="00D902EB">
      <w:pPr>
        <w:pStyle w:val="SingleTxtG"/>
        <w:rPr>
          <w:rFonts w:eastAsia="Times"/>
          <w:lang w:val="fr-FR"/>
        </w:rPr>
      </w:pPr>
      <w:r>
        <w:rPr>
          <w:lang w:val="fr-FR"/>
        </w:rPr>
        <w:t>12</w:t>
      </w:r>
      <w:r w:rsidR="00A3423F" w:rsidRPr="00A3423F">
        <w:rPr>
          <w:lang w:val="fr-FR"/>
        </w:rPr>
        <w:t>.</w:t>
      </w:r>
      <w:r>
        <w:rPr>
          <w:lang w:val="fr-FR"/>
        </w:rPr>
        <w:tab/>
        <w:t>Plusieurs Parties indiquent qu’elles ont aussi modifié des lois sectorielles (par exemple, lois sur l’utilisation des terres, l’urbanisme, la construction, la protection de la nature et des paysages, ainsi que la gestion des déchets et des eaux), afin de les mettre en conformité avec la loi sur l’évaluation stratégique environnementale</w:t>
      </w:r>
      <w:r w:rsidR="00A3423F" w:rsidRPr="00A3423F">
        <w:rPr>
          <w:lang w:val="fr-FR"/>
        </w:rPr>
        <w:t>.</w:t>
      </w:r>
      <w:r>
        <w:rPr>
          <w:lang w:val="fr-FR"/>
        </w:rPr>
        <w:t xml:space="preserve"> La plupart des Parties ont également adopté des règlements d’application et/ou des orientations pertinentes</w:t>
      </w:r>
      <w:r w:rsidR="00A3423F" w:rsidRPr="00A3423F">
        <w:rPr>
          <w:lang w:val="fr-FR"/>
        </w:rPr>
        <w:t>.</w:t>
      </w:r>
      <w:r>
        <w:rPr>
          <w:lang w:val="fr-FR"/>
        </w:rPr>
        <w:t xml:space="preserve"> Par exemple, l’Autriche indique qu’il existe quelque 39 lois, ainsi que plusieurs ordonnances consacrées à l’application de l’évaluation stratégique environnementale</w:t>
      </w:r>
      <w:r w:rsidR="00A3423F" w:rsidRPr="00A3423F">
        <w:rPr>
          <w:lang w:val="fr-FR"/>
        </w:rPr>
        <w:t>.</w:t>
      </w:r>
    </w:p>
    <w:p w14:paraId="32DE4171" w14:textId="78F9565D" w:rsidR="00D902EB" w:rsidRPr="00E15B31" w:rsidRDefault="00D902EB" w:rsidP="00D902EB">
      <w:pPr>
        <w:pStyle w:val="H1G"/>
        <w:rPr>
          <w:lang w:val="fr-FR"/>
        </w:rPr>
      </w:pPr>
      <w:r>
        <w:rPr>
          <w:lang w:val="fr-FR"/>
        </w:rPr>
        <w:tab/>
        <w:t>B</w:t>
      </w:r>
      <w:r w:rsidR="00A3423F" w:rsidRPr="00A3423F">
        <w:rPr>
          <w:lang w:val="fr-FR"/>
        </w:rPr>
        <w:t>.</w:t>
      </w:r>
      <w:r>
        <w:rPr>
          <w:lang w:val="fr-FR"/>
        </w:rPr>
        <w:tab/>
      </w:r>
      <w:r>
        <w:rPr>
          <w:lang w:val="fr-FR"/>
        </w:rPr>
        <w:tab/>
        <w:t>Champ d’application concernant les plans et programmes</w:t>
      </w:r>
    </w:p>
    <w:p w14:paraId="13815110" w14:textId="5D6CF680" w:rsidR="00D902EB" w:rsidRPr="00265B89" w:rsidRDefault="00D902EB" w:rsidP="00D902EB">
      <w:pPr>
        <w:pStyle w:val="SingleTxtG"/>
        <w:rPr>
          <w:rFonts w:eastAsia="Times"/>
          <w:lang w:val="fr-FR"/>
        </w:rPr>
      </w:pPr>
      <w:r>
        <w:rPr>
          <w:lang w:val="fr-FR"/>
        </w:rPr>
        <w:t>13</w:t>
      </w:r>
      <w:r w:rsidR="00A3423F" w:rsidRPr="00A3423F">
        <w:rPr>
          <w:lang w:val="fr-FR"/>
        </w:rPr>
        <w:t>.</w:t>
      </w:r>
      <w:r>
        <w:rPr>
          <w:lang w:val="fr-FR"/>
        </w:rPr>
        <w:tab/>
        <w:t>Dans la question I</w:t>
      </w:r>
      <w:r w:rsidR="00A3423F" w:rsidRPr="00A3423F">
        <w:rPr>
          <w:lang w:val="fr-FR"/>
        </w:rPr>
        <w:t>.</w:t>
      </w:r>
      <w:r>
        <w:rPr>
          <w:lang w:val="fr-FR"/>
        </w:rPr>
        <w:t>4</w:t>
      </w:r>
      <w:r w:rsidR="00A3423F" w:rsidRPr="00A3423F">
        <w:rPr>
          <w:lang w:val="fr-FR"/>
        </w:rPr>
        <w:t>.</w:t>
      </w:r>
      <w:r>
        <w:rPr>
          <w:lang w:val="fr-FR"/>
        </w:rPr>
        <w:t>1, il est demandé aux Parties d’énumérer les types de plans et de programmes qui doivent faire l’objet d’une évaluation stratégique environnementale en application de la législation nationale</w:t>
      </w:r>
      <w:r w:rsidR="00A3423F" w:rsidRPr="00A3423F">
        <w:rPr>
          <w:lang w:val="fr-FR"/>
        </w:rPr>
        <w:t>.</w:t>
      </w:r>
      <w:r>
        <w:rPr>
          <w:lang w:val="fr-FR"/>
        </w:rPr>
        <w:t xml:space="preserve"> Les répondants mentionnent le plus souvent les plans et programmes qui sont expressément énumérés à l’article 4</w:t>
      </w:r>
      <w:r w:rsidR="00A3423F" w:rsidRPr="00A3423F">
        <w:rPr>
          <w:lang w:val="fr-FR"/>
        </w:rPr>
        <w:t>.</w:t>
      </w:r>
      <w:r>
        <w:rPr>
          <w:lang w:val="fr-FR"/>
        </w:rPr>
        <w:t>2</w:t>
      </w:r>
      <w:r w:rsidR="00A3423F" w:rsidRPr="00A3423F">
        <w:rPr>
          <w:lang w:val="fr-FR"/>
        </w:rPr>
        <w:t>.</w:t>
      </w:r>
      <w:r>
        <w:rPr>
          <w:lang w:val="fr-FR"/>
        </w:rPr>
        <w:t xml:space="preserve"> Plusieurs Parties n’incluent pas un ou plusieurs secteurs énumérés à l’article 4</w:t>
      </w:r>
      <w:r w:rsidR="00A3423F" w:rsidRPr="00A3423F">
        <w:rPr>
          <w:lang w:val="fr-FR"/>
        </w:rPr>
        <w:t>.</w:t>
      </w:r>
      <w:r>
        <w:rPr>
          <w:lang w:val="fr-FR"/>
        </w:rPr>
        <w:t>2 dans leur législation nationale, notamment le développement régional (Malte) et le tourisme et l’utilisation des terres (Arménie)</w:t>
      </w:r>
      <w:r w:rsidR="00A3423F" w:rsidRPr="00A3423F">
        <w:rPr>
          <w:lang w:val="fr-FR"/>
        </w:rPr>
        <w:t>.</w:t>
      </w:r>
      <w:r>
        <w:rPr>
          <w:lang w:val="fr-FR"/>
        </w:rPr>
        <w:t xml:space="preserve"> Certaines d’entre elles incluent d’autres secteurs dans leur législation nationale : par exemple, les loisirs et les services (Arménie), la circulation (Hongrie), la gestion des zones côtières (Monténégro), l’aquaculture (Roumanie), l’utilisation des zones côtières publiques et du milieu marin (Espagne) et l’environnement (Slovaquie)</w:t>
      </w:r>
      <w:r w:rsidR="00A3423F" w:rsidRPr="00A3423F">
        <w:rPr>
          <w:lang w:val="fr-FR"/>
        </w:rPr>
        <w:t>.</w:t>
      </w:r>
      <w:r>
        <w:rPr>
          <w:lang w:val="fr-FR"/>
        </w:rPr>
        <w:t xml:space="preserve"> La Suède inclut également des stratégies marines, un programme de mesures visant à atteindre les normes nationales de qualité environnementale et un plan visant à établir des conditions propices pour l’octroi de permis environnementaux modernes</w:t>
      </w:r>
      <w:r w:rsidR="00A3423F" w:rsidRPr="00A3423F">
        <w:rPr>
          <w:lang w:val="fr-FR"/>
        </w:rPr>
        <w:t>.</w:t>
      </w:r>
      <w:r>
        <w:rPr>
          <w:lang w:val="fr-FR"/>
        </w:rPr>
        <w:t xml:space="preserve"> Les États membres de l’Union européenne ont pris en compte la possibilité d’un effet sur un site Natura 2000</w:t>
      </w:r>
      <w:r w:rsidR="00A3423F" w:rsidRPr="00A3423F">
        <w:rPr>
          <w:lang w:val="fr-FR"/>
        </w:rPr>
        <w:t>.</w:t>
      </w:r>
      <w:r>
        <w:rPr>
          <w:lang w:val="fr-FR"/>
        </w:rPr>
        <w:t> </w:t>
      </w:r>
    </w:p>
    <w:p w14:paraId="630F9173" w14:textId="0B55907C" w:rsidR="00D902EB" w:rsidRPr="00E15B31" w:rsidRDefault="00D902EB" w:rsidP="00D902EB">
      <w:pPr>
        <w:pStyle w:val="SingleTxtG"/>
        <w:rPr>
          <w:rFonts w:eastAsia="Times"/>
          <w:lang w:val="fr-FR"/>
        </w:rPr>
      </w:pPr>
      <w:r>
        <w:rPr>
          <w:lang w:val="fr-FR"/>
        </w:rPr>
        <w:lastRenderedPageBreak/>
        <w:t>14</w:t>
      </w:r>
      <w:r w:rsidR="00A3423F" w:rsidRPr="00A3423F">
        <w:rPr>
          <w:lang w:val="fr-FR"/>
        </w:rPr>
        <w:t>.</w:t>
      </w:r>
      <w:r>
        <w:rPr>
          <w:lang w:val="fr-FR"/>
        </w:rPr>
        <w:tab/>
        <w:t>La Norvège ne précise pas les secteurs couverts, mais les plans/programmes qui fixent un cadre pour les projets répertoriés doivent faire l’objet d’une évaluation stratégique environnementale</w:t>
      </w:r>
      <w:r w:rsidR="00A3423F" w:rsidRPr="00A3423F">
        <w:rPr>
          <w:lang w:val="fr-FR"/>
        </w:rPr>
        <w:t>.</w:t>
      </w:r>
    </w:p>
    <w:p w14:paraId="674BE348" w14:textId="0CBC75D0" w:rsidR="00D902EB" w:rsidRPr="00265B89" w:rsidRDefault="00D902EB" w:rsidP="00D902EB">
      <w:pPr>
        <w:pStyle w:val="SingleTxtG"/>
        <w:keepLines/>
        <w:rPr>
          <w:rFonts w:eastAsia="Times"/>
          <w:lang w:val="fr-FR"/>
        </w:rPr>
      </w:pPr>
      <w:r>
        <w:rPr>
          <w:lang w:val="fr-FR"/>
        </w:rPr>
        <w:t>15</w:t>
      </w:r>
      <w:r w:rsidR="00A3423F" w:rsidRPr="00A3423F">
        <w:rPr>
          <w:lang w:val="fr-FR"/>
        </w:rPr>
        <w:t>.</w:t>
      </w:r>
      <w:r>
        <w:rPr>
          <w:lang w:val="fr-FR"/>
        </w:rPr>
        <w:tab/>
        <w:t>Certaines Parties définissent dans leur législation nationale (au niveau national ou régional) des types particuliers de plans et programmes qui doivent toujours (ou généralement) faire l’objet d’une évaluation stratégique environnementale (Autriche, Finlande, Hongrie, Norvège et Suède)</w:t>
      </w:r>
      <w:r w:rsidR="00A3423F" w:rsidRPr="00A3423F">
        <w:rPr>
          <w:lang w:val="fr-FR"/>
        </w:rPr>
        <w:t>.</w:t>
      </w:r>
      <w:r>
        <w:rPr>
          <w:lang w:val="fr-FR"/>
        </w:rPr>
        <w:t xml:space="preserve"> En Albanie, une liste détaillée des plans et programmes ayant des effets négatifs notables sur l’environnement qui doivent faire l’objet d’une évaluation stratégique environnementale a été adoptée par une décision du Conseil des ministres</w:t>
      </w:r>
      <w:r w:rsidR="00A3423F" w:rsidRPr="00A3423F">
        <w:rPr>
          <w:lang w:val="fr-FR"/>
        </w:rPr>
        <w:t>.</w:t>
      </w:r>
      <w:r>
        <w:rPr>
          <w:lang w:val="fr-FR"/>
        </w:rPr>
        <w:t xml:space="preserve"> Cette approche est associée à l’utilisation de critères et/ou à une analyse au cas par cas pour d’autres plans ou programmes qui ne sont pas énumérés dans la législation nationale, mais dont on considère qu’ils sont susceptibles d’avoir des effets notables sur l’environnement ou qu’ils définissent un cadre dans lequel la mise en œuvre pourra être autorisée à l’avenir (par exemple, Hongrie, Roumanie et Slovaquie)</w:t>
      </w:r>
      <w:r w:rsidR="00A3423F" w:rsidRPr="00A3423F">
        <w:rPr>
          <w:lang w:val="fr-FR"/>
        </w:rPr>
        <w:t>.</w:t>
      </w:r>
      <w:r>
        <w:rPr>
          <w:lang w:val="fr-FR"/>
        </w:rPr>
        <w:t xml:space="preserve"> Le Danemark signale que, bien qu’elle contienne une liste de plans et programmes précis, sa législation n’exclut pas de plans et programme et n’en restreint pas la notion, conformément aux objectifs énoncés dans le Protocole (et dans la Directive de l’Union européenne relative à l’évaluation stratégique environnementale), qui visent à garantir un niveau élevé de protection de l’environnement</w:t>
      </w:r>
      <w:r w:rsidR="00A3423F" w:rsidRPr="00A3423F">
        <w:rPr>
          <w:lang w:val="fr-FR"/>
        </w:rPr>
        <w:t>.</w:t>
      </w:r>
    </w:p>
    <w:p w14:paraId="655B40AF" w14:textId="0561A19E" w:rsidR="00D902EB" w:rsidRPr="001F3C7F" w:rsidRDefault="00D902EB" w:rsidP="00D902EB">
      <w:pPr>
        <w:pStyle w:val="SingleTxtG"/>
        <w:rPr>
          <w:lang w:val="fr-FR"/>
        </w:rPr>
      </w:pPr>
      <w:bookmarkStart w:id="5" w:name="_Hlk16873090"/>
      <w:r>
        <w:rPr>
          <w:lang w:val="fr-FR"/>
        </w:rPr>
        <w:t>16</w:t>
      </w:r>
      <w:r w:rsidR="00A3423F" w:rsidRPr="00A3423F">
        <w:rPr>
          <w:lang w:val="fr-FR"/>
        </w:rPr>
        <w:t>.</w:t>
      </w:r>
      <w:r>
        <w:rPr>
          <w:lang w:val="fr-FR"/>
        </w:rPr>
        <w:tab/>
        <w:t>La majorité des répondants (20 sur 23) ne définissent pas expressément, dans leur législation nationale, le « cadre dans lequel la mise en œuvre pourra être autorisée à l’avenir » (question I</w:t>
      </w:r>
      <w:r w:rsidR="00A3423F" w:rsidRPr="00A3423F">
        <w:rPr>
          <w:lang w:val="fr-FR"/>
        </w:rPr>
        <w:t>.</w:t>
      </w:r>
      <w:r>
        <w:rPr>
          <w:lang w:val="fr-FR"/>
        </w:rPr>
        <w:t>4</w:t>
      </w:r>
      <w:r w:rsidR="00A3423F" w:rsidRPr="00A3423F">
        <w:rPr>
          <w:lang w:val="fr-FR"/>
        </w:rPr>
        <w:t>.</w:t>
      </w:r>
      <w:r>
        <w:rPr>
          <w:lang w:val="fr-FR"/>
        </w:rPr>
        <w:t>2) ; ils ont plutôt recours à diverses interprétations et approches pour appliquer cette disposition</w:t>
      </w:r>
      <w:r w:rsidR="00A3423F" w:rsidRPr="00A3423F">
        <w:rPr>
          <w:lang w:val="fr-FR"/>
        </w:rPr>
        <w:t>.</w:t>
      </w:r>
      <w:r>
        <w:rPr>
          <w:lang w:val="fr-FR"/>
        </w:rPr>
        <w:t xml:space="preserve"> Certains répondants ont directement transposé la phrase du Protocole dans leur législation nationale (par exemple, Croatie)</w:t>
      </w:r>
      <w:r w:rsidR="00A3423F" w:rsidRPr="00A3423F">
        <w:rPr>
          <w:lang w:val="fr-FR"/>
        </w:rPr>
        <w:t>.</w:t>
      </w:r>
      <w:r>
        <w:rPr>
          <w:lang w:val="fr-FR"/>
        </w:rPr>
        <w:t xml:space="preserve"> La plupart des répondants estiment que cette expression fixe le cadre des projets, fixe le cadre des futurs permis de construction ou définit le cadre ou les conditions d’approbation ou d’autorisation des projets pour lesquels une étude d’impact sur l’environnement peut être requise, sans donner plus de détails (par exemple, Bosnie-Herzégovine, Monténégro, Norvège et Pologne)</w:t>
      </w:r>
      <w:r w:rsidR="00A3423F" w:rsidRPr="00A3423F">
        <w:rPr>
          <w:lang w:val="fr-FR"/>
        </w:rPr>
        <w:t>.</w:t>
      </w:r>
      <w:bookmarkStart w:id="6" w:name="_Hlk16873110"/>
      <w:bookmarkEnd w:id="5"/>
      <w:bookmarkEnd w:id="6"/>
    </w:p>
    <w:p w14:paraId="78CD5941" w14:textId="6273247A" w:rsidR="00D902EB" w:rsidRPr="00265B89" w:rsidRDefault="00D902EB" w:rsidP="00D902EB">
      <w:pPr>
        <w:pStyle w:val="SingleTxtG"/>
        <w:rPr>
          <w:rFonts w:eastAsia="Times"/>
          <w:lang w:val="fr-FR"/>
        </w:rPr>
      </w:pPr>
      <w:r>
        <w:rPr>
          <w:lang w:val="fr-FR"/>
        </w:rPr>
        <w:t>17</w:t>
      </w:r>
      <w:r w:rsidR="00A3423F" w:rsidRPr="00A3423F">
        <w:rPr>
          <w:lang w:val="fr-FR"/>
        </w:rPr>
        <w:t>.</w:t>
      </w:r>
      <w:r>
        <w:rPr>
          <w:lang w:val="fr-FR"/>
        </w:rPr>
        <w:tab/>
        <w:t>Certaines répondants fournissent des critères supplémentaires ou des précisions afin d’expliquer ce qui, selon eux, définit le cadre dans lequel la mise en œuvre pourra être autorisée à l’avenir</w:t>
      </w:r>
      <w:r w:rsidR="00A3423F" w:rsidRPr="00A3423F">
        <w:rPr>
          <w:lang w:val="fr-FR"/>
        </w:rPr>
        <w:t>.</w:t>
      </w:r>
      <w:r>
        <w:rPr>
          <w:lang w:val="fr-FR"/>
        </w:rPr>
        <w:t xml:space="preserve"> Par exemple, le cadre peut être défini sur la base des facteurs suivants : la mesure dans laquelle le plan ou le programme définit la localisation des projets futurs ; la nature et les conditions de fonctionnement ou l’allocation des ressources (Estonie, Finlande, Géorgie, Lettonie et Tchéquie)</w:t>
      </w:r>
      <w:r w:rsidR="00A3423F" w:rsidRPr="00A3423F">
        <w:rPr>
          <w:lang w:val="fr-FR"/>
        </w:rPr>
        <w:t>.</w:t>
      </w:r>
      <w:r>
        <w:rPr>
          <w:lang w:val="fr-FR"/>
        </w:rPr>
        <w:t xml:space="preserve"> Certains répondants déterminent au cas par cas si les plans ou programmes fixent le cadre dans lequel la mise en œuvre pourra être autorisée à l’avenir (par exemple, Albanie, Lettonie, Lituanie, Luxembourg, Malte et Slovaquie), tandis qu’en Arménie, tous les plans et programmes dans les domaines (secteurs) énumérés doivent faire l’objet d’une évaluation stratégique environnementale</w:t>
      </w:r>
      <w:r w:rsidR="00A3423F" w:rsidRPr="00A3423F">
        <w:rPr>
          <w:lang w:val="fr-FR"/>
        </w:rPr>
        <w:t>.</w:t>
      </w:r>
    </w:p>
    <w:p w14:paraId="78E61117" w14:textId="537B01FB" w:rsidR="00D902EB" w:rsidRPr="00E15B31" w:rsidRDefault="00D902EB" w:rsidP="00D902EB">
      <w:pPr>
        <w:pStyle w:val="SingleTxtG"/>
        <w:rPr>
          <w:rFonts w:eastAsia="Times"/>
          <w:lang w:val="fr-FR"/>
        </w:rPr>
      </w:pPr>
      <w:r>
        <w:rPr>
          <w:lang w:val="fr-FR"/>
        </w:rPr>
        <w:t>18</w:t>
      </w:r>
      <w:r w:rsidR="00A3423F" w:rsidRPr="00A3423F">
        <w:rPr>
          <w:lang w:val="fr-FR"/>
        </w:rPr>
        <w:t>.</w:t>
      </w:r>
      <w:r>
        <w:rPr>
          <w:lang w:val="fr-FR"/>
        </w:rPr>
        <w:tab/>
        <w:t>De même, la plupart des répondants (19 sur 23) ne semblent pas définir expressément dans leur législation « les plans et programmes […] qui déterminent l’utilisation de petites zones au niveau local » au sens de l’article 4</w:t>
      </w:r>
      <w:r w:rsidR="00A3423F" w:rsidRPr="00A3423F">
        <w:rPr>
          <w:lang w:val="fr-FR"/>
        </w:rPr>
        <w:t>.</w:t>
      </w:r>
      <w:r>
        <w:rPr>
          <w:lang w:val="fr-FR"/>
        </w:rPr>
        <w:t>4 (question I</w:t>
      </w:r>
      <w:r w:rsidR="00A3423F" w:rsidRPr="00A3423F">
        <w:rPr>
          <w:lang w:val="fr-FR"/>
        </w:rPr>
        <w:t>.</w:t>
      </w:r>
      <w:r>
        <w:rPr>
          <w:lang w:val="fr-FR"/>
        </w:rPr>
        <w:t xml:space="preserve"> 4</w:t>
      </w:r>
      <w:r w:rsidR="00A3423F" w:rsidRPr="00A3423F">
        <w:rPr>
          <w:lang w:val="fr-FR"/>
        </w:rPr>
        <w:t>.</w:t>
      </w:r>
      <w:r>
        <w:rPr>
          <w:lang w:val="fr-FR"/>
        </w:rPr>
        <w:t>3)</w:t>
      </w:r>
      <w:r w:rsidR="00A3423F" w:rsidRPr="00A3423F">
        <w:rPr>
          <w:lang w:val="fr-FR"/>
        </w:rPr>
        <w:t>.</w:t>
      </w:r>
      <w:r>
        <w:rPr>
          <w:lang w:val="fr-FR"/>
        </w:rPr>
        <w:t xml:space="preserve"> Au lieu de cela, ils définissent généralement les plans et programmes qui pourraient nécessiter une évaluation stratégique environnementale ou déterminent au cas par cas si une zone relève de cette qualification en appliquant des critères nationaux ou locaux</w:t>
      </w:r>
      <w:r w:rsidR="00A3423F" w:rsidRPr="00A3423F">
        <w:rPr>
          <w:lang w:val="fr-FR"/>
        </w:rPr>
        <w:t>.</w:t>
      </w:r>
    </w:p>
    <w:p w14:paraId="2D2A9093" w14:textId="151E5331" w:rsidR="00D902EB" w:rsidRPr="00E15B31" w:rsidRDefault="00D902EB" w:rsidP="00D902EB">
      <w:pPr>
        <w:pStyle w:val="SingleTxtG"/>
        <w:keepNext/>
        <w:rPr>
          <w:rFonts w:eastAsia="Times"/>
          <w:lang w:val="fr-FR"/>
        </w:rPr>
      </w:pPr>
      <w:r>
        <w:rPr>
          <w:lang w:val="fr-FR"/>
        </w:rPr>
        <w:t>19</w:t>
      </w:r>
      <w:r w:rsidR="00A3423F" w:rsidRPr="00A3423F">
        <w:rPr>
          <w:lang w:val="fr-FR"/>
        </w:rPr>
        <w:t>.</w:t>
      </w:r>
      <w:r>
        <w:rPr>
          <w:lang w:val="fr-FR"/>
        </w:rPr>
        <w:tab/>
        <w:t>Certaines Parties ont fourni des exemples de l’acception qu’elles avaient du concept de « petites zones au niveau local » ou de l’interprétation qu’elles lui donnaient au niveau national :</w:t>
      </w:r>
    </w:p>
    <w:p w14:paraId="54F91C8F" w14:textId="77777777" w:rsidR="00D902EB" w:rsidRPr="00265B89" w:rsidRDefault="00D902EB" w:rsidP="00D902EB">
      <w:pPr>
        <w:pStyle w:val="SingleTxtG"/>
        <w:ind w:firstLine="567"/>
        <w:rPr>
          <w:lang w:val="fr-FR"/>
        </w:rPr>
      </w:pPr>
      <w:r>
        <w:rPr>
          <w:lang w:val="fr-FR"/>
        </w:rPr>
        <w:t>a)</w:t>
      </w:r>
      <w:r>
        <w:rPr>
          <w:lang w:val="fr-FR"/>
        </w:rPr>
        <w:tab/>
        <w:t xml:space="preserve">Les plans ou les programmes d’une superficie inférieure ou égale à 10 kilomètres carrés (Lituanie) ; </w:t>
      </w:r>
    </w:p>
    <w:p w14:paraId="73C98CE3" w14:textId="77777777" w:rsidR="00D902EB" w:rsidRPr="00265B89" w:rsidRDefault="00D902EB" w:rsidP="00D902EB">
      <w:pPr>
        <w:pStyle w:val="SingleTxtG"/>
        <w:ind w:firstLine="567"/>
        <w:rPr>
          <w:lang w:val="fr-FR"/>
        </w:rPr>
      </w:pPr>
      <w:r>
        <w:rPr>
          <w:lang w:val="fr-FR"/>
        </w:rPr>
        <w:t>b)</w:t>
      </w:r>
      <w:r>
        <w:rPr>
          <w:lang w:val="fr-FR"/>
        </w:rPr>
        <w:tab/>
        <w:t>Les plans d’aménagement urbain au niveau local (Croatie) ;</w:t>
      </w:r>
    </w:p>
    <w:p w14:paraId="162ED2BC" w14:textId="77777777" w:rsidR="00D902EB" w:rsidRPr="00265B89" w:rsidRDefault="00D902EB" w:rsidP="00D902EB">
      <w:pPr>
        <w:pStyle w:val="SingleTxtG"/>
        <w:ind w:firstLine="567"/>
        <w:rPr>
          <w:lang w:val="fr-FR"/>
        </w:rPr>
      </w:pPr>
      <w:r>
        <w:rPr>
          <w:lang w:val="fr-FR"/>
        </w:rPr>
        <w:t>c)</w:t>
      </w:r>
      <w:r>
        <w:rPr>
          <w:lang w:val="fr-FR"/>
        </w:rPr>
        <w:tab/>
        <w:t>La zone inférieure à la totalité du territoire cadastral de la commune qui représente la zone au niveau local (Slovaquie) ;</w:t>
      </w:r>
    </w:p>
    <w:p w14:paraId="1D5729ED" w14:textId="4EE40D4D" w:rsidR="00D902EB" w:rsidRPr="00E15B31" w:rsidRDefault="00D902EB" w:rsidP="00D902EB">
      <w:pPr>
        <w:pStyle w:val="SingleTxtG"/>
        <w:ind w:firstLine="567"/>
        <w:rPr>
          <w:rFonts w:eastAsia="Times"/>
          <w:lang w:val="fr-FR"/>
        </w:rPr>
      </w:pPr>
      <w:r>
        <w:rPr>
          <w:lang w:val="fr-FR"/>
        </w:rPr>
        <w:t>d)</w:t>
      </w:r>
      <w:r>
        <w:rPr>
          <w:lang w:val="fr-FR"/>
        </w:rPr>
        <w:tab/>
        <w:t>La zone située au sein de la commune/municipalité (Espagne et Pologne)</w:t>
      </w:r>
      <w:r w:rsidR="00A3423F" w:rsidRPr="00A3423F">
        <w:rPr>
          <w:lang w:val="fr-FR"/>
        </w:rPr>
        <w:t>.</w:t>
      </w:r>
    </w:p>
    <w:p w14:paraId="33F02258" w14:textId="681CADBE" w:rsidR="00D902EB" w:rsidRPr="00265B89" w:rsidRDefault="00D902EB" w:rsidP="00D902EB">
      <w:pPr>
        <w:pStyle w:val="SingleTxtG"/>
        <w:keepNext/>
        <w:keepLines/>
        <w:rPr>
          <w:rFonts w:eastAsia="Times"/>
          <w:lang w:val="fr-FR"/>
        </w:rPr>
      </w:pPr>
      <w:r>
        <w:rPr>
          <w:lang w:val="fr-FR"/>
        </w:rPr>
        <w:lastRenderedPageBreak/>
        <w:t>20</w:t>
      </w:r>
      <w:r w:rsidR="00A3423F" w:rsidRPr="00A3423F">
        <w:rPr>
          <w:lang w:val="fr-FR"/>
        </w:rPr>
        <w:t>.</w:t>
      </w:r>
      <w:r>
        <w:rPr>
          <w:lang w:val="fr-FR"/>
        </w:rPr>
        <w:tab/>
        <w:t>Le Danemark indique que l’expression « l’utilisation de petites zones au niveau local » doit être définie par référence à la superficie de la zone concernée lorsque les conditions suivantes sont remplies : le plan ou le programme est élaboré et/ou adopté par une autorité locale, par opposition à une autorité régionale ou nationale ; et la zone à l’intérieur du cadre du ressort territorial de l’autorité locale représente, proportionnellement à ce ressort territorial, une faible taille</w:t>
      </w:r>
      <w:r w:rsidR="00A3423F" w:rsidRPr="00A3423F">
        <w:rPr>
          <w:lang w:val="fr-FR"/>
        </w:rPr>
        <w:t>.</w:t>
      </w:r>
    </w:p>
    <w:p w14:paraId="1E625B1E" w14:textId="4E8DE2AD" w:rsidR="00D902EB" w:rsidRPr="00E15B31" w:rsidRDefault="00D902EB" w:rsidP="00D902EB">
      <w:pPr>
        <w:pStyle w:val="SingleTxtG"/>
        <w:rPr>
          <w:rFonts w:eastAsia="Times"/>
          <w:lang w:val="fr-FR"/>
        </w:rPr>
      </w:pPr>
      <w:r>
        <w:rPr>
          <w:lang w:val="fr-FR"/>
        </w:rPr>
        <w:t>21</w:t>
      </w:r>
      <w:r w:rsidR="00A3423F" w:rsidRPr="00A3423F">
        <w:rPr>
          <w:lang w:val="fr-FR"/>
        </w:rPr>
        <w:t>.</w:t>
      </w:r>
      <w:r>
        <w:rPr>
          <w:lang w:val="fr-FR"/>
        </w:rPr>
        <w:tab/>
        <w:t>En Arménie, tous les plans et programmes font l’objet d’une évaluation stratégique environnementale, mais, dans la pratique, les décisions relatives à la vérification préliminaire semblent être prises au cas par cas</w:t>
      </w:r>
      <w:r w:rsidR="00A3423F" w:rsidRPr="00A3423F">
        <w:rPr>
          <w:lang w:val="fr-FR"/>
        </w:rPr>
        <w:t>.</w:t>
      </w:r>
      <w:r>
        <w:rPr>
          <w:lang w:val="fr-FR"/>
        </w:rPr>
        <w:t xml:space="preserve"> </w:t>
      </w:r>
    </w:p>
    <w:p w14:paraId="3E4E5CE0" w14:textId="2B9AB94E" w:rsidR="00D902EB" w:rsidRPr="00265B89" w:rsidRDefault="00D902EB" w:rsidP="00D902EB">
      <w:pPr>
        <w:pStyle w:val="SingleTxtG"/>
        <w:rPr>
          <w:rFonts w:eastAsia="Times"/>
          <w:lang w:val="fr-FR"/>
        </w:rPr>
      </w:pPr>
      <w:r>
        <w:rPr>
          <w:lang w:val="fr-FR"/>
        </w:rPr>
        <w:t>22</w:t>
      </w:r>
      <w:r w:rsidR="00A3423F" w:rsidRPr="00A3423F">
        <w:rPr>
          <w:lang w:val="fr-FR"/>
        </w:rPr>
        <w:t>.</w:t>
      </w:r>
      <w:r>
        <w:rPr>
          <w:lang w:val="fr-FR"/>
        </w:rPr>
        <w:tab/>
        <w:t>Seules deux Parties (Espagne et Monténégro) et la Géorgie définissent l’expression « modification mineure » (question I</w:t>
      </w:r>
      <w:r w:rsidR="00A3423F" w:rsidRPr="00A3423F">
        <w:rPr>
          <w:lang w:val="fr-FR"/>
        </w:rPr>
        <w:t>.</w:t>
      </w:r>
      <w:r>
        <w:rPr>
          <w:lang w:val="fr-FR"/>
        </w:rPr>
        <w:t>4</w:t>
      </w:r>
      <w:r w:rsidR="00A3423F" w:rsidRPr="00A3423F">
        <w:rPr>
          <w:lang w:val="fr-FR"/>
        </w:rPr>
        <w:t>.</w:t>
      </w:r>
      <w:r>
        <w:rPr>
          <w:lang w:val="fr-FR"/>
        </w:rPr>
        <w:t>4)</w:t>
      </w:r>
      <w:r w:rsidR="00A3423F" w:rsidRPr="00A3423F">
        <w:rPr>
          <w:lang w:val="fr-FR"/>
        </w:rPr>
        <w:t>.</w:t>
      </w:r>
      <w:r>
        <w:rPr>
          <w:lang w:val="fr-FR"/>
        </w:rPr>
        <w:t xml:space="preserve"> En Géorgie, cette expression s’entend des modifications qui ne modifient pas le contenu des plans et programmes conceptuellement parlant, tandis qu’au Monténégro, elle s’entend de toute modification qui affecte ou modifie un plan ou programme</w:t>
      </w:r>
      <w:r w:rsidR="00A3423F" w:rsidRPr="00A3423F">
        <w:rPr>
          <w:lang w:val="fr-FR"/>
        </w:rPr>
        <w:t>.</w:t>
      </w:r>
      <w:r>
        <w:rPr>
          <w:lang w:val="fr-FR"/>
        </w:rPr>
        <w:t xml:space="preserve"> Ces deux répondants déterminent au cas par cas si les modifications en question doivent être considérées comme mineures</w:t>
      </w:r>
      <w:r w:rsidR="00A3423F" w:rsidRPr="00A3423F">
        <w:rPr>
          <w:lang w:val="fr-FR"/>
        </w:rPr>
        <w:t>.</w:t>
      </w:r>
      <w:r>
        <w:rPr>
          <w:lang w:val="fr-FR"/>
        </w:rPr>
        <w:t xml:space="preserve"> En Espagne, les modifications mineures sont définies comme étant « des modifications des caractéristiques des plans ou des programmes déjà approuvés ou adoptés qui ne constituent pas des variations des stratégies, des orientations, des propositions ou de leur chronologie, mais qui produisent des différences en ce qui concerne les caractéristiques des effets attendus, ou de la zone d’influence »</w:t>
      </w:r>
      <w:r w:rsidR="00A3423F" w:rsidRPr="00A3423F">
        <w:rPr>
          <w:lang w:val="fr-FR"/>
        </w:rPr>
        <w:t>.</w:t>
      </w:r>
    </w:p>
    <w:p w14:paraId="5F4DC215" w14:textId="699C55C5" w:rsidR="00D902EB" w:rsidRPr="00E15B31" w:rsidRDefault="00D902EB" w:rsidP="00D902EB">
      <w:pPr>
        <w:pStyle w:val="SingleTxtG"/>
        <w:rPr>
          <w:rFonts w:eastAsia="Times"/>
          <w:lang w:val="fr-FR"/>
        </w:rPr>
      </w:pPr>
      <w:r>
        <w:rPr>
          <w:lang w:val="fr-FR"/>
        </w:rPr>
        <w:t>23</w:t>
      </w:r>
      <w:r w:rsidR="00A3423F" w:rsidRPr="00A3423F">
        <w:rPr>
          <w:lang w:val="fr-FR"/>
        </w:rPr>
        <w:t>.</w:t>
      </w:r>
      <w:r>
        <w:rPr>
          <w:lang w:val="fr-FR"/>
        </w:rPr>
        <w:tab/>
        <w:t>Toutefois, la plupart des Parties (19 sur 22) ne définissent pas les « modifications mineures »</w:t>
      </w:r>
      <w:r w:rsidR="00A3423F" w:rsidRPr="00A3423F">
        <w:rPr>
          <w:lang w:val="fr-FR"/>
        </w:rPr>
        <w:t>.</w:t>
      </w:r>
      <w:r>
        <w:rPr>
          <w:lang w:val="fr-FR"/>
        </w:rPr>
        <w:t xml:space="preserve"> Pour savoir si cette qualification s’applique, elles examinent la question au cas par cas et/ou en se laissant guider par différents critères</w:t>
      </w:r>
      <w:r w:rsidR="00A3423F" w:rsidRPr="00A3423F">
        <w:rPr>
          <w:lang w:val="fr-FR"/>
        </w:rPr>
        <w:t>.</w:t>
      </w:r>
      <w:r>
        <w:rPr>
          <w:lang w:val="fr-FR"/>
        </w:rPr>
        <w:t xml:space="preserve"> L’Autriche indique que, d’une manière générale, les types de plans et de programmes susceptibles de subir une modification mineure sont précisés dans la législation nationale</w:t>
      </w:r>
      <w:r w:rsidR="00A3423F" w:rsidRPr="00A3423F">
        <w:rPr>
          <w:lang w:val="fr-FR"/>
        </w:rPr>
        <w:t>.</w:t>
      </w:r>
      <w:r>
        <w:rPr>
          <w:lang w:val="fr-FR"/>
        </w:rPr>
        <w:t xml:space="preserve"> Pour certains de ces plans et programmes, il existe des seuils prédéfinis, qui, assortis à d’autres critères tels que l’utilisation des terres, permettent de déterminer si cette qualification s’applique</w:t>
      </w:r>
      <w:r w:rsidR="00A3423F" w:rsidRPr="00A3423F">
        <w:rPr>
          <w:lang w:val="fr-FR"/>
        </w:rPr>
        <w:t>.</w:t>
      </w:r>
    </w:p>
    <w:p w14:paraId="451B8F1F" w14:textId="621F7F4F" w:rsidR="00D902EB" w:rsidRPr="00E15B31" w:rsidRDefault="00D902EB" w:rsidP="00D902EB">
      <w:pPr>
        <w:pStyle w:val="SingleTxtG"/>
        <w:rPr>
          <w:rFonts w:eastAsia="Times"/>
          <w:lang w:val="fr-FR"/>
        </w:rPr>
      </w:pPr>
      <w:r>
        <w:rPr>
          <w:lang w:val="fr-FR"/>
        </w:rPr>
        <w:t>24</w:t>
      </w:r>
      <w:r w:rsidR="00A3423F" w:rsidRPr="00A3423F">
        <w:rPr>
          <w:lang w:val="fr-FR"/>
        </w:rPr>
        <w:t>.</w:t>
      </w:r>
      <w:r>
        <w:rPr>
          <w:lang w:val="fr-FR"/>
        </w:rPr>
        <w:tab/>
        <w:t>L’Arménie indique que les modifications mineures susceptibles d’être apportées à un plan ou à un programme ne sont pas régies par sa législation</w:t>
      </w:r>
      <w:r w:rsidR="00A3423F" w:rsidRPr="00A3423F">
        <w:rPr>
          <w:lang w:val="fr-FR"/>
        </w:rPr>
        <w:t>.</w:t>
      </w:r>
    </w:p>
    <w:p w14:paraId="4D4E7CE4" w14:textId="2A8BDD3C" w:rsidR="00D902EB" w:rsidRPr="00053FAF" w:rsidRDefault="00D902EB" w:rsidP="00D902EB">
      <w:pPr>
        <w:pStyle w:val="H1G"/>
        <w:rPr>
          <w:lang w:val="fr-FR"/>
        </w:rPr>
      </w:pPr>
      <w:r>
        <w:rPr>
          <w:lang w:val="fr-FR"/>
        </w:rPr>
        <w:tab/>
        <w:t>C</w:t>
      </w:r>
      <w:r w:rsidR="00A3423F" w:rsidRPr="00A3423F">
        <w:rPr>
          <w:lang w:val="fr-FR"/>
        </w:rPr>
        <w:t>.</w:t>
      </w:r>
      <w:r>
        <w:rPr>
          <w:lang w:val="fr-FR"/>
        </w:rPr>
        <w:tab/>
      </w:r>
      <w:r>
        <w:rPr>
          <w:lang w:val="fr-FR"/>
        </w:rPr>
        <w:tab/>
        <w:t>Vérification préliminaire</w:t>
      </w:r>
    </w:p>
    <w:p w14:paraId="571A0E7E" w14:textId="3D707C39" w:rsidR="00D902EB" w:rsidRPr="00265B89" w:rsidRDefault="00D902EB" w:rsidP="00D902EB">
      <w:pPr>
        <w:pStyle w:val="SingleTxtG"/>
        <w:rPr>
          <w:lang w:val="fr-FR"/>
        </w:rPr>
      </w:pPr>
      <w:r>
        <w:rPr>
          <w:lang w:val="fr-FR"/>
        </w:rPr>
        <w:t>25</w:t>
      </w:r>
      <w:r w:rsidR="00A3423F" w:rsidRPr="00A3423F">
        <w:rPr>
          <w:lang w:val="fr-FR"/>
        </w:rPr>
        <w:t>.</w:t>
      </w:r>
      <w:r>
        <w:rPr>
          <w:lang w:val="fr-FR"/>
        </w:rPr>
        <w:tab/>
        <w:t>La figure I montre comment les répondants déterminent les autres plans et programmes qui devraient faire l’objet d’une évaluation stratégique environnementale, ainsi qu’il est prévu aux paragraphes 3 et 4 de l’article 4 et à l’article 5</w:t>
      </w:r>
      <w:r w:rsidR="00A3423F" w:rsidRPr="00A3423F">
        <w:rPr>
          <w:lang w:val="fr-FR"/>
        </w:rPr>
        <w:t>.</w:t>
      </w:r>
      <w:r>
        <w:rPr>
          <w:lang w:val="fr-FR"/>
        </w:rPr>
        <w:t>1 (question I</w:t>
      </w:r>
      <w:r w:rsidR="00A3423F" w:rsidRPr="00A3423F">
        <w:rPr>
          <w:lang w:val="fr-FR"/>
        </w:rPr>
        <w:t>.</w:t>
      </w:r>
      <w:r>
        <w:rPr>
          <w:lang w:val="fr-FR"/>
        </w:rPr>
        <w:t>5</w:t>
      </w:r>
      <w:r w:rsidR="00A3423F" w:rsidRPr="00A3423F">
        <w:rPr>
          <w:lang w:val="fr-FR"/>
        </w:rPr>
        <w:t>.</w:t>
      </w:r>
      <w:r>
        <w:rPr>
          <w:lang w:val="fr-FR"/>
        </w:rPr>
        <w:t>1)</w:t>
      </w:r>
      <w:r w:rsidR="00A3423F" w:rsidRPr="00A3423F">
        <w:rPr>
          <w:lang w:val="fr-FR"/>
        </w:rPr>
        <w:t>.</w:t>
      </w:r>
      <w:r>
        <w:rPr>
          <w:lang w:val="fr-FR"/>
        </w:rPr>
        <w:t xml:space="preserve"> Onze répondants le déterminent au cas par cas, tandis que la Norvège et la République de Moldova définissent précisément les types de plans et de programmes qui doivent faire l’objet d’une évaluation stratégique environnementale</w:t>
      </w:r>
      <w:r w:rsidR="00A3423F" w:rsidRPr="00A3423F">
        <w:rPr>
          <w:lang w:val="fr-FR"/>
        </w:rPr>
        <w:t>.</w:t>
      </w:r>
      <w:r>
        <w:rPr>
          <w:lang w:val="fr-FR"/>
        </w:rPr>
        <w:t xml:space="preserve"> Douze répondants associent ces deux démarches</w:t>
      </w:r>
      <w:r w:rsidR="00A3423F" w:rsidRPr="00A3423F">
        <w:rPr>
          <w:lang w:val="fr-FR"/>
        </w:rPr>
        <w:t>.</w:t>
      </w:r>
      <w:r>
        <w:rPr>
          <w:lang w:val="fr-FR"/>
        </w:rPr>
        <w:t xml:space="preserve"> Dans son explication, l’Arménie indique que même si la loi exige que tous les plans et programmes fassent l’objet d’une évaluation stratégique environnementale, dans la pratique, les décisions relatives à la vérification préliminaire semblent être prises au cas par cas</w:t>
      </w:r>
      <w:r w:rsidR="00A3423F" w:rsidRPr="00A3423F">
        <w:rPr>
          <w:lang w:val="fr-FR"/>
        </w:rPr>
        <w:t>.</w:t>
      </w:r>
    </w:p>
    <w:p w14:paraId="1DAAE58C" w14:textId="77777777" w:rsidR="00D902EB" w:rsidRPr="00516535" w:rsidRDefault="00D902EB" w:rsidP="00D902EB">
      <w:pPr>
        <w:pStyle w:val="Titre1"/>
        <w:rPr>
          <w:rFonts w:eastAsia="Times"/>
          <w:lang w:val="fr-FR"/>
        </w:rPr>
      </w:pPr>
      <w:r>
        <w:rPr>
          <w:noProof/>
          <w:lang w:val="fr-FR"/>
        </w:rPr>
        <w:lastRenderedPageBreak/>
        <mc:AlternateContent>
          <mc:Choice Requires="wpc">
            <w:drawing>
              <wp:anchor distT="0" distB="0" distL="114300" distR="114300" simplePos="0" relativeHeight="251659264" behindDoc="0" locked="0" layoutInCell="1" allowOverlap="1" wp14:anchorId="3A31C960" wp14:editId="230740BE">
                <wp:simplePos x="0" y="0"/>
                <wp:positionH relativeFrom="column">
                  <wp:posOffset>-720090</wp:posOffset>
                </wp:positionH>
                <wp:positionV relativeFrom="paragraph">
                  <wp:posOffset>-7472045</wp:posOffset>
                </wp:positionV>
                <wp:extent cx="6120765" cy="2511425"/>
                <wp:effectExtent l="8890" t="8890" r="4445" b="3810"/>
                <wp:wrapNone/>
                <wp:docPr id="49" name="Zone de dessin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4655185" y="235902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1A80" w14:textId="77777777" w:rsidR="00D902EB" w:rsidRDefault="00D902EB" w:rsidP="00D902EB">
                              <w:r>
                                <w:rPr>
                                  <w:color w:val="000000"/>
                                  <w:lang w:val="en-US"/>
                                </w:rPr>
                                <w:t xml:space="preserve"> </w:t>
                              </w:r>
                            </w:p>
                          </w:txbxContent>
                        </wps:txbx>
                        <wps:bodyPr rot="0" vert="horz" wrap="none" lIns="0" tIns="0" rIns="0" bIns="0" anchor="t" anchorCtr="0">
                          <a:spAutoFit/>
                        </wps:bodyPr>
                      </wps:wsp>
                      <wps:wsp>
                        <wps:cNvPr id="6" name="Rectangle 6"/>
                        <wps:cNvSpPr>
                          <a:spLocks noChangeArrowheads="1"/>
                        </wps:cNvSpPr>
                        <wps:spPr bwMode="auto">
                          <a:xfrm>
                            <a:off x="0" y="0"/>
                            <a:ext cx="4651375" cy="245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3147060" y="292735"/>
                            <a:ext cx="935990" cy="1807845"/>
                          </a:xfrm>
                          <a:custGeom>
                            <a:avLst/>
                            <a:gdLst>
                              <a:gd name="T0" fmla="*/ 0 w 4925"/>
                              <a:gd name="T1" fmla="*/ 0 h 9504"/>
                              <a:gd name="T2" fmla="*/ 4925 w 4925"/>
                              <a:gd name="T3" fmla="*/ 4925 h 9504"/>
                              <a:gd name="T4" fmla="*/ 1813 w 4925"/>
                              <a:gd name="T5" fmla="*/ 9504 h 9504"/>
                              <a:gd name="T6" fmla="*/ 0 w 4925"/>
                              <a:gd name="T7" fmla="*/ 4925 h 9504"/>
                              <a:gd name="T8" fmla="*/ 0 w 4925"/>
                              <a:gd name="T9" fmla="*/ 0 h 9504"/>
                            </a:gdLst>
                            <a:ahLst/>
                            <a:cxnLst>
                              <a:cxn ang="0">
                                <a:pos x="T0" y="T1"/>
                              </a:cxn>
                              <a:cxn ang="0">
                                <a:pos x="T2" y="T3"/>
                              </a:cxn>
                              <a:cxn ang="0">
                                <a:pos x="T4" y="T5"/>
                              </a:cxn>
                              <a:cxn ang="0">
                                <a:pos x="T6" y="T7"/>
                              </a:cxn>
                              <a:cxn ang="0">
                                <a:pos x="T8" y="T9"/>
                              </a:cxn>
                            </a:cxnLst>
                            <a:rect l="0" t="0" r="r" b="b"/>
                            <a:pathLst>
                              <a:path w="4925" h="9504">
                                <a:moveTo>
                                  <a:pt x="0" y="0"/>
                                </a:moveTo>
                                <a:cubicBezTo>
                                  <a:pt x="2720" y="0"/>
                                  <a:pt x="4925" y="2205"/>
                                  <a:pt x="4925" y="4925"/>
                                </a:cubicBezTo>
                                <a:cubicBezTo>
                                  <a:pt x="4925" y="6945"/>
                                  <a:pt x="3691" y="8760"/>
                                  <a:pt x="1813" y="9504"/>
                                </a:cubicBezTo>
                                <a:lnTo>
                                  <a:pt x="0" y="4925"/>
                                </a:lnTo>
                                <a:lnTo>
                                  <a:pt x="0" y="0"/>
                                </a:lnTo>
                                <a:close/>
                              </a:path>
                            </a:pathLst>
                          </a:custGeom>
                          <a:solidFill>
                            <a:srgbClr val="4472C4"/>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8"/>
                        <wps:cNvSpPr>
                          <a:spLocks/>
                        </wps:cNvSpPr>
                        <wps:spPr bwMode="auto">
                          <a:xfrm>
                            <a:off x="3147060" y="292735"/>
                            <a:ext cx="935990" cy="1807845"/>
                          </a:xfrm>
                          <a:custGeom>
                            <a:avLst/>
                            <a:gdLst>
                              <a:gd name="T0" fmla="*/ 0 w 4925"/>
                              <a:gd name="T1" fmla="*/ 0 h 9504"/>
                              <a:gd name="T2" fmla="*/ 4925 w 4925"/>
                              <a:gd name="T3" fmla="*/ 4925 h 9504"/>
                              <a:gd name="T4" fmla="*/ 1813 w 4925"/>
                              <a:gd name="T5" fmla="*/ 9504 h 9504"/>
                              <a:gd name="T6" fmla="*/ 0 w 4925"/>
                              <a:gd name="T7" fmla="*/ 4925 h 9504"/>
                              <a:gd name="T8" fmla="*/ 0 w 4925"/>
                              <a:gd name="T9" fmla="*/ 0 h 9504"/>
                            </a:gdLst>
                            <a:ahLst/>
                            <a:cxnLst>
                              <a:cxn ang="0">
                                <a:pos x="T0" y="T1"/>
                              </a:cxn>
                              <a:cxn ang="0">
                                <a:pos x="T2" y="T3"/>
                              </a:cxn>
                              <a:cxn ang="0">
                                <a:pos x="T4" y="T5"/>
                              </a:cxn>
                              <a:cxn ang="0">
                                <a:pos x="T6" y="T7"/>
                              </a:cxn>
                              <a:cxn ang="0">
                                <a:pos x="T8" y="T9"/>
                              </a:cxn>
                            </a:cxnLst>
                            <a:rect l="0" t="0" r="r" b="b"/>
                            <a:pathLst>
                              <a:path w="4925" h="9504">
                                <a:moveTo>
                                  <a:pt x="0" y="0"/>
                                </a:moveTo>
                                <a:cubicBezTo>
                                  <a:pt x="2720" y="0"/>
                                  <a:pt x="4925" y="2205"/>
                                  <a:pt x="4925" y="4925"/>
                                </a:cubicBezTo>
                                <a:cubicBezTo>
                                  <a:pt x="4925" y="6945"/>
                                  <a:pt x="3691" y="8760"/>
                                  <a:pt x="1813" y="9504"/>
                                </a:cubicBezTo>
                                <a:lnTo>
                                  <a:pt x="0" y="4925"/>
                                </a:lnTo>
                                <a:lnTo>
                                  <a:pt x="0" y="0"/>
                                </a:lnTo>
                                <a:close/>
                              </a:path>
                            </a:pathLst>
                          </a:cu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
                        <wps:cNvSpPr>
                          <a:spLocks/>
                        </wps:cNvSpPr>
                        <wps:spPr bwMode="auto">
                          <a:xfrm>
                            <a:off x="3029585" y="1229995"/>
                            <a:ext cx="461645" cy="948690"/>
                          </a:xfrm>
                          <a:custGeom>
                            <a:avLst/>
                            <a:gdLst>
                              <a:gd name="T0" fmla="*/ 2430 w 2430"/>
                              <a:gd name="T1" fmla="*/ 4579 h 4990"/>
                              <a:gd name="T2" fmla="*/ 0 w 2430"/>
                              <a:gd name="T3" fmla="*/ 4886 h 4990"/>
                              <a:gd name="T4" fmla="*/ 617 w 2430"/>
                              <a:gd name="T5" fmla="*/ 0 h 4990"/>
                              <a:gd name="T6" fmla="*/ 2430 w 2430"/>
                              <a:gd name="T7" fmla="*/ 4579 h 4990"/>
                            </a:gdLst>
                            <a:ahLst/>
                            <a:cxnLst>
                              <a:cxn ang="0">
                                <a:pos x="T0" y="T1"/>
                              </a:cxn>
                              <a:cxn ang="0">
                                <a:pos x="T2" y="T3"/>
                              </a:cxn>
                              <a:cxn ang="0">
                                <a:pos x="T4" y="T5"/>
                              </a:cxn>
                              <a:cxn ang="0">
                                <a:pos x="T6" y="T7"/>
                              </a:cxn>
                            </a:cxnLst>
                            <a:rect l="0" t="0" r="r" b="b"/>
                            <a:pathLst>
                              <a:path w="2430" h="4990">
                                <a:moveTo>
                                  <a:pt x="2430" y="4579"/>
                                </a:moveTo>
                                <a:cubicBezTo>
                                  <a:pt x="1659" y="4884"/>
                                  <a:pt x="823" y="4990"/>
                                  <a:pt x="0" y="4886"/>
                                </a:cubicBezTo>
                                <a:lnTo>
                                  <a:pt x="617" y="0"/>
                                </a:lnTo>
                                <a:lnTo>
                                  <a:pt x="2430" y="4579"/>
                                </a:lnTo>
                                <a:close/>
                              </a:path>
                            </a:pathLst>
                          </a:custGeom>
                          <a:solidFill>
                            <a:srgbClr val="ED7D31"/>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10"/>
                        <wps:cNvSpPr>
                          <a:spLocks/>
                        </wps:cNvSpPr>
                        <wps:spPr bwMode="auto">
                          <a:xfrm>
                            <a:off x="3029585" y="1229995"/>
                            <a:ext cx="461645" cy="948690"/>
                          </a:xfrm>
                          <a:custGeom>
                            <a:avLst/>
                            <a:gdLst>
                              <a:gd name="T0" fmla="*/ 2430 w 2430"/>
                              <a:gd name="T1" fmla="*/ 4579 h 4990"/>
                              <a:gd name="T2" fmla="*/ 0 w 2430"/>
                              <a:gd name="T3" fmla="*/ 4886 h 4990"/>
                              <a:gd name="T4" fmla="*/ 617 w 2430"/>
                              <a:gd name="T5" fmla="*/ 0 h 4990"/>
                              <a:gd name="T6" fmla="*/ 2430 w 2430"/>
                              <a:gd name="T7" fmla="*/ 4579 h 4990"/>
                            </a:gdLst>
                            <a:ahLst/>
                            <a:cxnLst>
                              <a:cxn ang="0">
                                <a:pos x="T0" y="T1"/>
                              </a:cxn>
                              <a:cxn ang="0">
                                <a:pos x="T2" y="T3"/>
                              </a:cxn>
                              <a:cxn ang="0">
                                <a:pos x="T4" y="T5"/>
                              </a:cxn>
                              <a:cxn ang="0">
                                <a:pos x="T6" y="T7"/>
                              </a:cxn>
                            </a:cxnLst>
                            <a:rect l="0" t="0" r="r" b="b"/>
                            <a:pathLst>
                              <a:path w="2430" h="4990">
                                <a:moveTo>
                                  <a:pt x="2430" y="4579"/>
                                </a:moveTo>
                                <a:cubicBezTo>
                                  <a:pt x="1659" y="4884"/>
                                  <a:pt x="823" y="4990"/>
                                  <a:pt x="0" y="4886"/>
                                </a:cubicBezTo>
                                <a:lnTo>
                                  <a:pt x="617" y="0"/>
                                </a:lnTo>
                                <a:lnTo>
                                  <a:pt x="2430" y="4579"/>
                                </a:lnTo>
                                <a:close/>
                              </a:path>
                            </a:pathLst>
                          </a:cu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
                        <wps:cNvSpPr>
                          <a:spLocks/>
                        </wps:cNvSpPr>
                        <wps:spPr bwMode="auto">
                          <a:xfrm>
                            <a:off x="2153920" y="292735"/>
                            <a:ext cx="993140" cy="1866265"/>
                          </a:xfrm>
                          <a:custGeom>
                            <a:avLst/>
                            <a:gdLst>
                              <a:gd name="T0" fmla="*/ 4610 w 5227"/>
                              <a:gd name="T1" fmla="*/ 9811 h 9811"/>
                              <a:gd name="T2" fmla="*/ 341 w 5227"/>
                              <a:gd name="T3" fmla="*/ 4308 h 9811"/>
                              <a:gd name="T4" fmla="*/ 5227 w 5227"/>
                              <a:gd name="T5" fmla="*/ 0 h 9811"/>
                              <a:gd name="T6" fmla="*/ 5227 w 5227"/>
                              <a:gd name="T7" fmla="*/ 4925 h 9811"/>
                              <a:gd name="T8" fmla="*/ 4610 w 5227"/>
                              <a:gd name="T9" fmla="*/ 9811 h 9811"/>
                            </a:gdLst>
                            <a:ahLst/>
                            <a:cxnLst>
                              <a:cxn ang="0">
                                <a:pos x="T0" y="T1"/>
                              </a:cxn>
                              <a:cxn ang="0">
                                <a:pos x="T2" y="T3"/>
                              </a:cxn>
                              <a:cxn ang="0">
                                <a:pos x="T4" y="T5"/>
                              </a:cxn>
                              <a:cxn ang="0">
                                <a:pos x="T6" y="T7"/>
                              </a:cxn>
                              <a:cxn ang="0">
                                <a:pos x="T8" y="T9"/>
                              </a:cxn>
                            </a:cxnLst>
                            <a:rect l="0" t="0" r="r" b="b"/>
                            <a:pathLst>
                              <a:path w="5227" h="9811">
                                <a:moveTo>
                                  <a:pt x="4610" y="9811"/>
                                </a:moveTo>
                                <a:cubicBezTo>
                                  <a:pt x="1911" y="9470"/>
                                  <a:pt x="0" y="7006"/>
                                  <a:pt x="341" y="4308"/>
                                </a:cubicBezTo>
                                <a:cubicBezTo>
                                  <a:pt x="652" y="1846"/>
                                  <a:pt x="2746" y="0"/>
                                  <a:pt x="5227" y="0"/>
                                </a:cubicBezTo>
                                <a:lnTo>
                                  <a:pt x="5227" y="4925"/>
                                </a:lnTo>
                                <a:lnTo>
                                  <a:pt x="4610" y="9811"/>
                                </a:lnTo>
                                <a:close/>
                              </a:path>
                            </a:pathLst>
                          </a:custGeom>
                          <a:solidFill>
                            <a:srgbClr val="A5A5A5"/>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12"/>
                        <wps:cNvSpPr>
                          <a:spLocks/>
                        </wps:cNvSpPr>
                        <wps:spPr bwMode="auto">
                          <a:xfrm>
                            <a:off x="2153920" y="292735"/>
                            <a:ext cx="993140" cy="1866265"/>
                          </a:xfrm>
                          <a:custGeom>
                            <a:avLst/>
                            <a:gdLst>
                              <a:gd name="T0" fmla="*/ 4610 w 5227"/>
                              <a:gd name="T1" fmla="*/ 9811 h 9811"/>
                              <a:gd name="T2" fmla="*/ 341 w 5227"/>
                              <a:gd name="T3" fmla="*/ 4308 h 9811"/>
                              <a:gd name="T4" fmla="*/ 5227 w 5227"/>
                              <a:gd name="T5" fmla="*/ 0 h 9811"/>
                              <a:gd name="T6" fmla="*/ 5227 w 5227"/>
                              <a:gd name="T7" fmla="*/ 4925 h 9811"/>
                              <a:gd name="T8" fmla="*/ 4610 w 5227"/>
                              <a:gd name="T9" fmla="*/ 9811 h 9811"/>
                            </a:gdLst>
                            <a:ahLst/>
                            <a:cxnLst>
                              <a:cxn ang="0">
                                <a:pos x="T0" y="T1"/>
                              </a:cxn>
                              <a:cxn ang="0">
                                <a:pos x="T2" y="T3"/>
                              </a:cxn>
                              <a:cxn ang="0">
                                <a:pos x="T4" y="T5"/>
                              </a:cxn>
                              <a:cxn ang="0">
                                <a:pos x="T6" y="T7"/>
                              </a:cxn>
                              <a:cxn ang="0">
                                <a:pos x="T8" y="T9"/>
                              </a:cxn>
                            </a:cxnLst>
                            <a:rect l="0" t="0" r="r" b="b"/>
                            <a:pathLst>
                              <a:path w="5227" h="9811">
                                <a:moveTo>
                                  <a:pt x="4610" y="9811"/>
                                </a:moveTo>
                                <a:cubicBezTo>
                                  <a:pt x="1911" y="9470"/>
                                  <a:pt x="0" y="7006"/>
                                  <a:pt x="341" y="4308"/>
                                </a:cubicBezTo>
                                <a:cubicBezTo>
                                  <a:pt x="652" y="1846"/>
                                  <a:pt x="2746" y="0"/>
                                  <a:pt x="5227" y="0"/>
                                </a:cubicBezTo>
                                <a:lnTo>
                                  <a:pt x="5227" y="4925"/>
                                </a:lnTo>
                                <a:lnTo>
                                  <a:pt x="4610" y="9811"/>
                                </a:lnTo>
                                <a:close/>
                              </a:path>
                            </a:pathLst>
                          </a:cu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
                        <wps:cNvSpPr>
                          <a:spLocks/>
                        </wps:cNvSpPr>
                        <wps:spPr bwMode="auto">
                          <a:xfrm>
                            <a:off x="3147060" y="292735"/>
                            <a:ext cx="0" cy="937260"/>
                          </a:xfrm>
                          <a:custGeom>
                            <a:avLst/>
                            <a:gdLst>
                              <a:gd name="T0" fmla="*/ 0 h 1476"/>
                              <a:gd name="T1" fmla="*/ 1476 h 1476"/>
                              <a:gd name="T2" fmla="*/ 0 h 1476"/>
                            </a:gdLst>
                            <a:ahLst/>
                            <a:cxnLst>
                              <a:cxn ang="0">
                                <a:pos x="0" y="T0"/>
                              </a:cxn>
                              <a:cxn ang="0">
                                <a:pos x="0" y="T1"/>
                              </a:cxn>
                              <a:cxn ang="0">
                                <a:pos x="0" y="T2"/>
                              </a:cxn>
                            </a:cxnLst>
                            <a:rect l="0" t="0" r="r" b="b"/>
                            <a:pathLst>
                              <a:path h="1476">
                                <a:moveTo>
                                  <a:pt x="0" y="0"/>
                                </a:moveTo>
                                <a:lnTo>
                                  <a:pt x="0" y="1476"/>
                                </a:lnTo>
                                <a:lnTo>
                                  <a:pt x="0" y="0"/>
                                </a:lnTo>
                                <a:close/>
                              </a:path>
                            </a:pathLst>
                          </a:cu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4"/>
                        <wps:cNvSpPr>
                          <a:spLocks noChangeArrowheads="1"/>
                        </wps:cNvSpPr>
                        <wps:spPr bwMode="auto">
                          <a:xfrm>
                            <a:off x="3839845" y="960120"/>
                            <a:ext cx="116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01D4" w14:textId="77777777" w:rsidR="00D902EB" w:rsidRDefault="00D902EB" w:rsidP="00D902EB">
                              <w:r>
                                <w:rPr>
                                  <w:rFonts w:ascii="Calibri" w:hAnsi="Calibri" w:cs="Calibri"/>
                                  <w:color w:val="404040"/>
                                  <w:sz w:val="18"/>
                                  <w:szCs w:val="18"/>
                                  <w:lang w:val="en-US"/>
                                </w:rPr>
                                <w:t>11</w:t>
                              </w:r>
                            </w:p>
                          </w:txbxContent>
                        </wps:txbx>
                        <wps:bodyPr rot="0" vert="horz" wrap="none" lIns="0" tIns="0" rIns="0" bIns="0" anchor="t" anchorCtr="0">
                          <a:spAutoFit/>
                        </wps:bodyPr>
                      </wps:wsp>
                      <wps:wsp>
                        <wps:cNvPr id="28" name="Rectangle 15"/>
                        <wps:cNvSpPr>
                          <a:spLocks noChangeArrowheads="1"/>
                        </wps:cNvSpPr>
                        <wps:spPr bwMode="auto">
                          <a:xfrm>
                            <a:off x="3212465" y="1969135"/>
                            <a:ext cx="58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9B2C" w14:textId="77777777" w:rsidR="00D902EB" w:rsidRDefault="00D902EB" w:rsidP="00D902EB">
                              <w:r>
                                <w:rPr>
                                  <w:rFonts w:ascii="Calibri" w:hAnsi="Calibri" w:cs="Calibri"/>
                                  <w:color w:val="404040"/>
                                  <w:sz w:val="18"/>
                                  <w:szCs w:val="18"/>
                                  <w:lang w:val="en-US"/>
                                </w:rPr>
                                <w:t>2</w:t>
                              </w:r>
                            </w:p>
                          </w:txbxContent>
                        </wps:txbx>
                        <wps:bodyPr rot="0" vert="horz" wrap="none" lIns="0" tIns="0" rIns="0" bIns="0" anchor="t" anchorCtr="0">
                          <a:spAutoFit/>
                        </wps:bodyPr>
                      </wps:wsp>
                      <wps:wsp>
                        <wps:cNvPr id="29" name="Rectangle 16"/>
                        <wps:cNvSpPr>
                          <a:spLocks noChangeArrowheads="1"/>
                        </wps:cNvSpPr>
                        <wps:spPr bwMode="auto">
                          <a:xfrm>
                            <a:off x="2319655" y="1046480"/>
                            <a:ext cx="116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8C85" w14:textId="77777777" w:rsidR="00D902EB" w:rsidRDefault="00D902EB" w:rsidP="00D902EB">
                              <w:r>
                                <w:rPr>
                                  <w:rFonts w:ascii="Calibri" w:hAnsi="Calibri" w:cs="Calibri"/>
                                  <w:color w:val="404040"/>
                                  <w:sz w:val="18"/>
                                  <w:szCs w:val="18"/>
                                  <w:lang w:val="en-US"/>
                                </w:rPr>
                                <w:t>12</w:t>
                              </w:r>
                            </w:p>
                          </w:txbxContent>
                        </wps:txbx>
                        <wps:bodyPr rot="0" vert="horz" wrap="none" lIns="0" tIns="0" rIns="0" bIns="0" anchor="t" anchorCtr="0">
                          <a:spAutoFit/>
                        </wps:bodyPr>
                      </wps:wsp>
                      <wps:wsp>
                        <wps:cNvPr id="30" name="Rectangle 17"/>
                        <wps:cNvSpPr>
                          <a:spLocks noChangeArrowheads="1"/>
                        </wps:cNvSpPr>
                        <wps:spPr bwMode="auto">
                          <a:xfrm>
                            <a:off x="3117850" y="123190"/>
                            <a:ext cx="58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8B85" w14:textId="77777777" w:rsidR="00D902EB" w:rsidRDefault="00D902EB" w:rsidP="00D902EB">
                              <w:r>
                                <w:rPr>
                                  <w:rFonts w:ascii="Calibri" w:hAnsi="Calibri" w:cs="Calibri"/>
                                  <w:color w:val="404040"/>
                                  <w:sz w:val="18"/>
                                  <w:szCs w:val="18"/>
                                  <w:lang w:val="en-US"/>
                                </w:rPr>
                                <w:t>0</w:t>
                              </w:r>
                            </w:p>
                          </w:txbxContent>
                        </wps:txbx>
                        <wps:bodyPr rot="0" vert="horz" wrap="none" lIns="0" tIns="0" rIns="0" bIns="0" anchor="t" anchorCtr="0">
                          <a:spAutoFit/>
                        </wps:bodyPr>
                      </wps:wsp>
                      <wps:wsp>
                        <wps:cNvPr id="31" name="Rectangle 18"/>
                        <wps:cNvSpPr>
                          <a:spLocks noChangeArrowheads="1"/>
                        </wps:cNvSpPr>
                        <wps:spPr bwMode="auto">
                          <a:xfrm>
                            <a:off x="135890" y="601980"/>
                            <a:ext cx="64135" cy="6223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9"/>
                        <wps:cNvSpPr>
                          <a:spLocks noChangeArrowheads="1"/>
                        </wps:cNvSpPr>
                        <wps:spPr bwMode="auto">
                          <a:xfrm>
                            <a:off x="135890" y="601980"/>
                            <a:ext cx="64135" cy="62230"/>
                          </a:xfrm>
                          <a:prstGeom prst="rect">
                            <a:avLst/>
                          </a:pr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0"/>
                        <wps:cNvSpPr>
                          <a:spLocks noChangeArrowheads="1"/>
                        </wps:cNvSpPr>
                        <wps:spPr bwMode="auto">
                          <a:xfrm>
                            <a:off x="226695" y="557530"/>
                            <a:ext cx="1239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5327C" w14:textId="77777777" w:rsidR="00D902EB" w:rsidRPr="006846DA" w:rsidRDefault="00D902EB" w:rsidP="00D902EB">
                              <w:pPr>
                                <w:rPr>
                                  <w:lang w:val="en-US"/>
                                </w:rPr>
                              </w:pPr>
                              <w:r>
                                <w:rPr>
                                  <w:rFonts w:ascii="Calibri" w:hAnsi="Calibri" w:cs="Calibri"/>
                                  <w:color w:val="595959"/>
                                  <w:sz w:val="18"/>
                                  <w:szCs w:val="18"/>
                                  <w:lang w:val="en-US"/>
                                </w:rPr>
                                <w:t>(a) On a case-by-case basis</w:t>
                              </w:r>
                            </w:p>
                          </w:txbxContent>
                        </wps:txbx>
                        <wps:bodyPr rot="0" vert="horz" wrap="none" lIns="0" tIns="0" rIns="0" bIns="0" anchor="t" anchorCtr="0">
                          <a:spAutoFit/>
                        </wps:bodyPr>
                      </wps:wsp>
                      <wps:wsp>
                        <wps:cNvPr id="37" name="Rectangle 21"/>
                        <wps:cNvSpPr>
                          <a:spLocks noChangeArrowheads="1"/>
                        </wps:cNvSpPr>
                        <wps:spPr bwMode="auto">
                          <a:xfrm>
                            <a:off x="135890" y="953135"/>
                            <a:ext cx="64135" cy="6223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135890" y="953135"/>
                            <a:ext cx="64135" cy="62230"/>
                          </a:xfrm>
                          <a:prstGeom prst="rect">
                            <a:avLst/>
                          </a:pr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3"/>
                        <wps:cNvSpPr>
                          <a:spLocks noChangeArrowheads="1"/>
                        </wps:cNvSpPr>
                        <wps:spPr bwMode="auto">
                          <a:xfrm>
                            <a:off x="226695" y="908685"/>
                            <a:ext cx="1156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97AE2" w14:textId="77777777" w:rsidR="00D902EB" w:rsidRDefault="00D902EB" w:rsidP="00D902EB">
                              <w:r>
                                <w:rPr>
                                  <w:rFonts w:ascii="Calibri" w:hAnsi="Calibri" w:cs="Calibri"/>
                                  <w:color w:val="595959"/>
                                  <w:sz w:val="18"/>
                                  <w:szCs w:val="18"/>
                                  <w:lang w:val="en-US"/>
                                </w:rPr>
                                <w:t>(b) By specifying types of</w:t>
                              </w:r>
                            </w:p>
                          </w:txbxContent>
                        </wps:txbx>
                        <wps:bodyPr rot="0" vert="horz" wrap="none" lIns="0" tIns="0" rIns="0" bIns="0" anchor="t" anchorCtr="0">
                          <a:spAutoFit/>
                        </wps:bodyPr>
                      </wps:wsp>
                      <wps:wsp>
                        <wps:cNvPr id="40" name="Rectangle 24"/>
                        <wps:cNvSpPr>
                          <a:spLocks noChangeArrowheads="1"/>
                        </wps:cNvSpPr>
                        <wps:spPr bwMode="auto">
                          <a:xfrm>
                            <a:off x="226695" y="1049020"/>
                            <a:ext cx="1065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A22C" w14:textId="77777777" w:rsidR="00D902EB" w:rsidRDefault="00D902EB" w:rsidP="00D902EB">
                              <w:r>
                                <w:rPr>
                                  <w:rFonts w:ascii="Calibri" w:hAnsi="Calibri" w:cs="Calibri"/>
                                  <w:color w:val="595959"/>
                                  <w:sz w:val="18"/>
                                  <w:szCs w:val="18"/>
                                  <w:lang w:val="en-US"/>
                                </w:rPr>
                                <w:t xml:space="preserve">plans and </w:t>
                              </w:r>
                              <w:proofErr w:type="spellStart"/>
                              <w:r>
                                <w:rPr>
                                  <w:rFonts w:ascii="Calibri" w:hAnsi="Calibri" w:cs="Calibri"/>
                                  <w:color w:val="595959"/>
                                  <w:sz w:val="18"/>
                                  <w:szCs w:val="18"/>
                                  <w:lang w:val="en-US"/>
                                </w:rPr>
                                <w:t>programmes</w:t>
                              </w:r>
                              <w:proofErr w:type="spellEnd"/>
                            </w:p>
                          </w:txbxContent>
                        </wps:txbx>
                        <wps:bodyPr rot="0" vert="horz" wrap="none" lIns="0" tIns="0" rIns="0" bIns="0" anchor="t" anchorCtr="0">
                          <a:spAutoFit/>
                        </wps:bodyPr>
                      </wps:wsp>
                      <wps:wsp>
                        <wps:cNvPr id="41" name="Rectangle 25"/>
                        <wps:cNvSpPr>
                          <a:spLocks noChangeArrowheads="1"/>
                        </wps:cNvSpPr>
                        <wps:spPr bwMode="auto">
                          <a:xfrm>
                            <a:off x="135890" y="1304925"/>
                            <a:ext cx="64135" cy="6350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6"/>
                        <wps:cNvSpPr>
                          <a:spLocks noChangeArrowheads="1"/>
                        </wps:cNvSpPr>
                        <wps:spPr bwMode="auto">
                          <a:xfrm>
                            <a:off x="135890" y="1304925"/>
                            <a:ext cx="64135" cy="63500"/>
                          </a:xfrm>
                          <a:prstGeom prst="rect">
                            <a:avLst/>
                          </a:pr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7"/>
                        <wps:cNvSpPr>
                          <a:spLocks noChangeArrowheads="1"/>
                        </wps:cNvSpPr>
                        <wps:spPr bwMode="auto">
                          <a:xfrm>
                            <a:off x="226695" y="1261745"/>
                            <a:ext cx="1341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F3C8" w14:textId="77777777" w:rsidR="00D902EB" w:rsidRPr="006846DA" w:rsidRDefault="00D902EB" w:rsidP="00D902EB">
                              <w:pPr>
                                <w:rPr>
                                  <w:lang w:val="en-US"/>
                                </w:rPr>
                              </w:pPr>
                              <w:r>
                                <w:rPr>
                                  <w:rFonts w:ascii="Calibri" w:hAnsi="Calibri" w:cs="Calibri"/>
                                  <w:color w:val="595959"/>
                                  <w:sz w:val="18"/>
                                  <w:szCs w:val="18"/>
                                  <w:lang w:val="en-US"/>
                                </w:rPr>
                                <w:t>(c) By using a combination of</w:t>
                              </w:r>
                            </w:p>
                          </w:txbxContent>
                        </wps:txbx>
                        <wps:bodyPr rot="0" vert="horz" wrap="none" lIns="0" tIns="0" rIns="0" bIns="0" anchor="t" anchorCtr="0">
                          <a:spAutoFit/>
                        </wps:bodyPr>
                      </wps:wsp>
                      <wps:wsp>
                        <wps:cNvPr id="44" name="Rectangle 28"/>
                        <wps:cNvSpPr>
                          <a:spLocks noChangeArrowheads="1"/>
                        </wps:cNvSpPr>
                        <wps:spPr bwMode="auto">
                          <a:xfrm>
                            <a:off x="226695" y="1400810"/>
                            <a:ext cx="480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49E9" w14:textId="77777777" w:rsidR="00D902EB" w:rsidRDefault="00D902EB" w:rsidP="00D902EB">
                              <w:r>
                                <w:rPr>
                                  <w:rFonts w:ascii="Calibri" w:hAnsi="Calibri" w:cs="Calibri"/>
                                  <w:color w:val="595959"/>
                                  <w:sz w:val="18"/>
                                  <w:szCs w:val="18"/>
                                  <w:lang w:val="en-US"/>
                                </w:rPr>
                                <w:t>(a) and (b)</w:t>
                              </w:r>
                            </w:p>
                          </w:txbxContent>
                        </wps:txbx>
                        <wps:bodyPr rot="0" vert="horz" wrap="none" lIns="0" tIns="0" rIns="0" bIns="0" anchor="t" anchorCtr="0">
                          <a:spAutoFit/>
                        </wps:bodyPr>
                      </wps:wsp>
                      <wps:wsp>
                        <wps:cNvPr id="45" name="Rectangle 29"/>
                        <wps:cNvSpPr>
                          <a:spLocks noChangeArrowheads="1"/>
                        </wps:cNvSpPr>
                        <wps:spPr bwMode="auto">
                          <a:xfrm>
                            <a:off x="135890" y="1657985"/>
                            <a:ext cx="64135" cy="622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135890" y="1657985"/>
                            <a:ext cx="64135" cy="62230"/>
                          </a:xfrm>
                          <a:prstGeom prst="rect">
                            <a:avLst/>
                          </a:prstGeom>
                          <a:noFill/>
                          <a:ln w="19050"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31"/>
                        <wps:cNvSpPr>
                          <a:spLocks noChangeArrowheads="1"/>
                        </wps:cNvSpPr>
                        <wps:spPr bwMode="auto">
                          <a:xfrm>
                            <a:off x="226695" y="1613535"/>
                            <a:ext cx="426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C66B" w14:textId="77777777" w:rsidR="00D902EB" w:rsidRDefault="00D902EB" w:rsidP="00D902EB">
                              <w:r>
                                <w:rPr>
                                  <w:rFonts w:ascii="Calibri" w:hAnsi="Calibri" w:cs="Calibri"/>
                                  <w:color w:val="595959"/>
                                  <w:sz w:val="18"/>
                                  <w:szCs w:val="18"/>
                                  <w:lang w:val="en-US"/>
                                </w:rPr>
                                <w:t>(d) Other</w:t>
                              </w:r>
                            </w:p>
                          </w:txbxContent>
                        </wps:txbx>
                        <wps:bodyPr rot="0" vert="horz" wrap="none" lIns="0" tIns="0" rIns="0" bIns="0" anchor="t" anchorCtr="0">
                          <a:spAutoFit/>
                        </wps:bodyPr>
                      </wps:wsp>
                      <wps:wsp>
                        <wps:cNvPr id="48" name="Rectangle 32"/>
                        <wps:cNvSpPr>
                          <a:spLocks noChangeArrowheads="1"/>
                        </wps:cNvSpPr>
                        <wps:spPr bwMode="auto">
                          <a:xfrm>
                            <a:off x="0" y="0"/>
                            <a:ext cx="4651375" cy="2458720"/>
                          </a:xfrm>
                          <a:prstGeom prst="rect">
                            <a:avLst/>
                          </a:prstGeom>
                          <a:noFill/>
                          <a:ln w="952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31C960" id="Zone de dessin 49" o:spid="_x0000_s1026" editas="canvas" style="position:absolute;left:0;text-align:left;margin-left:-56.7pt;margin-top:-588.35pt;width:481.95pt;height:197.75pt;z-index:251659264" coordsize="61207,2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5114;visibility:visible;mso-wrap-style:square">
                  <v:fill o:detectmouseclick="t"/>
                  <v:path o:connecttype="none"/>
                </v:shape>
                <v:rect id="Rectangle 5" o:spid="_x0000_s1028" style="position:absolute;left:46551;top:23590;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5281A80" w14:textId="77777777" w:rsidR="00D902EB" w:rsidRDefault="00D902EB" w:rsidP="00D902EB">
                        <w:r>
                          <w:rPr>
                            <w:color w:val="000000"/>
                            <w:lang w:val="en-US"/>
                          </w:rPr>
                          <w:t xml:space="preserve"> </w:t>
                        </w:r>
                      </w:p>
                    </w:txbxContent>
                  </v:textbox>
                </v:rect>
                <v:rect id="Rectangle 6" o:spid="_x0000_s1029" style="position:absolute;width:46513;height:24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Freeform 7" o:spid="_x0000_s1030" style="position:absolute;left:31470;top:2927;width:9360;height:18078;visibility:visible;mso-wrap-style:square;v-text-anchor:top" coordsize="492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" path="m,c2720,,4925,2205,4925,4925v,2020,-1234,3835,-3112,4579l,4925,,xe" fillcolor="#4472c4" strokeweight="0">
                  <v:path arrowok="t" o:connecttype="custom" o:connectlocs="0,0;935990,936830;344558,1807845;0,936830;0,0" o:connectangles="0,0,0,0,0"/>
                </v:shape>
                <v:shape id="Freeform 8" o:spid="_x0000_s1031" style="position:absolute;left:31470;top:2927;width:9360;height:18078;visibility:visible;mso-wrap-style:square;v-text-anchor:top" coordsize="492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" path="m,c2720,,4925,2205,4925,4925v,2020,-1234,3835,-3112,4579l,4925,,xe" filled="f" strokecolor="white" strokeweight="1.5pt">
                  <v:path arrowok="t" o:connecttype="custom" o:connectlocs="0,0;935990,936830;344558,1807845;0,936830;0,0" o:connectangles="0,0,0,0,0"/>
                </v:shape>
                <v:shape id="Freeform 9" o:spid="_x0000_s1032" style="position:absolute;left:30295;top:12299;width:4617;height:9487;visibility:visible;mso-wrap-style:square;v-text-anchor:top" coordsize="243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" path="m2430,4579c1659,4884,823,4990,,4886l617,,2430,4579xe" fillcolor="#ed7d31" strokeweight="0">
                  <v:path arrowok="t" o:connecttype="custom" o:connectlocs="461645,870551;0,928918;117216,0;461645,870551" o:connectangles="0,0,0,0"/>
                </v:shape>
                <v:shape id="Freeform 10" o:spid="_x0000_s1033" style="position:absolute;left:30295;top:12299;width:4617;height:9487;visibility:visible;mso-wrap-style:square;v-text-anchor:top" coordsize="243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" path="m2430,4579c1659,4884,823,4990,,4886l617,,2430,4579xe" filled="f" strokecolor="white" strokeweight="1.5pt">
                  <v:path arrowok="t" o:connecttype="custom" o:connectlocs="461645,870551;0,928918;117216,0;461645,870551" o:connectangles="0,0,0,0"/>
                </v:shape>
                <v:shape id="Freeform 11" o:spid="_x0000_s1034" style="position:absolute;left:21539;top:2927;width:9931;height:18663;visibility:visible;mso-wrap-style:square;v-text-anchor:top" coordsize="522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" path="m4610,9811c1911,9470,,7006,341,4308,652,1846,2746,,5227,r,4925l4610,9811xe" fillcolor="#a5a5a5" strokeweight="0">
                  <v:path arrowok="t" o:connecttype="custom" o:connectlocs="875909,1866265;64791,819475;993140,0;993140,936842;875909,1866265" o:connectangles="0,0,0,0,0"/>
                </v:shape>
                <v:shape id="Freeform 12" o:spid="_x0000_s1035" style="position:absolute;left:21539;top:2927;width:9931;height:18663;visibility:visible;mso-wrap-style:square;v-text-anchor:top" coordsize="5227,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" path="m4610,9811c1911,9470,,7006,341,4308,652,1846,2746,,5227,r,4925l4610,9811xe" filled="f" strokecolor="white" strokeweight="1.5pt">
                  <v:path arrowok="t" o:connecttype="custom" o:connectlocs="875909,1866265;64791,819475;993140,0;993140,936842;875909,1866265" o:connectangles="0,0,0,0,0"/>
                </v:shape>
                <v:shape id="Freeform 13" o:spid="_x0000_s1036" style="position:absolute;left:31470;top:2927;width:0;height:9372;visibility:visible;mso-wrap-style:square;v-text-anchor:top" coordsize="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" path="m,l,1476,,xe" filled="f" strokecolor="white" strokeweight="1.5pt">
                  <v:path arrowok="t" o:connecttype="custom" o:connectlocs="0,0;0,937260;0,0" o:connectangles="0,0,0"/>
                </v:shape>
                <v:rect id="Rectangle 14" o:spid="_x0000_s1037" style="position:absolute;left:38398;top:9601;width:11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86101D4" w14:textId="77777777" w:rsidR="00D902EB" w:rsidRDefault="00D902EB" w:rsidP="00D902EB">
                        <w:r>
                          <w:rPr>
                            <w:rFonts w:ascii="Calibri" w:hAnsi="Calibri" w:cs="Calibri"/>
                            <w:color w:val="404040"/>
                            <w:sz w:val="18"/>
                            <w:szCs w:val="18"/>
                            <w:lang w:val="en-US"/>
                          </w:rPr>
                          <w:t>11</w:t>
                        </w:r>
                      </w:p>
                    </w:txbxContent>
                  </v:textbox>
                </v:rect>
                <v:rect id="Rectangle 15" o:spid="_x0000_s1038" style="position:absolute;left:32124;top:19691;width:58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4689B2C" w14:textId="77777777" w:rsidR="00D902EB" w:rsidRDefault="00D902EB" w:rsidP="00D902EB">
                        <w:r>
                          <w:rPr>
                            <w:rFonts w:ascii="Calibri" w:hAnsi="Calibri" w:cs="Calibri"/>
                            <w:color w:val="404040"/>
                            <w:sz w:val="18"/>
                            <w:szCs w:val="18"/>
                            <w:lang w:val="en-US"/>
                          </w:rPr>
                          <w:t>2</w:t>
                        </w:r>
                      </w:p>
                    </w:txbxContent>
                  </v:textbox>
                </v:rect>
                <v:rect id="Rectangle 16" o:spid="_x0000_s1039" style="position:absolute;left:23196;top:10464;width:11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7208C85" w14:textId="77777777" w:rsidR="00D902EB" w:rsidRDefault="00D902EB" w:rsidP="00D902EB">
                        <w:r>
                          <w:rPr>
                            <w:rFonts w:ascii="Calibri" w:hAnsi="Calibri" w:cs="Calibri"/>
                            <w:color w:val="404040"/>
                            <w:sz w:val="18"/>
                            <w:szCs w:val="18"/>
                            <w:lang w:val="en-US"/>
                          </w:rPr>
                          <w:t>12</w:t>
                        </w:r>
                      </w:p>
                    </w:txbxContent>
                  </v:textbox>
                </v:rect>
                <v:rect id="Rectangle 17" o:spid="_x0000_s1040" style="position:absolute;left:31178;top:1231;width:58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42B8B85" w14:textId="77777777" w:rsidR="00D902EB" w:rsidRDefault="00D902EB" w:rsidP="00D902EB">
                        <w:r>
                          <w:rPr>
                            <w:rFonts w:ascii="Calibri" w:hAnsi="Calibri" w:cs="Calibri"/>
                            <w:color w:val="404040"/>
                            <w:sz w:val="18"/>
                            <w:szCs w:val="18"/>
                            <w:lang w:val="en-US"/>
                          </w:rPr>
                          <w:t>0</w:t>
                        </w:r>
                      </w:p>
                    </w:txbxContent>
                  </v:textbox>
                </v:rect>
                <v:rect id="Rectangle 18" o:spid="_x0000_s1041" style="position:absolute;left:1358;top:6019;width:64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" fillcolor="#4472c4" stroked="f"/>
                <v:rect id="Rectangle 19" o:spid="_x0000_s1042" style="position:absolute;left:1358;top:6019;width:64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" filled="f" strokecolor="white" strokeweight="1.5pt">
                  <v:stroke joinstyle="round"/>
                </v:rect>
                <v:rect id="Rectangle 20" o:spid="_x0000_s1043" style="position:absolute;left:2266;top:5575;width:1239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275327C" w14:textId="77777777" w:rsidR="00D902EB" w:rsidRPr="006846DA" w:rsidRDefault="00D902EB" w:rsidP="00D902EB">
                        <w:pPr>
                          <w:rPr>
                            <w:lang w:val="en-US"/>
                          </w:rPr>
                        </w:pPr>
                        <w:r>
                          <w:rPr>
                            <w:rFonts w:ascii="Calibri" w:hAnsi="Calibri" w:cs="Calibri"/>
                            <w:color w:val="595959"/>
                            <w:sz w:val="18"/>
                            <w:szCs w:val="18"/>
                            <w:lang w:val="en-US"/>
                          </w:rPr>
                          <w:t>(a) On a case-by-case basis</w:t>
                        </w:r>
                      </w:p>
                    </w:txbxContent>
                  </v:textbox>
                </v:rect>
                <v:rect id="Rectangle 21" o:spid="_x0000_s1044" style="position:absolute;left:1358;top:9531;width:64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" fillcolor="#ed7d31" stroked="f"/>
                <v:rect id="Rectangle 22" o:spid="_x0000_s1045" style="position:absolute;left:1358;top:9531;width:64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" filled="f" strokecolor="white" strokeweight="1.5pt">
                  <v:stroke joinstyle="round"/>
                </v:rect>
                <v:rect id="Rectangle 23" o:spid="_x0000_s1046" style="position:absolute;left:2266;top:9086;width:1157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DF97AE2" w14:textId="77777777" w:rsidR="00D902EB" w:rsidRDefault="00D902EB" w:rsidP="00D902EB">
                        <w:r>
                          <w:rPr>
                            <w:rFonts w:ascii="Calibri" w:hAnsi="Calibri" w:cs="Calibri"/>
                            <w:color w:val="595959"/>
                            <w:sz w:val="18"/>
                            <w:szCs w:val="18"/>
                            <w:lang w:val="en-US"/>
                          </w:rPr>
                          <w:t>(b) By specifying types of</w:t>
                        </w:r>
                      </w:p>
                    </w:txbxContent>
                  </v:textbox>
                </v:rect>
                <v:rect id="Rectangle 24" o:spid="_x0000_s1047" style="position:absolute;left:2266;top:10490;width:1065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C9EA22C" w14:textId="77777777" w:rsidR="00D902EB" w:rsidRDefault="00D902EB" w:rsidP="00D902EB">
                        <w:r>
                          <w:rPr>
                            <w:rFonts w:ascii="Calibri" w:hAnsi="Calibri" w:cs="Calibri"/>
                            <w:color w:val="595959"/>
                            <w:sz w:val="18"/>
                            <w:szCs w:val="18"/>
                            <w:lang w:val="en-US"/>
                          </w:rPr>
                          <w:t xml:space="preserve">plans and </w:t>
                        </w:r>
                        <w:proofErr w:type="spellStart"/>
                        <w:r>
                          <w:rPr>
                            <w:rFonts w:ascii="Calibri" w:hAnsi="Calibri" w:cs="Calibri"/>
                            <w:color w:val="595959"/>
                            <w:sz w:val="18"/>
                            <w:szCs w:val="18"/>
                            <w:lang w:val="en-US"/>
                          </w:rPr>
                          <w:t>programmes</w:t>
                        </w:r>
                        <w:proofErr w:type="spellEnd"/>
                      </w:p>
                    </w:txbxContent>
                  </v:textbox>
                </v:rect>
                <v:rect id="Rectangle 25" o:spid="_x0000_s1048" style="position:absolute;left:1358;top:13049;width:64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" fillcolor="#a5a5a5" stroked="f"/>
                <v:rect id="Rectangle 26" o:spid="_x0000_s1049" style="position:absolute;left:1358;top:13049;width:64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" filled="f" strokecolor="white" strokeweight="1.5pt">
                  <v:stroke joinstyle="round"/>
                </v:rect>
                <v:rect id="Rectangle 27" o:spid="_x0000_s1050" style="position:absolute;left:2266;top:12617;width:1341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1A8DF3C8" w14:textId="77777777" w:rsidR="00D902EB" w:rsidRPr="006846DA" w:rsidRDefault="00D902EB" w:rsidP="00D902EB">
                        <w:pPr>
                          <w:rPr>
                            <w:lang w:val="en-US"/>
                          </w:rPr>
                        </w:pPr>
                        <w:r>
                          <w:rPr>
                            <w:rFonts w:ascii="Calibri" w:hAnsi="Calibri" w:cs="Calibri"/>
                            <w:color w:val="595959"/>
                            <w:sz w:val="18"/>
                            <w:szCs w:val="18"/>
                            <w:lang w:val="en-US"/>
                          </w:rPr>
                          <w:t>(c) By using a combination of</w:t>
                        </w:r>
                      </w:p>
                    </w:txbxContent>
                  </v:textbox>
                </v:rect>
                <v:rect id="Rectangle 28" o:spid="_x0000_s1051" style="position:absolute;left:2266;top:14008;width:480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29349E9" w14:textId="77777777" w:rsidR="00D902EB" w:rsidRDefault="00D902EB" w:rsidP="00D902EB">
                        <w:r>
                          <w:rPr>
                            <w:rFonts w:ascii="Calibri" w:hAnsi="Calibri" w:cs="Calibri"/>
                            <w:color w:val="595959"/>
                            <w:sz w:val="18"/>
                            <w:szCs w:val="18"/>
                            <w:lang w:val="en-US"/>
                          </w:rPr>
                          <w:t>(a) and (b)</w:t>
                        </w:r>
                      </w:p>
                    </w:txbxContent>
                  </v:textbox>
                </v:rect>
                <v:rect id="Rectangle 29" o:spid="_x0000_s1052" style="position:absolute;left:1358;top:16579;width:64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" fillcolor="#ffc000" stroked="f"/>
                <v:rect id="Rectangle 30" o:spid="_x0000_s1053" style="position:absolute;left:1358;top:16579;width:64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" filled="f" strokecolor="white" strokeweight="1.5pt">
                  <v:stroke joinstyle="round"/>
                </v:rect>
                <v:rect id="Rectangle 31" o:spid="_x0000_s1054" style="position:absolute;left:2266;top:16135;width:426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C90C66B" w14:textId="77777777" w:rsidR="00D902EB" w:rsidRDefault="00D902EB" w:rsidP="00D902EB">
                        <w:r>
                          <w:rPr>
                            <w:rFonts w:ascii="Calibri" w:hAnsi="Calibri" w:cs="Calibri"/>
                            <w:color w:val="595959"/>
                            <w:sz w:val="18"/>
                            <w:szCs w:val="18"/>
                            <w:lang w:val="en-US"/>
                          </w:rPr>
                          <w:t>(d) Other</w:t>
                        </w:r>
                      </w:p>
                    </w:txbxContent>
                  </v:textbox>
                </v:rect>
                <v:rect id="Rectangle 32" o:spid="_x0000_s1055" style="position:absolute;width:46513;height:24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" filled="f" strokecolor="#d9d9d9">
                  <v:stroke joinstyle="round"/>
                </v:rect>
              </v:group>
            </w:pict>
          </mc:Fallback>
        </mc:AlternateContent>
      </w:r>
      <w:r w:rsidRPr="00516535">
        <w:rPr>
          <w:lang w:val="fr-FR"/>
        </w:rPr>
        <w:t xml:space="preserve">Figure </w:t>
      </w:r>
      <w:r>
        <w:rPr>
          <w:lang w:val="fr-FR"/>
        </w:rPr>
        <w:t>I</w:t>
      </w:r>
    </w:p>
    <w:p w14:paraId="4034E34E" w14:textId="529FDCE5" w:rsidR="00D902EB" w:rsidRDefault="00D902EB" w:rsidP="00D902EB">
      <w:pPr>
        <w:pStyle w:val="Titre1"/>
        <w:spacing w:after="120"/>
        <w:ind w:right="1134"/>
        <w:rPr>
          <w:b/>
          <w:bCs/>
          <w:lang w:val="fr-FR"/>
        </w:rPr>
      </w:pPr>
      <w:r w:rsidRPr="001F2ABA">
        <w:rPr>
          <w:b/>
          <w:bCs/>
          <w:lang w:val="fr-FR"/>
        </w:rPr>
        <w:t>Réponses à la question I</w:t>
      </w:r>
      <w:r w:rsidR="00A3423F" w:rsidRPr="00A3423F">
        <w:rPr>
          <w:b/>
          <w:bCs/>
          <w:lang w:val="fr-FR"/>
        </w:rPr>
        <w:t>.</w:t>
      </w:r>
      <w:r w:rsidRPr="001F2ABA">
        <w:rPr>
          <w:b/>
          <w:bCs/>
          <w:lang w:val="fr-FR"/>
        </w:rPr>
        <w:t>5</w:t>
      </w:r>
      <w:r w:rsidR="00A3423F" w:rsidRPr="00A3423F">
        <w:rPr>
          <w:b/>
          <w:bCs/>
          <w:lang w:val="fr-FR"/>
        </w:rPr>
        <w:t>.</w:t>
      </w:r>
      <w:r w:rsidRPr="001F2ABA">
        <w:rPr>
          <w:b/>
          <w:bCs/>
          <w:lang w:val="fr-FR"/>
        </w:rPr>
        <w:t>1 : «</w:t>
      </w:r>
      <w:r>
        <w:rPr>
          <w:b/>
          <w:bCs/>
          <w:lang w:val="fr-FR"/>
        </w:rPr>
        <w:t> </w:t>
      </w:r>
      <w:r w:rsidRPr="001F2ABA">
        <w:rPr>
          <w:b/>
          <w:bCs/>
          <w:lang w:val="fr-FR"/>
        </w:rPr>
        <w:t xml:space="preserve">Comment déterminez-vous, parmi les autres plans </w:t>
      </w:r>
      <w:r>
        <w:rPr>
          <w:b/>
          <w:bCs/>
          <w:lang w:val="fr-FR"/>
        </w:rPr>
        <w:br/>
      </w:r>
      <w:r w:rsidRPr="001F2ABA">
        <w:rPr>
          <w:b/>
          <w:bCs/>
          <w:lang w:val="fr-FR"/>
        </w:rPr>
        <w:t>et programmes, lesquels doivent faire l</w:t>
      </w:r>
      <w:r>
        <w:rPr>
          <w:b/>
          <w:bCs/>
          <w:lang w:val="fr-FR"/>
        </w:rPr>
        <w:t>’</w:t>
      </w:r>
      <w:r w:rsidRPr="001F2ABA">
        <w:rPr>
          <w:b/>
          <w:bCs/>
          <w:lang w:val="fr-FR"/>
        </w:rPr>
        <w:t>objet d</w:t>
      </w:r>
      <w:r>
        <w:rPr>
          <w:b/>
          <w:bCs/>
          <w:lang w:val="fr-FR"/>
        </w:rPr>
        <w:t>’</w:t>
      </w:r>
      <w:r w:rsidRPr="001F2ABA">
        <w:rPr>
          <w:b/>
          <w:bCs/>
          <w:lang w:val="fr-FR"/>
        </w:rPr>
        <w:t>une [évaluation stratégique environnementale]</w:t>
      </w:r>
      <w:r>
        <w:rPr>
          <w:b/>
          <w:bCs/>
          <w:lang w:val="fr-FR"/>
        </w:rPr>
        <w:t> </w:t>
      </w:r>
      <w:r w:rsidRPr="001F2ABA">
        <w:rPr>
          <w:b/>
          <w:bCs/>
          <w:lang w:val="fr-FR"/>
        </w:rPr>
        <w:t>?</w:t>
      </w:r>
      <w:r>
        <w:rPr>
          <w:b/>
          <w:bCs/>
          <w:lang w:val="fr-FR"/>
        </w:rPr>
        <w:t> </w:t>
      </w:r>
      <w:r w:rsidRPr="001F2ABA">
        <w:rPr>
          <w:b/>
          <w:bCs/>
          <w:lang w:val="fr-FR"/>
        </w:rPr>
        <w:t>» (n=24)</w:t>
      </w:r>
    </w:p>
    <w:p w14:paraId="4801110F" w14:textId="77777777" w:rsidR="00D902EB" w:rsidRDefault="00D902EB" w:rsidP="00D902EB">
      <w:pPr>
        <w:ind w:left="1134"/>
        <w:rPr>
          <w:lang w:val="fr-FR"/>
        </w:rPr>
      </w:pPr>
      <w:r w:rsidRPr="00CD40A8">
        <w:rPr>
          <w:b/>
          <w:i/>
          <w:noProof/>
          <w:lang w:val="en-US" w:eastAsia="zh-CN"/>
        </w:rPr>
        <w:drawing>
          <wp:inline distT="0" distB="0" distL="0" distR="0" wp14:anchorId="684B7CD5" wp14:editId="3300DFFB">
            <wp:extent cx="4662872" cy="2463800"/>
            <wp:effectExtent l="0" t="0" r="4445" b="12700"/>
            <wp:docPr id="50" name="Graphique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F8519A" w14:textId="501AED0F" w:rsidR="00D902EB" w:rsidRPr="00265B89" w:rsidRDefault="00D902EB" w:rsidP="00D902EB">
      <w:pPr>
        <w:pStyle w:val="SingleTxtG"/>
        <w:spacing w:before="240"/>
        <w:rPr>
          <w:lang w:val="fr-FR"/>
        </w:rPr>
      </w:pPr>
      <w:r>
        <w:rPr>
          <w:lang w:val="fr-FR"/>
        </w:rPr>
        <w:t>26</w:t>
      </w:r>
      <w:r w:rsidR="00A3423F" w:rsidRPr="00A3423F">
        <w:rPr>
          <w:lang w:val="fr-FR"/>
        </w:rPr>
        <w:t>.</w:t>
      </w:r>
      <w:r>
        <w:rPr>
          <w:lang w:val="fr-FR"/>
        </w:rPr>
        <w:tab/>
        <w:t>Vingt répondants (sur 24) définissent, dans leur législation nationale, des dispositions prévoyant que les autorités responsables de l’environnement et de la santé soient consultées lors de la vérification préliminaire (question I</w:t>
      </w:r>
      <w:r w:rsidR="00A3423F" w:rsidRPr="00A3423F">
        <w:rPr>
          <w:lang w:val="fr-FR"/>
        </w:rPr>
        <w:t>.</w:t>
      </w:r>
      <w:r>
        <w:rPr>
          <w:lang w:val="fr-FR"/>
        </w:rPr>
        <w:t>5</w:t>
      </w:r>
      <w:r w:rsidR="00A3423F" w:rsidRPr="00A3423F">
        <w:rPr>
          <w:lang w:val="fr-FR"/>
        </w:rPr>
        <w:t>.</w:t>
      </w:r>
      <w:r>
        <w:rPr>
          <w:lang w:val="fr-FR"/>
        </w:rPr>
        <w:t>2)</w:t>
      </w:r>
      <w:r w:rsidR="00A3423F" w:rsidRPr="00A3423F">
        <w:rPr>
          <w:lang w:val="fr-FR"/>
        </w:rPr>
        <w:t>.</w:t>
      </w:r>
      <w:r>
        <w:rPr>
          <w:lang w:val="fr-FR"/>
        </w:rPr>
        <w:t xml:space="preserve"> Trois répondants (Danemark, Kazakhstan et Luxembourg) déterminent, au cas par cas, les autorités à consulter et deux autres (Estonie et Finlande) indiquent que les autorités à consulter sont déterminées en partie dans la législation et en partie au cas par cas</w:t>
      </w:r>
      <w:r w:rsidR="00A3423F" w:rsidRPr="00A3423F">
        <w:rPr>
          <w:lang w:val="fr-FR"/>
        </w:rPr>
        <w:t>.</w:t>
      </w:r>
      <w:r>
        <w:rPr>
          <w:lang w:val="fr-FR"/>
        </w:rPr>
        <w:t xml:space="preserve"> La Norvège n’a pas prévu de consultation des autorités responsables de l’environnement et de la santé au stade de la vérification préliminaire</w:t>
      </w:r>
      <w:r w:rsidR="00A3423F" w:rsidRPr="00A3423F">
        <w:rPr>
          <w:lang w:val="fr-FR"/>
        </w:rPr>
        <w:t>.</w:t>
      </w:r>
    </w:p>
    <w:p w14:paraId="305F6307" w14:textId="4D1ABE6B" w:rsidR="00D902EB" w:rsidRPr="00265B89" w:rsidRDefault="00D902EB" w:rsidP="00D902EB">
      <w:pPr>
        <w:pStyle w:val="SingleTxtG"/>
        <w:rPr>
          <w:rFonts w:eastAsia="Times"/>
          <w:lang w:val="fr-FR"/>
        </w:rPr>
      </w:pPr>
      <w:bookmarkStart w:id="7" w:name="_Hlk16864328"/>
      <w:r>
        <w:rPr>
          <w:lang w:val="fr-FR"/>
        </w:rPr>
        <w:t>27</w:t>
      </w:r>
      <w:r w:rsidR="00A3423F" w:rsidRPr="00A3423F">
        <w:rPr>
          <w:lang w:val="fr-FR"/>
        </w:rPr>
        <w:t>.</w:t>
      </w:r>
      <w:r>
        <w:rPr>
          <w:lang w:val="fr-FR"/>
        </w:rPr>
        <w:tab/>
        <w:t>Plus de la moitié des répondants (13 sur 24) prévoient, dans leur législation, de donner au public concerné la possibilité de participer à la vérification préliminaire des plans et programmes (question I</w:t>
      </w:r>
      <w:r w:rsidR="00A3423F" w:rsidRPr="00A3423F">
        <w:rPr>
          <w:lang w:val="fr-FR"/>
        </w:rPr>
        <w:t>.</w:t>
      </w:r>
      <w:r>
        <w:rPr>
          <w:lang w:val="fr-FR"/>
        </w:rPr>
        <w:t>5</w:t>
      </w:r>
      <w:r w:rsidR="00A3423F" w:rsidRPr="00A3423F">
        <w:rPr>
          <w:lang w:val="fr-FR"/>
        </w:rPr>
        <w:t>.</w:t>
      </w:r>
      <w:r>
        <w:rPr>
          <w:lang w:val="fr-FR"/>
        </w:rPr>
        <w:t>3)</w:t>
      </w:r>
      <w:r w:rsidR="00A3423F" w:rsidRPr="00A3423F">
        <w:rPr>
          <w:lang w:val="fr-FR"/>
        </w:rPr>
        <w:t>.</w:t>
      </w:r>
      <w:r>
        <w:rPr>
          <w:lang w:val="fr-FR"/>
        </w:rPr>
        <w:t xml:space="preserve"> Toutefois, la Lettonie note que, dans la phase de vérification préliminaire, le « public concerné » ne fait référence qu’aux organisations non gouvernementales (ONG)</w:t>
      </w:r>
      <w:r w:rsidR="00A3423F" w:rsidRPr="00A3423F">
        <w:rPr>
          <w:lang w:val="fr-FR"/>
        </w:rPr>
        <w:t>.</w:t>
      </w:r>
      <w:r>
        <w:rPr>
          <w:lang w:val="fr-FR"/>
        </w:rPr>
        <w:t xml:space="preserve"> Certains répondants n’informent leur public que des résultats de la vérification préliminaire (Croatie, Hongrie, Lituanie, Malte et Pologne)</w:t>
      </w:r>
      <w:r w:rsidR="00A3423F" w:rsidRPr="00A3423F">
        <w:rPr>
          <w:lang w:val="fr-FR"/>
        </w:rPr>
        <w:t>.</w:t>
      </w:r>
      <w:r>
        <w:rPr>
          <w:lang w:val="fr-FR"/>
        </w:rPr>
        <w:t xml:space="preserve"> L’Autriche indique que le public concerné ne participe pas à la vérification préliminaire, mais note que, dans certains cas, il peut formuler des observations quant au résultat de la vérification</w:t>
      </w:r>
      <w:r w:rsidR="00A3423F" w:rsidRPr="00A3423F">
        <w:rPr>
          <w:lang w:val="fr-FR"/>
        </w:rPr>
        <w:t>.</w:t>
      </w:r>
      <w:r>
        <w:rPr>
          <w:lang w:val="fr-FR"/>
        </w:rPr>
        <w:t xml:space="preserve"> Les répondants qui proposent au public de participer le font le plus souvent en lui donnant la possibilité d’adresser des observations écrites à l’autorité compétente ou de participer à une audition publique (voir fig</w:t>
      </w:r>
      <w:r w:rsidR="00A3423F" w:rsidRPr="00A3423F">
        <w:rPr>
          <w:lang w:val="fr-FR"/>
        </w:rPr>
        <w:t>.</w:t>
      </w:r>
      <w:r>
        <w:rPr>
          <w:lang w:val="fr-FR"/>
        </w:rPr>
        <w:t> II)</w:t>
      </w:r>
      <w:r w:rsidR="00A3423F" w:rsidRPr="00A3423F">
        <w:rPr>
          <w:lang w:val="fr-FR"/>
        </w:rPr>
        <w:t>.</w:t>
      </w:r>
      <w:r>
        <w:rPr>
          <w:lang w:val="fr-FR"/>
        </w:rPr>
        <w:t xml:space="preserve"> La Lituanie et le Luxembourg indiquent qu’il est possible de contester une décision de ne pas effectuer d’évaluation stratégique environnementale</w:t>
      </w:r>
      <w:r w:rsidR="00A3423F" w:rsidRPr="00A3423F">
        <w:rPr>
          <w:lang w:val="fr-FR"/>
        </w:rPr>
        <w:t>.</w:t>
      </w:r>
    </w:p>
    <w:bookmarkEnd w:id="7"/>
    <w:p w14:paraId="5666D48A" w14:textId="77777777" w:rsidR="00D902EB" w:rsidRPr="00E15B31" w:rsidRDefault="00D902EB" w:rsidP="00D902EB">
      <w:pPr>
        <w:pStyle w:val="Titre1"/>
        <w:rPr>
          <w:rFonts w:eastAsia="Times"/>
          <w:lang w:val="fr-FR"/>
        </w:rPr>
      </w:pPr>
      <w:r>
        <w:rPr>
          <w:lang w:val="fr-FR"/>
        </w:rPr>
        <w:lastRenderedPageBreak/>
        <w:t xml:space="preserve">Figure II </w:t>
      </w:r>
    </w:p>
    <w:p w14:paraId="41F49989" w14:textId="03ADD379" w:rsidR="00D902EB" w:rsidRDefault="00D902EB" w:rsidP="00D902EB">
      <w:pPr>
        <w:pStyle w:val="Titre1"/>
        <w:spacing w:after="120"/>
        <w:ind w:right="1134"/>
        <w:rPr>
          <w:b/>
          <w:bCs/>
          <w:lang w:val="fr-FR"/>
        </w:rPr>
      </w:pPr>
      <w:r>
        <w:rPr>
          <w:b/>
          <w:bCs/>
          <w:lang w:val="fr-FR"/>
        </w:rPr>
        <w:t>Réponses à la question I</w:t>
      </w:r>
      <w:r w:rsidR="00A3423F" w:rsidRPr="00A3423F">
        <w:rPr>
          <w:b/>
          <w:bCs/>
          <w:lang w:val="fr-FR"/>
        </w:rPr>
        <w:t>.</w:t>
      </w:r>
      <w:r>
        <w:rPr>
          <w:b/>
          <w:bCs/>
          <w:lang w:val="fr-FR"/>
        </w:rPr>
        <w:t>5</w:t>
      </w:r>
      <w:r w:rsidR="00A3423F" w:rsidRPr="00A3423F">
        <w:rPr>
          <w:b/>
          <w:bCs/>
          <w:lang w:val="fr-FR"/>
        </w:rPr>
        <w:t>.</w:t>
      </w:r>
      <w:r>
        <w:rPr>
          <w:b/>
          <w:bCs/>
          <w:lang w:val="fr-FR"/>
        </w:rPr>
        <w:t xml:space="preserve">3 : « Votre législation prévoit-elle de donner au public concerné la possibilité de participer à la vérification préliminaire des plans </w:t>
      </w:r>
      <w:r>
        <w:rPr>
          <w:b/>
          <w:bCs/>
          <w:lang w:val="fr-FR"/>
        </w:rPr>
        <w:br/>
        <w:t>et programmes et, si oui, comment ? »</w:t>
      </w:r>
      <w:r>
        <w:rPr>
          <w:lang w:val="fr-FR"/>
        </w:rPr>
        <w:t xml:space="preserve"> </w:t>
      </w:r>
      <w:r>
        <w:rPr>
          <w:b/>
          <w:bCs/>
          <w:lang w:val="fr-FR"/>
        </w:rPr>
        <w:t>(n=24)</w:t>
      </w:r>
    </w:p>
    <w:p w14:paraId="5FB2E9B8" w14:textId="77777777" w:rsidR="00D902EB" w:rsidRDefault="00D902EB" w:rsidP="00D902EB">
      <w:pPr>
        <w:ind w:left="1134"/>
        <w:rPr>
          <w:lang w:val="fr-FR"/>
        </w:rPr>
      </w:pPr>
      <w:r w:rsidRPr="00CD40A8">
        <w:rPr>
          <w:b/>
          <w:i/>
          <w:noProof/>
          <w:lang w:val="en-US" w:eastAsia="zh-CN"/>
        </w:rPr>
        <w:drawing>
          <wp:inline distT="0" distB="0" distL="0" distR="0" wp14:anchorId="439D698A" wp14:editId="08E6A64F">
            <wp:extent cx="4662872" cy="2463800"/>
            <wp:effectExtent l="0" t="0" r="4445" b="12700"/>
            <wp:docPr id="52" name="Graphique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BD2696" w14:textId="2CFA0DF7" w:rsidR="00D902EB" w:rsidRPr="00E15B31" w:rsidRDefault="00D902EB" w:rsidP="00D902EB">
      <w:pPr>
        <w:pStyle w:val="H1G"/>
        <w:rPr>
          <w:lang w:val="fr-FR"/>
        </w:rPr>
      </w:pPr>
      <w:r>
        <w:rPr>
          <w:lang w:val="fr-FR"/>
        </w:rPr>
        <w:tab/>
        <w:t>D</w:t>
      </w:r>
      <w:r w:rsidR="00A3423F" w:rsidRPr="00A3423F">
        <w:rPr>
          <w:lang w:val="fr-FR"/>
        </w:rPr>
        <w:t>.</w:t>
      </w:r>
      <w:r>
        <w:rPr>
          <w:lang w:val="fr-FR"/>
        </w:rPr>
        <w:tab/>
      </w:r>
      <w:r>
        <w:rPr>
          <w:lang w:val="fr-FR"/>
        </w:rPr>
        <w:tab/>
        <w:t>Délimitation du champ de l’évaluation</w:t>
      </w:r>
      <w:bookmarkStart w:id="8" w:name="_Toc14170013"/>
      <w:bookmarkEnd w:id="8"/>
    </w:p>
    <w:p w14:paraId="0C7E342B" w14:textId="73575768" w:rsidR="00D902EB" w:rsidRPr="00265B89" w:rsidRDefault="00D902EB" w:rsidP="00D902EB">
      <w:pPr>
        <w:pStyle w:val="SingleTxtG"/>
        <w:rPr>
          <w:rFonts w:eastAsia="Times"/>
          <w:lang w:val="fr-FR"/>
        </w:rPr>
      </w:pPr>
      <w:r>
        <w:rPr>
          <w:lang w:val="fr-FR"/>
        </w:rPr>
        <w:t>28</w:t>
      </w:r>
      <w:r w:rsidR="00A3423F" w:rsidRPr="00A3423F">
        <w:rPr>
          <w:lang w:val="fr-FR"/>
        </w:rPr>
        <w:t>.</w:t>
      </w:r>
      <w:r>
        <w:rPr>
          <w:lang w:val="fr-FR"/>
        </w:rPr>
        <w:tab/>
        <w:t>La question I</w:t>
      </w:r>
      <w:r w:rsidR="00A3423F" w:rsidRPr="00A3423F">
        <w:rPr>
          <w:lang w:val="fr-FR"/>
        </w:rPr>
        <w:t>.</w:t>
      </w:r>
      <w:r>
        <w:rPr>
          <w:lang w:val="fr-FR"/>
        </w:rPr>
        <w:t>6</w:t>
      </w:r>
      <w:r w:rsidR="00A3423F" w:rsidRPr="00A3423F">
        <w:rPr>
          <w:lang w:val="fr-FR"/>
        </w:rPr>
        <w:t>.</w:t>
      </w:r>
      <w:r>
        <w:rPr>
          <w:lang w:val="fr-FR"/>
        </w:rPr>
        <w:t>1 porte sur la manière dont les Parties déterminent les informations pertinentes à consigner dans le rapport environnemental</w:t>
      </w:r>
      <w:r w:rsidR="00A3423F" w:rsidRPr="00A3423F">
        <w:rPr>
          <w:lang w:val="fr-FR"/>
        </w:rPr>
        <w:t>.</w:t>
      </w:r>
      <w:r>
        <w:rPr>
          <w:lang w:val="fr-FR"/>
        </w:rPr>
        <w:t xml:space="preserve"> Tous les répondants définissent les exigences en matière d’information dans leur législation et/ou leurs directives</w:t>
      </w:r>
      <w:r w:rsidR="00A3423F" w:rsidRPr="00A3423F">
        <w:rPr>
          <w:lang w:val="fr-FR"/>
        </w:rPr>
        <w:t>.</w:t>
      </w:r>
      <w:r>
        <w:rPr>
          <w:lang w:val="fr-FR"/>
        </w:rPr>
        <w:t xml:space="preserve"> La plupart des répondants indiquent également que ce sont les prescriptions de l’annexe IV du Protocole qui déterminent le contenu requis</w:t>
      </w:r>
      <w:r w:rsidR="00A3423F" w:rsidRPr="00A3423F">
        <w:rPr>
          <w:lang w:val="fr-FR"/>
        </w:rPr>
        <w:t>.</w:t>
      </w:r>
      <w:r>
        <w:rPr>
          <w:lang w:val="fr-FR"/>
        </w:rPr>
        <w:t xml:space="preserve"> En outre, 13 répondants sur 24 tiennent compte des résultats des consultations menées avec les autorités compétentes et le public (lorsque de telles possibilités sont offertes dans le cadre de la délimitation du champ de l’évaluation) pour déterminer les informations pertinentes à inclure dans le rapport environnemental</w:t>
      </w:r>
      <w:r w:rsidR="00A3423F" w:rsidRPr="00A3423F">
        <w:rPr>
          <w:lang w:val="fr-FR"/>
        </w:rPr>
        <w:t>.</w:t>
      </w:r>
    </w:p>
    <w:p w14:paraId="60A409D8" w14:textId="6A02966E" w:rsidR="00D902EB" w:rsidRPr="00265B89" w:rsidRDefault="00D902EB" w:rsidP="00D902EB">
      <w:pPr>
        <w:pStyle w:val="SingleTxtG"/>
        <w:rPr>
          <w:lang w:val="fr-FR"/>
        </w:rPr>
      </w:pPr>
      <w:r>
        <w:rPr>
          <w:lang w:val="fr-FR"/>
        </w:rPr>
        <w:t>29</w:t>
      </w:r>
      <w:r w:rsidR="00A3423F" w:rsidRPr="00A3423F">
        <w:rPr>
          <w:lang w:val="fr-FR"/>
        </w:rPr>
        <w:t>.</w:t>
      </w:r>
      <w:r>
        <w:rPr>
          <w:lang w:val="fr-FR"/>
        </w:rPr>
        <w:tab/>
        <w:t>Presque tous les répondants (22) indiquent que leur législation nationale prévoit que les autorités responsables de l’environnement et de la santé soient consultées au stade de la délimitation du champ de l’évaluation (question I</w:t>
      </w:r>
      <w:r w:rsidR="00A3423F" w:rsidRPr="00A3423F">
        <w:rPr>
          <w:lang w:val="fr-FR"/>
        </w:rPr>
        <w:t>.</w:t>
      </w:r>
      <w:r>
        <w:rPr>
          <w:lang w:val="fr-FR"/>
        </w:rPr>
        <w:t>6</w:t>
      </w:r>
      <w:r w:rsidR="00A3423F" w:rsidRPr="00A3423F">
        <w:rPr>
          <w:lang w:val="fr-FR"/>
        </w:rPr>
        <w:t>.</w:t>
      </w:r>
      <w:r>
        <w:rPr>
          <w:lang w:val="fr-FR"/>
        </w:rPr>
        <w:t>2)</w:t>
      </w:r>
      <w:r w:rsidR="00A3423F" w:rsidRPr="00A3423F">
        <w:rPr>
          <w:lang w:val="fr-FR"/>
        </w:rPr>
        <w:t>.</w:t>
      </w:r>
      <w:r>
        <w:rPr>
          <w:lang w:val="fr-FR"/>
        </w:rPr>
        <w:t xml:space="preserve"> Deux répondants (Danemark et Kazakhstan) déterminent les autorités à consulter au cas par cas et trois répondants (Estonie, Finlande et Norvège) indiquent que les autorités à consulter sont en partie déterminées dans la législation et en partie au cas par cas</w:t>
      </w:r>
      <w:r w:rsidR="00A3423F" w:rsidRPr="00A3423F">
        <w:rPr>
          <w:lang w:val="fr-FR"/>
        </w:rPr>
        <w:t>.</w:t>
      </w:r>
      <w:r>
        <w:rPr>
          <w:lang w:val="fr-FR"/>
        </w:rPr>
        <w:t xml:space="preserve"> La Norvège indique que sa législation ne précise pas les autorités à consulter, mais les autorités environnementales seront toujours consultées, de même que les autorités sanitaires le cas échéant</w:t>
      </w:r>
      <w:r w:rsidR="00A3423F" w:rsidRPr="00A3423F">
        <w:rPr>
          <w:lang w:val="fr-FR"/>
        </w:rPr>
        <w:t>.</w:t>
      </w:r>
      <w:r>
        <w:rPr>
          <w:lang w:val="fr-FR"/>
        </w:rPr>
        <w:t xml:space="preserve"> En Roumanie, les informations pertinentes à consigner dans le rapport environnemental sont déterminées par un groupe de travail spécial composé de représentants de l’autorité de planification responsable, des autorités chargées de l’environnement et de la santé et d’autres autorités concernées, de personnes physiques ou morales autorisées conformément aux dispositions juridiques, et d’experts rémunérés, le cas échéant</w:t>
      </w:r>
      <w:r w:rsidR="00A3423F" w:rsidRPr="00A3423F">
        <w:rPr>
          <w:lang w:val="fr-FR"/>
        </w:rPr>
        <w:t>.</w:t>
      </w:r>
    </w:p>
    <w:p w14:paraId="101A9477" w14:textId="6D180E6A" w:rsidR="00D902EB" w:rsidRPr="00E15B31" w:rsidRDefault="00D902EB" w:rsidP="00D902EB">
      <w:pPr>
        <w:pStyle w:val="SingleTxtG"/>
        <w:rPr>
          <w:rFonts w:eastAsia="Times"/>
          <w:lang w:val="fr-FR"/>
        </w:rPr>
      </w:pPr>
      <w:r>
        <w:rPr>
          <w:lang w:val="fr-FR"/>
        </w:rPr>
        <w:t>30</w:t>
      </w:r>
      <w:r w:rsidR="00A3423F" w:rsidRPr="00A3423F">
        <w:rPr>
          <w:lang w:val="fr-FR"/>
        </w:rPr>
        <w:t>.</w:t>
      </w:r>
      <w:r>
        <w:rPr>
          <w:lang w:val="fr-FR"/>
        </w:rPr>
        <w:tab/>
        <w:t>Dix-sept répondants (sur 23) prévoient, dans leur législation, de donner au public concerné la possibilité de participer à la délimitation du champ de l’évaluation des plans et programmes (question I</w:t>
      </w:r>
      <w:r w:rsidR="00A3423F" w:rsidRPr="00A3423F">
        <w:rPr>
          <w:lang w:val="fr-FR"/>
        </w:rPr>
        <w:t>.</w:t>
      </w:r>
      <w:r>
        <w:rPr>
          <w:lang w:val="fr-FR"/>
        </w:rPr>
        <w:t>6</w:t>
      </w:r>
      <w:r w:rsidR="00A3423F" w:rsidRPr="00A3423F">
        <w:rPr>
          <w:lang w:val="fr-FR"/>
        </w:rPr>
        <w:t>.</w:t>
      </w:r>
      <w:r>
        <w:rPr>
          <w:lang w:val="fr-FR"/>
        </w:rPr>
        <w:t>3)</w:t>
      </w:r>
      <w:r w:rsidR="00A3423F" w:rsidRPr="00A3423F">
        <w:rPr>
          <w:lang w:val="fr-FR"/>
        </w:rPr>
        <w:t>.</w:t>
      </w:r>
      <w:r>
        <w:rPr>
          <w:lang w:val="fr-FR"/>
        </w:rPr>
        <w:t xml:space="preserve"> L’Autriche indique que le public concerné ne participe pas à la délimitation du champ de l’évaluation, mais note que, dans certains cas, il peut formuler des observations quant au résultat de cette délimitation</w:t>
      </w:r>
      <w:r w:rsidR="00A3423F" w:rsidRPr="00A3423F">
        <w:rPr>
          <w:lang w:val="fr-FR"/>
        </w:rPr>
        <w:t>.</w:t>
      </w:r>
      <w:r>
        <w:rPr>
          <w:lang w:val="fr-FR"/>
        </w:rPr>
        <w:t xml:space="preserve"> Les répondants qui donnent au public la possibilité de participer le font le plus souvent en lui donnant la possibilité d’adresser des observations écrites à l’autorité compétente</w:t>
      </w:r>
      <w:r w:rsidR="00A3423F" w:rsidRPr="00A3423F">
        <w:rPr>
          <w:lang w:val="fr-FR"/>
        </w:rPr>
        <w:t>.</w:t>
      </w:r>
      <w:r>
        <w:rPr>
          <w:lang w:val="fr-FR"/>
        </w:rPr>
        <w:t xml:space="preserve"> Neuf répondants permettent également au public de prendre part aux auditions publiques</w:t>
      </w:r>
      <w:r w:rsidR="00A3423F" w:rsidRPr="00A3423F">
        <w:rPr>
          <w:lang w:val="fr-FR"/>
        </w:rPr>
        <w:t>.</w:t>
      </w:r>
      <w:r>
        <w:rPr>
          <w:lang w:val="fr-FR"/>
        </w:rPr>
        <w:t xml:space="preserve"> La Suède indique que toutes les options (a) à c)) sont utilisées (voir fig</w:t>
      </w:r>
      <w:r w:rsidR="00A3423F" w:rsidRPr="00A3423F">
        <w:rPr>
          <w:lang w:val="fr-FR"/>
        </w:rPr>
        <w:t>.</w:t>
      </w:r>
      <w:r>
        <w:rPr>
          <w:lang w:val="fr-FR"/>
        </w:rPr>
        <w:t> III)</w:t>
      </w:r>
      <w:r w:rsidR="00A3423F" w:rsidRPr="00A3423F">
        <w:rPr>
          <w:lang w:val="fr-FR"/>
        </w:rPr>
        <w:t>.</w:t>
      </w:r>
    </w:p>
    <w:p w14:paraId="66BE4968" w14:textId="77777777" w:rsidR="00D902EB" w:rsidRPr="00E15B31" w:rsidRDefault="00D902EB" w:rsidP="00D902EB">
      <w:pPr>
        <w:pStyle w:val="Titre1"/>
        <w:rPr>
          <w:rFonts w:eastAsia="Times"/>
          <w:lang w:val="fr-FR"/>
        </w:rPr>
      </w:pPr>
      <w:r>
        <w:rPr>
          <w:lang w:val="fr-FR"/>
        </w:rPr>
        <w:lastRenderedPageBreak/>
        <w:t>Figure III</w:t>
      </w:r>
    </w:p>
    <w:p w14:paraId="2D13131E" w14:textId="63675CB1" w:rsidR="00D902EB" w:rsidRDefault="00D902EB" w:rsidP="00D902EB">
      <w:pPr>
        <w:pStyle w:val="Titre1"/>
        <w:spacing w:after="120"/>
        <w:ind w:right="1134"/>
        <w:rPr>
          <w:b/>
          <w:bCs/>
          <w:lang w:val="fr-FR"/>
        </w:rPr>
      </w:pPr>
      <w:r>
        <w:rPr>
          <w:b/>
          <w:bCs/>
          <w:lang w:val="fr-FR"/>
        </w:rPr>
        <w:t>Réponses à la question I</w:t>
      </w:r>
      <w:r w:rsidR="00A3423F" w:rsidRPr="00A3423F">
        <w:rPr>
          <w:b/>
          <w:bCs/>
          <w:lang w:val="fr-FR"/>
        </w:rPr>
        <w:t>.</w:t>
      </w:r>
      <w:r>
        <w:rPr>
          <w:b/>
          <w:bCs/>
          <w:lang w:val="fr-FR"/>
        </w:rPr>
        <w:t>6</w:t>
      </w:r>
      <w:r w:rsidR="00A3423F" w:rsidRPr="00A3423F">
        <w:rPr>
          <w:b/>
          <w:bCs/>
          <w:lang w:val="fr-FR"/>
        </w:rPr>
        <w:t>.</w:t>
      </w:r>
      <w:r>
        <w:rPr>
          <w:b/>
          <w:bCs/>
          <w:lang w:val="fr-FR"/>
        </w:rPr>
        <w:t xml:space="preserve">3 : « Votre législation prévoit-elle de donner au public concerné la possibilité de participer à la délimitation du champ de l’évaluation </w:t>
      </w:r>
      <w:r>
        <w:rPr>
          <w:b/>
          <w:bCs/>
          <w:lang w:val="fr-FR"/>
        </w:rPr>
        <w:br/>
        <w:t>des plans et programmes et, si oui, comment ? »</w:t>
      </w:r>
      <w:r>
        <w:rPr>
          <w:lang w:val="fr-FR"/>
        </w:rPr>
        <w:t xml:space="preserve"> </w:t>
      </w:r>
      <w:r>
        <w:rPr>
          <w:b/>
          <w:bCs/>
          <w:lang w:val="fr-FR"/>
        </w:rPr>
        <w:t>(n=17)</w:t>
      </w:r>
    </w:p>
    <w:p w14:paraId="4FD134CC" w14:textId="77777777" w:rsidR="00D902EB" w:rsidRDefault="00D902EB" w:rsidP="00D902EB">
      <w:pPr>
        <w:ind w:left="1134" w:right="1134"/>
        <w:rPr>
          <w:lang w:val="fr-FR"/>
        </w:rPr>
      </w:pPr>
      <w:r w:rsidRPr="00DB33DF">
        <w:rPr>
          <w:b/>
          <w:i/>
          <w:noProof/>
          <w:lang w:val="en-US" w:eastAsia="zh-CN"/>
        </w:rPr>
        <w:drawing>
          <wp:inline distT="0" distB="0" distL="0" distR="0" wp14:anchorId="1386C9A4" wp14:editId="34F2611C">
            <wp:extent cx="4662872" cy="2463800"/>
            <wp:effectExtent l="0" t="0" r="4445" b="12700"/>
            <wp:docPr id="53" name="Graphique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E35A37" w14:textId="5478FBC9" w:rsidR="00D902EB" w:rsidRPr="008D7454" w:rsidRDefault="00D902EB" w:rsidP="00D902EB">
      <w:pPr>
        <w:pStyle w:val="H1G"/>
        <w:rPr>
          <w:lang w:val="fr-FR"/>
        </w:rPr>
      </w:pPr>
      <w:r>
        <w:rPr>
          <w:lang w:val="fr-FR"/>
        </w:rPr>
        <w:tab/>
        <w:t>E</w:t>
      </w:r>
      <w:r w:rsidR="00A3423F" w:rsidRPr="00A3423F">
        <w:rPr>
          <w:lang w:val="fr-FR"/>
        </w:rPr>
        <w:t>.</w:t>
      </w:r>
      <w:r>
        <w:rPr>
          <w:lang w:val="fr-FR"/>
        </w:rPr>
        <w:tab/>
      </w:r>
      <w:r>
        <w:rPr>
          <w:lang w:val="fr-FR"/>
        </w:rPr>
        <w:tab/>
      </w:r>
      <w:r w:rsidRPr="008D7454">
        <w:rPr>
          <w:lang w:val="fr-FR"/>
        </w:rPr>
        <w:t>Rapport environnemental</w:t>
      </w:r>
    </w:p>
    <w:p w14:paraId="5808BD3B" w14:textId="54D03B66" w:rsidR="00D902EB" w:rsidRPr="00265B89" w:rsidRDefault="00D902EB" w:rsidP="00D902EB">
      <w:pPr>
        <w:pStyle w:val="SingleTxtG"/>
        <w:rPr>
          <w:rFonts w:eastAsia="Times"/>
          <w:lang w:val="fr-FR"/>
        </w:rPr>
      </w:pPr>
      <w:r w:rsidRPr="008D7454">
        <w:rPr>
          <w:lang w:val="fr-FR"/>
        </w:rPr>
        <w:t>31</w:t>
      </w:r>
      <w:r w:rsidR="00A3423F" w:rsidRPr="00A3423F">
        <w:rPr>
          <w:lang w:val="fr-FR"/>
        </w:rPr>
        <w:t>.</w:t>
      </w:r>
      <w:r w:rsidRPr="008D7454">
        <w:rPr>
          <w:lang w:val="fr-FR"/>
        </w:rPr>
        <w:tab/>
        <w:t>La figure IV montre la manière dont les Parties déterminent des «</w:t>
      </w:r>
      <w:r>
        <w:rPr>
          <w:lang w:val="fr-FR"/>
        </w:rPr>
        <w:t> </w:t>
      </w:r>
      <w:r w:rsidRPr="008D7454">
        <w:rPr>
          <w:lang w:val="fr-FR"/>
        </w:rPr>
        <w:t>solutions de remplacement raisonnables</w:t>
      </w:r>
      <w:r>
        <w:rPr>
          <w:lang w:val="fr-FR"/>
        </w:rPr>
        <w:t> </w:t>
      </w:r>
      <w:r w:rsidRPr="008D7454">
        <w:rPr>
          <w:lang w:val="fr-FR"/>
        </w:rPr>
        <w:t>» dans le contexte du rapport environnemental (question I</w:t>
      </w:r>
      <w:r w:rsidR="00A3423F" w:rsidRPr="00A3423F">
        <w:rPr>
          <w:lang w:val="fr-FR"/>
        </w:rPr>
        <w:t>.</w:t>
      </w:r>
      <w:r w:rsidRPr="008D7454">
        <w:rPr>
          <w:lang w:val="fr-FR"/>
        </w:rPr>
        <w:t>7</w:t>
      </w:r>
      <w:r w:rsidR="00A3423F" w:rsidRPr="00A3423F">
        <w:rPr>
          <w:lang w:val="fr-FR"/>
        </w:rPr>
        <w:t>.</w:t>
      </w:r>
      <w:r w:rsidRPr="008D7454">
        <w:rPr>
          <w:lang w:val="fr-FR"/>
        </w:rPr>
        <w:t>1)</w:t>
      </w:r>
      <w:r w:rsidR="00A3423F" w:rsidRPr="00A3423F">
        <w:rPr>
          <w:lang w:val="fr-FR"/>
        </w:rPr>
        <w:t>.</w:t>
      </w:r>
      <w:r w:rsidRPr="008D7454">
        <w:rPr>
          <w:lang w:val="fr-FR"/>
        </w:rPr>
        <w:t xml:space="preserve"> Dix-sept Parties (sur 24) le déterminent au cas par cas ; trois se fondent sur la législation nationale (Bosnie-Herzégovine, Hongrie et République de Moldova)</w:t>
      </w:r>
      <w:r>
        <w:rPr>
          <w:lang w:val="fr-FR"/>
        </w:rPr>
        <w:t xml:space="preserve"> </w:t>
      </w:r>
      <w:r w:rsidRPr="008D7454">
        <w:rPr>
          <w:lang w:val="fr-FR"/>
        </w:rPr>
        <w:t>et cinq (Albanie, Arménie, Croatie, Malte et Monténégro) associent les prescriptions de leur législation à une approche au cas par cas pour sélectionner des solutions de remplacement raisonnables</w:t>
      </w:r>
      <w:r w:rsidR="00A3423F" w:rsidRPr="00A3423F">
        <w:rPr>
          <w:lang w:val="fr-FR"/>
        </w:rPr>
        <w:t>.</w:t>
      </w:r>
      <w:r w:rsidRPr="008D7454">
        <w:rPr>
          <w:lang w:val="fr-FR"/>
        </w:rPr>
        <w:t xml:space="preserve"> L</w:t>
      </w:r>
      <w:r>
        <w:rPr>
          <w:lang w:val="fr-FR"/>
        </w:rPr>
        <w:t>’</w:t>
      </w:r>
      <w:r w:rsidRPr="008D7454">
        <w:rPr>
          <w:lang w:val="fr-FR"/>
        </w:rPr>
        <w:t>Autriche et la Pologne indiquent</w:t>
      </w:r>
      <w:r>
        <w:rPr>
          <w:lang w:val="fr-FR"/>
        </w:rPr>
        <w:t xml:space="preserve"> qu’elles ne définissent pas la notion de solutions de remplacement raisonnables, pas plus qu’elles ne prescrivent le nombre de solutions de remplacement qui devraient être envisagées</w:t>
      </w:r>
      <w:r w:rsidR="00A3423F" w:rsidRPr="00A3423F">
        <w:rPr>
          <w:lang w:val="fr-FR"/>
        </w:rPr>
        <w:t>.</w:t>
      </w:r>
    </w:p>
    <w:p w14:paraId="625064B0" w14:textId="77777777" w:rsidR="00D902EB" w:rsidRDefault="00D902EB" w:rsidP="00D902EB">
      <w:pPr>
        <w:pStyle w:val="Titre1"/>
        <w:rPr>
          <w:lang w:val="fr-FR"/>
        </w:rPr>
      </w:pPr>
      <w:r w:rsidRPr="00DC6B0F">
        <w:rPr>
          <w:lang w:val="fr-FR"/>
        </w:rPr>
        <w:t>Figure IV</w:t>
      </w:r>
    </w:p>
    <w:p w14:paraId="41338F20" w14:textId="20DF6267" w:rsidR="00D902EB" w:rsidRPr="00DC6B0F" w:rsidRDefault="00D902EB" w:rsidP="00D902EB">
      <w:pPr>
        <w:pStyle w:val="Titre1"/>
        <w:spacing w:after="120"/>
        <w:ind w:right="1134"/>
        <w:rPr>
          <w:rFonts w:eastAsia="Times"/>
          <w:b/>
          <w:bCs/>
          <w:i/>
          <w:lang w:val="fr-FR"/>
        </w:rPr>
      </w:pPr>
      <w:r>
        <w:rPr>
          <w:b/>
          <w:bCs/>
          <w:lang w:val="fr-FR"/>
        </w:rPr>
        <w:t>Réponses à la question I</w:t>
      </w:r>
      <w:r w:rsidR="00A3423F" w:rsidRPr="00A3423F">
        <w:rPr>
          <w:b/>
          <w:bCs/>
          <w:lang w:val="fr-FR"/>
        </w:rPr>
        <w:t>.</w:t>
      </w:r>
      <w:r>
        <w:rPr>
          <w:b/>
          <w:bCs/>
          <w:lang w:val="fr-FR"/>
        </w:rPr>
        <w:t>7</w:t>
      </w:r>
      <w:r w:rsidR="00A3423F" w:rsidRPr="00A3423F">
        <w:rPr>
          <w:b/>
          <w:bCs/>
          <w:lang w:val="fr-FR"/>
        </w:rPr>
        <w:t>.</w:t>
      </w:r>
      <w:r>
        <w:rPr>
          <w:b/>
          <w:bCs/>
          <w:lang w:val="fr-FR"/>
        </w:rPr>
        <w:t xml:space="preserve">1 : « Comment déterminez-vous les </w:t>
      </w:r>
      <w:r w:rsidRPr="003C556A">
        <w:rPr>
          <w:b/>
          <w:bCs/>
        </w:rPr>
        <w:t>“</w:t>
      </w:r>
      <w:r>
        <w:rPr>
          <w:b/>
          <w:bCs/>
          <w:lang w:val="fr-FR"/>
        </w:rPr>
        <w:t xml:space="preserve">solutions </w:t>
      </w:r>
      <w:r>
        <w:rPr>
          <w:b/>
          <w:bCs/>
          <w:lang w:val="fr-FR"/>
        </w:rPr>
        <w:br/>
        <w:t>de remplacement raisonnables</w:t>
      </w:r>
      <w:r w:rsidRPr="003C556A">
        <w:rPr>
          <w:b/>
          <w:bCs/>
        </w:rPr>
        <w:t>”</w:t>
      </w:r>
      <w:r>
        <w:rPr>
          <w:b/>
          <w:bCs/>
          <w:lang w:val="fr-FR"/>
        </w:rPr>
        <w:t xml:space="preserve"> dans le contexte du rapport </w:t>
      </w:r>
      <w:r>
        <w:rPr>
          <w:b/>
          <w:bCs/>
          <w:lang w:val="fr-FR"/>
        </w:rPr>
        <w:br/>
        <w:t>environnemental ? » (n=24)</w:t>
      </w:r>
    </w:p>
    <w:p w14:paraId="72069AA2" w14:textId="77777777" w:rsidR="00D902EB" w:rsidRDefault="00D902EB" w:rsidP="00D902EB">
      <w:pPr>
        <w:spacing w:after="240"/>
        <w:ind w:left="1134" w:right="1134"/>
        <w:rPr>
          <w:lang w:val="fr-FR"/>
        </w:rPr>
      </w:pPr>
      <w:r w:rsidRPr="00CD40A8">
        <w:rPr>
          <w:noProof/>
          <w:lang w:val="en-US" w:eastAsia="zh-CN"/>
        </w:rPr>
        <w:drawing>
          <wp:inline distT="0" distB="0" distL="0" distR="0" wp14:anchorId="5184426B" wp14:editId="59F4D524">
            <wp:extent cx="4605782" cy="2755900"/>
            <wp:effectExtent l="0" t="0" r="4445" b="6350"/>
            <wp:docPr id="54" name="Graphique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673B28" w14:textId="0BE67CE6" w:rsidR="00D902EB" w:rsidRPr="00E15B31" w:rsidRDefault="00D902EB" w:rsidP="00D902EB">
      <w:pPr>
        <w:pStyle w:val="SingleTxtG"/>
        <w:keepNext/>
        <w:keepLines/>
        <w:spacing w:after="240"/>
        <w:rPr>
          <w:rFonts w:eastAsia="Times"/>
          <w:lang w:val="fr-FR"/>
        </w:rPr>
      </w:pPr>
      <w:r>
        <w:rPr>
          <w:lang w:val="fr-FR"/>
        </w:rPr>
        <w:lastRenderedPageBreak/>
        <w:t>32</w:t>
      </w:r>
      <w:r w:rsidR="00A3423F" w:rsidRPr="00A3423F">
        <w:rPr>
          <w:lang w:val="fr-FR"/>
        </w:rPr>
        <w:t>.</w:t>
      </w:r>
      <w:r>
        <w:rPr>
          <w:lang w:val="fr-FR"/>
        </w:rPr>
        <w:tab/>
        <w:t>Dans la question I</w:t>
      </w:r>
      <w:r w:rsidR="00A3423F" w:rsidRPr="00A3423F">
        <w:rPr>
          <w:lang w:val="fr-FR"/>
        </w:rPr>
        <w:t>.</w:t>
      </w:r>
      <w:r>
        <w:rPr>
          <w:lang w:val="fr-FR"/>
        </w:rPr>
        <w:t>7,2, il est demandé aux Parties d’indiquer la façon dont elles veillent à ce que « les rapports aient la qualité voulue »</w:t>
      </w:r>
      <w:r w:rsidR="00A3423F" w:rsidRPr="00A3423F">
        <w:rPr>
          <w:lang w:val="fr-FR"/>
        </w:rPr>
        <w:t>.</w:t>
      </w:r>
      <w:r>
        <w:rPr>
          <w:lang w:val="fr-FR"/>
        </w:rPr>
        <w:t xml:space="preserve"> Dans la plupart des cas (17 sur 23, voir fig</w:t>
      </w:r>
      <w:r w:rsidR="00A3423F" w:rsidRPr="00A3423F">
        <w:rPr>
          <w:lang w:val="fr-FR"/>
        </w:rPr>
        <w:t>.</w:t>
      </w:r>
      <w:r>
        <w:rPr>
          <w:lang w:val="fr-FR"/>
        </w:rPr>
        <w:t> V), l’autorité compétente vérifie les informations fournies et veille à ce qu’elles contiennent au moins toutes les informations spécifiées à l’annexe IV avant de les rendre publiques</w:t>
      </w:r>
      <w:r w:rsidR="00A3423F" w:rsidRPr="00A3423F">
        <w:rPr>
          <w:lang w:val="fr-FR"/>
        </w:rPr>
        <w:t>.</w:t>
      </w:r>
      <w:r>
        <w:rPr>
          <w:lang w:val="fr-FR"/>
        </w:rPr>
        <w:t xml:space="preserve"> L’Autriche et la Roumanie utilisent également des listes de contrôle de la qualité</w:t>
      </w:r>
      <w:r w:rsidR="00A3423F" w:rsidRPr="00A3423F">
        <w:rPr>
          <w:lang w:val="fr-FR"/>
        </w:rPr>
        <w:t>.</w:t>
      </w:r>
    </w:p>
    <w:p w14:paraId="4D551C36" w14:textId="77777777" w:rsidR="00D902EB" w:rsidRPr="003271C6" w:rsidRDefault="00D902EB" w:rsidP="00D902EB">
      <w:pPr>
        <w:pStyle w:val="Titre1"/>
        <w:rPr>
          <w:rFonts w:eastAsia="Times"/>
          <w:lang w:val="fr-FR"/>
        </w:rPr>
      </w:pPr>
      <w:r w:rsidRPr="003271C6">
        <w:rPr>
          <w:lang w:val="fr-FR"/>
        </w:rPr>
        <w:t>Figure V</w:t>
      </w:r>
    </w:p>
    <w:p w14:paraId="552823AD" w14:textId="734CA638" w:rsidR="00D902EB" w:rsidRDefault="00D902EB" w:rsidP="00D902EB">
      <w:pPr>
        <w:pStyle w:val="Titre1"/>
        <w:spacing w:after="120"/>
        <w:ind w:right="1134"/>
        <w:rPr>
          <w:b/>
          <w:bCs/>
          <w:lang w:val="fr-FR"/>
        </w:rPr>
      </w:pPr>
      <w:r w:rsidRPr="008D7454">
        <w:rPr>
          <w:b/>
          <w:bCs/>
          <w:lang w:val="fr-FR"/>
        </w:rPr>
        <w:t>Réponses à la question I</w:t>
      </w:r>
      <w:r w:rsidR="00A3423F" w:rsidRPr="00A3423F">
        <w:rPr>
          <w:b/>
          <w:bCs/>
          <w:lang w:val="fr-FR"/>
        </w:rPr>
        <w:t>.</w:t>
      </w:r>
      <w:r w:rsidRPr="008D7454">
        <w:rPr>
          <w:b/>
          <w:bCs/>
          <w:lang w:val="fr-FR"/>
        </w:rPr>
        <w:t>7</w:t>
      </w:r>
      <w:r w:rsidR="00A3423F" w:rsidRPr="00A3423F">
        <w:rPr>
          <w:b/>
          <w:bCs/>
          <w:lang w:val="fr-FR"/>
        </w:rPr>
        <w:t>.</w:t>
      </w:r>
      <w:r w:rsidRPr="008D7454">
        <w:rPr>
          <w:b/>
          <w:bCs/>
          <w:lang w:val="fr-FR"/>
        </w:rPr>
        <w:t>2 : «</w:t>
      </w:r>
      <w:r>
        <w:rPr>
          <w:b/>
          <w:bCs/>
          <w:lang w:val="fr-FR"/>
        </w:rPr>
        <w:t> </w:t>
      </w:r>
      <w:r w:rsidRPr="008D7454">
        <w:rPr>
          <w:b/>
          <w:bCs/>
          <w:lang w:val="fr-FR"/>
        </w:rPr>
        <w:t xml:space="preserve">Comment veillez-vous à ce que les rapports </w:t>
      </w:r>
      <w:r>
        <w:rPr>
          <w:b/>
          <w:bCs/>
          <w:lang w:val="fr-FR"/>
        </w:rPr>
        <w:br/>
      </w:r>
      <w:r w:rsidRPr="008D7454">
        <w:rPr>
          <w:b/>
          <w:bCs/>
          <w:lang w:val="fr-FR"/>
        </w:rPr>
        <w:t>aient la qualité voulue</w:t>
      </w:r>
      <w:r>
        <w:rPr>
          <w:b/>
          <w:bCs/>
          <w:lang w:val="fr-FR"/>
        </w:rPr>
        <w:t> </w:t>
      </w:r>
      <w:r w:rsidRPr="008D7454">
        <w:rPr>
          <w:b/>
          <w:bCs/>
          <w:lang w:val="fr-FR"/>
        </w:rPr>
        <w:t>?</w:t>
      </w:r>
      <w:r>
        <w:rPr>
          <w:b/>
          <w:bCs/>
          <w:lang w:val="fr-FR"/>
        </w:rPr>
        <w:t> </w:t>
      </w:r>
      <w:r w:rsidRPr="008D7454">
        <w:rPr>
          <w:b/>
          <w:bCs/>
          <w:lang w:val="fr-FR"/>
        </w:rPr>
        <w:t>» (n=24)</w:t>
      </w:r>
    </w:p>
    <w:p w14:paraId="7FED8F71" w14:textId="77777777" w:rsidR="00D902EB" w:rsidRDefault="00D902EB" w:rsidP="004D1C08">
      <w:pPr>
        <w:spacing w:after="240"/>
        <w:ind w:left="1134"/>
        <w:rPr>
          <w:lang w:val="fr-FR"/>
        </w:rPr>
      </w:pPr>
      <w:r w:rsidRPr="00CD40A8">
        <w:rPr>
          <w:b/>
          <w:noProof/>
          <w:sz w:val="28"/>
          <w:lang w:val="en-US" w:eastAsia="zh-CN"/>
        </w:rPr>
        <w:drawing>
          <wp:inline distT="0" distB="0" distL="0" distR="0" wp14:anchorId="20A1B0DA" wp14:editId="760A6ED0">
            <wp:extent cx="4594860" cy="3301695"/>
            <wp:effectExtent l="0" t="0" r="15240" b="13335"/>
            <wp:docPr id="56" name="Graphique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A4DBF5" w14:textId="3B01B06D" w:rsidR="00D902EB" w:rsidRPr="00265B89" w:rsidRDefault="00D902EB" w:rsidP="00D902EB">
      <w:pPr>
        <w:pStyle w:val="SingleTxtG"/>
        <w:keepNext/>
        <w:keepLines/>
        <w:rPr>
          <w:rFonts w:eastAsia="Times"/>
          <w:lang w:val="fr-FR"/>
        </w:rPr>
      </w:pPr>
      <w:r>
        <w:rPr>
          <w:lang w:val="fr-FR"/>
        </w:rPr>
        <w:t>33</w:t>
      </w:r>
      <w:r w:rsidR="00A3423F" w:rsidRPr="00A3423F">
        <w:rPr>
          <w:lang w:val="fr-FR"/>
        </w:rPr>
        <w:t>.</w:t>
      </w:r>
      <w:r>
        <w:rPr>
          <w:lang w:val="fr-FR"/>
        </w:rPr>
        <w:tab/>
        <w:t xml:space="preserve">Dix répondants garantissent la qualité des rapports par d’autres moyens : ils suivent </w:t>
      </w:r>
      <w:r w:rsidRPr="008D7454">
        <w:t>notamment</w:t>
      </w:r>
      <w:r>
        <w:rPr>
          <w:lang w:val="fr-FR"/>
        </w:rPr>
        <w:t xml:space="preserve"> des lignes directrices pouvant les guider à cet effet (Autriche, Finlande et Roumanie) ou recourent à des experts certifiés/qualifiés (Bosnie-Herzégovine, Croatie, Estonie, Hongrie, Luxembourg, Pologne et Tchéquie, entre autres)</w:t>
      </w:r>
      <w:r w:rsidR="00A3423F" w:rsidRPr="00A3423F">
        <w:rPr>
          <w:lang w:val="fr-FR"/>
        </w:rPr>
        <w:t>.</w:t>
      </w:r>
      <w:r>
        <w:rPr>
          <w:lang w:val="fr-FR"/>
        </w:rPr>
        <w:t xml:space="preserve"> Plusieurs répondants indiquent que, dans la pratique, un contrôle de la qualité est également réalisé dans le cadre des consultations menées avec les autorités compétentes et/ou le public (Albanie, Hongrie, Kazakhstan, Lituanie, Luxembourg, Monténégro, Norvège, Pologne et Roumanie)</w:t>
      </w:r>
      <w:r w:rsidR="00A3423F" w:rsidRPr="00A3423F">
        <w:rPr>
          <w:lang w:val="fr-FR"/>
        </w:rPr>
        <w:t>.</w:t>
      </w:r>
      <w:r>
        <w:rPr>
          <w:lang w:val="fr-FR"/>
        </w:rPr>
        <w:t xml:space="preserve"> Des groupes de travail spéciaux/comités d’évaluation chargés d’évaluer le rapport d’évaluation stratégique environnementale peuvent être créés en Croatie et au Monténégro, tandis que des consultants externes peuvent être employés pour évaluer la qualité au Danemark et en Roumanie</w:t>
      </w:r>
      <w:r w:rsidR="00A3423F" w:rsidRPr="00A3423F">
        <w:rPr>
          <w:lang w:val="fr-FR"/>
        </w:rPr>
        <w:t>.</w:t>
      </w:r>
      <w:r>
        <w:rPr>
          <w:lang w:val="fr-FR"/>
        </w:rPr>
        <w:t xml:space="preserve"> </w:t>
      </w:r>
      <w:bookmarkStart w:id="9" w:name="_Hlk16866152"/>
    </w:p>
    <w:bookmarkEnd w:id="9"/>
    <w:p w14:paraId="6A973439" w14:textId="2DD23367" w:rsidR="00D902EB" w:rsidRPr="00E15B31" w:rsidRDefault="00D902EB" w:rsidP="00D902EB">
      <w:pPr>
        <w:pStyle w:val="H1G"/>
        <w:rPr>
          <w:lang w:val="fr-FR"/>
        </w:rPr>
      </w:pPr>
      <w:r>
        <w:rPr>
          <w:lang w:val="fr-FR"/>
        </w:rPr>
        <w:tab/>
        <w:t>F</w:t>
      </w:r>
      <w:r w:rsidR="00A3423F" w:rsidRPr="00A3423F">
        <w:rPr>
          <w:lang w:val="fr-FR"/>
        </w:rPr>
        <w:t>.</w:t>
      </w:r>
      <w:r>
        <w:rPr>
          <w:lang w:val="fr-FR"/>
        </w:rPr>
        <w:tab/>
      </w:r>
      <w:r>
        <w:rPr>
          <w:lang w:val="fr-FR"/>
        </w:rPr>
        <w:tab/>
        <w:t>Participation du public</w:t>
      </w:r>
    </w:p>
    <w:p w14:paraId="45BB4FF7" w14:textId="0C8BA4F4" w:rsidR="00D902EB" w:rsidRPr="00E15B31" w:rsidRDefault="00D902EB" w:rsidP="00D902EB">
      <w:pPr>
        <w:pStyle w:val="SingleTxtG"/>
        <w:rPr>
          <w:rFonts w:eastAsia="Times"/>
          <w:lang w:val="fr-FR"/>
        </w:rPr>
      </w:pPr>
      <w:r>
        <w:rPr>
          <w:lang w:val="fr-FR"/>
        </w:rPr>
        <w:t>34</w:t>
      </w:r>
      <w:r w:rsidR="00A3423F" w:rsidRPr="00A3423F">
        <w:rPr>
          <w:lang w:val="fr-FR"/>
        </w:rPr>
        <w:t>.</w:t>
      </w:r>
      <w:r>
        <w:rPr>
          <w:lang w:val="fr-FR"/>
        </w:rPr>
        <w:tab/>
        <w:t xml:space="preserve">La figure VI montre que la quasi-totalité des répondants veillent à ce que les projets de plan ou de </w:t>
      </w:r>
      <w:r w:rsidRPr="008D7454">
        <w:t>programme</w:t>
      </w:r>
      <w:r>
        <w:rPr>
          <w:lang w:val="fr-FR"/>
        </w:rPr>
        <w:t xml:space="preserve"> et les rapports environnementaux soient mis à la disposition du public en temps voulu, tant en publiant des avis au public qu’en utilisant des </w:t>
      </w:r>
      <w:proofErr w:type="spellStart"/>
      <w:r>
        <w:rPr>
          <w:lang w:val="fr-FR"/>
        </w:rPr>
        <w:t>médias</w:t>
      </w:r>
      <w:proofErr w:type="spellEnd"/>
      <w:r>
        <w:rPr>
          <w:lang w:val="fr-FR"/>
        </w:rPr>
        <w:t xml:space="preserve"> électroniques</w:t>
      </w:r>
      <w:r w:rsidR="00A3423F" w:rsidRPr="00A3423F">
        <w:rPr>
          <w:lang w:val="fr-FR"/>
        </w:rPr>
        <w:t>.</w:t>
      </w:r>
      <w:r>
        <w:rPr>
          <w:lang w:val="fr-FR"/>
        </w:rPr>
        <w:t xml:space="preserve"> L’Estonie, quant à elle, informe le public par le biais de publications dans le journal électronique des annonces officielles et dans les journaux ainsi que par courrier, alors que la Norvège a également recours au courrier électronique</w:t>
      </w:r>
      <w:r w:rsidR="00A3423F" w:rsidRPr="00A3423F">
        <w:rPr>
          <w:lang w:val="fr-FR"/>
        </w:rPr>
        <w:t>.</w:t>
      </w:r>
    </w:p>
    <w:p w14:paraId="3DF787BA" w14:textId="77777777" w:rsidR="00D902EB" w:rsidRPr="007D0DD9" w:rsidRDefault="00D902EB" w:rsidP="00D902EB">
      <w:pPr>
        <w:pStyle w:val="Titre1"/>
        <w:rPr>
          <w:rFonts w:eastAsia="Times"/>
          <w:lang w:val="fr-FR"/>
        </w:rPr>
      </w:pPr>
      <w:r w:rsidRPr="007D0DD9">
        <w:rPr>
          <w:lang w:val="fr-FR"/>
        </w:rPr>
        <w:lastRenderedPageBreak/>
        <w:t>Figure VI</w:t>
      </w:r>
    </w:p>
    <w:p w14:paraId="5C1ED1F8" w14:textId="1B94E843" w:rsidR="00D902EB" w:rsidRDefault="00D902EB" w:rsidP="00D902EB">
      <w:pPr>
        <w:pStyle w:val="Titre1"/>
        <w:spacing w:after="120"/>
        <w:ind w:right="1134"/>
        <w:rPr>
          <w:b/>
          <w:bCs/>
          <w:lang w:val="fr-FR"/>
        </w:rPr>
      </w:pPr>
      <w:r w:rsidRPr="008D7454">
        <w:rPr>
          <w:b/>
          <w:bCs/>
          <w:lang w:val="fr-FR"/>
        </w:rPr>
        <w:t>Réponses à la question I</w:t>
      </w:r>
      <w:r w:rsidR="00A3423F" w:rsidRPr="00A3423F">
        <w:rPr>
          <w:b/>
          <w:bCs/>
          <w:lang w:val="fr-FR"/>
        </w:rPr>
        <w:t>.</w:t>
      </w:r>
      <w:r w:rsidRPr="008D7454">
        <w:rPr>
          <w:b/>
          <w:bCs/>
          <w:lang w:val="fr-FR"/>
        </w:rPr>
        <w:t>8</w:t>
      </w:r>
      <w:r w:rsidR="00A3423F" w:rsidRPr="00A3423F">
        <w:rPr>
          <w:b/>
          <w:bCs/>
          <w:lang w:val="fr-FR"/>
        </w:rPr>
        <w:t>.</w:t>
      </w:r>
      <w:r w:rsidRPr="008D7454">
        <w:rPr>
          <w:b/>
          <w:bCs/>
          <w:lang w:val="fr-FR"/>
        </w:rPr>
        <w:t>1 : « Comment prévenez-vous le public et comment mettez</w:t>
      </w:r>
      <w:r>
        <w:rPr>
          <w:b/>
          <w:bCs/>
          <w:lang w:val="fr-FR"/>
        </w:rPr>
        <w:noBreakHyphen/>
      </w:r>
      <w:r w:rsidRPr="008D7454">
        <w:rPr>
          <w:b/>
          <w:bCs/>
          <w:lang w:val="fr-FR"/>
        </w:rPr>
        <w:t xml:space="preserve">vous à sa disposition les projets de plan ou de programme </w:t>
      </w:r>
      <w:r>
        <w:rPr>
          <w:b/>
          <w:bCs/>
          <w:lang w:val="fr-FR"/>
        </w:rPr>
        <w:br/>
      </w:r>
      <w:r w:rsidRPr="008D7454">
        <w:rPr>
          <w:b/>
          <w:bCs/>
          <w:lang w:val="fr-FR"/>
        </w:rPr>
        <w:t>et les rapports environnementaux</w:t>
      </w:r>
      <w:r>
        <w:rPr>
          <w:b/>
          <w:bCs/>
          <w:lang w:val="fr-FR"/>
        </w:rPr>
        <w:t> </w:t>
      </w:r>
      <w:r w:rsidRPr="008D7454">
        <w:rPr>
          <w:b/>
          <w:bCs/>
          <w:lang w:val="fr-FR"/>
        </w:rPr>
        <w:t>? » (n=24)</w:t>
      </w:r>
    </w:p>
    <w:p w14:paraId="256A0A69" w14:textId="77777777" w:rsidR="00D902EB" w:rsidRDefault="00D902EB" w:rsidP="00D902EB">
      <w:pPr>
        <w:spacing w:after="240"/>
        <w:ind w:left="1134" w:right="1134"/>
        <w:rPr>
          <w:lang w:val="fr-FR"/>
        </w:rPr>
      </w:pPr>
      <w:r w:rsidRPr="00CD40A8">
        <w:rPr>
          <w:b/>
          <w:noProof/>
          <w:sz w:val="28"/>
          <w:lang w:val="en-US" w:eastAsia="zh-CN"/>
        </w:rPr>
        <w:drawing>
          <wp:inline distT="0" distB="0" distL="0" distR="0" wp14:anchorId="094A16AE" wp14:editId="7A54C116">
            <wp:extent cx="4685538" cy="2051050"/>
            <wp:effectExtent l="0" t="0" r="1270" b="6350"/>
            <wp:docPr id="57" name="Graphique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1E2686" w14:textId="4B4E2E90" w:rsidR="00D902EB" w:rsidRPr="00265B89" w:rsidRDefault="00D902EB" w:rsidP="00D902EB">
      <w:pPr>
        <w:pStyle w:val="SingleTxtG"/>
        <w:rPr>
          <w:rFonts w:eastAsia="Times"/>
          <w:lang w:val="fr-FR"/>
        </w:rPr>
      </w:pPr>
      <w:r>
        <w:rPr>
          <w:lang w:val="fr-FR"/>
        </w:rPr>
        <w:t>35</w:t>
      </w:r>
      <w:r w:rsidR="00A3423F" w:rsidRPr="00A3423F">
        <w:rPr>
          <w:lang w:val="fr-FR"/>
        </w:rPr>
        <w:t>.</w:t>
      </w:r>
      <w:r>
        <w:rPr>
          <w:lang w:val="fr-FR"/>
        </w:rPr>
        <w:tab/>
        <w:t>La majorité des répondants identifient le public concerné (question I</w:t>
      </w:r>
      <w:r w:rsidR="00A3423F" w:rsidRPr="00A3423F">
        <w:rPr>
          <w:lang w:val="fr-FR"/>
        </w:rPr>
        <w:t>.</w:t>
      </w:r>
      <w:r>
        <w:rPr>
          <w:lang w:val="fr-FR"/>
        </w:rPr>
        <w:t>8</w:t>
      </w:r>
      <w:r w:rsidR="00A3423F" w:rsidRPr="00A3423F">
        <w:rPr>
          <w:lang w:val="fr-FR"/>
        </w:rPr>
        <w:t>.</w:t>
      </w:r>
      <w:r>
        <w:rPr>
          <w:lang w:val="fr-FR"/>
        </w:rPr>
        <w:t>2) en fonction de la localisation géographique des plans et programmes et/ou en mettant les informations à la disposition de tous les membres du public et en laissant le public concerné se manifester (voir fig</w:t>
      </w:r>
      <w:r w:rsidR="00A3423F" w:rsidRPr="00A3423F">
        <w:rPr>
          <w:lang w:val="fr-FR"/>
        </w:rPr>
        <w:t>.</w:t>
      </w:r>
      <w:r>
        <w:rPr>
          <w:lang w:val="fr-FR"/>
        </w:rPr>
        <w:t> VII)</w:t>
      </w:r>
      <w:r w:rsidR="00A3423F" w:rsidRPr="00A3423F">
        <w:rPr>
          <w:lang w:val="fr-FR"/>
        </w:rPr>
        <w:t>.</w:t>
      </w:r>
      <w:r>
        <w:rPr>
          <w:lang w:val="fr-FR"/>
        </w:rPr>
        <w:t xml:space="preserve"> Quinze répondants (sur 24) identifient également le public concerné en fonction des effets environnementaux (importance, ampleur, accumulation, etc</w:t>
      </w:r>
      <w:r w:rsidR="00A3423F" w:rsidRPr="00A3423F">
        <w:rPr>
          <w:lang w:val="fr-FR"/>
        </w:rPr>
        <w:t>.</w:t>
      </w:r>
      <w:r>
        <w:rPr>
          <w:lang w:val="fr-FR"/>
        </w:rPr>
        <w:t>) des plans et programmes</w:t>
      </w:r>
      <w:r w:rsidR="00A3423F" w:rsidRPr="00A3423F">
        <w:rPr>
          <w:lang w:val="fr-FR"/>
        </w:rPr>
        <w:t>.</w:t>
      </w:r>
      <w:r>
        <w:rPr>
          <w:lang w:val="fr-FR"/>
        </w:rPr>
        <w:t xml:space="preserve"> Quelques Parties (3) permettent à tout membre du public d’exprimer son opinion sur le plan/programme, s’il le souhaite</w:t>
      </w:r>
      <w:r w:rsidR="00A3423F" w:rsidRPr="00A3423F">
        <w:rPr>
          <w:lang w:val="fr-FR"/>
        </w:rPr>
        <w:t>.</w:t>
      </w:r>
      <w:r>
        <w:rPr>
          <w:lang w:val="fr-FR"/>
        </w:rPr>
        <w:t xml:space="preserve"> En tant qu’« autres moyens », la Hongrie indique que les autorités de planification peuvent également définir d’autres groupes du public concerné</w:t>
      </w:r>
      <w:r w:rsidR="00A3423F" w:rsidRPr="00A3423F">
        <w:rPr>
          <w:lang w:val="fr-FR"/>
        </w:rPr>
        <w:t>.</w:t>
      </w:r>
    </w:p>
    <w:p w14:paraId="4FB8CE5A" w14:textId="77777777" w:rsidR="00D902EB" w:rsidRPr="008D7454" w:rsidRDefault="00D902EB" w:rsidP="00D902EB">
      <w:pPr>
        <w:pStyle w:val="Titre1"/>
        <w:rPr>
          <w:rFonts w:eastAsia="Times"/>
          <w:lang w:val="fr-FR"/>
        </w:rPr>
      </w:pPr>
      <w:r w:rsidRPr="008D7454">
        <w:rPr>
          <w:lang w:val="fr-FR"/>
        </w:rPr>
        <w:t>Figure VII</w:t>
      </w:r>
    </w:p>
    <w:p w14:paraId="7FD12D48" w14:textId="2ADE4A25" w:rsidR="00D902EB" w:rsidRDefault="00D902EB" w:rsidP="00D902EB">
      <w:pPr>
        <w:pStyle w:val="Titre1"/>
        <w:spacing w:after="120"/>
        <w:ind w:right="1134"/>
        <w:rPr>
          <w:b/>
          <w:bCs/>
          <w:lang w:val="fr-FR"/>
        </w:rPr>
      </w:pPr>
      <w:r>
        <w:rPr>
          <w:b/>
          <w:bCs/>
          <w:lang w:val="fr-FR"/>
        </w:rPr>
        <w:t>Réponses à la question I</w:t>
      </w:r>
      <w:r w:rsidR="00A3423F" w:rsidRPr="00A3423F">
        <w:rPr>
          <w:b/>
          <w:bCs/>
          <w:lang w:val="fr-FR"/>
        </w:rPr>
        <w:t>.</w:t>
      </w:r>
      <w:r>
        <w:rPr>
          <w:b/>
          <w:bCs/>
          <w:lang w:val="fr-FR"/>
        </w:rPr>
        <w:t>8</w:t>
      </w:r>
      <w:r w:rsidR="00A3423F" w:rsidRPr="00A3423F">
        <w:rPr>
          <w:b/>
          <w:bCs/>
          <w:lang w:val="fr-FR"/>
        </w:rPr>
        <w:t>.</w:t>
      </w:r>
      <w:r>
        <w:rPr>
          <w:b/>
          <w:bCs/>
          <w:lang w:val="fr-FR"/>
        </w:rPr>
        <w:t>2 : « Comment identifiez-vous le public concerné ? » (n=24)</w:t>
      </w:r>
    </w:p>
    <w:p w14:paraId="16C31427" w14:textId="77777777" w:rsidR="00D902EB" w:rsidRDefault="00D902EB" w:rsidP="00D902EB">
      <w:pPr>
        <w:spacing w:after="240"/>
        <w:ind w:left="1134" w:right="1134"/>
        <w:rPr>
          <w:lang w:val="fr-FR"/>
        </w:rPr>
      </w:pPr>
      <w:r w:rsidRPr="00CD40A8">
        <w:rPr>
          <w:rFonts w:ascii="Times" w:hAnsi="Times"/>
          <w:b/>
          <w:bCs/>
          <w:i/>
          <w:iCs/>
          <w:noProof/>
          <w:lang w:val="en-US" w:eastAsia="zh-CN"/>
        </w:rPr>
        <w:drawing>
          <wp:inline distT="0" distB="0" distL="0" distR="0" wp14:anchorId="20806BD2" wp14:editId="79B51075">
            <wp:extent cx="4693793" cy="3200400"/>
            <wp:effectExtent l="0" t="0" r="12065" b="0"/>
            <wp:docPr id="58" name="Graphique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E8CC59" w14:textId="2B6CE20B" w:rsidR="00D902EB" w:rsidRPr="00265B89" w:rsidRDefault="00D902EB" w:rsidP="00D902EB">
      <w:pPr>
        <w:pStyle w:val="SingleTxtG"/>
        <w:keepNext/>
        <w:keepLines/>
        <w:spacing w:after="240"/>
        <w:rPr>
          <w:rFonts w:eastAsia="Times"/>
          <w:lang w:val="fr-FR"/>
        </w:rPr>
      </w:pPr>
      <w:r>
        <w:rPr>
          <w:lang w:val="fr-FR"/>
        </w:rPr>
        <w:lastRenderedPageBreak/>
        <w:t>36</w:t>
      </w:r>
      <w:r w:rsidR="00A3423F" w:rsidRPr="00A3423F">
        <w:rPr>
          <w:lang w:val="fr-FR"/>
        </w:rPr>
        <w:t>.</w:t>
      </w:r>
      <w:r>
        <w:rPr>
          <w:lang w:val="fr-FR"/>
        </w:rPr>
        <w:tab/>
        <w:t>La figure VIII montre la manière dont le public concerné peut donner son avis sur le projet de plan ou de programme et le rapport environnemental (art</w:t>
      </w:r>
      <w:r w:rsidR="00A3423F" w:rsidRPr="00A3423F">
        <w:rPr>
          <w:lang w:val="fr-FR"/>
        </w:rPr>
        <w:t>.</w:t>
      </w:r>
      <w:r>
        <w:rPr>
          <w:lang w:val="fr-FR"/>
        </w:rPr>
        <w:t xml:space="preserve"> 8</w:t>
      </w:r>
      <w:r w:rsidR="00A3423F" w:rsidRPr="00A3423F">
        <w:rPr>
          <w:lang w:val="fr-FR"/>
        </w:rPr>
        <w:t>.</w:t>
      </w:r>
      <w:r>
        <w:rPr>
          <w:lang w:val="fr-FR"/>
        </w:rPr>
        <w:t>4) (question I</w:t>
      </w:r>
      <w:r w:rsidR="00A3423F" w:rsidRPr="00A3423F">
        <w:rPr>
          <w:lang w:val="fr-FR"/>
        </w:rPr>
        <w:t>.</w:t>
      </w:r>
      <w:r>
        <w:rPr>
          <w:lang w:val="fr-FR"/>
        </w:rPr>
        <w:t>8</w:t>
      </w:r>
      <w:r w:rsidR="00A3423F" w:rsidRPr="00A3423F">
        <w:rPr>
          <w:lang w:val="fr-FR"/>
        </w:rPr>
        <w:t>.</w:t>
      </w:r>
      <w:r>
        <w:rPr>
          <w:lang w:val="fr-FR"/>
        </w:rPr>
        <w:t>3)</w:t>
      </w:r>
      <w:r w:rsidR="00A3423F" w:rsidRPr="00A3423F">
        <w:rPr>
          <w:lang w:val="fr-FR"/>
        </w:rPr>
        <w:t>.</w:t>
      </w:r>
      <w:r>
        <w:rPr>
          <w:lang w:val="fr-FR"/>
        </w:rPr>
        <w:t xml:space="preserve"> Les données indiquent que pour toutes les Parties et non-Parties ayant répondu, le public peut envoyer des observations à l’autorité ou au point de contact compétent et, dans la plupart d’entre elles, il peut également prendre part à une audition publique (19)</w:t>
      </w:r>
      <w:r w:rsidR="00A3423F" w:rsidRPr="00A3423F">
        <w:rPr>
          <w:lang w:val="fr-FR"/>
        </w:rPr>
        <w:t>.</w:t>
      </w:r>
      <w:r>
        <w:rPr>
          <w:lang w:val="fr-FR"/>
        </w:rPr>
        <w:t xml:space="preserve"> L’Arménie, la Hongrie et la Pologne permettent également au public de donner son avis en répondant à un questionnaire</w:t>
      </w:r>
      <w:r w:rsidR="00A3423F" w:rsidRPr="00A3423F">
        <w:rPr>
          <w:lang w:val="fr-FR"/>
        </w:rPr>
        <w:t>.</w:t>
      </w:r>
      <w:r>
        <w:rPr>
          <w:lang w:val="fr-FR"/>
        </w:rPr>
        <w:t xml:space="preserve"> </w:t>
      </w:r>
      <w:bookmarkStart w:id="10" w:name="_Hlk18264762"/>
    </w:p>
    <w:bookmarkEnd w:id="10"/>
    <w:p w14:paraId="01F4444F" w14:textId="77777777" w:rsidR="00D902EB" w:rsidRPr="00887A13" w:rsidRDefault="00D902EB" w:rsidP="00D902EB">
      <w:pPr>
        <w:pStyle w:val="Titre1"/>
        <w:rPr>
          <w:rFonts w:eastAsia="Times"/>
          <w:lang w:val="fr-FR"/>
        </w:rPr>
      </w:pPr>
      <w:r w:rsidRPr="00887A13">
        <w:rPr>
          <w:lang w:val="fr-FR"/>
        </w:rPr>
        <w:t>Figure VII</w:t>
      </w:r>
      <w:r>
        <w:rPr>
          <w:lang w:val="fr-FR"/>
        </w:rPr>
        <w:t>I</w:t>
      </w:r>
    </w:p>
    <w:p w14:paraId="12ED333D" w14:textId="2259263D" w:rsidR="00D902EB" w:rsidRDefault="00D902EB" w:rsidP="00D902EB">
      <w:pPr>
        <w:pStyle w:val="Titre1"/>
        <w:spacing w:after="120"/>
        <w:ind w:right="1134"/>
        <w:rPr>
          <w:b/>
          <w:bCs/>
          <w:lang w:val="fr-FR"/>
        </w:rPr>
      </w:pPr>
      <w:r w:rsidRPr="001E17B4">
        <w:rPr>
          <w:b/>
          <w:bCs/>
          <w:lang w:val="fr-FR"/>
        </w:rPr>
        <w:t>Réponses à la question I</w:t>
      </w:r>
      <w:r w:rsidR="00A3423F" w:rsidRPr="00A3423F">
        <w:rPr>
          <w:b/>
          <w:bCs/>
          <w:lang w:val="fr-FR"/>
        </w:rPr>
        <w:t>.</w:t>
      </w:r>
      <w:r w:rsidRPr="001E17B4">
        <w:rPr>
          <w:b/>
          <w:bCs/>
          <w:lang w:val="fr-FR"/>
        </w:rPr>
        <w:t>8</w:t>
      </w:r>
      <w:r w:rsidR="00A3423F" w:rsidRPr="00A3423F">
        <w:rPr>
          <w:b/>
          <w:bCs/>
          <w:lang w:val="fr-FR"/>
        </w:rPr>
        <w:t>.</w:t>
      </w:r>
      <w:r w:rsidRPr="001E17B4">
        <w:rPr>
          <w:b/>
          <w:bCs/>
          <w:lang w:val="fr-FR"/>
        </w:rPr>
        <w:t>3 : « Comment le public concerné peut-il donner son avis sur le projet de plan ou de programme et le rapport environnemental</w:t>
      </w:r>
      <w:r>
        <w:rPr>
          <w:b/>
          <w:bCs/>
          <w:lang w:val="fr-FR"/>
        </w:rPr>
        <w:t> </w:t>
      </w:r>
      <w:r w:rsidRPr="001E17B4">
        <w:rPr>
          <w:b/>
          <w:bCs/>
          <w:lang w:val="fr-FR"/>
        </w:rPr>
        <w:t>? » (n=24)</w:t>
      </w:r>
    </w:p>
    <w:p w14:paraId="30D368E8" w14:textId="77777777" w:rsidR="00D902EB" w:rsidRDefault="00D902EB" w:rsidP="00D902EB">
      <w:pPr>
        <w:spacing w:after="240"/>
        <w:ind w:left="1134" w:right="1134"/>
        <w:rPr>
          <w:lang w:val="fr-FR"/>
        </w:rPr>
      </w:pPr>
      <w:r w:rsidRPr="00080935">
        <w:rPr>
          <w:noProof/>
          <w:lang w:val="en-US" w:eastAsia="zh-CN"/>
        </w:rPr>
        <w:drawing>
          <wp:inline distT="0" distB="0" distL="0" distR="0" wp14:anchorId="3245490C" wp14:editId="2710249B">
            <wp:extent cx="4662678" cy="3200400"/>
            <wp:effectExtent l="0" t="0" r="5080" b="0"/>
            <wp:docPr id="59" name="Graphique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6C4A2C" w14:textId="3104A649" w:rsidR="00D902EB" w:rsidRPr="00E15B31" w:rsidRDefault="00D902EB" w:rsidP="00D902EB">
      <w:pPr>
        <w:pStyle w:val="SingleTxtG"/>
        <w:rPr>
          <w:rFonts w:eastAsia="Times"/>
          <w:lang w:val="fr-FR"/>
        </w:rPr>
      </w:pPr>
      <w:r>
        <w:rPr>
          <w:lang w:val="fr-FR"/>
        </w:rPr>
        <w:t>37</w:t>
      </w:r>
      <w:r w:rsidR="00A3423F" w:rsidRPr="00A3423F">
        <w:rPr>
          <w:lang w:val="fr-FR"/>
        </w:rPr>
        <w:t>.</w:t>
      </w:r>
      <w:r>
        <w:rPr>
          <w:lang w:val="fr-FR"/>
        </w:rPr>
        <w:tab/>
        <w:t xml:space="preserve">La Suède organise des auditions publiques uniquement pour certains types de </w:t>
      </w:r>
      <w:r w:rsidRPr="001E17B4">
        <w:t>plans</w:t>
      </w:r>
      <w:r>
        <w:rPr>
          <w:lang w:val="fr-FR"/>
        </w:rPr>
        <w:t xml:space="preserve"> ou de programmes</w:t>
      </w:r>
      <w:r w:rsidR="00A3423F" w:rsidRPr="00A3423F">
        <w:rPr>
          <w:lang w:val="fr-FR"/>
        </w:rPr>
        <w:t>.</w:t>
      </w:r>
      <w:r>
        <w:rPr>
          <w:lang w:val="fr-FR"/>
        </w:rPr>
        <w:t xml:space="preserve"> En Tchéquie, la législation dispose que les auditions publiques ne sont pas obligatoires dans certaines situations (la décision est prise au cas par cas, en fonction du contenu du plan ou du programme examiné et de la participation du public à la procédure de vérification) ; en revanche, les plans d’utilisation des terres doivent toujours faire l’objet d’une audition publique</w:t>
      </w:r>
      <w:r w:rsidR="00A3423F" w:rsidRPr="00A3423F">
        <w:rPr>
          <w:lang w:val="fr-FR"/>
        </w:rPr>
        <w:t>.</w:t>
      </w:r>
      <w:r>
        <w:rPr>
          <w:lang w:val="fr-FR"/>
        </w:rPr>
        <w:t xml:space="preserve"> </w:t>
      </w:r>
    </w:p>
    <w:p w14:paraId="0A66552D" w14:textId="59ED6D9E" w:rsidR="00D902EB" w:rsidRPr="00E15B31" w:rsidRDefault="00D902EB" w:rsidP="00D902EB">
      <w:pPr>
        <w:pStyle w:val="SingleTxtG"/>
        <w:rPr>
          <w:rFonts w:eastAsia="Times"/>
          <w:lang w:val="fr-FR"/>
        </w:rPr>
      </w:pPr>
      <w:r>
        <w:rPr>
          <w:lang w:val="fr-FR"/>
        </w:rPr>
        <w:t>38</w:t>
      </w:r>
      <w:r w:rsidR="00A3423F" w:rsidRPr="00A3423F">
        <w:rPr>
          <w:lang w:val="fr-FR"/>
        </w:rPr>
        <w:t>.</w:t>
      </w:r>
      <w:r>
        <w:rPr>
          <w:lang w:val="fr-FR"/>
        </w:rPr>
        <w:tab/>
        <w:t>Dans la question I</w:t>
      </w:r>
      <w:r w:rsidR="00A3423F" w:rsidRPr="00A3423F">
        <w:rPr>
          <w:lang w:val="fr-FR"/>
        </w:rPr>
        <w:t>.</w:t>
      </w:r>
      <w:r>
        <w:rPr>
          <w:lang w:val="fr-FR"/>
        </w:rPr>
        <w:t>8,4, il est demandé aux Parties comment elles définissent l’expression « dans des délais raisonnables »</w:t>
      </w:r>
      <w:r w:rsidR="00A3423F" w:rsidRPr="00A3423F">
        <w:rPr>
          <w:lang w:val="fr-FR"/>
        </w:rPr>
        <w:t>.</w:t>
      </w:r>
      <w:r>
        <w:rPr>
          <w:lang w:val="fr-FR"/>
        </w:rPr>
        <w:t xml:space="preserve"> La majorité des répondants (20 sur 24) n’en donnent pas une définition précise ; ces délais sont le plus souvent déterminés par le nombre de jours fixés pour la période de consultations</w:t>
      </w:r>
      <w:r w:rsidR="00A3423F" w:rsidRPr="00A3423F">
        <w:rPr>
          <w:lang w:val="fr-FR"/>
        </w:rPr>
        <w:t>.</w:t>
      </w:r>
      <w:r>
        <w:rPr>
          <w:lang w:val="fr-FR"/>
        </w:rPr>
        <w:t xml:space="preserve"> Certaines Parties (4) définissent ces délais au cas par cas</w:t>
      </w:r>
      <w:r w:rsidR="00A3423F" w:rsidRPr="00A3423F">
        <w:rPr>
          <w:lang w:val="fr-FR"/>
        </w:rPr>
        <w:t>.</w:t>
      </w:r>
    </w:p>
    <w:p w14:paraId="12DE5500" w14:textId="1A76BF47" w:rsidR="00D902EB" w:rsidRPr="00E15B31" w:rsidRDefault="00D902EB" w:rsidP="00D902EB">
      <w:pPr>
        <w:pStyle w:val="H1G"/>
        <w:rPr>
          <w:lang w:val="fr-FR"/>
        </w:rPr>
      </w:pPr>
      <w:bookmarkStart w:id="11" w:name="_Toc14170016"/>
      <w:r>
        <w:rPr>
          <w:lang w:val="fr-FR"/>
        </w:rPr>
        <w:tab/>
        <w:t>G</w:t>
      </w:r>
      <w:r w:rsidR="00A3423F" w:rsidRPr="00A3423F">
        <w:rPr>
          <w:lang w:val="fr-FR"/>
        </w:rPr>
        <w:t>.</w:t>
      </w:r>
      <w:r>
        <w:rPr>
          <w:lang w:val="fr-FR"/>
        </w:rPr>
        <w:tab/>
      </w:r>
      <w:r>
        <w:rPr>
          <w:lang w:val="fr-FR"/>
        </w:rPr>
        <w:tab/>
        <w:t xml:space="preserve">Consultation des autorités responsables de l’environnement </w:t>
      </w:r>
      <w:r>
        <w:rPr>
          <w:lang w:val="fr-FR"/>
        </w:rPr>
        <w:br/>
        <w:t>et de la santé</w:t>
      </w:r>
      <w:bookmarkEnd w:id="11"/>
    </w:p>
    <w:p w14:paraId="766F9692" w14:textId="4724B105" w:rsidR="00D902EB" w:rsidRPr="00265B89" w:rsidRDefault="00D902EB" w:rsidP="00D902EB">
      <w:pPr>
        <w:pStyle w:val="SingleTxtG"/>
        <w:rPr>
          <w:lang w:val="fr-FR"/>
        </w:rPr>
      </w:pPr>
      <w:r>
        <w:rPr>
          <w:lang w:val="fr-FR"/>
        </w:rPr>
        <w:t>39</w:t>
      </w:r>
      <w:r w:rsidR="00A3423F" w:rsidRPr="00A3423F">
        <w:rPr>
          <w:lang w:val="fr-FR"/>
        </w:rPr>
        <w:t>.</w:t>
      </w:r>
      <w:r>
        <w:rPr>
          <w:lang w:val="fr-FR"/>
        </w:rPr>
        <w:tab/>
        <w:t>La majorité des répondants définissent les autorités responsables de l’environnement et de la santé (art</w:t>
      </w:r>
      <w:r w:rsidR="00A3423F" w:rsidRPr="00A3423F">
        <w:rPr>
          <w:lang w:val="fr-FR"/>
        </w:rPr>
        <w:t>.</w:t>
      </w:r>
      <w:r>
        <w:rPr>
          <w:lang w:val="fr-FR"/>
        </w:rPr>
        <w:t> 9</w:t>
      </w:r>
      <w:r w:rsidR="00A3423F" w:rsidRPr="00A3423F">
        <w:rPr>
          <w:lang w:val="fr-FR"/>
        </w:rPr>
        <w:t>.</w:t>
      </w:r>
      <w:r>
        <w:rPr>
          <w:lang w:val="fr-FR"/>
        </w:rPr>
        <w:t>1) dans la législation nationale (20 sur 24, question I</w:t>
      </w:r>
      <w:r w:rsidR="00A3423F" w:rsidRPr="00A3423F">
        <w:rPr>
          <w:lang w:val="fr-FR"/>
        </w:rPr>
        <w:t>.</w:t>
      </w:r>
      <w:r>
        <w:rPr>
          <w:lang w:val="fr-FR"/>
        </w:rPr>
        <w:t>9</w:t>
      </w:r>
      <w:r w:rsidR="00A3423F" w:rsidRPr="00A3423F">
        <w:rPr>
          <w:lang w:val="fr-FR"/>
        </w:rPr>
        <w:t>.</w:t>
      </w:r>
      <w:r>
        <w:rPr>
          <w:lang w:val="fr-FR"/>
        </w:rPr>
        <w:t>1)</w:t>
      </w:r>
      <w:r w:rsidR="00A3423F" w:rsidRPr="00A3423F">
        <w:rPr>
          <w:lang w:val="fr-FR"/>
        </w:rPr>
        <w:t>.</w:t>
      </w:r>
      <w:r>
        <w:rPr>
          <w:lang w:val="fr-FR"/>
        </w:rPr>
        <w:t xml:space="preserve"> Quatre répondants indiquent que ces autorités </w:t>
      </w:r>
      <w:r w:rsidRPr="001E17B4">
        <w:t>sont</w:t>
      </w:r>
      <w:r>
        <w:rPr>
          <w:lang w:val="fr-FR"/>
        </w:rPr>
        <w:t xml:space="preserve"> définies au cas par cas (Danemark, Kazakhstan, Luxembourg et Suède), tandis que certains (Arménie, Bosnie-Herzégovine, Croatie, Espagne, Estonie, Finlande, Monténégro, Norvège, Slovaquie et Tchéquie) associent ces approches</w:t>
      </w:r>
      <w:r w:rsidR="00A3423F" w:rsidRPr="00A3423F">
        <w:rPr>
          <w:lang w:val="fr-FR"/>
        </w:rPr>
        <w:t>.</w:t>
      </w:r>
    </w:p>
    <w:p w14:paraId="31F05A5F" w14:textId="7CD165D3" w:rsidR="00D902EB" w:rsidRPr="00E15B31" w:rsidRDefault="00D902EB" w:rsidP="00D902EB">
      <w:pPr>
        <w:pStyle w:val="SingleTxtG"/>
        <w:rPr>
          <w:rFonts w:eastAsia="Times"/>
          <w:lang w:val="fr-FR"/>
        </w:rPr>
      </w:pPr>
      <w:r>
        <w:rPr>
          <w:lang w:val="fr-FR"/>
        </w:rPr>
        <w:t>40</w:t>
      </w:r>
      <w:r w:rsidR="00A3423F" w:rsidRPr="00A3423F">
        <w:rPr>
          <w:lang w:val="fr-FR"/>
        </w:rPr>
        <w:t>.</w:t>
      </w:r>
      <w:r>
        <w:rPr>
          <w:lang w:val="fr-FR"/>
        </w:rPr>
        <w:tab/>
        <w:t>En réponse à la question I</w:t>
      </w:r>
      <w:r w:rsidR="00A3423F" w:rsidRPr="00A3423F">
        <w:rPr>
          <w:lang w:val="fr-FR"/>
        </w:rPr>
        <w:t>.</w:t>
      </w:r>
      <w:r>
        <w:rPr>
          <w:lang w:val="fr-FR"/>
        </w:rPr>
        <w:t>9</w:t>
      </w:r>
      <w:r w:rsidR="00A3423F" w:rsidRPr="00A3423F">
        <w:rPr>
          <w:lang w:val="fr-FR"/>
        </w:rPr>
        <w:t>.</w:t>
      </w:r>
      <w:r>
        <w:rPr>
          <w:lang w:val="fr-FR"/>
        </w:rPr>
        <w:t>2, la plupart des répondants (20 sur 24) indiquent que les dispositions à prendre pour informer et consulter les autorités responsables de l’environnement et de la santé sont définies dans la législation nationale</w:t>
      </w:r>
      <w:r w:rsidR="00A3423F" w:rsidRPr="00A3423F">
        <w:rPr>
          <w:lang w:val="fr-FR"/>
        </w:rPr>
        <w:t>.</w:t>
      </w:r>
      <w:r>
        <w:rPr>
          <w:lang w:val="fr-FR"/>
        </w:rPr>
        <w:t xml:space="preserve"> Quatre Parties </w:t>
      </w:r>
      <w:r>
        <w:rPr>
          <w:lang w:val="fr-FR"/>
        </w:rPr>
        <w:lastRenderedPageBreak/>
        <w:t>(Danemark, Luxembourg, Malte et Suède) prennent ces dispositions au cas par cas</w:t>
      </w:r>
      <w:r w:rsidR="00A3423F" w:rsidRPr="00A3423F">
        <w:rPr>
          <w:lang w:val="fr-FR"/>
        </w:rPr>
        <w:t>.</w:t>
      </w:r>
      <w:r>
        <w:rPr>
          <w:lang w:val="fr-FR"/>
        </w:rPr>
        <w:t xml:space="preserve"> La Norvège associe ces deux approches</w:t>
      </w:r>
      <w:r w:rsidR="00A3423F" w:rsidRPr="00A3423F">
        <w:rPr>
          <w:lang w:val="fr-FR"/>
        </w:rPr>
        <w:t>.</w:t>
      </w:r>
    </w:p>
    <w:p w14:paraId="6CC7C7C0" w14:textId="4C646724" w:rsidR="00D902EB" w:rsidRPr="001E17B4" w:rsidRDefault="00D902EB" w:rsidP="00D902EB">
      <w:pPr>
        <w:pStyle w:val="SingleTxtG"/>
      </w:pPr>
      <w:r>
        <w:rPr>
          <w:lang w:val="fr-FR"/>
        </w:rPr>
        <w:t>41</w:t>
      </w:r>
      <w:r w:rsidR="00A3423F" w:rsidRPr="00A3423F">
        <w:rPr>
          <w:lang w:val="fr-FR"/>
        </w:rPr>
        <w:t>.</w:t>
      </w:r>
      <w:r>
        <w:rPr>
          <w:lang w:val="fr-FR"/>
        </w:rPr>
        <w:tab/>
        <w:t xml:space="preserve">Tous les répondants indiquent que leur législation nationale prescrit des consultations avec les autorités </w:t>
      </w:r>
      <w:r w:rsidRPr="001E17B4">
        <w:t>responsables de l</w:t>
      </w:r>
      <w:r>
        <w:t>’</w:t>
      </w:r>
      <w:r w:rsidRPr="001E17B4">
        <w:t>environnement et de la santé (question I</w:t>
      </w:r>
      <w:r w:rsidR="00A3423F" w:rsidRPr="00A3423F">
        <w:t>.</w:t>
      </w:r>
      <w:r w:rsidRPr="001E17B4">
        <w:t>9</w:t>
      </w:r>
      <w:r w:rsidR="00A3423F" w:rsidRPr="00A3423F">
        <w:t>.</w:t>
      </w:r>
      <w:r w:rsidRPr="001E17B4">
        <w:t>3)</w:t>
      </w:r>
      <w:r w:rsidR="00A3423F" w:rsidRPr="00A3423F">
        <w:t>.</w:t>
      </w:r>
      <w:r w:rsidRPr="001E17B4">
        <w:t xml:space="preserve"> </w:t>
      </w:r>
    </w:p>
    <w:p w14:paraId="4746F767" w14:textId="71F038F7" w:rsidR="00D902EB" w:rsidRPr="00E15B31" w:rsidRDefault="00D902EB" w:rsidP="00D902EB">
      <w:pPr>
        <w:pStyle w:val="SingleTxtG"/>
        <w:rPr>
          <w:rFonts w:eastAsia="Times"/>
          <w:lang w:val="fr-FR"/>
        </w:rPr>
      </w:pPr>
      <w:r w:rsidRPr="001E17B4">
        <w:t>42</w:t>
      </w:r>
      <w:r w:rsidR="00A3423F" w:rsidRPr="00A3423F">
        <w:t>.</w:t>
      </w:r>
      <w:r w:rsidRPr="001E17B4">
        <w:tab/>
        <w:t>Tous les répondants indiquent que les autorités responsables de l</w:t>
      </w:r>
      <w:r>
        <w:t>’</w:t>
      </w:r>
      <w:r w:rsidRPr="001E17B4">
        <w:t>environnement et de la santé ont la possibilité de donner leur avis en formulant des observations par écrit (voir fig</w:t>
      </w:r>
      <w:r w:rsidR="00A3423F" w:rsidRPr="00A3423F">
        <w:t>.</w:t>
      </w:r>
      <w:r>
        <w:t> </w:t>
      </w:r>
      <w:r w:rsidRPr="001E17B4">
        <w:t>IX)</w:t>
      </w:r>
      <w:r w:rsidR="00A3423F" w:rsidRPr="00A3423F">
        <w:t>.</w:t>
      </w:r>
      <w:r w:rsidRPr="001E17B4">
        <w:t xml:space="preserve"> En outre, plus de la moitié (14 sur 23) précisent qu</w:t>
      </w:r>
      <w:r>
        <w:t>’</w:t>
      </w:r>
      <w:r w:rsidRPr="001E17B4">
        <w:t>il est possible d</w:t>
      </w:r>
      <w:r>
        <w:t>’</w:t>
      </w:r>
      <w:r w:rsidRPr="001E17B4">
        <w:t xml:space="preserve">organiser des réunions avec les autorités </w:t>
      </w:r>
      <w:proofErr w:type="spellStart"/>
      <w:r w:rsidRPr="001E17B4">
        <w:t>co</w:t>
      </w:r>
      <w:r>
        <w:rPr>
          <w:lang w:val="fr-FR"/>
        </w:rPr>
        <w:t>mpétentes</w:t>
      </w:r>
      <w:proofErr w:type="spellEnd"/>
      <w:r w:rsidR="00A3423F" w:rsidRPr="00A3423F">
        <w:rPr>
          <w:lang w:val="fr-FR"/>
        </w:rPr>
        <w:t>.</w:t>
      </w:r>
      <w:r>
        <w:rPr>
          <w:lang w:val="fr-FR"/>
        </w:rPr>
        <w:t xml:space="preserve"> En Roumanie, un groupe de travail spécial est formé pour les consultations, composé de représentants de l’autorité responsable du plan ou du programme concerné, des autorités compétentes en matière d’environnement et de santé et d’autres autorités concernées par les effets du plan/programme, d’une ou plusieurs personnes physiques ou morales habilitées conformément aux dispositions juridiques et d’experts rémunérés, le cas échéant</w:t>
      </w:r>
      <w:r w:rsidR="00A3423F" w:rsidRPr="00A3423F">
        <w:rPr>
          <w:lang w:val="fr-FR"/>
        </w:rPr>
        <w:t>.</w:t>
      </w:r>
      <w:r>
        <w:rPr>
          <w:lang w:val="fr-FR"/>
        </w:rPr>
        <w:t xml:space="preserve"> Tous les membres du groupe de travail donnent leur avis sur le rapport environnemental à l’autorité responsable de l’environnement, qui en tient compte dans sa décision finale</w:t>
      </w:r>
      <w:r w:rsidR="00A3423F" w:rsidRPr="00A3423F">
        <w:rPr>
          <w:lang w:val="fr-FR"/>
        </w:rPr>
        <w:t>.</w:t>
      </w:r>
      <w:r>
        <w:rPr>
          <w:lang w:val="fr-FR"/>
        </w:rPr>
        <w:t xml:space="preserve"> Le plan/programme final ne peut être adopté que s’il est approuvé par l’autorité responsable de l’environnement</w:t>
      </w:r>
      <w:r w:rsidR="00A3423F" w:rsidRPr="00A3423F">
        <w:rPr>
          <w:lang w:val="fr-FR"/>
        </w:rPr>
        <w:t>.</w:t>
      </w:r>
    </w:p>
    <w:p w14:paraId="088DFE91" w14:textId="77777777" w:rsidR="00D902EB" w:rsidRPr="00637414" w:rsidRDefault="00D902EB" w:rsidP="00D902EB">
      <w:pPr>
        <w:pStyle w:val="Titre1"/>
        <w:rPr>
          <w:rFonts w:eastAsia="Times"/>
          <w:lang w:val="fr-FR"/>
        </w:rPr>
      </w:pPr>
      <w:r w:rsidRPr="00637414">
        <w:rPr>
          <w:lang w:val="fr-FR"/>
        </w:rPr>
        <w:t>Figure IX</w:t>
      </w:r>
    </w:p>
    <w:p w14:paraId="4A6BB37A" w14:textId="28A373B5" w:rsidR="00D902EB" w:rsidRPr="001E17B4" w:rsidRDefault="00D902EB" w:rsidP="00D902EB">
      <w:pPr>
        <w:pStyle w:val="Titre1"/>
        <w:spacing w:after="120"/>
        <w:ind w:right="1134"/>
        <w:rPr>
          <w:rFonts w:eastAsia="Times"/>
          <w:b/>
          <w:bCs/>
        </w:rPr>
      </w:pPr>
      <w:r w:rsidRPr="001E17B4">
        <w:rPr>
          <w:b/>
          <w:bCs/>
          <w:lang w:val="fr-FR"/>
        </w:rPr>
        <w:t>Réponses à la question I</w:t>
      </w:r>
      <w:r w:rsidR="00A3423F" w:rsidRPr="00A3423F">
        <w:rPr>
          <w:b/>
          <w:bCs/>
          <w:lang w:val="fr-FR"/>
        </w:rPr>
        <w:t>.</w:t>
      </w:r>
      <w:r w:rsidRPr="001E17B4">
        <w:rPr>
          <w:b/>
          <w:bCs/>
          <w:lang w:val="fr-FR"/>
        </w:rPr>
        <w:t>9</w:t>
      </w:r>
      <w:r w:rsidR="00A3423F" w:rsidRPr="00A3423F">
        <w:rPr>
          <w:b/>
          <w:bCs/>
          <w:lang w:val="fr-FR"/>
        </w:rPr>
        <w:t>.</w:t>
      </w:r>
      <w:r w:rsidRPr="001E17B4">
        <w:rPr>
          <w:b/>
          <w:bCs/>
          <w:lang w:val="fr-FR"/>
        </w:rPr>
        <w:t xml:space="preserve">4 : « Comment les autorités responsables </w:t>
      </w:r>
      <w:r>
        <w:rPr>
          <w:b/>
          <w:bCs/>
          <w:lang w:val="fr-FR"/>
        </w:rPr>
        <w:br/>
      </w:r>
      <w:r w:rsidRPr="001E17B4">
        <w:rPr>
          <w:b/>
          <w:bCs/>
          <w:lang w:val="fr-FR"/>
        </w:rPr>
        <w:t>de l</w:t>
      </w:r>
      <w:r>
        <w:rPr>
          <w:b/>
          <w:bCs/>
          <w:lang w:val="fr-FR"/>
        </w:rPr>
        <w:t>’</w:t>
      </w:r>
      <w:r w:rsidRPr="001E17B4">
        <w:rPr>
          <w:b/>
          <w:bCs/>
          <w:lang w:val="fr-FR"/>
        </w:rPr>
        <w:t>environnement et de la santé peuvent-elles donner leur avis</w:t>
      </w:r>
      <w:r>
        <w:rPr>
          <w:b/>
          <w:bCs/>
          <w:lang w:val="fr-FR"/>
        </w:rPr>
        <w:t> </w:t>
      </w:r>
      <w:r w:rsidRPr="001E17B4">
        <w:rPr>
          <w:b/>
          <w:bCs/>
          <w:lang w:val="fr-FR"/>
        </w:rPr>
        <w:t>? » (n=24)</w:t>
      </w:r>
    </w:p>
    <w:p w14:paraId="20D12F02" w14:textId="77777777" w:rsidR="00D902EB" w:rsidRDefault="00D902EB" w:rsidP="00D902EB">
      <w:pPr>
        <w:spacing w:after="240"/>
        <w:ind w:left="1134" w:right="1134"/>
        <w:rPr>
          <w:bCs/>
          <w:lang w:val="fr-FR"/>
        </w:rPr>
      </w:pPr>
      <w:r w:rsidRPr="00B50EFE">
        <w:rPr>
          <w:noProof/>
          <w:lang w:val="en-US" w:eastAsia="zh-CN"/>
        </w:rPr>
        <w:drawing>
          <wp:inline distT="0" distB="0" distL="0" distR="0" wp14:anchorId="31592095" wp14:editId="4343B88A">
            <wp:extent cx="4675632" cy="2451100"/>
            <wp:effectExtent l="0" t="0" r="10795" b="6350"/>
            <wp:docPr id="60" name="Graphique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05117B" w14:textId="4482EAF1" w:rsidR="00D902EB" w:rsidRPr="00E15B31" w:rsidRDefault="00D902EB" w:rsidP="00D902EB">
      <w:pPr>
        <w:pStyle w:val="H1G"/>
        <w:rPr>
          <w:lang w:val="fr-FR"/>
        </w:rPr>
      </w:pPr>
      <w:r>
        <w:rPr>
          <w:lang w:val="fr-FR"/>
        </w:rPr>
        <w:tab/>
        <w:t>H</w:t>
      </w:r>
      <w:r w:rsidR="00A3423F" w:rsidRPr="00A3423F">
        <w:rPr>
          <w:lang w:val="fr-FR"/>
        </w:rPr>
        <w:t>.</w:t>
      </w:r>
      <w:r>
        <w:rPr>
          <w:lang w:val="fr-FR"/>
        </w:rPr>
        <w:tab/>
      </w:r>
      <w:r>
        <w:rPr>
          <w:lang w:val="fr-FR"/>
        </w:rPr>
        <w:tab/>
        <w:t>Consultations transfrontières</w:t>
      </w:r>
    </w:p>
    <w:p w14:paraId="217C668A" w14:textId="6548BD79" w:rsidR="00D902EB" w:rsidRPr="00E15B31" w:rsidRDefault="00D902EB" w:rsidP="00D902EB">
      <w:pPr>
        <w:pStyle w:val="SingleTxtG"/>
        <w:rPr>
          <w:rFonts w:eastAsia="Times"/>
          <w:lang w:val="fr-FR"/>
        </w:rPr>
      </w:pPr>
      <w:bookmarkStart w:id="12" w:name="_Hlk18265156"/>
      <w:r>
        <w:rPr>
          <w:lang w:val="fr-FR"/>
        </w:rPr>
        <w:t>43</w:t>
      </w:r>
      <w:r w:rsidR="00A3423F" w:rsidRPr="00A3423F">
        <w:rPr>
          <w:lang w:val="fr-FR"/>
        </w:rPr>
        <w:t>.</w:t>
      </w:r>
      <w:r>
        <w:rPr>
          <w:lang w:val="fr-FR"/>
        </w:rPr>
        <w:tab/>
        <w:t>La question I</w:t>
      </w:r>
      <w:r w:rsidR="00A3423F" w:rsidRPr="00A3423F">
        <w:rPr>
          <w:lang w:val="fr-FR"/>
        </w:rPr>
        <w:t>.</w:t>
      </w:r>
      <w:r>
        <w:rPr>
          <w:lang w:val="fr-FR"/>
        </w:rPr>
        <w:t>10</w:t>
      </w:r>
      <w:r w:rsidR="00A3423F" w:rsidRPr="00A3423F">
        <w:rPr>
          <w:lang w:val="fr-FR"/>
        </w:rPr>
        <w:t>.</w:t>
      </w:r>
      <w:r>
        <w:rPr>
          <w:lang w:val="fr-FR"/>
        </w:rPr>
        <w:t>1 vise à déterminer à quel moment les Parties, lorsqu’elles agissent en tant que Parties d’origine, informent les Parties touchées conformément à l’article 10 du Protocole</w:t>
      </w:r>
      <w:r w:rsidR="00A3423F" w:rsidRPr="00A3423F">
        <w:rPr>
          <w:lang w:val="fr-FR"/>
        </w:rPr>
        <w:t>.</w:t>
      </w:r>
      <w:r>
        <w:rPr>
          <w:lang w:val="fr-FR"/>
        </w:rPr>
        <w:t xml:space="preserve"> Plus de la moitié des répondants (13 sur 24) avisent la Partie touchée pendant la délimitation du champ de l’évaluation</w:t>
      </w:r>
      <w:r w:rsidR="00A3423F" w:rsidRPr="00A3423F">
        <w:rPr>
          <w:lang w:val="fr-FR"/>
        </w:rPr>
        <w:t>.</w:t>
      </w:r>
      <w:r>
        <w:rPr>
          <w:lang w:val="fr-FR"/>
        </w:rPr>
        <w:t xml:space="preserve"> Seize répondants indiquent qu’ils le font une fois que le projet de plan ou de programme et le rapport environnemental ont été établis ; sur ces 16 répondants, sept ont coché à la fois la réponse a) (« Pendant la délimitation du champ de l’évaluation ») et la réponse b) (« Une fois que le projet de plan ou de programme et le rapport environnemental ont été établis »)</w:t>
      </w:r>
      <w:r w:rsidR="00A3423F" w:rsidRPr="00A3423F">
        <w:rPr>
          <w:lang w:val="fr-FR"/>
        </w:rPr>
        <w:t>.</w:t>
      </w:r>
      <w:r>
        <w:rPr>
          <w:lang w:val="fr-FR"/>
        </w:rPr>
        <w:t xml:space="preserve"> La Finlande notifie les Parties susceptibles d’être touchées au stade de la délimitation du champ de l’évaluation pour les plans d’aménagement du territoire, mais pour les autres plans/programmes, elle ne le fait qu’une fois que le projet de plan ou de programme et le rapport environnemental ont été établis</w:t>
      </w:r>
      <w:r w:rsidR="00A3423F" w:rsidRPr="00A3423F">
        <w:rPr>
          <w:lang w:val="fr-FR"/>
        </w:rPr>
        <w:t>.</w:t>
      </w:r>
    </w:p>
    <w:bookmarkEnd w:id="12"/>
    <w:p w14:paraId="3C768138" w14:textId="7B6FE635" w:rsidR="00D902EB" w:rsidRPr="00E15B31" w:rsidRDefault="00D902EB" w:rsidP="00D902EB">
      <w:pPr>
        <w:pStyle w:val="SingleTxtG"/>
        <w:rPr>
          <w:rFonts w:eastAsia="Times"/>
          <w:lang w:val="fr-FR"/>
        </w:rPr>
      </w:pPr>
      <w:r>
        <w:rPr>
          <w:lang w:val="fr-FR"/>
        </w:rPr>
        <w:t>44</w:t>
      </w:r>
      <w:r w:rsidR="00A3423F" w:rsidRPr="00A3423F">
        <w:rPr>
          <w:lang w:val="fr-FR"/>
        </w:rPr>
        <w:t>.</w:t>
      </w:r>
      <w:r>
        <w:rPr>
          <w:lang w:val="fr-FR"/>
        </w:rPr>
        <w:tab/>
        <w:t>Plusieurs Parties indiquent qu’elles peuvent informer officieusement une ou plusieurs Parties susceptibles d’être touchées avant l’envoi d’une notification officielle (par exemple, Autriche et Lituanie)</w:t>
      </w:r>
      <w:r w:rsidR="00A3423F" w:rsidRPr="00A3423F">
        <w:rPr>
          <w:lang w:val="fr-FR"/>
        </w:rPr>
        <w:t>.</w:t>
      </w:r>
      <w:r>
        <w:rPr>
          <w:lang w:val="fr-FR"/>
        </w:rPr>
        <w:t xml:space="preserve"> La Slovaquie notifie les Parties susceptibles d’être touchées dès qu’elle apprend qu’un plan/programme peut avoir des effets transfrontières</w:t>
      </w:r>
      <w:r w:rsidR="00A3423F" w:rsidRPr="00A3423F">
        <w:rPr>
          <w:lang w:val="fr-FR"/>
        </w:rPr>
        <w:t>.</w:t>
      </w:r>
    </w:p>
    <w:p w14:paraId="294806F4" w14:textId="00DFF8C0" w:rsidR="00D902EB" w:rsidRPr="00053FAF" w:rsidRDefault="00D902EB" w:rsidP="00D902EB">
      <w:pPr>
        <w:pStyle w:val="SingleTxtG"/>
        <w:keepNext/>
        <w:keepLines/>
        <w:rPr>
          <w:rFonts w:eastAsia="Times"/>
          <w:lang w:val="fr-FR"/>
        </w:rPr>
      </w:pPr>
      <w:r>
        <w:rPr>
          <w:lang w:val="fr-FR"/>
        </w:rPr>
        <w:lastRenderedPageBreak/>
        <w:t>45</w:t>
      </w:r>
      <w:r w:rsidR="00A3423F" w:rsidRPr="00A3423F">
        <w:rPr>
          <w:lang w:val="fr-FR"/>
        </w:rPr>
        <w:t>.</w:t>
      </w:r>
      <w:r>
        <w:rPr>
          <w:lang w:val="fr-FR"/>
        </w:rPr>
        <w:tab/>
        <w:t>La question I</w:t>
      </w:r>
      <w:r w:rsidR="00A3423F" w:rsidRPr="00A3423F">
        <w:rPr>
          <w:lang w:val="fr-FR"/>
        </w:rPr>
        <w:t>.</w:t>
      </w:r>
      <w:r>
        <w:rPr>
          <w:lang w:val="fr-FR"/>
        </w:rPr>
        <w:t>10</w:t>
      </w:r>
      <w:r w:rsidR="00A3423F" w:rsidRPr="00A3423F">
        <w:rPr>
          <w:lang w:val="fr-FR"/>
        </w:rPr>
        <w:t>.</w:t>
      </w:r>
      <w:r>
        <w:rPr>
          <w:lang w:val="fr-FR"/>
        </w:rPr>
        <w:t>2 porte sur le type d’informations qui figurent dans la notification adressée par les Parties</w:t>
      </w:r>
      <w:r w:rsidR="00A3423F" w:rsidRPr="00A3423F">
        <w:rPr>
          <w:lang w:val="fr-FR"/>
        </w:rPr>
        <w:t>.</w:t>
      </w:r>
      <w:r>
        <w:rPr>
          <w:lang w:val="fr-FR"/>
        </w:rPr>
        <w:t xml:space="preserve"> La plupart des répondants (18 sur 24) expliquent qu’en tant que Partie d’origine, ils font figurer dans la notification les informations visées à l’article 10</w:t>
      </w:r>
      <w:r w:rsidR="00A3423F" w:rsidRPr="00A3423F">
        <w:rPr>
          <w:lang w:val="fr-FR"/>
        </w:rPr>
        <w:t>.</w:t>
      </w:r>
      <w:r>
        <w:rPr>
          <w:lang w:val="fr-FR"/>
        </w:rPr>
        <w:t>2</w:t>
      </w:r>
      <w:r w:rsidR="00A3423F" w:rsidRPr="00A3423F">
        <w:rPr>
          <w:lang w:val="fr-FR"/>
        </w:rPr>
        <w:t>.</w:t>
      </w:r>
      <w:r>
        <w:rPr>
          <w:lang w:val="fr-FR"/>
        </w:rPr>
        <w:t xml:space="preserve"> Six Parties y ajoutent des renseignements supplémentaires, tels que :</w:t>
      </w:r>
    </w:p>
    <w:p w14:paraId="4B3F8EAA" w14:textId="1CAAEC6D" w:rsidR="00D902EB" w:rsidRPr="00265B89" w:rsidRDefault="00D902EB" w:rsidP="00D902EB">
      <w:pPr>
        <w:pStyle w:val="SingleTxtG"/>
        <w:ind w:firstLine="567"/>
        <w:rPr>
          <w:rFonts w:eastAsia="Times"/>
          <w:lang w:val="fr-FR"/>
        </w:rPr>
      </w:pPr>
      <w:r>
        <w:rPr>
          <w:lang w:val="fr-FR"/>
        </w:rPr>
        <w:t>a)</w:t>
      </w:r>
      <w:r>
        <w:rPr>
          <w:lang w:val="fr-FR"/>
        </w:rPr>
        <w:tab/>
        <w:t>L’intitulé et la description du document de planification stratégique, des informations concernant les autorités chargées d’établir et d’adopter le document, un calendrier pour l’élaboration du document et la réalisation de l’évaluation stratégique environnementale, une brève description des effets probables sur l’environnement, et le délai pour répondre à la notification et soumettre des observations (Estonie)</w:t>
      </w:r>
      <w:r w:rsidR="00A3423F" w:rsidRPr="00A3423F">
        <w:rPr>
          <w:lang w:val="fr-FR"/>
        </w:rPr>
        <w:t>.</w:t>
      </w:r>
      <w:r>
        <w:rPr>
          <w:lang w:val="fr-FR"/>
        </w:rPr>
        <w:t xml:space="preserve"> Des informations supplémentaires peuvent également être incluses (concernant les autorités nationales concernées et leurs tâches, etc</w:t>
      </w:r>
      <w:r w:rsidR="00A3423F" w:rsidRPr="00A3423F">
        <w:rPr>
          <w:lang w:val="fr-FR"/>
        </w:rPr>
        <w:t>.</w:t>
      </w:r>
      <w:r>
        <w:rPr>
          <w:lang w:val="fr-FR"/>
        </w:rPr>
        <w:t>), le cas échéant ;</w:t>
      </w:r>
    </w:p>
    <w:p w14:paraId="6050E94C" w14:textId="0EEBF744" w:rsidR="00D902EB" w:rsidRPr="00E15B31" w:rsidRDefault="00D902EB" w:rsidP="00D902EB">
      <w:pPr>
        <w:pStyle w:val="SingleTxtG"/>
        <w:ind w:firstLine="567"/>
        <w:rPr>
          <w:lang w:val="fr-FR"/>
        </w:rPr>
      </w:pPr>
      <w:r>
        <w:rPr>
          <w:lang w:val="fr-FR"/>
        </w:rPr>
        <w:t>b)</w:t>
      </w:r>
      <w:r>
        <w:rPr>
          <w:lang w:val="fr-FR"/>
        </w:rPr>
        <w:tab/>
        <w:t>L’ensemble des documents relatifs à la consultation concernant le plan ou le programme, le rapport environnemental, une description du processus de prise de décision, des informations sur la participation du public, une demande de réponse et, le cas échéant, d’autres informations complémentaires (Hongrie)</w:t>
      </w:r>
      <w:r w:rsidR="00A3423F" w:rsidRPr="00A3423F">
        <w:rPr>
          <w:lang w:val="fr-FR"/>
        </w:rPr>
        <w:t>.</w:t>
      </w:r>
    </w:p>
    <w:p w14:paraId="1B12E4C6" w14:textId="455A2807" w:rsidR="00D902EB" w:rsidRPr="00265B89" w:rsidRDefault="00D902EB" w:rsidP="00D902EB">
      <w:pPr>
        <w:pStyle w:val="SingleTxtG"/>
        <w:keepNext/>
        <w:keepLines/>
        <w:rPr>
          <w:rFonts w:eastAsia="Times"/>
          <w:lang w:val="fr-FR"/>
        </w:rPr>
      </w:pPr>
      <w:bookmarkStart w:id="13" w:name="_Hlk18266102"/>
      <w:r>
        <w:rPr>
          <w:lang w:val="fr-FR"/>
        </w:rPr>
        <w:t>46</w:t>
      </w:r>
      <w:r w:rsidR="00A3423F" w:rsidRPr="00A3423F">
        <w:rPr>
          <w:lang w:val="fr-FR"/>
        </w:rPr>
        <w:t>.</w:t>
      </w:r>
      <w:r>
        <w:rPr>
          <w:lang w:val="fr-FR"/>
        </w:rPr>
        <w:tab/>
        <w:t>En tant que Parties d’origine, 15 répondants (sur 24) indiquent que leur législation ne prévoit pas de délai raisonnable pour la communication des observations par la Partie touchée (question I</w:t>
      </w:r>
      <w:r w:rsidR="00A3423F" w:rsidRPr="00A3423F">
        <w:rPr>
          <w:lang w:val="fr-FR"/>
        </w:rPr>
        <w:t>.</w:t>
      </w:r>
      <w:r>
        <w:rPr>
          <w:lang w:val="fr-FR"/>
        </w:rPr>
        <w:t>10</w:t>
      </w:r>
      <w:r w:rsidR="00A3423F" w:rsidRPr="00A3423F">
        <w:rPr>
          <w:lang w:val="fr-FR"/>
        </w:rPr>
        <w:t>.</w:t>
      </w:r>
      <w:r>
        <w:rPr>
          <w:lang w:val="fr-FR"/>
        </w:rPr>
        <w:t>3)</w:t>
      </w:r>
      <w:r w:rsidR="00A3423F" w:rsidRPr="00A3423F">
        <w:rPr>
          <w:lang w:val="fr-FR"/>
        </w:rPr>
        <w:t>.</w:t>
      </w:r>
      <w:r>
        <w:rPr>
          <w:lang w:val="fr-FR"/>
        </w:rPr>
        <w:t xml:space="preserve"> Un grand nombre de ces répondants indiquent qu’un délai est convenu d’entente avec la Partie touchée</w:t>
      </w:r>
      <w:r w:rsidR="00A3423F" w:rsidRPr="00A3423F">
        <w:rPr>
          <w:lang w:val="fr-FR"/>
        </w:rPr>
        <w:t>.</w:t>
      </w:r>
      <w:r>
        <w:rPr>
          <w:lang w:val="fr-FR"/>
        </w:rPr>
        <w:t xml:space="preserve"> Plusieurs répondants précisent les délais prévus dans leur législation nationale, qui vont d’un à trois mois (voir le tableau 1)</w:t>
      </w:r>
      <w:r w:rsidR="00A3423F" w:rsidRPr="00A3423F">
        <w:rPr>
          <w:lang w:val="fr-FR"/>
        </w:rPr>
        <w:t>.</w:t>
      </w:r>
      <w:bookmarkStart w:id="14" w:name="_Hlk16869790"/>
      <w:bookmarkEnd w:id="14"/>
    </w:p>
    <w:p w14:paraId="3EDF4371" w14:textId="77777777" w:rsidR="00D902EB" w:rsidRPr="00302EF5" w:rsidRDefault="00D902EB" w:rsidP="00D902EB">
      <w:pPr>
        <w:pStyle w:val="Titre1"/>
        <w:rPr>
          <w:rFonts w:eastAsia="Times"/>
          <w:lang w:val="fr-FR"/>
        </w:rPr>
      </w:pPr>
      <w:r w:rsidRPr="00302EF5">
        <w:rPr>
          <w:lang w:val="fr-FR"/>
        </w:rPr>
        <w:t>Tableau 1</w:t>
      </w:r>
    </w:p>
    <w:p w14:paraId="162B12C8" w14:textId="60D6A011" w:rsidR="00D902EB" w:rsidRPr="003A5596" w:rsidRDefault="00D902EB" w:rsidP="00D902EB">
      <w:pPr>
        <w:pStyle w:val="Titre1"/>
        <w:spacing w:after="120"/>
        <w:ind w:right="1134"/>
        <w:rPr>
          <w:rFonts w:ascii="Times" w:eastAsia="Times" w:hAnsi="Times" w:cs="Times"/>
          <w:i/>
          <w:lang w:val="fr-FR"/>
        </w:rPr>
      </w:pPr>
      <w:r w:rsidRPr="001E17B4">
        <w:rPr>
          <w:b/>
          <w:bCs/>
          <w:lang w:val="fr-FR"/>
        </w:rPr>
        <w:t>Réponses à la question I</w:t>
      </w:r>
      <w:r w:rsidR="00A3423F" w:rsidRPr="00A3423F">
        <w:rPr>
          <w:b/>
          <w:bCs/>
          <w:lang w:val="fr-FR"/>
        </w:rPr>
        <w:t>.</w:t>
      </w:r>
      <w:r w:rsidRPr="001E17B4">
        <w:rPr>
          <w:b/>
          <w:bCs/>
          <w:lang w:val="fr-FR"/>
        </w:rPr>
        <w:t>10</w:t>
      </w:r>
      <w:r w:rsidR="00A3423F" w:rsidRPr="00A3423F">
        <w:rPr>
          <w:b/>
          <w:bCs/>
          <w:lang w:val="fr-FR"/>
        </w:rPr>
        <w:t>.</w:t>
      </w:r>
      <w:r w:rsidRPr="001E17B4">
        <w:rPr>
          <w:b/>
          <w:bCs/>
          <w:lang w:val="fr-FR"/>
        </w:rPr>
        <w:t xml:space="preserve">3 : « Votre législation stipule-t-elle quel est le délai raisonnable (en jours, semaines ou mois) pour la communication des observations </w:t>
      </w:r>
      <w:r>
        <w:rPr>
          <w:b/>
          <w:bCs/>
          <w:lang w:val="fr-FR"/>
        </w:rPr>
        <w:br/>
      </w:r>
      <w:r w:rsidRPr="001E17B4">
        <w:rPr>
          <w:b/>
          <w:bCs/>
          <w:lang w:val="fr-FR"/>
        </w:rPr>
        <w:t>par la Partie touchée lorsque votre pays est la Partie d</w:t>
      </w:r>
      <w:r>
        <w:rPr>
          <w:b/>
          <w:bCs/>
          <w:lang w:val="fr-FR"/>
        </w:rPr>
        <w:t>’</w:t>
      </w:r>
      <w:r w:rsidRPr="001E17B4">
        <w:rPr>
          <w:b/>
          <w:bCs/>
          <w:lang w:val="fr-FR"/>
        </w:rPr>
        <w:t>origine</w:t>
      </w:r>
      <w:r>
        <w:rPr>
          <w:b/>
          <w:bCs/>
          <w:lang w:val="fr-FR"/>
        </w:rPr>
        <w:t> </w:t>
      </w:r>
      <w:r w:rsidRPr="001E17B4">
        <w:rPr>
          <w:b/>
          <w:bCs/>
          <w:lang w:val="fr-FR"/>
        </w:rPr>
        <w:t>? » (n=24)</w:t>
      </w:r>
    </w:p>
    <w:tbl>
      <w:tblPr>
        <w:tblW w:w="7370" w:type="dxa"/>
        <w:tblInd w:w="1134" w:type="dxa"/>
        <w:tblLayout w:type="fixed"/>
        <w:tblCellMar>
          <w:left w:w="0" w:type="dxa"/>
          <w:right w:w="0" w:type="dxa"/>
        </w:tblCellMar>
        <w:tblLook w:val="0620" w:firstRow="1" w:lastRow="0" w:firstColumn="0" w:lastColumn="0" w:noHBand="1" w:noVBand="1"/>
      </w:tblPr>
      <w:tblGrid>
        <w:gridCol w:w="1877"/>
        <w:gridCol w:w="770"/>
        <w:gridCol w:w="4723"/>
      </w:tblGrid>
      <w:tr w:rsidR="00D902EB" w:rsidRPr="001E17B4" w14:paraId="21C70E54" w14:textId="77777777" w:rsidTr="0039665D">
        <w:trPr>
          <w:tblHeader/>
        </w:trPr>
        <w:tc>
          <w:tcPr>
            <w:tcW w:w="1877" w:type="dxa"/>
            <w:tcBorders>
              <w:top w:val="single" w:sz="4" w:space="0" w:color="auto"/>
              <w:bottom w:val="single" w:sz="12" w:space="0" w:color="auto"/>
            </w:tcBorders>
            <w:shd w:val="clear" w:color="auto" w:fill="auto"/>
            <w:vAlign w:val="bottom"/>
          </w:tcPr>
          <w:p w14:paraId="0D7C3623" w14:textId="77777777" w:rsidR="00D902EB" w:rsidRPr="001E17B4" w:rsidRDefault="00D902EB" w:rsidP="0039665D">
            <w:pPr>
              <w:spacing w:before="80" w:after="80" w:line="200" w:lineRule="exact"/>
              <w:ind w:right="113"/>
              <w:rPr>
                <w:i/>
                <w:sz w:val="16"/>
                <w:lang w:val="fr-FR"/>
              </w:rPr>
            </w:pPr>
          </w:p>
        </w:tc>
        <w:tc>
          <w:tcPr>
            <w:tcW w:w="770" w:type="dxa"/>
            <w:tcBorders>
              <w:top w:val="single" w:sz="4" w:space="0" w:color="auto"/>
              <w:bottom w:val="single" w:sz="12" w:space="0" w:color="auto"/>
            </w:tcBorders>
            <w:shd w:val="clear" w:color="auto" w:fill="auto"/>
            <w:vAlign w:val="bottom"/>
          </w:tcPr>
          <w:p w14:paraId="71358805" w14:textId="77777777" w:rsidR="00D902EB" w:rsidRPr="001E17B4" w:rsidRDefault="00D902EB" w:rsidP="0039665D">
            <w:pPr>
              <w:spacing w:before="80" w:after="80" w:line="200" w:lineRule="exact"/>
              <w:ind w:right="113"/>
              <w:rPr>
                <w:i/>
                <w:sz w:val="16"/>
              </w:rPr>
            </w:pPr>
            <w:r w:rsidRPr="001E17B4">
              <w:rPr>
                <w:i/>
                <w:iCs/>
                <w:sz w:val="16"/>
                <w:lang w:val="fr-FR"/>
              </w:rPr>
              <w:t>Oui/non</w:t>
            </w:r>
          </w:p>
          <w:p w14:paraId="2DB02792" w14:textId="77777777" w:rsidR="00D902EB" w:rsidRPr="001E17B4" w:rsidRDefault="00D902EB" w:rsidP="0039665D">
            <w:pPr>
              <w:spacing w:before="80" w:after="80" w:line="200" w:lineRule="exact"/>
              <w:ind w:right="113"/>
              <w:rPr>
                <w:i/>
                <w:sz w:val="16"/>
              </w:rPr>
            </w:pPr>
            <w:r w:rsidRPr="001E17B4">
              <w:rPr>
                <w:i/>
                <w:iCs/>
                <w:sz w:val="16"/>
                <w:lang w:val="fr-FR"/>
              </w:rPr>
              <w:t>(9/15)</w:t>
            </w:r>
          </w:p>
        </w:tc>
        <w:tc>
          <w:tcPr>
            <w:tcW w:w="4723" w:type="dxa"/>
            <w:tcBorders>
              <w:top w:val="single" w:sz="4" w:space="0" w:color="auto"/>
              <w:bottom w:val="single" w:sz="12" w:space="0" w:color="auto"/>
            </w:tcBorders>
            <w:shd w:val="clear" w:color="auto" w:fill="auto"/>
            <w:vAlign w:val="bottom"/>
          </w:tcPr>
          <w:p w14:paraId="59EADA56" w14:textId="77777777" w:rsidR="00D902EB" w:rsidRPr="001E17B4" w:rsidRDefault="00D902EB" w:rsidP="0039665D">
            <w:pPr>
              <w:spacing w:before="80" w:after="80" w:line="200" w:lineRule="exact"/>
              <w:ind w:right="113"/>
              <w:rPr>
                <w:i/>
                <w:sz w:val="16"/>
                <w:lang w:val="fr-FR"/>
              </w:rPr>
            </w:pPr>
            <w:r w:rsidRPr="001E17B4">
              <w:rPr>
                <w:i/>
                <w:iCs/>
                <w:sz w:val="16"/>
                <w:lang w:val="fr-FR"/>
              </w:rPr>
              <w:t>Délai pour la communication des observations</w:t>
            </w:r>
          </w:p>
        </w:tc>
      </w:tr>
      <w:tr w:rsidR="00D902EB" w:rsidRPr="001E17B4" w14:paraId="6F138274" w14:textId="77777777" w:rsidTr="0039665D">
        <w:trPr>
          <w:trHeight w:hRule="exact" w:val="113"/>
          <w:tblHeader/>
        </w:trPr>
        <w:tc>
          <w:tcPr>
            <w:tcW w:w="1877" w:type="dxa"/>
            <w:tcBorders>
              <w:top w:val="single" w:sz="12" w:space="0" w:color="auto"/>
            </w:tcBorders>
            <w:shd w:val="clear" w:color="auto" w:fill="auto"/>
          </w:tcPr>
          <w:p w14:paraId="6C7D745F" w14:textId="77777777" w:rsidR="00D902EB" w:rsidRPr="001E17B4" w:rsidRDefault="00D902EB" w:rsidP="0039665D">
            <w:pPr>
              <w:spacing w:before="40" w:after="120"/>
              <w:ind w:right="113"/>
              <w:rPr>
                <w:lang w:val="fr-FR"/>
              </w:rPr>
            </w:pPr>
          </w:p>
        </w:tc>
        <w:tc>
          <w:tcPr>
            <w:tcW w:w="770" w:type="dxa"/>
            <w:tcBorders>
              <w:top w:val="single" w:sz="12" w:space="0" w:color="auto"/>
            </w:tcBorders>
            <w:shd w:val="clear" w:color="auto" w:fill="auto"/>
          </w:tcPr>
          <w:p w14:paraId="23E641C5" w14:textId="77777777" w:rsidR="00D902EB" w:rsidRPr="001E17B4" w:rsidRDefault="00D902EB" w:rsidP="0039665D">
            <w:pPr>
              <w:spacing w:before="40" w:after="120"/>
              <w:ind w:right="113"/>
              <w:rPr>
                <w:iCs/>
                <w:lang w:val="fr-FR"/>
              </w:rPr>
            </w:pPr>
          </w:p>
        </w:tc>
        <w:tc>
          <w:tcPr>
            <w:tcW w:w="4723" w:type="dxa"/>
            <w:tcBorders>
              <w:top w:val="single" w:sz="12" w:space="0" w:color="auto"/>
            </w:tcBorders>
            <w:shd w:val="clear" w:color="auto" w:fill="auto"/>
          </w:tcPr>
          <w:p w14:paraId="5375F3B6" w14:textId="77777777" w:rsidR="00D902EB" w:rsidRPr="001E17B4" w:rsidRDefault="00D902EB" w:rsidP="0039665D">
            <w:pPr>
              <w:spacing w:before="40" w:after="120"/>
              <w:ind w:right="113"/>
              <w:rPr>
                <w:iCs/>
                <w:lang w:val="fr-FR"/>
              </w:rPr>
            </w:pPr>
          </w:p>
        </w:tc>
      </w:tr>
      <w:tr w:rsidR="00D902EB" w:rsidRPr="001E17B4" w14:paraId="5D931A07" w14:textId="77777777" w:rsidTr="0039665D">
        <w:tc>
          <w:tcPr>
            <w:tcW w:w="1877" w:type="dxa"/>
            <w:shd w:val="clear" w:color="auto" w:fill="auto"/>
          </w:tcPr>
          <w:p w14:paraId="5A808736" w14:textId="77777777" w:rsidR="00D902EB" w:rsidRPr="001E17B4" w:rsidRDefault="00D902EB" w:rsidP="0039665D">
            <w:pPr>
              <w:spacing w:before="40" w:after="120"/>
              <w:ind w:right="113"/>
            </w:pPr>
            <w:r w:rsidRPr="001E17B4">
              <w:rPr>
                <w:lang w:val="fr-FR"/>
              </w:rPr>
              <w:t>Albanie</w:t>
            </w:r>
          </w:p>
        </w:tc>
        <w:tc>
          <w:tcPr>
            <w:tcW w:w="770" w:type="dxa"/>
            <w:shd w:val="clear" w:color="auto" w:fill="auto"/>
          </w:tcPr>
          <w:p w14:paraId="0FD01230"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3C5680AC" w14:textId="77777777" w:rsidR="00D902EB" w:rsidRPr="001E17B4" w:rsidRDefault="00D902EB" w:rsidP="0039665D">
            <w:pPr>
              <w:spacing w:before="40" w:after="120"/>
              <w:ind w:right="113"/>
            </w:pPr>
            <w:r w:rsidRPr="001E17B4">
              <w:rPr>
                <w:lang w:val="fr-FR"/>
              </w:rPr>
              <w:t>7 semaines</w:t>
            </w:r>
          </w:p>
        </w:tc>
      </w:tr>
      <w:tr w:rsidR="00D902EB" w:rsidRPr="001E17B4" w14:paraId="068F4C6A" w14:textId="77777777" w:rsidTr="0039665D">
        <w:tc>
          <w:tcPr>
            <w:tcW w:w="1877" w:type="dxa"/>
            <w:shd w:val="clear" w:color="auto" w:fill="auto"/>
          </w:tcPr>
          <w:p w14:paraId="6F5A6CAF" w14:textId="77777777" w:rsidR="00D902EB" w:rsidRPr="001E17B4" w:rsidRDefault="00D902EB" w:rsidP="0039665D">
            <w:pPr>
              <w:spacing w:before="40" w:after="120"/>
              <w:ind w:right="113"/>
            </w:pPr>
            <w:r w:rsidRPr="001E17B4">
              <w:rPr>
                <w:lang w:val="fr-FR"/>
              </w:rPr>
              <w:t>Arménie</w:t>
            </w:r>
          </w:p>
        </w:tc>
        <w:tc>
          <w:tcPr>
            <w:tcW w:w="770" w:type="dxa"/>
            <w:shd w:val="clear" w:color="auto" w:fill="auto"/>
          </w:tcPr>
          <w:p w14:paraId="7B087639"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0EAC6444" w14:textId="77777777" w:rsidR="00D902EB" w:rsidRPr="001E17B4" w:rsidRDefault="00D902EB" w:rsidP="0039665D">
            <w:pPr>
              <w:spacing w:before="40" w:after="120"/>
              <w:ind w:right="113"/>
            </w:pPr>
            <w:r w:rsidRPr="001E17B4">
              <w:rPr>
                <w:lang w:val="fr-FR"/>
              </w:rPr>
              <w:t>60 jours ouvrables</w:t>
            </w:r>
          </w:p>
        </w:tc>
      </w:tr>
      <w:tr w:rsidR="00D902EB" w:rsidRPr="001E17B4" w14:paraId="053ED3E3" w14:textId="77777777" w:rsidTr="0039665D">
        <w:tc>
          <w:tcPr>
            <w:tcW w:w="1877" w:type="dxa"/>
            <w:shd w:val="clear" w:color="auto" w:fill="auto"/>
          </w:tcPr>
          <w:p w14:paraId="42732B77" w14:textId="77777777" w:rsidR="00D902EB" w:rsidRPr="001E17B4" w:rsidRDefault="00D902EB" w:rsidP="0039665D">
            <w:pPr>
              <w:spacing w:before="40" w:after="120"/>
              <w:ind w:right="113"/>
            </w:pPr>
            <w:r w:rsidRPr="001E17B4">
              <w:rPr>
                <w:lang w:val="fr-FR"/>
              </w:rPr>
              <w:t>Autriche</w:t>
            </w:r>
          </w:p>
        </w:tc>
        <w:tc>
          <w:tcPr>
            <w:tcW w:w="770" w:type="dxa"/>
            <w:shd w:val="clear" w:color="auto" w:fill="auto"/>
          </w:tcPr>
          <w:p w14:paraId="57574D78"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4B43DB3F" w14:textId="77777777" w:rsidR="00D902EB" w:rsidRPr="001E17B4" w:rsidRDefault="00D902EB" w:rsidP="0039665D">
            <w:pPr>
              <w:spacing w:before="40" w:after="120"/>
              <w:ind w:right="113"/>
            </w:pPr>
          </w:p>
        </w:tc>
      </w:tr>
      <w:tr w:rsidR="00D902EB" w:rsidRPr="001E17B4" w14:paraId="317C46C5" w14:textId="77777777" w:rsidTr="0039665D">
        <w:tc>
          <w:tcPr>
            <w:tcW w:w="1877" w:type="dxa"/>
            <w:shd w:val="clear" w:color="auto" w:fill="auto"/>
          </w:tcPr>
          <w:p w14:paraId="56535054" w14:textId="77777777" w:rsidR="00D902EB" w:rsidRPr="001E17B4" w:rsidRDefault="00D902EB" w:rsidP="0039665D">
            <w:pPr>
              <w:spacing w:before="40" w:after="120"/>
              <w:ind w:right="113"/>
            </w:pPr>
            <w:r w:rsidRPr="001E17B4">
              <w:rPr>
                <w:lang w:val="fr-FR"/>
              </w:rPr>
              <w:t>Bosnie-Herzégovine</w:t>
            </w:r>
          </w:p>
        </w:tc>
        <w:tc>
          <w:tcPr>
            <w:tcW w:w="770" w:type="dxa"/>
            <w:shd w:val="clear" w:color="auto" w:fill="auto"/>
          </w:tcPr>
          <w:p w14:paraId="553D8E71"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358E5C6B" w14:textId="77777777" w:rsidR="00D902EB" w:rsidRPr="001E17B4" w:rsidRDefault="00D902EB" w:rsidP="0039665D">
            <w:pPr>
              <w:spacing w:before="40" w:after="120"/>
              <w:ind w:right="113"/>
            </w:pPr>
          </w:p>
        </w:tc>
      </w:tr>
      <w:tr w:rsidR="00D902EB" w:rsidRPr="001E17B4" w14:paraId="0DA29E2C" w14:textId="77777777" w:rsidTr="0039665D">
        <w:tc>
          <w:tcPr>
            <w:tcW w:w="1877" w:type="dxa"/>
            <w:shd w:val="clear" w:color="auto" w:fill="auto"/>
          </w:tcPr>
          <w:p w14:paraId="07B3BB80" w14:textId="77777777" w:rsidR="00D902EB" w:rsidRPr="001E17B4" w:rsidRDefault="00D902EB" w:rsidP="0039665D">
            <w:pPr>
              <w:spacing w:before="40" w:after="120"/>
              <w:ind w:right="113"/>
            </w:pPr>
            <w:r w:rsidRPr="001E17B4">
              <w:rPr>
                <w:lang w:val="fr-FR"/>
              </w:rPr>
              <w:t>Croatie</w:t>
            </w:r>
          </w:p>
        </w:tc>
        <w:tc>
          <w:tcPr>
            <w:tcW w:w="770" w:type="dxa"/>
            <w:shd w:val="clear" w:color="auto" w:fill="auto"/>
          </w:tcPr>
          <w:p w14:paraId="152CDF5D"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7581BFA9" w14:textId="77777777" w:rsidR="00D902EB" w:rsidRPr="001E17B4" w:rsidRDefault="00D902EB" w:rsidP="0039665D">
            <w:pPr>
              <w:spacing w:before="40" w:after="120"/>
              <w:ind w:right="113"/>
            </w:pPr>
            <w:r w:rsidRPr="001E17B4">
              <w:rPr>
                <w:lang w:val="fr-FR"/>
              </w:rPr>
              <w:t>30 jours</w:t>
            </w:r>
          </w:p>
        </w:tc>
      </w:tr>
      <w:tr w:rsidR="00D902EB" w:rsidRPr="001E17B4" w14:paraId="43BCFE98" w14:textId="77777777" w:rsidTr="0039665D">
        <w:tc>
          <w:tcPr>
            <w:tcW w:w="1877" w:type="dxa"/>
            <w:shd w:val="clear" w:color="auto" w:fill="auto"/>
          </w:tcPr>
          <w:p w14:paraId="329AC77D" w14:textId="77777777" w:rsidR="00D902EB" w:rsidRPr="001E17B4" w:rsidRDefault="00D902EB" w:rsidP="0039665D">
            <w:pPr>
              <w:spacing w:before="40" w:after="120"/>
              <w:ind w:right="113"/>
            </w:pPr>
            <w:r w:rsidRPr="001E17B4">
              <w:rPr>
                <w:lang w:val="fr-FR"/>
              </w:rPr>
              <w:t>Danemark</w:t>
            </w:r>
          </w:p>
        </w:tc>
        <w:tc>
          <w:tcPr>
            <w:tcW w:w="770" w:type="dxa"/>
            <w:shd w:val="clear" w:color="auto" w:fill="auto"/>
          </w:tcPr>
          <w:p w14:paraId="76E3E784"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20359C61" w14:textId="1689AC53" w:rsidR="00D902EB" w:rsidRPr="001E17B4" w:rsidRDefault="00D902EB" w:rsidP="0039665D">
            <w:pPr>
              <w:spacing w:before="40" w:after="120"/>
              <w:ind w:right="113"/>
              <w:rPr>
                <w:lang w:val="fr-FR"/>
              </w:rPr>
            </w:pPr>
            <w:r w:rsidRPr="001E17B4">
              <w:rPr>
                <w:lang w:val="fr-FR"/>
              </w:rPr>
              <w:t>La législation spécifique (sectorielle) peut fixer un cadre et des délais pour les consultations publiques</w:t>
            </w:r>
            <w:r w:rsidR="00A3423F" w:rsidRPr="00A3423F">
              <w:rPr>
                <w:lang w:val="fr-FR"/>
              </w:rPr>
              <w:t>.</w:t>
            </w:r>
            <w:r w:rsidRPr="001E17B4">
              <w:rPr>
                <w:lang w:val="fr-FR"/>
              </w:rPr>
              <w:t xml:space="preserve"> </w:t>
            </w:r>
          </w:p>
        </w:tc>
      </w:tr>
      <w:tr w:rsidR="00D902EB" w:rsidRPr="001E17B4" w14:paraId="190594D9" w14:textId="77777777" w:rsidTr="0039665D">
        <w:tc>
          <w:tcPr>
            <w:tcW w:w="1877" w:type="dxa"/>
            <w:shd w:val="clear" w:color="auto" w:fill="auto"/>
          </w:tcPr>
          <w:p w14:paraId="447FE064" w14:textId="77777777" w:rsidR="00D902EB" w:rsidRPr="001E17B4" w:rsidRDefault="00D902EB" w:rsidP="0039665D">
            <w:pPr>
              <w:spacing w:before="40" w:after="120"/>
              <w:ind w:right="113"/>
            </w:pPr>
            <w:r w:rsidRPr="001E17B4">
              <w:rPr>
                <w:lang w:val="fr-FR"/>
              </w:rPr>
              <w:t>Espagne</w:t>
            </w:r>
          </w:p>
        </w:tc>
        <w:tc>
          <w:tcPr>
            <w:tcW w:w="770" w:type="dxa"/>
            <w:shd w:val="clear" w:color="auto" w:fill="auto"/>
          </w:tcPr>
          <w:p w14:paraId="78D027A1"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648D3A61" w14:textId="5A94FDC0" w:rsidR="00D902EB" w:rsidRPr="001E17B4" w:rsidRDefault="00D902EB" w:rsidP="0039665D">
            <w:pPr>
              <w:spacing w:before="40" w:after="120"/>
              <w:ind w:right="113"/>
              <w:rPr>
                <w:lang w:val="fr-FR"/>
              </w:rPr>
            </w:pPr>
            <w:r w:rsidRPr="001E17B4">
              <w:rPr>
                <w:lang w:val="fr-FR"/>
              </w:rPr>
              <w:t>Délai raisonnable de 3 mois au plus</w:t>
            </w:r>
            <w:r w:rsidR="00A3423F" w:rsidRPr="00A3423F">
              <w:rPr>
                <w:lang w:val="fr-FR"/>
              </w:rPr>
              <w:t>.</w:t>
            </w:r>
          </w:p>
        </w:tc>
      </w:tr>
      <w:tr w:rsidR="00D902EB" w:rsidRPr="001E17B4" w14:paraId="46C8A47B" w14:textId="77777777" w:rsidTr="0039665D">
        <w:tc>
          <w:tcPr>
            <w:tcW w:w="1877" w:type="dxa"/>
            <w:shd w:val="clear" w:color="auto" w:fill="auto"/>
          </w:tcPr>
          <w:p w14:paraId="062C1B1B" w14:textId="77777777" w:rsidR="00D902EB" w:rsidRPr="001E17B4" w:rsidRDefault="00D902EB" w:rsidP="0039665D">
            <w:pPr>
              <w:spacing w:before="40" w:after="120"/>
              <w:ind w:right="113"/>
            </w:pPr>
            <w:r w:rsidRPr="001E17B4">
              <w:rPr>
                <w:lang w:val="fr-FR"/>
              </w:rPr>
              <w:t>Estonie</w:t>
            </w:r>
          </w:p>
        </w:tc>
        <w:tc>
          <w:tcPr>
            <w:tcW w:w="770" w:type="dxa"/>
            <w:shd w:val="clear" w:color="auto" w:fill="auto"/>
          </w:tcPr>
          <w:p w14:paraId="65189F37"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7CA0FAF6" w14:textId="1DB94720" w:rsidR="00D902EB" w:rsidRPr="001E17B4" w:rsidRDefault="00D902EB" w:rsidP="0039665D">
            <w:pPr>
              <w:spacing w:before="40" w:after="120"/>
              <w:ind w:right="113"/>
              <w:rPr>
                <w:lang w:val="fr-FR"/>
              </w:rPr>
            </w:pPr>
            <w:r w:rsidRPr="001E17B4">
              <w:rPr>
                <w:lang w:val="fr-FR"/>
              </w:rPr>
              <w:t>Minimum de 30 jours</w:t>
            </w:r>
            <w:r w:rsidR="00A3423F" w:rsidRPr="00A3423F">
              <w:rPr>
                <w:lang w:val="fr-FR"/>
              </w:rPr>
              <w:t>.</w:t>
            </w:r>
            <w:r w:rsidRPr="001E17B4">
              <w:rPr>
                <w:lang w:val="fr-FR"/>
              </w:rPr>
              <w:t xml:space="preserve"> Dans la pratique, un délai de 30 à 60 jours est généralement proposé par la Partie d</w:t>
            </w:r>
            <w:r>
              <w:rPr>
                <w:lang w:val="fr-FR"/>
              </w:rPr>
              <w:t>’</w:t>
            </w:r>
            <w:r w:rsidRPr="001E17B4">
              <w:rPr>
                <w:lang w:val="fr-FR"/>
              </w:rPr>
              <w:t>origine</w:t>
            </w:r>
            <w:r w:rsidR="00A3423F" w:rsidRPr="00A3423F">
              <w:rPr>
                <w:lang w:val="fr-FR"/>
              </w:rPr>
              <w:t>.</w:t>
            </w:r>
            <w:r w:rsidRPr="001E17B4">
              <w:rPr>
                <w:lang w:val="fr-FR"/>
              </w:rPr>
              <w:t xml:space="preserve"> </w:t>
            </w:r>
          </w:p>
        </w:tc>
      </w:tr>
      <w:tr w:rsidR="00D902EB" w:rsidRPr="001E17B4" w14:paraId="425F307C" w14:textId="77777777" w:rsidTr="0039665D">
        <w:tc>
          <w:tcPr>
            <w:tcW w:w="1877" w:type="dxa"/>
            <w:shd w:val="clear" w:color="auto" w:fill="auto"/>
          </w:tcPr>
          <w:p w14:paraId="1A5AD8EE" w14:textId="77777777" w:rsidR="00D902EB" w:rsidRPr="001E17B4" w:rsidRDefault="00D902EB" w:rsidP="0039665D">
            <w:pPr>
              <w:spacing w:before="40" w:after="120"/>
              <w:ind w:right="113"/>
            </w:pPr>
            <w:r w:rsidRPr="001E17B4">
              <w:rPr>
                <w:lang w:val="fr-FR"/>
              </w:rPr>
              <w:t>Finlande</w:t>
            </w:r>
          </w:p>
        </w:tc>
        <w:tc>
          <w:tcPr>
            <w:tcW w:w="770" w:type="dxa"/>
            <w:shd w:val="clear" w:color="auto" w:fill="auto"/>
          </w:tcPr>
          <w:p w14:paraId="2A40D890"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14C0C556" w14:textId="575A7056" w:rsidR="00D902EB" w:rsidRPr="001E17B4" w:rsidRDefault="00D902EB" w:rsidP="0039665D">
            <w:pPr>
              <w:spacing w:before="40" w:after="120"/>
              <w:ind w:right="113"/>
              <w:rPr>
                <w:lang w:val="fr-FR"/>
              </w:rPr>
            </w:pPr>
            <w:r w:rsidRPr="001E17B4">
              <w:rPr>
                <w:lang w:val="fr-FR"/>
              </w:rPr>
              <w:t>Le délai dont dispose la Partie touchée pour faire savoir qu</w:t>
            </w:r>
            <w:r>
              <w:rPr>
                <w:lang w:val="fr-FR"/>
              </w:rPr>
              <w:t>’</w:t>
            </w:r>
            <w:r w:rsidRPr="001E17B4">
              <w:rPr>
                <w:lang w:val="fr-FR"/>
              </w:rPr>
              <w:t>elle souhaite engager des consultations est de 60 jours pour tous les plans et programmes et de 30 jours pour les plans d</w:t>
            </w:r>
            <w:r>
              <w:rPr>
                <w:lang w:val="fr-FR"/>
              </w:rPr>
              <w:t>’</w:t>
            </w:r>
            <w:r w:rsidRPr="001E17B4">
              <w:rPr>
                <w:lang w:val="fr-FR"/>
              </w:rPr>
              <w:t>aménagement du territoire</w:t>
            </w:r>
            <w:r w:rsidR="00A3423F" w:rsidRPr="00A3423F">
              <w:rPr>
                <w:lang w:val="fr-FR"/>
              </w:rPr>
              <w:t>.</w:t>
            </w:r>
            <w:r w:rsidRPr="001E17B4">
              <w:rPr>
                <w:lang w:val="fr-FR"/>
              </w:rPr>
              <w:t xml:space="preserve"> Si des consultations sont engagées, un délai raisonnable est prévu pour la communication des observations</w:t>
            </w:r>
            <w:r w:rsidR="00A3423F" w:rsidRPr="00A3423F">
              <w:rPr>
                <w:lang w:val="fr-FR"/>
              </w:rPr>
              <w:t>.</w:t>
            </w:r>
          </w:p>
        </w:tc>
      </w:tr>
      <w:tr w:rsidR="00D902EB" w:rsidRPr="001E17B4" w14:paraId="33813217" w14:textId="77777777" w:rsidTr="0039665D">
        <w:tc>
          <w:tcPr>
            <w:tcW w:w="1877" w:type="dxa"/>
            <w:shd w:val="clear" w:color="auto" w:fill="auto"/>
          </w:tcPr>
          <w:p w14:paraId="58D3E062" w14:textId="77777777" w:rsidR="00D902EB" w:rsidRPr="001E17B4" w:rsidRDefault="00D902EB" w:rsidP="0039665D">
            <w:pPr>
              <w:spacing w:before="40" w:after="120"/>
              <w:ind w:right="113"/>
            </w:pPr>
            <w:r w:rsidRPr="001E17B4">
              <w:rPr>
                <w:lang w:val="fr-FR"/>
              </w:rPr>
              <w:t>Géorgie</w:t>
            </w:r>
          </w:p>
        </w:tc>
        <w:tc>
          <w:tcPr>
            <w:tcW w:w="770" w:type="dxa"/>
            <w:shd w:val="clear" w:color="auto" w:fill="auto"/>
          </w:tcPr>
          <w:p w14:paraId="5353F98D"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579969EB" w14:textId="33C166EB" w:rsidR="00D902EB" w:rsidRPr="001E17B4" w:rsidRDefault="00D902EB" w:rsidP="0039665D">
            <w:pPr>
              <w:spacing w:before="40" w:after="120"/>
              <w:ind w:right="113"/>
              <w:rPr>
                <w:lang w:val="fr-FR"/>
              </w:rPr>
            </w:pPr>
            <w:r w:rsidRPr="001E17B4">
              <w:rPr>
                <w:lang w:val="fr-FR"/>
              </w:rPr>
              <w:t>Convenu avec la Partie touchée au cas par cas</w:t>
            </w:r>
            <w:r w:rsidR="00A3423F" w:rsidRPr="00A3423F">
              <w:rPr>
                <w:lang w:val="fr-FR"/>
              </w:rPr>
              <w:t>.</w:t>
            </w:r>
            <w:r w:rsidRPr="001E17B4">
              <w:rPr>
                <w:lang w:val="fr-FR"/>
              </w:rPr>
              <w:t xml:space="preserve"> </w:t>
            </w:r>
          </w:p>
        </w:tc>
      </w:tr>
      <w:tr w:rsidR="00D902EB" w:rsidRPr="001E17B4" w14:paraId="2ED8C54F" w14:textId="77777777" w:rsidTr="0039665D">
        <w:tc>
          <w:tcPr>
            <w:tcW w:w="1877" w:type="dxa"/>
            <w:shd w:val="clear" w:color="auto" w:fill="auto"/>
          </w:tcPr>
          <w:p w14:paraId="7E6B6E66" w14:textId="77777777" w:rsidR="00D902EB" w:rsidRPr="001E17B4" w:rsidRDefault="00D902EB" w:rsidP="0039665D">
            <w:pPr>
              <w:spacing w:before="40" w:after="120"/>
              <w:ind w:right="113"/>
            </w:pPr>
            <w:r w:rsidRPr="001E17B4">
              <w:rPr>
                <w:lang w:val="fr-FR"/>
              </w:rPr>
              <w:t>Hongrie</w:t>
            </w:r>
          </w:p>
        </w:tc>
        <w:tc>
          <w:tcPr>
            <w:tcW w:w="770" w:type="dxa"/>
            <w:shd w:val="clear" w:color="auto" w:fill="auto"/>
          </w:tcPr>
          <w:p w14:paraId="7A773B48"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4B2A3FA7" w14:textId="6DE48243" w:rsidR="00D902EB" w:rsidRPr="001E17B4" w:rsidRDefault="00D902EB" w:rsidP="0039665D">
            <w:pPr>
              <w:spacing w:before="40" w:after="120"/>
              <w:ind w:right="113"/>
              <w:rPr>
                <w:lang w:val="fr-FR"/>
              </w:rPr>
            </w:pPr>
            <w:r w:rsidRPr="001E17B4">
              <w:rPr>
                <w:lang w:val="fr-FR"/>
              </w:rPr>
              <w:t>Au moins 30 jours</w:t>
            </w:r>
            <w:r w:rsidR="00A3423F" w:rsidRPr="00A3423F">
              <w:rPr>
                <w:lang w:val="fr-FR"/>
              </w:rPr>
              <w:t>.</w:t>
            </w:r>
            <w:r w:rsidRPr="001E17B4">
              <w:rPr>
                <w:lang w:val="fr-FR"/>
              </w:rPr>
              <w:t xml:space="preserve"> Convenu au cas par cas</w:t>
            </w:r>
            <w:r w:rsidR="00A3423F" w:rsidRPr="00A3423F">
              <w:rPr>
                <w:lang w:val="fr-FR"/>
              </w:rPr>
              <w:t>.</w:t>
            </w:r>
            <w:r w:rsidRPr="001E17B4">
              <w:rPr>
                <w:lang w:val="fr-FR"/>
              </w:rPr>
              <w:t xml:space="preserve"> Dans la pratique, 45 à 50 jours</w:t>
            </w:r>
            <w:r w:rsidR="00A3423F" w:rsidRPr="00A3423F">
              <w:rPr>
                <w:lang w:val="fr-FR"/>
              </w:rPr>
              <w:t>.</w:t>
            </w:r>
          </w:p>
        </w:tc>
      </w:tr>
      <w:tr w:rsidR="00D902EB" w:rsidRPr="001E17B4" w14:paraId="16496AB0" w14:textId="77777777" w:rsidTr="0039665D">
        <w:tc>
          <w:tcPr>
            <w:tcW w:w="1877" w:type="dxa"/>
            <w:shd w:val="clear" w:color="auto" w:fill="auto"/>
          </w:tcPr>
          <w:p w14:paraId="4D1620CB" w14:textId="77777777" w:rsidR="00D902EB" w:rsidRPr="001E17B4" w:rsidRDefault="00D902EB" w:rsidP="0039665D">
            <w:pPr>
              <w:spacing w:before="40" w:after="120"/>
              <w:ind w:right="113"/>
            </w:pPr>
            <w:r w:rsidRPr="001E17B4">
              <w:rPr>
                <w:lang w:val="fr-FR"/>
              </w:rPr>
              <w:t>Kazakhstan</w:t>
            </w:r>
          </w:p>
        </w:tc>
        <w:tc>
          <w:tcPr>
            <w:tcW w:w="770" w:type="dxa"/>
            <w:shd w:val="clear" w:color="auto" w:fill="auto"/>
          </w:tcPr>
          <w:p w14:paraId="64F4F551"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24742202" w14:textId="545B488A" w:rsidR="00D902EB" w:rsidRPr="001E17B4" w:rsidRDefault="00D902EB" w:rsidP="0039665D">
            <w:pPr>
              <w:spacing w:before="40" w:after="120"/>
              <w:ind w:right="113"/>
              <w:rPr>
                <w:lang w:val="fr-FR"/>
              </w:rPr>
            </w:pPr>
            <w:r w:rsidRPr="001E17B4">
              <w:rPr>
                <w:lang w:val="fr-FR"/>
              </w:rPr>
              <w:t>Convenu avec la Partie touchée</w:t>
            </w:r>
            <w:r w:rsidR="00A3423F" w:rsidRPr="00A3423F">
              <w:rPr>
                <w:lang w:val="fr-FR"/>
              </w:rPr>
              <w:t>.</w:t>
            </w:r>
          </w:p>
        </w:tc>
      </w:tr>
      <w:tr w:rsidR="00D902EB" w:rsidRPr="001E17B4" w14:paraId="483AF454" w14:textId="77777777" w:rsidTr="0039665D">
        <w:tc>
          <w:tcPr>
            <w:tcW w:w="1877" w:type="dxa"/>
            <w:shd w:val="clear" w:color="auto" w:fill="auto"/>
          </w:tcPr>
          <w:p w14:paraId="198EB21D" w14:textId="77777777" w:rsidR="00D902EB" w:rsidRPr="001E17B4" w:rsidRDefault="00D902EB" w:rsidP="0039665D">
            <w:pPr>
              <w:spacing w:before="40" w:after="120"/>
              <w:ind w:right="113"/>
            </w:pPr>
            <w:r w:rsidRPr="001E17B4">
              <w:rPr>
                <w:lang w:val="fr-FR"/>
              </w:rPr>
              <w:t>Lettonie</w:t>
            </w:r>
          </w:p>
        </w:tc>
        <w:tc>
          <w:tcPr>
            <w:tcW w:w="770" w:type="dxa"/>
            <w:shd w:val="clear" w:color="auto" w:fill="auto"/>
          </w:tcPr>
          <w:p w14:paraId="1253C3A7"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32858B3A" w14:textId="77777777" w:rsidR="00D902EB" w:rsidRPr="001E17B4" w:rsidRDefault="00D902EB" w:rsidP="0039665D">
            <w:pPr>
              <w:spacing w:before="40" w:after="120"/>
              <w:ind w:right="113"/>
            </w:pPr>
          </w:p>
        </w:tc>
      </w:tr>
      <w:tr w:rsidR="00D902EB" w:rsidRPr="001E17B4" w14:paraId="6E31DAA6" w14:textId="77777777" w:rsidTr="0039665D">
        <w:tc>
          <w:tcPr>
            <w:tcW w:w="1877" w:type="dxa"/>
            <w:shd w:val="clear" w:color="auto" w:fill="auto"/>
          </w:tcPr>
          <w:p w14:paraId="18BC2691" w14:textId="77777777" w:rsidR="00D902EB" w:rsidRPr="001E17B4" w:rsidRDefault="00D902EB" w:rsidP="0039665D">
            <w:pPr>
              <w:spacing w:before="40" w:after="120"/>
              <w:ind w:right="113"/>
            </w:pPr>
            <w:r w:rsidRPr="001E17B4">
              <w:rPr>
                <w:lang w:val="fr-FR"/>
              </w:rPr>
              <w:lastRenderedPageBreak/>
              <w:t>Lituanie</w:t>
            </w:r>
          </w:p>
        </w:tc>
        <w:tc>
          <w:tcPr>
            <w:tcW w:w="770" w:type="dxa"/>
            <w:shd w:val="clear" w:color="auto" w:fill="auto"/>
          </w:tcPr>
          <w:p w14:paraId="0520394F"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40433AC1" w14:textId="4BDB4B7C" w:rsidR="00D902EB" w:rsidRPr="001E17B4" w:rsidRDefault="00D902EB" w:rsidP="0039665D">
            <w:pPr>
              <w:spacing w:before="40" w:after="120"/>
              <w:ind w:right="113"/>
              <w:rPr>
                <w:lang w:val="fr-FR"/>
              </w:rPr>
            </w:pPr>
            <w:r w:rsidRPr="001E17B4">
              <w:rPr>
                <w:lang w:val="fr-FR"/>
              </w:rPr>
              <w:t>Consultations avec la Partie touchée</w:t>
            </w:r>
            <w:r w:rsidR="00A3423F" w:rsidRPr="00A3423F">
              <w:rPr>
                <w:lang w:val="fr-FR"/>
              </w:rPr>
              <w:t>.</w:t>
            </w:r>
            <w:r w:rsidRPr="001E17B4">
              <w:rPr>
                <w:lang w:val="fr-FR"/>
              </w:rPr>
              <w:t xml:space="preserve"> </w:t>
            </w:r>
          </w:p>
        </w:tc>
      </w:tr>
      <w:tr w:rsidR="00D902EB" w:rsidRPr="001E17B4" w14:paraId="4893E5F7" w14:textId="77777777" w:rsidTr="0039665D">
        <w:tc>
          <w:tcPr>
            <w:tcW w:w="1877" w:type="dxa"/>
            <w:shd w:val="clear" w:color="auto" w:fill="auto"/>
          </w:tcPr>
          <w:p w14:paraId="099DF8A9" w14:textId="77777777" w:rsidR="00D902EB" w:rsidRPr="001E17B4" w:rsidRDefault="00D902EB" w:rsidP="0039665D">
            <w:pPr>
              <w:spacing w:before="40" w:after="120"/>
              <w:ind w:right="113"/>
            </w:pPr>
            <w:r w:rsidRPr="001E17B4">
              <w:rPr>
                <w:lang w:val="fr-FR"/>
              </w:rPr>
              <w:t>Luxembourg</w:t>
            </w:r>
          </w:p>
        </w:tc>
        <w:tc>
          <w:tcPr>
            <w:tcW w:w="770" w:type="dxa"/>
            <w:shd w:val="clear" w:color="auto" w:fill="auto"/>
          </w:tcPr>
          <w:p w14:paraId="0C5923AB"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52BA1A68" w14:textId="0CC514C2" w:rsidR="00D902EB" w:rsidRPr="001E17B4" w:rsidRDefault="00D902EB" w:rsidP="0039665D">
            <w:pPr>
              <w:spacing w:before="40" w:after="120"/>
              <w:ind w:right="113"/>
              <w:rPr>
                <w:lang w:val="fr-FR"/>
              </w:rPr>
            </w:pPr>
            <w:r w:rsidRPr="001E17B4">
              <w:rPr>
                <w:lang w:val="fr-FR"/>
              </w:rPr>
              <w:t>Consultations avec la Partie touchée</w:t>
            </w:r>
            <w:r w:rsidR="00A3423F" w:rsidRPr="00A3423F">
              <w:rPr>
                <w:lang w:val="fr-FR"/>
              </w:rPr>
              <w:t>.</w:t>
            </w:r>
            <w:r w:rsidRPr="001E17B4">
              <w:rPr>
                <w:lang w:val="fr-FR"/>
              </w:rPr>
              <w:t xml:space="preserve"> </w:t>
            </w:r>
          </w:p>
        </w:tc>
      </w:tr>
      <w:tr w:rsidR="00D902EB" w:rsidRPr="001E17B4" w14:paraId="4CAA25DA" w14:textId="77777777" w:rsidTr="0039665D">
        <w:tc>
          <w:tcPr>
            <w:tcW w:w="1877" w:type="dxa"/>
            <w:shd w:val="clear" w:color="auto" w:fill="auto"/>
          </w:tcPr>
          <w:p w14:paraId="6CEA1AEE" w14:textId="77777777" w:rsidR="00D902EB" w:rsidRPr="001E17B4" w:rsidRDefault="00D902EB" w:rsidP="0039665D">
            <w:pPr>
              <w:spacing w:before="40" w:after="120"/>
              <w:ind w:right="113"/>
            </w:pPr>
            <w:r w:rsidRPr="001E17B4">
              <w:rPr>
                <w:lang w:val="fr-FR"/>
              </w:rPr>
              <w:t>Malte</w:t>
            </w:r>
          </w:p>
        </w:tc>
        <w:tc>
          <w:tcPr>
            <w:tcW w:w="770" w:type="dxa"/>
            <w:shd w:val="clear" w:color="auto" w:fill="auto"/>
          </w:tcPr>
          <w:p w14:paraId="6C18135F"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72AC078A" w14:textId="1F89E266" w:rsidR="00D902EB" w:rsidRPr="001E17B4" w:rsidRDefault="00D902EB" w:rsidP="0039665D">
            <w:pPr>
              <w:spacing w:before="40" w:after="120"/>
              <w:ind w:right="113"/>
              <w:rPr>
                <w:lang w:val="fr-FR"/>
              </w:rPr>
            </w:pPr>
            <w:r w:rsidRPr="001E17B4">
              <w:rPr>
                <w:lang w:val="fr-FR"/>
              </w:rPr>
              <w:t>Convenu au cas par cas, en fonction du plan et du programme</w:t>
            </w:r>
            <w:r w:rsidR="00A3423F" w:rsidRPr="00A3423F">
              <w:rPr>
                <w:lang w:val="fr-FR"/>
              </w:rPr>
              <w:t>.</w:t>
            </w:r>
          </w:p>
        </w:tc>
      </w:tr>
      <w:tr w:rsidR="00D902EB" w:rsidRPr="001E17B4" w14:paraId="62104C2C" w14:textId="77777777" w:rsidTr="0039665D">
        <w:tc>
          <w:tcPr>
            <w:tcW w:w="1877" w:type="dxa"/>
            <w:shd w:val="clear" w:color="auto" w:fill="auto"/>
          </w:tcPr>
          <w:p w14:paraId="367B0B9D" w14:textId="77777777" w:rsidR="00D902EB" w:rsidRPr="001E17B4" w:rsidRDefault="00D902EB" w:rsidP="0039665D">
            <w:pPr>
              <w:spacing w:before="40" w:after="120"/>
              <w:ind w:right="113"/>
            </w:pPr>
            <w:r w:rsidRPr="001E17B4">
              <w:rPr>
                <w:lang w:val="fr-FR"/>
              </w:rPr>
              <w:t>Monténégro</w:t>
            </w:r>
          </w:p>
        </w:tc>
        <w:tc>
          <w:tcPr>
            <w:tcW w:w="770" w:type="dxa"/>
            <w:shd w:val="clear" w:color="auto" w:fill="auto"/>
          </w:tcPr>
          <w:p w14:paraId="297963B2"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30F27F74" w14:textId="4E05F512" w:rsidR="00D902EB" w:rsidRPr="001E17B4" w:rsidRDefault="00D902EB" w:rsidP="0039665D">
            <w:pPr>
              <w:spacing w:before="40" w:after="120"/>
              <w:ind w:right="113"/>
              <w:rPr>
                <w:lang w:val="fr-FR"/>
              </w:rPr>
            </w:pPr>
            <w:r w:rsidRPr="001E17B4">
              <w:rPr>
                <w:lang w:val="fr-FR"/>
              </w:rPr>
              <w:t>30 jours, mais peut être prolongé comme convenu par les Parties</w:t>
            </w:r>
            <w:r w:rsidR="00A3423F" w:rsidRPr="00A3423F">
              <w:rPr>
                <w:lang w:val="fr-FR"/>
              </w:rPr>
              <w:t>.</w:t>
            </w:r>
          </w:p>
        </w:tc>
      </w:tr>
      <w:tr w:rsidR="00D902EB" w:rsidRPr="001E17B4" w14:paraId="2B15AD00" w14:textId="77777777" w:rsidTr="0039665D">
        <w:tc>
          <w:tcPr>
            <w:tcW w:w="1877" w:type="dxa"/>
            <w:shd w:val="clear" w:color="auto" w:fill="auto"/>
          </w:tcPr>
          <w:p w14:paraId="26471551" w14:textId="77777777" w:rsidR="00D902EB" w:rsidRPr="001E17B4" w:rsidRDefault="00D902EB" w:rsidP="0039665D">
            <w:pPr>
              <w:spacing w:before="40" w:after="120"/>
              <w:ind w:right="113"/>
            </w:pPr>
            <w:r w:rsidRPr="001E17B4">
              <w:rPr>
                <w:lang w:val="fr-FR"/>
              </w:rPr>
              <w:t>Norvège</w:t>
            </w:r>
          </w:p>
        </w:tc>
        <w:tc>
          <w:tcPr>
            <w:tcW w:w="770" w:type="dxa"/>
            <w:shd w:val="clear" w:color="auto" w:fill="auto"/>
          </w:tcPr>
          <w:p w14:paraId="10099C65"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5BC18B9B" w14:textId="32EC4A57" w:rsidR="00D902EB" w:rsidRPr="001E17B4" w:rsidRDefault="00D902EB" w:rsidP="0039665D">
            <w:pPr>
              <w:spacing w:before="40" w:after="120"/>
              <w:ind w:right="113"/>
              <w:rPr>
                <w:lang w:val="fr-FR"/>
              </w:rPr>
            </w:pPr>
            <w:r w:rsidRPr="001E17B4">
              <w:rPr>
                <w:lang w:val="fr-FR"/>
              </w:rPr>
              <w:t>Indirectement, la législation stipule que les délais doivent être égaux aux délais nationaux : c</w:t>
            </w:r>
            <w:r>
              <w:rPr>
                <w:lang w:val="fr-FR"/>
              </w:rPr>
              <w:t>’</w:t>
            </w:r>
            <w:r w:rsidRPr="001E17B4">
              <w:rPr>
                <w:lang w:val="fr-FR"/>
              </w:rPr>
              <w:t>est-à-dire un minimum de 6 semaines</w:t>
            </w:r>
            <w:r w:rsidR="00A3423F" w:rsidRPr="00A3423F">
              <w:rPr>
                <w:lang w:val="fr-FR"/>
              </w:rPr>
              <w:t>.</w:t>
            </w:r>
          </w:p>
        </w:tc>
      </w:tr>
      <w:tr w:rsidR="00D902EB" w:rsidRPr="001E17B4" w14:paraId="71ADB8C3" w14:textId="77777777" w:rsidTr="0039665D">
        <w:tc>
          <w:tcPr>
            <w:tcW w:w="1877" w:type="dxa"/>
            <w:shd w:val="clear" w:color="auto" w:fill="auto"/>
          </w:tcPr>
          <w:p w14:paraId="799A9DDB" w14:textId="77777777" w:rsidR="00D902EB" w:rsidRPr="001E17B4" w:rsidRDefault="00D902EB" w:rsidP="0039665D">
            <w:pPr>
              <w:keepNext/>
              <w:spacing w:before="40" w:after="120"/>
              <w:ind w:right="113"/>
            </w:pPr>
            <w:r w:rsidRPr="001E17B4">
              <w:rPr>
                <w:lang w:val="fr-FR"/>
              </w:rPr>
              <w:t>Pologne</w:t>
            </w:r>
          </w:p>
        </w:tc>
        <w:tc>
          <w:tcPr>
            <w:tcW w:w="770" w:type="dxa"/>
            <w:shd w:val="clear" w:color="auto" w:fill="auto"/>
          </w:tcPr>
          <w:p w14:paraId="3BA6D7FD" w14:textId="77777777" w:rsidR="00D902EB" w:rsidRPr="001E17B4" w:rsidRDefault="00D902EB" w:rsidP="0039665D">
            <w:pPr>
              <w:keepNext/>
              <w:spacing w:before="40" w:after="120"/>
              <w:ind w:right="113"/>
            </w:pPr>
            <w:r w:rsidRPr="001E17B4">
              <w:rPr>
                <w:lang w:val="fr-FR"/>
              </w:rPr>
              <w:t>Non</w:t>
            </w:r>
          </w:p>
        </w:tc>
        <w:tc>
          <w:tcPr>
            <w:tcW w:w="4723" w:type="dxa"/>
            <w:shd w:val="clear" w:color="auto" w:fill="auto"/>
          </w:tcPr>
          <w:p w14:paraId="0AB8E173" w14:textId="6F98F57F" w:rsidR="00D902EB" w:rsidRPr="001E17B4" w:rsidRDefault="00D902EB" w:rsidP="0039665D">
            <w:pPr>
              <w:keepNext/>
              <w:spacing w:before="40" w:after="120"/>
              <w:ind w:right="113"/>
              <w:rPr>
                <w:lang w:val="fr-FR"/>
              </w:rPr>
            </w:pPr>
            <w:r w:rsidRPr="001E17B4">
              <w:rPr>
                <w:lang w:val="fr-FR"/>
              </w:rPr>
              <w:t>Convenu avec la Partie touchée</w:t>
            </w:r>
            <w:r w:rsidR="00A3423F" w:rsidRPr="00A3423F">
              <w:rPr>
                <w:lang w:val="fr-FR"/>
              </w:rPr>
              <w:t>.</w:t>
            </w:r>
          </w:p>
        </w:tc>
      </w:tr>
      <w:tr w:rsidR="00D902EB" w:rsidRPr="001E17B4" w14:paraId="513EFF47" w14:textId="77777777" w:rsidTr="0039665D">
        <w:tc>
          <w:tcPr>
            <w:tcW w:w="1877" w:type="dxa"/>
            <w:shd w:val="clear" w:color="auto" w:fill="auto"/>
          </w:tcPr>
          <w:p w14:paraId="309615B0" w14:textId="77777777" w:rsidR="00D902EB" w:rsidRPr="001E17B4" w:rsidRDefault="00D902EB" w:rsidP="0039665D">
            <w:pPr>
              <w:spacing w:before="40" w:after="120"/>
              <w:ind w:right="113"/>
            </w:pPr>
            <w:r w:rsidRPr="001E17B4">
              <w:rPr>
                <w:lang w:val="fr-FR"/>
              </w:rPr>
              <w:t>République de Moldova</w:t>
            </w:r>
          </w:p>
        </w:tc>
        <w:tc>
          <w:tcPr>
            <w:tcW w:w="770" w:type="dxa"/>
            <w:shd w:val="clear" w:color="auto" w:fill="auto"/>
          </w:tcPr>
          <w:p w14:paraId="08CADCBA"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6982929A" w14:textId="0CFA6AF6" w:rsidR="00D902EB" w:rsidRPr="001E17B4" w:rsidRDefault="00D902EB" w:rsidP="0039665D">
            <w:pPr>
              <w:spacing w:before="40" w:after="120"/>
              <w:ind w:right="113"/>
            </w:pPr>
            <w:r w:rsidRPr="001E17B4">
              <w:rPr>
                <w:lang w:val="fr-FR"/>
              </w:rPr>
              <w:t>45 jours</w:t>
            </w:r>
            <w:r w:rsidR="00A3423F" w:rsidRPr="00A3423F">
              <w:rPr>
                <w:lang w:val="fr-FR"/>
              </w:rPr>
              <w:t>.</w:t>
            </w:r>
          </w:p>
        </w:tc>
      </w:tr>
      <w:tr w:rsidR="00D902EB" w:rsidRPr="001E17B4" w14:paraId="16E579A5" w14:textId="77777777" w:rsidTr="0039665D">
        <w:tc>
          <w:tcPr>
            <w:tcW w:w="1877" w:type="dxa"/>
            <w:shd w:val="clear" w:color="auto" w:fill="auto"/>
          </w:tcPr>
          <w:p w14:paraId="78D41EC1" w14:textId="77777777" w:rsidR="00D902EB" w:rsidRPr="001E17B4" w:rsidRDefault="00D902EB" w:rsidP="0039665D">
            <w:pPr>
              <w:spacing w:before="40" w:after="120"/>
              <w:ind w:right="113"/>
            </w:pPr>
            <w:r w:rsidRPr="001E17B4">
              <w:rPr>
                <w:lang w:val="fr-FR"/>
              </w:rPr>
              <w:t>Roumanie</w:t>
            </w:r>
          </w:p>
        </w:tc>
        <w:tc>
          <w:tcPr>
            <w:tcW w:w="770" w:type="dxa"/>
            <w:shd w:val="clear" w:color="auto" w:fill="auto"/>
          </w:tcPr>
          <w:p w14:paraId="7CACDBC1"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0E776EE1" w14:textId="7E4E1B8F" w:rsidR="00D902EB" w:rsidRPr="001E17B4" w:rsidRDefault="00D902EB" w:rsidP="0039665D">
            <w:pPr>
              <w:spacing w:before="40" w:after="120"/>
              <w:ind w:right="113"/>
              <w:rPr>
                <w:lang w:val="fr-FR"/>
              </w:rPr>
            </w:pPr>
            <w:r w:rsidRPr="001E17B4">
              <w:rPr>
                <w:lang w:val="fr-FR"/>
              </w:rPr>
              <w:t>Délai de 4 à 5 semaines généralement convenu avec la Partie touchée</w:t>
            </w:r>
            <w:r w:rsidR="00A3423F" w:rsidRPr="00A3423F">
              <w:rPr>
                <w:lang w:val="fr-FR"/>
              </w:rPr>
              <w:t>.</w:t>
            </w:r>
            <w:r w:rsidRPr="001E17B4">
              <w:rPr>
                <w:lang w:val="fr-FR"/>
              </w:rPr>
              <w:t xml:space="preserve"> </w:t>
            </w:r>
          </w:p>
        </w:tc>
      </w:tr>
      <w:tr w:rsidR="00D902EB" w:rsidRPr="001E17B4" w14:paraId="76EAEFC3" w14:textId="77777777" w:rsidTr="0039665D">
        <w:tc>
          <w:tcPr>
            <w:tcW w:w="1877" w:type="dxa"/>
            <w:shd w:val="clear" w:color="auto" w:fill="auto"/>
          </w:tcPr>
          <w:p w14:paraId="7C78627D" w14:textId="77777777" w:rsidR="00D902EB" w:rsidRPr="001E17B4" w:rsidRDefault="00D902EB" w:rsidP="0039665D">
            <w:pPr>
              <w:spacing w:before="40" w:after="120"/>
              <w:ind w:right="113"/>
            </w:pPr>
            <w:r w:rsidRPr="001E17B4">
              <w:rPr>
                <w:lang w:val="fr-FR"/>
              </w:rPr>
              <w:t>Slovaquie</w:t>
            </w:r>
          </w:p>
        </w:tc>
        <w:tc>
          <w:tcPr>
            <w:tcW w:w="770" w:type="dxa"/>
            <w:shd w:val="clear" w:color="auto" w:fill="auto"/>
          </w:tcPr>
          <w:p w14:paraId="3167546A" w14:textId="77777777" w:rsidR="00D902EB" w:rsidRPr="001E17B4" w:rsidRDefault="00D902EB" w:rsidP="0039665D">
            <w:pPr>
              <w:spacing w:before="40" w:after="120"/>
              <w:ind w:right="113"/>
            </w:pPr>
            <w:r w:rsidRPr="001E17B4">
              <w:rPr>
                <w:lang w:val="fr-FR"/>
              </w:rPr>
              <w:t>Non</w:t>
            </w:r>
          </w:p>
        </w:tc>
        <w:tc>
          <w:tcPr>
            <w:tcW w:w="4723" w:type="dxa"/>
            <w:shd w:val="clear" w:color="auto" w:fill="auto"/>
          </w:tcPr>
          <w:p w14:paraId="641E3BD9" w14:textId="77777777" w:rsidR="00D902EB" w:rsidRPr="001E17B4" w:rsidRDefault="00D902EB" w:rsidP="0039665D">
            <w:pPr>
              <w:spacing w:before="40" w:after="120"/>
              <w:ind w:right="113"/>
            </w:pPr>
          </w:p>
        </w:tc>
      </w:tr>
      <w:tr w:rsidR="00D902EB" w:rsidRPr="001E17B4" w14:paraId="106B9EE8" w14:textId="77777777" w:rsidTr="0039665D">
        <w:tc>
          <w:tcPr>
            <w:tcW w:w="1877" w:type="dxa"/>
            <w:shd w:val="clear" w:color="auto" w:fill="auto"/>
          </w:tcPr>
          <w:p w14:paraId="2DFCF650" w14:textId="77777777" w:rsidR="00D902EB" w:rsidRPr="001E17B4" w:rsidRDefault="00D902EB" w:rsidP="0039665D">
            <w:pPr>
              <w:spacing w:before="40" w:after="120"/>
              <w:ind w:right="113"/>
            </w:pPr>
            <w:r w:rsidRPr="001E17B4">
              <w:rPr>
                <w:lang w:val="fr-FR"/>
              </w:rPr>
              <w:t>Suède</w:t>
            </w:r>
          </w:p>
        </w:tc>
        <w:tc>
          <w:tcPr>
            <w:tcW w:w="770" w:type="dxa"/>
            <w:shd w:val="clear" w:color="auto" w:fill="auto"/>
          </w:tcPr>
          <w:p w14:paraId="5C82393F" w14:textId="77777777" w:rsidR="00D902EB" w:rsidRPr="001E17B4" w:rsidRDefault="00D902EB" w:rsidP="0039665D">
            <w:pPr>
              <w:spacing w:before="40" w:after="120"/>
              <w:ind w:right="113"/>
            </w:pPr>
            <w:r w:rsidRPr="001E17B4">
              <w:rPr>
                <w:lang w:val="fr-FR"/>
              </w:rPr>
              <w:t>Oui</w:t>
            </w:r>
          </w:p>
        </w:tc>
        <w:tc>
          <w:tcPr>
            <w:tcW w:w="4723" w:type="dxa"/>
            <w:shd w:val="clear" w:color="auto" w:fill="auto"/>
          </w:tcPr>
          <w:p w14:paraId="0ADB0C18" w14:textId="0E27C78A" w:rsidR="00D902EB" w:rsidRPr="001E17B4" w:rsidRDefault="00D902EB" w:rsidP="0039665D">
            <w:pPr>
              <w:spacing w:before="40" w:after="120"/>
              <w:ind w:right="113"/>
              <w:rPr>
                <w:lang w:val="fr-FR"/>
              </w:rPr>
            </w:pPr>
            <w:r w:rsidRPr="001E17B4">
              <w:rPr>
                <w:lang w:val="fr-FR"/>
              </w:rPr>
              <w:t>Le délai devrait être raisonnable et d</w:t>
            </w:r>
            <w:r>
              <w:rPr>
                <w:lang w:val="fr-FR"/>
              </w:rPr>
              <w:t>’</w:t>
            </w:r>
            <w:r w:rsidRPr="001E17B4">
              <w:rPr>
                <w:lang w:val="fr-FR"/>
              </w:rPr>
              <w:t>au moins 30 jours</w:t>
            </w:r>
            <w:r w:rsidR="00A3423F" w:rsidRPr="00A3423F">
              <w:rPr>
                <w:lang w:val="fr-FR"/>
              </w:rPr>
              <w:t>.</w:t>
            </w:r>
          </w:p>
        </w:tc>
      </w:tr>
      <w:tr w:rsidR="00D902EB" w:rsidRPr="001E17B4" w14:paraId="723C6BC3" w14:textId="77777777" w:rsidTr="0039665D">
        <w:tc>
          <w:tcPr>
            <w:tcW w:w="1877" w:type="dxa"/>
            <w:tcBorders>
              <w:bottom w:val="single" w:sz="12" w:space="0" w:color="auto"/>
            </w:tcBorders>
            <w:shd w:val="clear" w:color="auto" w:fill="auto"/>
          </w:tcPr>
          <w:p w14:paraId="0BBBE7E0" w14:textId="77777777" w:rsidR="00D902EB" w:rsidRPr="001E17B4" w:rsidRDefault="00D902EB" w:rsidP="0039665D">
            <w:pPr>
              <w:spacing w:before="40" w:after="120"/>
              <w:ind w:right="113"/>
            </w:pPr>
            <w:r w:rsidRPr="001E17B4">
              <w:rPr>
                <w:lang w:val="fr-FR"/>
              </w:rPr>
              <w:t>Tchéquie</w:t>
            </w:r>
          </w:p>
        </w:tc>
        <w:tc>
          <w:tcPr>
            <w:tcW w:w="770" w:type="dxa"/>
            <w:tcBorders>
              <w:bottom w:val="single" w:sz="12" w:space="0" w:color="auto"/>
            </w:tcBorders>
            <w:shd w:val="clear" w:color="auto" w:fill="auto"/>
          </w:tcPr>
          <w:p w14:paraId="42BB3BB1" w14:textId="77777777" w:rsidR="00D902EB" w:rsidRPr="001E17B4" w:rsidRDefault="00D902EB" w:rsidP="0039665D">
            <w:pPr>
              <w:spacing w:before="40" w:after="120"/>
              <w:ind w:right="113"/>
            </w:pPr>
            <w:r w:rsidRPr="001E17B4">
              <w:rPr>
                <w:lang w:val="fr-FR"/>
              </w:rPr>
              <w:t>Non</w:t>
            </w:r>
          </w:p>
        </w:tc>
        <w:tc>
          <w:tcPr>
            <w:tcW w:w="4723" w:type="dxa"/>
            <w:tcBorders>
              <w:bottom w:val="single" w:sz="12" w:space="0" w:color="auto"/>
            </w:tcBorders>
            <w:shd w:val="clear" w:color="auto" w:fill="auto"/>
          </w:tcPr>
          <w:p w14:paraId="23EDBB70" w14:textId="77777777" w:rsidR="00D902EB" w:rsidRPr="001E17B4" w:rsidRDefault="00D902EB" w:rsidP="0039665D">
            <w:pPr>
              <w:spacing w:before="40" w:after="120"/>
              <w:ind w:right="113"/>
            </w:pPr>
          </w:p>
        </w:tc>
      </w:tr>
    </w:tbl>
    <w:bookmarkEnd w:id="13"/>
    <w:p w14:paraId="12FEFAE6" w14:textId="641AFDF5" w:rsidR="00D902EB" w:rsidRPr="00265B89" w:rsidRDefault="00D902EB" w:rsidP="00D902EB">
      <w:pPr>
        <w:pStyle w:val="SingleTxtG"/>
        <w:spacing w:before="240"/>
        <w:rPr>
          <w:rFonts w:eastAsia="Times"/>
          <w:lang w:val="fr-FR"/>
        </w:rPr>
      </w:pPr>
      <w:r>
        <w:rPr>
          <w:lang w:val="fr-FR"/>
        </w:rPr>
        <w:t>47</w:t>
      </w:r>
      <w:r w:rsidR="00A3423F" w:rsidRPr="00A3423F">
        <w:rPr>
          <w:lang w:val="fr-FR"/>
        </w:rPr>
        <w:t>.</w:t>
      </w:r>
      <w:r>
        <w:rPr>
          <w:lang w:val="fr-FR"/>
        </w:rPr>
        <w:tab/>
        <w:t>La question I</w:t>
      </w:r>
      <w:r w:rsidR="00A3423F" w:rsidRPr="00A3423F">
        <w:rPr>
          <w:lang w:val="fr-FR"/>
        </w:rPr>
        <w:t>.</w:t>
      </w:r>
      <w:r>
        <w:rPr>
          <w:lang w:val="fr-FR"/>
        </w:rPr>
        <w:t>10</w:t>
      </w:r>
      <w:r w:rsidR="00A3423F" w:rsidRPr="00A3423F">
        <w:rPr>
          <w:lang w:val="fr-FR"/>
        </w:rPr>
        <w:t>.</w:t>
      </w:r>
      <w:r>
        <w:rPr>
          <w:lang w:val="fr-FR"/>
        </w:rPr>
        <w:t>4 porte sur la manière dont les dispositions précises, notamment le calendrier des consultations (art</w:t>
      </w:r>
      <w:r w:rsidR="00A3423F" w:rsidRPr="00A3423F">
        <w:rPr>
          <w:lang w:val="fr-FR"/>
        </w:rPr>
        <w:t>.</w:t>
      </w:r>
      <w:r>
        <w:rPr>
          <w:lang w:val="fr-FR"/>
        </w:rPr>
        <w:t> 10, par</w:t>
      </w:r>
      <w:r w:rsidR="00A3423F" w:rsidRPr="00A3423F">
        <w:rPr>
          <w:lang w:val="fr-FR"/>
        </w:rPr>
        <w:t>.</w:t>
      </w:r>
      <w:r>
        <w:rPr>
          <w:lang w:val="fr-FR"/>
        </w:rPr>
        <w:t> 3 et 4), sont arrêtées avec la Partie touchée</w:t>
      </w:r>
      <w:r w:rsidR="00A3423F" w:rsidRPr="00A3423F">
        <w:rPr>
          <w:lang w:val="fr-FR"/>
        </w:rPr>
        <w:t>.</w:t>
      </w:r>
      <w:r>
        <w:rPr>
          <w:lang w:val="fr-FR"/>
        </w:rPr>
        <w:t xml:space="preserve"> La moitié des répondants indiquent que les dispositions suivent la législation nationale de la Partie d’origine (option a), voir fig</w:t>
      </w:r>
      <w:r w:rsidR="00A3423F" w:rsidRPr="00A3423F">
        <w:rPr>
          <w:lang w:val="fr-FR"/>
        </w:rPr>
        <w:t>.</w:t>
      </w:r>
      <w:r>
        <w:rPr>
          <w:lang w:val="fr-FR"/>
        </w:rPr>
        <w:t> X)</w:t>
      </w:r>
      <w:r w:rsidR="00A3423F" w:rsidRPr="00A3423F">
        <w:rPr>
          <w:lang w:val="fr-FR"/>
        </w:rPr>
        <w:t>.</w:t>
      </w:r>
      <w:r>
        <w:rPr>
          <w:lang w:val="fr-FR"/>
        </w:rPr>
        <w:t xml:space="preserve"> Cinq répondants ont déclaré que les dispositions suivaient la législation nationale de la Partie touchée (option b)), trois expliquant qu’ils utilisent les options a) et b) (Arménie) ou a), b) et c) (Estonie et Monténégro)</w:t>
      </w:r>
      <w:r w:rsidR="00A3423F" w:rsidRPr="00A3423F">
        <w:rPr>
          <w:lang w:val="fr-FR"/>
        </w:rPr>
        <w:t>.</w:t>
      </w:r>
      <w:r>
        <w:rPr>
          <w:lang w:val="fr-FR"/>
        </w:rPr>
        <w:t xml:space="preserve"> Dix répondants conviennent des dispositions au cas par cas</w:t>
      </w:r>
      <w:r w:rsidR="00A3423F" w:rsidRPr="00A3423F">
        <w:rPr>
          <w:lang w:val="fr-FR"/>
        </w:rPr>
        <w:t>.</w:t>
      </w:r>
      <w:r>
        <w:rPr>
          <w:lang w:val="fr-FR"/>
        </w:rPr>
        <w:t xml:space="preserve"> Certaines Parties donnent également des informations sur les accords bilatéraux qu’elles ont conclus avec d’autres Parties (Espagne, Lettonie, Pologne, Slovaquie)</w:t>
      </w:r>
      <w:r w:rsidR="00A3423F" w:rsidRPr="00A3423F">
        <w:rPr>
          <w:lang w:val="fr-FR"/>
        </w:rPr>
        <w:t>.</w:t>
      </w:r>
    </w:p>
    <w:p w14:paraId="5AEC0220" w14:textId="77777777" w:rsidR="00D902EB" w:rsidRPr="00F15B49" w:rsidRDefault="00D902EB" w:rsidP="00D902EB">
      <w:pPr>
        <w:pStyle w:val="Titre1"/>
        <w:rPr>
          <w:rFonts w:eastAsia="Times"/>
          <w:lang w:val="fr-FR"/>
        </w:rPr>
      </w:pPr>
      <w:r w:rsidRPr="00F15B49">
        <w:rPr>
          <w:lang w:val="fr-FR"/>
        </w:rPr>
        <w:t>Figure X</w:t>
      </w:r>
    </w:p>
    <w:p w14:paraId="2B1A64C9" w14:textId="2BFA019D" w:rsidR="00D902EB" w:rsidRDefault="00D902EB" w:rsidP="00D902EB">
      <w:pPr>
        <w:pStyle w:val="Titre1"/>
        <w:spacing w:after="120"/>
        <w:ind w:right="1134"/>
        <w:rPr>
          <w:b/>
          <w:bCs/>
          <w:lang w:val="fr-FR"/>
        </w:rPr>
      </w:pPr>
      <w:r w:rsidRPr="00033F5B">
        <w:rPr>
          <w:b/>
          <w:bCs/>
          <w:lang w:val="fr-FR"/>
        </w:rPr>
        <w:t>Réponses à la question I</w:t>
      </w:r>
      <w:r w:rsidR="00A3423F" w:rsidRPr="00A3423F">
        <w:rPr>
          <w:b/>
          <w:bCs/>
          <w:lang w:val="fr-FR"/>
        </w:rPr>
        <w:t>.</w:t>
      </w:r>
      <w:r w:rsidRPr="00033F5B">
        <w:rPr>
          <w:b/>
          <w:bCs/>
          <w:lang w:val="fr-FR"/>
        </w:rPr>
        <w:t>10</w:t>
      </w:r>
      <w:r w:rsidR="00A3423F" w:rsidRPr="00A3423F">
        <w:rPr>
          <w:b/>
          <w:bCs/>
          <w:lang w:val="fr-FR"/>
        </w:rPr>
        <w:t>.</w:t>
      </w:r>
      <w:r w:rsidRPr="00033F5B">
        <w:rPr>
          <w:b/>
          <w:bCs/>
          <w:lang w:val="fr-FR"/>
        </w:rPr>
        <w:t xml:space="preserve">4 : « Comment les Parties conviennent-elles </w:t>
      </w:r>
      <w:r>
        <w:rPr>
          <w:b/>
          <w:bCs/>
          <w:lang w:val="fr-FR"/>
        </w:rPr>
        <w:br/>
      </w:r>
      <w:r w:rsidRPr="00033F5B">
        <w:rPr>
          <w:b/>
          <w:bCs/>
          <w:lang w:val="fr-FR"/>
        </w:rPr>
        <w:t>des dispositions précises à mettre en place</w:t>
      </w:r>
      <w:r>
        <w:rPr>
          <w:b/>
          <w:bCs/>
          <w:lang w:val="fr-FR"/>
        </w:rPr>
        <w:t> </w:t>
      </w:r>
      <w:r w:rsidRPr="00033F5B">
        <w:rPr>
          <w:b/>
          <w:bCs/>
          <w:lang w:val="fr-FR"/>
        </w:rPr>
        <w:t>? » (n=24)</w:t>
      </w:r>
    </w:p>
    <w:p w14:paraId="2E9940B9" w14:textId="77777777" w:rsidR="00D902EB" w:rsidRDefault="00D902EB" w:rsidP="00D902EB">
      <w:pPr>
        <w:spacing w:after="240"/>
        <w:ind w:left="1134" w:right="1134"/>
        <w:rPr>
          <w:lang w:val="fr-FR"/>
        </w:rPr>
      </w:pPr>
      <w:r w:rsidRPr="002F1E17">
        <w:rPr>
          <w:rFonts w:ascii="Times" w:hAnsi="Times"/>
          <w:noProof/>
          <w:lang w:val="en-US" w:eastAsia="zh-CN"/>
        </w:rPr>
        <w:drawing>
          <wp:inline distT="0" distB="0" distL="0" distR="0" wp14:anchorId="180B59C1" wp14:editId="067F0FDE">
            <wp:extent cx="4616450" cy="2419350"/>
            <wp:effectExtent l="0" t="0" r="12700" b="0"/>
            <wp:docPr id="61" name="Graphique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54BA8B" w14:textId="342EE8C2" w:rsidR="00D902EB" w:rsidRPr="00053FAF" w:rsidRDefault="00D902EB" w:rsidP="00D902EB">
      <w:pPr>
        <w:pStyle w:val="H1G"/>
        <w:rPr>
          <w:lang w:val="fr-FR"/>
        </w:rPr>
      </w:pPr>
      <w:r>
        <w:rPr>
          <w:lang w:val="fr-FR"/>
        </w:rPr>
        <w:lastRenderedPageBreak/>
        <w:tab/>
        <w:t>I</w:t>
      </w:r>
      <w:r w:rsidR="00A3423F" w:rsidRPr="00A3423F">
        <w:rPr>
          <w:lang w:val="fr-FR"/>
        </w:rPr>
        <w:t>.</w:t>
      </w:r>
      <w:r>
        <w:rPr>
          <w:lang w:val="fr-FR"/>
        </w:rPr>
        <w:tab/>
      </w:r>
      <w:r>
        <w:rPr>
          <w:lang w:val="fr-FR"/>
        </w:rPr>
        <w:tab/>
        <w:t>Décision</w:t>
      </w:r>
    </w:p>
    <w:p w14:paraId="75854F51" w14:textId="631976D5" w:rsidR="00D902EB" w:rsidRPr="00265B89" w:rsidRDefault="00D902EB" w:rsidP="00D902EB">
      <w:pPr>
        <w:pStyle w:val="SingleTxtG"/>
        <w:rPr>
          <w:rFonts w:eastAsia="Times"/>
          <w:lang w:val="fr-FR"/>
        </w:rPr>
      </w:pPr>
      <w:r>
        <w:rPr>
          <w:lang w:val="fr-FR"/>
        </w:rPr>
        <w:t>48</w:t>
      </w:r>
      <w:r w:rsidR="00A3423F" w:rsidRPr="00A3423F">
        <w:rPr>
          <w:lang w:val="fr-FR"/>
        </w:rPr>
        <w:t>.</w:t>
      </w:r>
      <w:r>
        <w:rPr>
          <w:lang w:val="fr-FR"/>
        </w:rPr>
        <w:tab/>
        <w:t>La question I</w:t>
      </w:r>
      <w:r w:rsidR="00A3423F" w:rsidRPr="00A3423F">
        <w:rPr>
          <w:lang w:val="fr-FR"/>
        </w:rPr>
        <w:t>.</w:t>
      </w:r>
      <w:r>
        <w:rPr>
          <w:lang w:val="fr-FR"/>
        </w:rPr>
        <w:t>11</w:t>
      </w:r>
      <w:r w:rsidR="00A3423F" w:rsidRPr="00A3423F">
        <w:rPr>
          <w:lang w:val="fr-FR"/>
        </w:rPr>
        <w:t>.</w:t>
      </w:r>
      <w:r>
        <w:rPr>
          <w:lang w:val="fr-FR"/>
        </w:rPr>
        <w:t>1 porte sur l’application des dispositions du paragraphe 11</w:t>
      </w:r>
      <w:r w:rsidR="00A3423F" w:rsidRPr="00A3423F">
        <w:rPr>
          <w:lang w:val="fr-FR"/>
        </w:rPr>
        <w:t>.</w:t>
      </w:r>
      <w:r>
        <w:rPr>
          <w:lang w:val="fr-FR"/>
        </w:rPr>
        <w:t>1 du Protocole</w:t>
      </w:r>
      <w:r w:rsidR="00A3423F" w:rsidRPr="00A3423F">
        <w:rPr>
          <w:lang w:val="fr-FR"/>
        </w:rPr>
        <w:t>.</w:t>
      </w:r>
      <w:r>
        <w:rPr>
          <w:lang w:val="fr-FR"/>
        </w:rPr>
        <w:t xml:space="preserve"> La quasi-totalité des répondants indiquent que leur législation prévoit que les conclusions du rapport environnemental, les mesures d’atténuation et les observations reçues conformément aux articles 8 à 10 doivent être dûment prises en compte lors de l’adoption d’un plan ou d’un programme</w:t>
      </w:r>
      <w:r w:rsidR="00A3423F" w:rsidRPr="00A3423F">
        <w:rPr>
          <w:lang w:val="fr-FR"/>
        </w:rPr>
        <w:t>.</w:t>
      </w:r>
      <w:r>
        <w:rPr>
          <w:lang w:val="fr-FR"/>
        </w:rPr>
        <w:t xml:space="preserve"> Plusieurs répondants (Autriche, Danemark, Luxembourg, Pologne et Tchéquie) indiquent également que le résumé écrit/la déclaration doit contenir certaines informations, notamment sur la manière dont sont pris en considération le rapport environnemental, les observations, les mesures d’atténuation et d’autres renseignements (concernant par exemple la manière dont les considérations relatives à l’environnement sont intégrées dans le plan ou le programme, les mesures de suivi et les raisons justifiant l’adoption du plan ou du programme en regard de solutions de remplacement)</w:t>
      </w:r>
      <w:r w:rsidR="00A3423F" w:rsidRPr="00A3423F">
        <w:rPr>
          <w:lang w:val="fr-FR"/>
        </w:rPr>
        <w:t>.</w:t>
      </w:r>
      <w:r>
        <w:rPr>
          <w:lang w:val="fr-FR"/>
        </w:rPr>
        <w:t xml:space="preserve"> Certains répondants indiquent que ces informations doivent faire partie intégrante de la décision relative à l’adoption du plan ou du programme (Finlande) ou des éléments justificatifs de la décision (Norvège) ou être jointes à celle-ci (Géorgie)</w:t>
      </w:r>
      <w:r w:rsidR="00A3423F" w:rsidRPr="00A3423F">
        <w:rPr>
          <w:lang w:val="fr-FR"/>
        </w:rPr>
        <w:t>.</w:t>
      </w:r>
    </w:p>
    <w:p w14:paraId="1640DB0D" w14:textId="0E397198" w:rsidR="00D902EB" w:rsidRPr="00E15B31" w:rsidRDefault="00D902EB" w:rsidP="00D902EB">
      <w:pPr>
        <w:pStyle w:val="SingleTxtG"/>
        <w:rPr>
          <w:rFonts w:eastAsia="Times"/>
          <w:lang w:val="fr-FR"/>
        </w:rPr>
      </w:pPr>
      <w:r>
        <w:rPr>
          <w:lang w:val="fr-FR"/>
        </w:rPr>
        <w:t>49</w:t>
      </w:r>
      <w:r w:rsidR="00A3423F" w:rsidRPr="00A3423F">
        <w:rPr>
          <w:lang w:val="fr-FR"/>
        </w:rPr>
        <w:t>.</w:t>
      </w:r>
      <w:r>
        <w:rPr>
          <w:lang w:val="fr-FR"/>
        </w:rPr>
        <w:tab/>
        <w:t>En Roumanie, les conclusions du rapport environnemental, les mesures d’atténuation et les observations du public considérées comme étant « justifiées », y compris celles reçues lors de consultations transfrontières, figurent dans l’acte d’agrément délivré par les autorités compétentes en matière d’environnement</w:t>
      </w:r>
      <w:r w:rsidR="00A3423F" w:rsidRPr="00A3423F">
        <w:rPr>
          <w:lang w:val="fr-FR"/>
        </w:rPr>
        <w:t>.</w:t>
      </w:r>
      <w:r>
        <w:rPr>
          <w:lang w:val="fr-FR"/>
        </w:rPr>
        <w:t xml:space="preserve"> L’autorité de planification est tenue d’adopter le plan ou le programme tel qu’il figure dans cet acte</w:t>
      </w:r>
      <w:r w:rsidR="00A3423F" w:rsidRPr="00A3423F">
        <w:rPr>
          <w:lang w:val="fr-FR"/>
        </w:rPr>
        <w:t>.</w:t>
      </w:r>
    </w:p>
    <w:p w14:paraId="512048AE" w14:textId="232D3C3E" w:rsidR="00D902EB" w:rsidRPr="00265B89" w:rsidRDefault="00D902EB" w:rsidP="00D902EB">
      <w:pPr>
        <w:pStyle w:val="SingleTxtG"/>
        <w:rPr>
          <w:rFonts w:ascii="Times" w:hAnsi="Times"/>
          <w:noProof/>
          <w:lang w:val="fr-FR"/>
        </w:rPr>
      </w:pPr>
      <w:r>
        <w:rPr>
          <w:lang w:val="fr-FR"/>
        </w:rPr>
        <w:t>50</w:t>
      </w:r>
      <w:r w:rsidR="00A3423F" w:rsidRPr="00A3423F">
        <w:rPr>
          <w:lang w:val="fr-FR"/>
        </w:rPr>
        <w:t>.</w:t>
      </w:r>
      <w:r>
        <w:rPr>
          <w:lang w:val="fr-FR"/>
        </w:rPr>
        <w:tab/>
        <w:t>Les répondants informent leur propre public et leurs autorités (art</w:t>
      </w:r>
      <w:r w:rsidR="00A3423F" w:rsidRPr="00A3423F">
        <w:rPr>
          <w:lang w:val="fr-FR"/>
        </w:rPr>
        <w:t>.</w:t>
      </w:r>
      <w:r>
        <w:rPr>
          <w:lang w:val="fr-FR"/>
        </w:rPr>
        <w:t> 11</w:t>
      </w:r>
      <w:r w:rsidR="00A3423F" w:rsidRPr="00A3423F">
        <w:rPr>
          <w:lang w:val="fr-FR"/>
        </w:rPr>
        <w:t>.</w:t>
      </w:r>
      <w:r>
        <w:rPr>
          <w:lang w:val="fr-FR"/>
        </w:rPr>
        <w:t>2) (question I</w:t>
      </w:r>
      <w:r w:rsidR="00A3423F" w:rsidRPr="00A3423F">
        <w:rPr>
          <w:lang w:val="fr-FR"/>
        </w:rPr>
        <w:t>.</w:t>
      </w:r>
      <w:r>
        <w:rPr>
          <w:lang w:val="fr-FR"/>
        </w:rPr>
        <w:t>11</w:t>
      </w:r>
      <w:r w:rsidR="00A3423F" w:rsidRPr="00A3423F">
        <w:rPr>
          <w:lang w:val="fr-FR"/>
        </w:rPr>
        <w:t>.</w:t>
      </w:r>
      <w:r>
        <w:rPr>
          <w:lang w:val="fr-FR"/>
        </w:rPr>
        <w:t>2) de plusieurs manières, notamment en publiant des avis au public, en recourant à des journaux ou magazines pertinents (par exemple, Espagne, Finlande, Lettonie, Luxembourg, Malte, Norvège, Pologne et République de Moldova) et en envoyant des avis et des informations aux autorités concernées (Danemark, Estonie, Finlande, Géorgie, Hongrie et Slovaquie) et au public (Estonie)</w:t>
      </w:r>
      <w:r w:rsidR="00A3423F" w:rsidRPr="00A3423F">
        <w:rPr>
          <w:lang w:val="fr-FR"/>
        </w:rPr>
        <w:t>.</w:t>
      </w:r>
      <w:r>
        <w:rPr>
          <w:lang w:val="fr-FR"/>
        </w:rPr>
        <w:t xml:space="preserve"> La plupart des répondants utilisent également les </w:t>
      </w:r>
      <w:proofErr w:type="spellStart"/>
      <w:r>
        <w:rPr>
          <w:lang w:val="fr-FR"/>
        </w:rPr>
        <w:t>médias</w:t>
      </w:r>
      <w:proofErr w:type="spellEnd"/>
      <w:r>
        <w:rPr>
          <w:lang w:val="fr-FR"/>
        </w:rPr>
        <w:t xml:space="preserve"> électroniques, notamment les sites Web de l’autorité responsable de la planification et/ou de l’environnement</w:t>
      </w:r>
      <w:r w:rsidR="00A3423F" w:rsidRPr="00A3423F">
        <w:rPr>
          <w:lang w:val="fr-FR"/>
        </w:rPr>
        <w:t>.</w:t>
      </w:r>
      <w:r>
        <w:rPr>
          <w:lang w:val="fr-FR"/>
        </w:rPr>
        <w:t xml:space="preserve"> La majorité des répondants (voir fig</w:t>
      </w:r>
      <w:r w:rsidR="00A3423F" w:rsidRPr="00A3423F">
        <w:rPr>
          <w:lang w:val="fr-FR"/>
        </w:rPr>
        <w:t>.</w:t>
      </w:r>
      <w:r>
        <w:rPr>
          <w:lang w:val="fr-FR"/>
        </w:rPr>
        <w:t> XI) indiquent que les informations fournies au public et aux autorités comprennent : le plan ou le programme, une déclaration résumant comment les considérations environnementales, y compris celles relatives à la santé, ont été intégrées dans le plan ou le programme, une explication de la manière dont les observations reçues ont été prises en compte et des raisons pour lesquelles le plan ou programme a été adopté à la lumière des solutions de remplacement raisonnables qui avaient été envisagées (question I</w:t>
      </w:r>
      <w:r w:rsidR="00A3423F" w:rsidRPr="00A3423F">
        <w:rPr>
          <w:lang w:val="fr-FR"/>
        </w:rPr>
        <w:t>.</w:t>
      </w:r>
      <w:r>
        <w:rPr>
          <w:lang w:val="fr-FR"/>
        </w:rPr>
        <w:t>11</w:t>
      </w:r>
      <w:r w:rsidR="00A3423F" w:rsidRPr="00A3423F">
        <w:rPr>
          <w:lang w:val="fr-FR"/>
        </w:rPr>
        <w:t>.</w:t>
      </w:r>
      <w:r>
        <w:rPr>
          <w:lang w:val="fr-FR"/>
        </w:rPr>
        <w:t>3)</w:t>
      </w:r>
      <w:r w:rsidR="00A3423F" w:rsidRPr="00A3423F">
        <w:rPr>
          <w:lang w:val="fr-FR"/>
        </w:rPr>
        <w:t>.</w:t>
      </w:r>
      <w:r>
        <w:rPr>
          <w:lang w:val="fr-FR"/>
        </w:rPr>
        <w:t xml:space="preserve"> </w:t>
      </w:r>
    </w:p>
    <w:p w14:paraId="5E911593" w14:textId="77777777" w:rsidR="00D902EB" w:rsidRDefault="00D902EB" w:rsidP="00D902EB">
      <w:pPr>
        <w:pStyle w:val="Titre1"/>
        <w:rPr>
          <w:lang w:val="fr-FR"/>
        </w:rPr>
      </w:pPr>
      <w:r w:rsidRPr="001526DF">
        <w:rPr>
          <w:lang w:val="fr-FR"/>
        </w:rPr>
        <w:t>Figure XI</w:t>
      </w:r>
      <w:r>
        <w:rPr>
          <w:lang w:val="fr-FR"/>
        </w:rPr>
        <w:t xml:space="preserve"> </w:t>
      </w:r>
    </w:p>
    <w:p w14:paraId="7EF5847C" w14:textId="208E790D" w:rsidR="00D902EB" w:rsidRPr="00033F5B" w:rsidRDefault="00D902EB" w:rsidP="00D902EB">
      <w:pPr>
        <w:pStyle w:val="Titre1"/>
        <w:spacing w:after="120"/>
        <w:ind w:right="1134"/>
        <w:rPr>
          <w:rFonts w:ascii="Times" w:eastAsia="Times" w:hAnsi="Times" w:cs="Times"/>
          <w:b/>
          <w:bCs/>
          <w:lang w:val="fr-FR"/>
        </w:rPr>
      </w:pPr>
      <w:r w:rsidRPr="00033F5B">
        <w:rPr>
          <w:b/>
          <w:bCs/>
          <w:lang w:val="fr-FR"/>
        </w:rPr>
        <w:t>Réponses à la question I</w:t>
      </w:r>
      <w:r w:rsidR="00A3423F" w:rsidRPr="00A3423F">
        <w:rPr>
          <w:b/>
          <w:bCs/>
          <w:lang w:val="fr-FR"/>
        </w:rPr>
        <w:t>.</w:t>
      </w:r>
      <w:r w:rsidRPr="00033F5B">
        <w:rPr>
          <w:b/>
          <w:bCs/>
          <w:lang w:val="fr-FR"/>
        </w:rPr>
        <w:t>11</w:t>
      </w:r>
      <w:r w:rsidR="00A3423F" w:rsidRPr="00A3423F">
        <w:rPr>
          <w:b/>
          <w:bCs/>
          <w:lang w:val="fr-FR"/>
        </w:rPr>
        <w:t>.</w:t>
      </w:r>
      <w:r w:rsidRPr="00033F5B">
        <w:rPr>
          <w:b/>
          <w:bCs/>
          <w:lang w:val="fr-FR"/>
        </w:rPr>
        <w:t>3 : « Quels éléments comprennent les informations fournies au public et aux autorités ? » (n=24)</w:t>
      </w:r>
    </w:p>
    <w:p w14:paraId="2BE89251" w14:textId="77777777" w:rsidR="00D902EB" w:rsidRDefault="00D902EB" w:rsidP="00D902EB">
      <w:pPr>
        <w:spacing w:after="240"/>
        <w:ind w:left="1134" w:right="1134"/>
        <w:rPr>
          <w:lang w:val="fr-FR"/>
        </w:rPr>
      </w:pPr>
      <w:r w:rsidRPr="008362A5">
        <w:rPr>
          <w:rFonts w:ascii="Times" w:hAnsi="Times"/>
          <w:noProof/>
          <w:lang w:val="en-US" w:eastAsia="zh-CN"/>
        </w:rPr>
        <w:drawing>
          <wp:inline distT="0" distB="0" distL="0" distR="0" wp14:anchorId="53906774" wp14:editId="3E850E28">
            <wp:extent cx="4616450" cy="2752299"/>
            <wp:effectExtent l="0" t="0" r="12700" b="10160"/>
            <wp:docPr id="62" name="Graphique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41FE47" w14:textId="04B566D6" w:rsidR="00D902EB" w:rsidRPr="00E15B31" w:rsidRDefault="00D902EB" w:rsidP="00D902EB">
      <w:pPr>
        <w:pStyle w:val="SingleTxtG"/>
        <w:rPr>
          <w:rFonts w:eastAsia="Times"/>
          <w:lang w:val="fr-FR"/>
        </w:rPr>
      </w:pPr>
      <w:r>
        <w:rPr>
          <w:lang w:val="fr-FR"/>
        </w:rPr>
        <w:lastRenderedPageBreak/>
        <w:t>51</w:t>
      </w:r>
      <w:r w:rsidR="00A3423F" w:rsidRPr="00A3423F">
        <w:rPr>
          <w:lang w:val="fr-FR"/>
        </w:rPr>
        <w:t>.</w:t>
      </w:r>
      <w:r>
        <w:rPr>
          <w:lang w:val="fr-FR"/>
        </w:rPr>
        <w:tab/>
        <w:t xml:space="preserve">Un grand nombre de Parties indiquent que leur législation prévoit l’obligation d’informer </w:t>
      </w:r>
      <w:r w:rsidRPr="00033F5B">
        <w:t>directement</w:t>
      </w:r>
      <w:r>
        <w:rPr>
          <w:lang w:val="fr-FR"/>
        </w:rPr>
        <w:t xml:space="preserve"> les autorités responsables de l’environnement et/ou les autorités qui ont été consultées au cours du processus</w:t>
      </w:r>
      <w:r w:rsidR="00A3423F" w:rsidRPr="00A3423F">
        <w:rPr>
          <w:lang w:val="fr-FR"/>
        </w:rPr>
        <w:t>.</w:t>
      </w:r>
      <w:r>
        <w:rPr>
          <w:lang w:val="fr-FR"/>
        </w:rPr>
        <w:t xml:space="preserve"> Par exemple, en Tchéquie, l’autorité de planification informe toutes les parties prenantes dans les sept jours suivant la publication du plan/programme approuvé et de la déclaration</w:t>
      </w:r>
      <w:r w:rsidR="00A3423F" w:rsidRPr="00A3423F">
        <w:rPr>
          <w:lang w:val="fr-FR"/>
        </w:rPr>
        <w:t>.</w:t>
      </w:r>
      <w:r>
        <w:rPr>
          <w:lang w:val="fr-FR"/>
        </w:rPr>
        <w:t xml:space="preserve"> En Estonie, l’autorité de planification annonce sa décision aux autorités et aux personnes concernées dans les quatorze jours suivant la prise de décision</w:t>
      </w:r>
      <w:r w:rsidR="00A3423F" w:rsidRPr="00A3423F">
        <w:rPr>
          <w:lang w:val="fr-FR"/>
        </w:rPr>
        <w:t>.</w:t>
      </w:r>
    </w:p>
    <w:p w14:paraId="42C49CE5" w14:textId="32C91F1D" w:rsidR="00D902EB" w:rsidRPr="00E15B31" w:rsidRDefault="00D902EB" w:rsidP="00D902EB">
      <w:pPr>
        <w:pStyle w:val="SingleTxtG"/>
        <w:rPr>
          <w:rFonts w:eastAsia="Times"/>
          <w:lang w:val="fr-FR"/>
        </w:rPr>
      </w:pPr>
      <w:r>
        <w:rPr>
          <w:lang w:val="fr-FR"/>
        </w:rPr>
        <w:t>52</w:t>
      </w:r>
      <w:r w:rsidR="00A3423F" w:rsidRPr="00A3423F">
        <w:rPr>
          <w:lang w:val="fr-FR"/>
        </w:rPr>
        <w:t>.</w:t>
      </w:r>
      <w:r>
        <w:rPr>
          <w:lang w:val="fr-FR"/>
        </w:rPr>
        <w:tab/>
        <w:t>La plupart des répondants (voir fig</w:t>
      </w:r>
      <w:r w:rsidR="00A3423F" w:rsidRPr="00A3423F">
        <w:rPr>
          <w:lang w:val="fr-FR"/>
        </w:rPr>
        <w:t>.</w:t>
      </w:r>
      <w:r>
        <w:rPr>
          <w:lang w:val="fr-FR"/>
        </w:rPr>
        <w:t> XII) informent les Parties consultées (art</w:t>
      </w:r>
      <w:r w:rsidR="00A3423F" w:rsidRPr="00A3423F">
        <w:rPr>
          <w:lang w:val="fr-FR"/>
        </w:rPr>
        <w:t>.</w:t>
      </w:r>
      <w:r>
        <w:rPr>
          <w:lang w:val="fr-FR"/>
        </w:rPr>
        <w:t> 11</w:t>
      </w:r>
      <w:r w:rsidR="00A3423F" w:rsidRPr="00A3423F">
        <w:rPr>
          <w:lang w:val="fr-FR"/>
        </w:rPr>
        <w:t>.</w:t>
      </w:r>
      <w:r>
        <w:rPr>
          <w:lang w:val="fr-FR"/>
        </w:rPr>
        <w:t>2) de l’adoption d’un plan/programme via le point de contact</w:t>
      </w:r>
      <w:r w:rsidRPr="006846DA">
        <w:rPr>
          <w:rStyle w:val="Appelnotedebasdep"/>
        </w:rPr>
        <w:footnoteReference w:id="6"/>
      </w:r>
      <w:r>
        <w:rPr>
          <w:lang w:val="fr-FR"/>
        </w:rPr>
        <w:t xml:space="preserve"> (question I</w:t>
      </w:r>
      <w:r w:rsidR="00A3423F" w:rsidRPr="00A3423F">
        <w:rPr>
          <w:lang w:val="fr-FR"/>
        </w:rPr>
        <w:t>.</w:t>
      </w:r>
      <w:r>
        <w:rPr>
          <w:lang w:val="fr-FR"/>
        </w:rPr>
        <w:t>11</w:t>
      </w:r>
      <w:r w:rsidR="00A3423F" w:rsidRPr="00A3423F">
        <w:rPr>
          <w:lang w:val="fr-FR"/>
        </w:rPr>
        <w:t>.</w:t>
      </w:r>
      <w:r>
        <w:rPr>
          <w:lang w:val="fr-FR"/>
        </w:rPr>
        <w:t>4)</w:t>
      </w:r>
      <w:r w:rsidR="00A3423F" w:rsidRPr="00A3423F">
        <w:rPr>
          <w:lang w:val="fr-FR"/>
        </w:rPr>
        <w:t>.</w:t>
      </w:r>
      <w:r>
        <w:rPr>
          <w:lang w:val="fr-FR"/>
        </w:rPr>
        <w:t xml:space="preserve"> Certaines Parties précisent également que, si la Partie touchée a désigné une personne de contact pour l’évaluation stratégique environnementale transfrontière, celle-ci doit être tenue informée ; sinon, les informations sont transmises au point de contact mandaté au titre de la Convention sur l’évaluation de l’impact sur l’environnement dans un contexte transfrontière (Convention d’Espoo)</w:t>
      </w:r>
      <w:r w:rsidR="00A3423F" w:rsidRPr="00A3423F">
        <w:rPr>
          <w:lang w:val="fr-FR"/>
        </w:rPr>
        <w:t>.</w:t>
      </w:r>
    </w:p>
    <w:p w14:paraId="0BC3D263" w14:textId="77777777" w:rsidR="00D902EB" w:rsidRPr="00E15B31" w:rsidRDefault="00D902EB" w:rsidP="00D902EB">
      <w:pPr>
        <w:pStyle w:val="Titre1"/>
        <w:rPr>
          <w:rFonts w:eastAsia="Times"/>
          <w:lang w:val="fr-FR"/>
        </w:rPr>
      </w:pPr>
      <w:r>
        <w:rPr>
          <w:lang w:val="fr-FR"/>
        </w:rPr>
        <w:t>Figure XII</w:t>
      </w:r>
    </w:p>
    <w:p w14:paraId="726AE798" w14:textId="0278281C" w:rsidR="00D902EB" w:rsidRDefault="00D902EB" w:rsidP="00D902EB">
      <w:pPr>
        <w:pStyle w:val="Titre1"/>
        <w:spacing w:after="120"/>
        <w:ind w:right="1134"/>
        <w:rPr>
          <w:b/>
          <w:bCs/>
          <w:lang w:val="fr-FR"/>
        </w:rPr>
      </w:pPr>
      <w:r>
        <w:rPr>
          <w:b/>
          <w:bCs/>
          <w:lang w:val="fr-FR"/>
        </w:rPr>
        <w:t>Réponses à la question I</w:t>
      </w:r>
      <w:r w:rsidR="00A3423F" w:rsidRPr="00A3423F">
        <w:rPr>
          <w:b/>
          <w:bCs/>
          <w:lang w:val="fr-FR"/>
        </w:rPr>
        <w:t>.</w:t>
      </w:r>
      <w:r>
        <w:rPr>
          <w:b/>
          <w:bCs/>
          <w:lang w:val="fr-FR"/>
        </w:rPr>
        <w:t>11</w:t>
      </w:r>
      <w:r w:rsidR="00A3423F" w:rsidRPr="00A3423F">
        <w:rPr>
          <w:b/>
          <w:bCs/>
          <w:lang w:val="fr-FR"/>
        </w:rPr>
        <w:t>.</w:t>
      </w:r>
      <w:r>
        <w:rPr>
          <w:b/>
          <w:bCs/>
          <w:lang w:val="fr-FR"/>
        </w:rPr>
        <w:t>4 : « Comment informez-vous les Parties consultées</w:t>
      </w:r>
      <w:r>
        <w:rPr>
          <w:b/>
          <w:bCs/>
          <w:lang w:val="fr-FR"/>
        </w:rPr>
        <w:br/>
        <w:t>(art</w:t>
      </w:r>
      <w:r w:rsidR="00A3423F" w:rsidRPr="00A3423F">
        <w:rPr>
          <w:b/>
          <w:bCs/>
          <w:lang w:val="fr-FR"/>
        </w:rPr>
        <w:t>.</w:t>
      </w:r>
      <w:r>
        <w:rPr>
          <w:b/>
          <w:bCs/>
          <w:lang w:val="fr-FR"/>
        </w:rPr>
        <w:t> 11</w:t>
      </w:r>
      <w:r w:rsidR="00A3423F" w:rsidRPr="00A3423F">
        <w:rPr>
          <w:b/>
          <w:bCs/>
          <w:lang w:val="fr-FR"/>
        </w:rPr>
        <w:t>.</w:t>
      </w:r>
      <w:r>
        <w:rPr>
          <w:b/>
          <w:bCs/>
          <w:lang w:val="fr-FR"/>
        </w:rPr>
        <w:t>2) ? » (n=24)</w:t>
      </w:r>
    </w:p>
    <w:p w14:paraId="0A43A4F0" w14:textId="77777777" w:rsidR="00D902EB" w:rsidRDefault="00D902EB" w:rsidP="00D902EB">
      <w:pPr>
        <w:ind w:left="1134" w:right="1134"/>
        <w:rPr>
          <w:lang w:val="fr-FR"/>
        </w:rPr>
      </w:pPr>
      <w:r w:rsidRPr="00182A07">
        <w:rPr>
          <w:noProof/>
          <w:lang w:val="en-US" w:eastAsia="zh-CN"/>
        </w:rPr>
        <w:drawing>
          <wp:inline distT="0" distB="0" distL="0" distR="0" wp14:anchorId="02B5045C" wp14:editId="577640DE">
            <wp:extent cx="4828032" cy="3071495"/>
            <wp:effectExtent l="0" t="0" r="10795" b="14605"/>
            <wp:docPr id="63" name="Graphique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1B4242" w14:textId="6F7CB29B" w:rsidR="00D902EB" w:rsidRPr="00033F5B" w:rsidRDefault="00D902EB" w:rsidP="00D902EB">
      <w:pPr>
        <w:spacing w:before="120" w:after="240"/>
        <w:ind w:left="1134" w:right="1134" w:firstLine="170"/>
        <w:rPr>
          <w:rFonts w:eastAsia="Times"/>
          <w:sz w:val="18"/>
          <w:szCs w:val="18"/>
          <w:lang w:val="fr-FR"/>
        </w:rPr>
      </w:pPr>
      <w:r w:rsidRPr="00033F5B">
        <w:rPr>
          <w:i/>
          <w:iCs/>
          <w:sz w:val="18"/>
          <w:szCs w:val="18"/>
          <w:lang w:val="fr-FR"/>
        </w:rPr>
        <w:t>Abréviation</w:t>
      </w:r>
      <w:r w:rsidRPr="00033F5B">
        <w:rPr>
          <w:sz w:val="18"/>
          <w:szCs w:val="18"/>
          <w:lang w:val="fr-FR"/>
        </w:rPr>
        <w:t> : SEA = évaluation stratégique environnementale</w:t>
      </w:r>
      <w:r w:rsidR="00A3423F" w:rsidRPr="00A3423F">
        <w:rPr>
          <w:sz w:val="18"/>
          <w:szCs w:val="18"/>
          <w:lang w:val="fr-FR"/>
        </w:rPr>
        <w:t>.</w:t>
      </w:r>
    </w:p>
    <w:p w14:paraId="10C9CB3A" w14:textId="5AF7E78B" w:rsidR="00D902EB" w:rsidRPr="00E15B31" w:rsidRDefault="00D902EB" w:rsidP="00D902EB">
      <w:pPr>
        <w:pStyle w:val="SingleTxtG"/>
        <w:rPr>
          <w:rFonts w:eastAsia="Times"/>
          <w:lang w:val="fr-FR"/>
        </w:rPr>
      </w:pPr>
      <w:r>
        <w:rPr>
          <w:lang w:val="fr-FR"/>
        </w:rPr>
        <w:t>53</w:t>
      </w:r>
      <w:r w:rsidR="00A3423F" w:rsidRPr="00A3423F">
        <w:rPr>
          <w:lang w:val="fr-FR"/>
        </w:rPr>
        <w:t>.</w:t>
      </w:r>
      <w:r>
        <w:rPr>
          <w:lang w:val="fr-FR"/>
        </w:rPr>
        <w:tab/>
        <w:t xml:space="preserve">Onze </w:t>
      </w:r>
      <w:r w:rsidRPr="00033F5B">
        <w:t>répondants</w:t>
      </w:r>
      <w:r>
        <w:rPr>
          <w:lang w:val="fr-FR"/>
        </w:rPr>
        <w:t xml:space="preserve"> informent le public et les autorités de la Partie touchée par l’intermédiaire de la personne à contacter au ministère de la Partie touchée responsable de l’évaluation stratégique environnementale en question, laquelle suit ensuite les procédures nationales et informe les autorités compétentes et le public</w:t>
      </w:r>
      <w:r w:rsidR="00A3423F" w:rsidRPr="00A3423F">
        <w:rPr>
          <w:lang w:val="fr-FR"/>
        </w:rPr>
        <w:t>.</w:t>
      </w:r>
      <w:r>
        <w:rPr>
          <w:lang w:val="fr-FR"/>
        </w:rPr>
        <w:t xml:space="preserve"> La Bosnie-Herzégovine et Malte n’ont choisi que cette option, tandis que neuf autres répondants déclarent également informer le point de contact</w:t>
      </w:r>
      <w:r w:rsidR="00A3423F" w:rsidRPr="00A3423F">
        <w:rPr>
          <w:lang w:val="fr-FR"/>
        </w:rPr>
        <w:t>.</w:t>
      </w:r>
      <w:r>
        <w:rPr>
          <w:lang w:val="fr-FR"/>
        </w:rPr>
        <w:t xml:space="preserve"> Certains répondants envoient des informations par les voies diplomatiques</w:t>
      </w:r>
      <w:r w:rsidR="00A3423F" w:rsidRPr="00A3423F">
        <w:rPr>
          <w:lang w:val="fr-FR"/>
        </w:rPr>
        <w:t>.</w:t>
      </w:r>
      <w:r>
        <w:rPr>
          <w:lang w:val="fr-FR"/>
        </w:rPr>
        <w:t xml:space="preserve"> La Pologne et la Tchéquie indiquent que la manière dont la Partie consultée doit être informée peut être définie dans les accords bilatéraux pertinents</w:t>
      </w:r>
      <w:r w:rsidR="00A3423F" w:rsidRPr="00A3423F">
        <w:rPr>
          <w:lang w:val="fr-FR"/>
        </w:rPr>
        <w:t>.</w:t>
      </w:r>
    </w:p>
    <w:p w14:paraId="28861D1B" w14:textId="4386F0D3" w:rsidR="00D902EB" w:rsidRPr="00E15B31" w:rsidRDefault="00D902EB" w:rsidP="00D902EB">
      <w:pPr>
        <w:pStyle w:val="H1G"/>
        <w:rPr>
          <w:lang w:val="fr-FR"/>
        </w:rPr>
      </w:pPr>
      <w:r>
        <w:rPr>
          <w:lang w:val="fr-FR"/>
        </w:rPr>
        <w:lastRenderedPageBreak/>
        <w:tab/>
        <w:t>J</w:t>
      </w:r>
      <w:r w:rsidR="00A3423F" w:rsidRPr="00A3423F">
        <w:rPr>
          <w:lang w:val="fr-FR"/>
        </w:rPr>
        <w:t>.</w:t>
      </w:r>
      <w:r>
        <w:rPr>
          <w:lang w:val="fr-FR"/>
        </w:rPr>
        <w:tab/>
      </w:r>
      <w:r>
        <w:rPr>
          <w:lang w:val="fr-FR"/>
        </w:rPr>
        <w:tab/>
        <w:t>Suivi</w:t>
      </w:r>
      <w:bookmarkStart w:id="15" w:name="_Hlk111407502"/>
      <w:bookmarkEnd w:id="15"/>
    </w:p>
    <w:p w14:paraId="3C174EA7" w14:textId="18C5A30C" w:rsidR="00D902EB" w:rsidRPr="00E15B31" w:rsidRDefault="00D902EB" w:rsidP="00D902EB">
      <w:pPr>
        <w:pStyle w:val="SingleTxtG"/>
        <w:rPr>
          <w:rFonts w:eastAsia="Times"/>
          <w:lang w:val="fr-FR"/>
        </w:rPr>
      </w:pPr>
      <w:r>
        <w:rPr>
          <w:lang w:val="fr-FR"/>
        </w:rPr>
        <w:t>54</w:t>
      </w:r>
      <w:r w:rsidR="00A3423F" w:rsidRPr="00A3423F">
        <w:rPr>
          <w:lang w:val="fr-FR"/>
        </w:rPr>
        <w:t>.</w:t>
      </w:r>
      <w:r>
        <w:rPr>
          <w:lang w:val="fr-FR"/>
        </w:rPr>
        <w:tab/>
        <w:t>Dans la question I</w:t>
      </w:r>
      <w:r w:rsidR="00A3423F" w:rsidRPr="00A3423F">
        <w:rPr>
          <w:lang w:val="fr-FR"/>
        </w:rPr>
        <w:t>.</w:t>
      </w:r>
      <w:r>
        <w:rPr>
          <w:lang w:val="fr-FR"/>
        </w:rPr>
        <w:t>12, il est demandé aux Parties de décrire les prescriptions juridiques applicables au suivi des effets notables sur l’environnement, y compris sur la santé, conformément à l’article 12 du Protocole</w:t>
      </w:r>
      <w:r w:rsidR="00A3423F" w:rsidRPr="00A3423F">
        <w:rPr>
          <w:lang w:val="fr-FR"/>
        </w:rPr>
        <w:t>.</w:t>
      </w:r>
      <w:r>
        <w:rPr>
          <w:lang w:val="fr-FR"/>
        </w:rPr>
        <w:t xml:space="preserve"> De nombreux répondants fournissent des informations sur les autorités responsables du suivi des effets des plans et programmes</w:t>
      </w:r>
      <w:r w:rsidR="00A3423F" w:rsidRPr="00A3423F">
        <w:rPr>
          <w:lang w:val="fr-FR"/>
        </w:rPr>
        <w:t>.</w:t>
      </w:r>
      <w:r>
        <w:rPr>
          <w:lang w:val="fr-FR"/>
        </w:rPr>
        <w:t xml:space="preserve"> Certains indiquent également d’autres prescriptions juridiques, par exemple, liées aux informations sur la portée du suivi, sa durée, les mesures de suivi et les indicateurs, ou des prescriptions concernant l’obligation d’envoyer les données de suivi à l’autorité environnementale et/ou de rendre ces données publiques</w:t>
      </w:r>
      <w:r w:rsidR="00A3423F" w:rsidRPr="00A3423F">
        <w:rPr>
          <w:lang w:val="fr-FR"/>
        </w:rPr>
        <w:t>.</w:t>
      </w:r>
      <w:r>
        <w:rPr>
          <w:lang w:val="fr-FR"/>
        </w:rPr>
        <w:t xml:space="preserve"> La moitié des répondants (12 sur 24) élaborent des programmes/mesures de suivi dans le cadre du rapport sur l’évaluation stratégique de l’environnement, qui font l’objet d’une consultation avec les autorités chargées de l’environnement et de la santé et qui, après l’adoption du programme/plan, doivent être exécutés par les autorités compétentes</w:t>
      </w:r>
      <w:r w:rsidR="00A3423F" w:rsidRPr="00A3423F">
        <w:rPr>
          <w:lang w:val="fr-FR"/>
        </w:rPr>
        <w:t>.</w:t>
      </w:r>
    </w:p>
    <w:p w14:paraId="65313F32" w14:textId="0FDD60C5" w:rsidR="00D902EB" w:rsidRPr="00E15B31" w:rsidRDefault="00D902EB" w:rsidP="00D902EB">
      <w:pPr>
        <w:pStyle w:val="H1G"/>
        <w:rPr>
          <w:lang w:val="fr-FR"/>
        </w:rPr>
      </w:pPr>
      <w:r>
        <w:rPr>
          <w:lang w:val="fr-FR"/>
        </w:rPr>
        <w:tab/>
        <w:t>K</w:t>
      </w:r>
      <w:r w:rsidR="00A3423F" w:rsidRPr="00A3423F">
        <w:rPr>
          <w:lang w:val="fr-FR"/>
        </w:rPr>
        <w:t>.</w:t>
      </w:r>
      <w:r>
        <w:rPr>
          <w:lang w:val="fr-FR"/>
        </w:rPr>
        <w:tab/>
      </w:r>
      <w:r>
        <w:rPr>
          <w:lang w:val="fr-FR"/>
        </w:rPr>
        <w:tab/>
        <w:t>Politiques et législation</w:t>
      </w:r>
    </w:p>
    <w:p w14:paraId="2D525BE6" w14:textId="1B187B6A" w:rsidR="00D902EB" w:rsidRPr="00E15B31" w:rsidRDefault="00D902EB" w:rsidP="00D902EB">
      <w:pPr>
        <w:pStyle w:val="SingleTxtG"/>
        <w:rPr>
          <w:rFonts w:eastAsia="Times"/>
          <w:lang w:val="fr-FR"/>
        </w:rPr>
      </w:pPr>
      <w:r>
        <w:rPr>
          <w:lang w:val="fr-FR"/>
        </w:rPr>
        <w:t>55</w:t>
      </w:r>
      <w:r w:rsidR="00A3423F" w:rsidRPr="00A3423F">
        <w:rPr>
          <w:lang w:val="fr-FR"/>
        </w:rPr>
        <w:t>.</w:t>
      </w:r>
      <w:r>
        <w:rPr>
          <w:lang w:val="fr-FR"/>
        </w:rPr>
        <w:tab/>
        <w:t>Douze Parties (sur 23) sont dotées d’une législation nationale relative à l’application des principes et des éléments du Protocole aux politiques et à la législation (art</w:t>
      </w:r>
      <w:r w:rsidR="00A3423F" w:rsidRPr="00A3423F">
        <w:rPr>
          <w:lang w:val="fr-FR"/>
        </w:rPr>
        <w:t>.</w:t>
      </w:r>
      <w:r>
        <w:rPr>
          <w:lang w:val="fr-FR"/>
        </w:rPr>
        <w:t> 13</w:t>
      </w:r>
      <w:r w:rsidR="00A3423F" w:rsidRPr="00A3423F">
        <w:rPr>
          <w:lang w:val="fr-FR"/>
        </w:rPr>
        <w:t>.</w:t>
      </w:r>
      <w:r>
        <w:rPr>
          <w:lang w:val="fr-FR"/>
        </w:rPr>
        <w:t>1) (question I</w:t>
      </w:r>
      <w:r w:rsidR="00A3423F" w:rsidRPr="00A3423F">
        <w:rPr>
          <w:lang w:val="fr-FR"/>
        </w:rPr>
        <w:t>.</w:t>
      </w:r>
      <w:r>
        <w:rPr>
          <w:lang w:val="fr-FR"/>
        </w:rPr>
        <w:t>13)</w:t>
      </w:r>
      <w:r w:rsidR="00A3423F" w:rsidRPr="00A3423F">
        <w:rPr>
          <w:lang w:val="fr-FR"/>
        </w:rPr>
        <w:t>.</w:t>
      </w:r>
      <w:r>
        <w:rPr>
          <w:lang w:val="fr-FR"/>
        </w:rPr>
        <w:t xml:space="preserve"> La Pologne explique qu’elle a adopté des dispositions spéciales concernant l’évaluation stratégique environnementale des politiques</w:t>
      </w:r>
      <w:r w:rsidR="00A3423F" w:rsidRPr="00A3423F">
        <w:rPr>
          <w:lang w:val="fr-FR"/>
        </w:rPr>
        <w:t>.</w:t>
      </w:r>
      <w:r>
        <w:rPr>
          <w:lang w:val="fr-FR"/>
        </w:rPr>
        <w:t xml:space="preserve"> Malte indique que ses dispositions relatives à l’évaluation stratégique environnementale ne s’appliquent qu’aux politiques</w:t>
      </w:r>
      <w:r w:rsidR="00A3423F" w:rsidRPr="00A3423F">
        <w:rPr>
          <w:lang w:val="fr-FR"/>
        </w:rPr>
        <w:t>.</w:t>
      </w:r>
      <w:r>
        <w:rPr>
          <w:lang w:val="fr-FR"/>
        </w:rPr>
        <w:t xml:space="preserve"> Le Danemark note que, selon la pratique de la Cour de justice de l’Union européenne, la directive relative à l’évaluation stratégique environnementale est applicable aux propositions de politiques et de législation ; les dispositions pertinentes ont donc été transposées dans la législation nationale du pays</w:t>
      </w:r>
      <w:r w:rsidR="00A3423F" w:rsidRPr="00A3423F">
        <w:rPr>
          <w:lang w:val="fr-FR"/>
        </w:rPr>
        <w:t>.</w:t>
      </w:r>
    </w:p>
    <w:p w14:paraId="4B9C4E43" w14:textId="52F64F7B" w:rsidR="00D902EB" w:rsidRPr="00E15B31" w:rsidRDefault="00D902EB" w:rsidP="00D902EB">
      <w:pPr>
        <w:pStyle w:val="HChG"/>
        <w:rPr>
          <w:lang w:val="fr-FR"/>
        </w:rPr>
      </w:pPr>
      <w:bookmarkStart w:id="16" w:name="_Toc14170020"/>
      <w:r>
        <w:rPr>
          <w:lang w:val="fr-FR"/>
        </w:rPr>
        <w:tab/>
        <w:t>III</w:t>
      </w:r>
      <w:r w:rsidR="00A3423F" w:rsidRPr="00A3423F">
        <w:rPr>
          <w:lang w:val="fr-FR"/>
        </w:rPr>
        <w:t>.</w:t>
      </w:r>
      <w:r>
        <w:rPr>
          <w:lang w:val="fr-FR"/>
        </w:rPr>
        <w:tab/>
      </w:r>
      <w:r>
        <w:rPr>
          <w:lang w:val="fr-FR"/>
        </w:rPr>
        <w:tab/>
        <w:t>Application pratique</w:t>
      </w:r>
      <w:bookmarkEnd w:id="16"/>
    </w:p>
    <w:p w14:paraId="467333A9" w14:textId="1A11E4B0" w:rsidR="00D902EB" w:rsidRPr="00E15B31" w:rsidRDefault="00D902EB" w:rsidP="00D902EB">
      <w:pPr>
        <w:pStyle w:val="SingleTxtG"/>
        <w:rPr>
          <w:rFonts w:eastAsia="Times"/>
          <w:lang w:val="fr-FR"/>
        </w:rPr>
      </w:pPr>
      <w:r>
        <w:rPr>
          <w:lang w:val="fr-FR"/>
        </w:rPr>
        <w:t>56</w:t>
      </w:r>
      <w:r w:rsidR="00A3423F" w:rsidRPr="00A3423F">
        <w:rPr>
          <w:lang w:val="fr-FR"/>
        </w:rPr>
        <w:t>.</w:t>
      </w:r>
      <w:r>
        <w:rPr>
          <w:lang w:val="fr-FR"/>
        </w:rPr>
        <w:tab/>
        <w:t>Dans la présente section, les principales conclusions de la seconde partie du questionnaire, qui porte sur l’expérience pratique des Parties, s’agissant de l’application du Protocole, sont analysées</w:t>
      </w:r>
      <w:r w:rsidR="00A3423F" w:rsidRPr="00A3423F">
        <w:rPr>
          <w:lang w:val="fr-FR"/>
        </w:rPr>
        <w:t>.</w:t>
      </w:r>
    </w:p>
    <w:p w14:paraId="4C91B3A2" w14:textId="1A5BF103" w:rsidR="00D902EB" w:rsidRPr="00E15B31" w:rsidRDefault="00D902EB" w:rsidP="00D902EB">
      <w:pPr>
        <w:pStyle w:val="SingleTxtG"/>
        <w:rPr>
          <w:rFonts w:eastAsia="Times"/>
          <w:lang w:val="fr-FR"/>
        </w:rPr>
      </w:pPr>
      <w:r>
        <w:rPr>
          <w:lang w:val="fr-FR"/>
        </w:rPr>
        <w:t>57</w:t>
      </w:r>
      <w:r w:rsidR="00A3423F" w:rsidRPr="00A3423F">
        <w:rPr>
          <w:lang w:val="fr-FR"/>
        </w:rPr>
        <w:t>.</w:t>
      </w:r>
      <w:r>
        <w:rPr>
          <w:lang w:val="fr-FR"/>
        </w:rPr>
        <w:tab/>
        <w:t>La plupart des Parties (18 sur 22) fournissent des données sur le nombre de procédures nationales et transfrontières d’évaluation stratégique environnementale engagées pendant la période considérée (2019-2021)</w:t>
      </w:r>
      <w:r w:rsidR="00A3423F" w:rsidRPr="00A3423F">
        <w:rPr>
          <w:lang w:val="fr-FR"/>
        </w:rPr>
        <w:t>.</w:t>
      </w:r>
      <w:r>
        <w:rPr>
          <w:lang w:val="fr-FR"/>
        </w:rPr>
        <w:t xml:space="preserve"> Il a été rendu compte de 136 procédures transfrontières par 18 Parties ; cependant, ce nombre est une approximation car certains répondants fournissent des estimations et de nombreuses Parties n’ont pas fait de distinction entre les procédures transfrontières qu’elles ont engagées en tant que Partie d’origine ou en tant que Partie touchée</w:t>
      </w:r>
      <w:r w:rsidR="00A3423F" w:rsidRPr="00A3423F">
        <w:rPr>
          <w:lang w:val="fr-FR"/>
        </w:rPr>
        <w:t>.</w:t>
      </w:r>
      <w:r>
        <w:rPr>
          <w:lang w:val="fr-FR"/>
        </w:rPr>
        <w:t xml:space="preserve"> Les données sur le nombre de procédures nationales (question II</w:t>
      </w:r>
      <w:r w:rsidR="00A3423F" w:rsidRPr="00A3423F">
        <w:rPr>
          <w:lang w:val="fr-FR"/>
        </w:rPr>
        <w:t>.</w:t>
      </w:r>
      <w:r>
        <w:rPr>
          <w:lang w:val="fr-FR"/>
        </w:rPr>
        <w:t>3) et de procédures transfrontières (question II</w:t>
      </w:r>
      <w:r w:rsidR="00A3423F" w:rsidRPr="00A3423F">
        <w:rPr>
          <w:lang w:val="fr-FR"/>
        </w:rPr>
        <w:t>.</w:t>
      </w:r>
      <w:r>
        <w:rPr>
          <w:lang w:val="fr-FR"/>
        </w:rPr>
        <w:t>4) sont résumées dans les tableaux 2 et 3, respectivement</w:t>
      </w:r>
      <w:r w:rsidR="00A3423F" w:rsidRPr="00A3423F">
        <w:rPr>
          <w:lang w:val="fr-FR"/>
        </w:rPr>
        <w:t>.</w:t>
      </w:r>
      <w:r>
        <w:rPr>
          <w:lang w:val="fr-FR"/>
        </w:rPr>
        <w:t xml:space="preserve"> </w:t>
      </w:r>
    </w:p>
    <w:p w14:paraId="0CA53482" w14:textId="505E829A" w:rsidR="00D902EB" w:rsidRPr="00E15B31" w:rsidRDefault="00D902EB" w:rsidP="00D902EB">
      <w:pPr>
        <w:pStyle w:val="SingleTxtG"/>
        <w:rPr>
          <w:rFonts w:eastAsia="Times"/>
          <w:lang w:val="fr-FR"/>
        </w:rPr>
      </w:pPr>
      <w:r>
        <w:rPr>
          <w:lang w:val="fr-FR"/>
        </w:rPr>
        <w:t>58</w:t>
      </w:r>
      <w:r w:rsidR="00A3423F" w:rsidRPr="00A3423F">
        <w:rPr>
          <w:lang w:val="fr-FR"/>
        </w:rPr>
        <w:t>.</w:t>
      </w:r>
      <w:r>
        <w:rPr>
          <w:lang w:val="fr-FR"/>
        </w:rPr>
        <w:tab/>
        <w:t>Les secteurs dans lesquels des procédures nationales d’évaluation stratégique environnementale semblent avoir le plus souvent avoir été engagées sont les suivants : agriculture, énergie, transports, gestion de l’eau et aménagement des villes et du territoire</w:t>
      </w:r>
      <w:r w:rsidR="00A3423F" w:rsidRPr="00A3423F">
        <w:rPr>
          <w:lang w:val="fr-FR"/>
        </w:rPr>
        <w:t>.</w:t>
      </w:r>
      <w:r>
        <w:rPr>
          <w:lang w:val="fr-FR"/>
        </w:rPr>
        <w:t xml:space="preserve"> Une proportion importante des procédures nationales signalées relève de l’aménagement des villes et du territoire (par exemple, Finlande (3 500), République de Moldova (88), Suède (183))</w:t>
      </w:r>
      <w:r w:rsidR="00A3423F" w:rsidRPr="00A3423F">
        <w:rPr>
          <w:lang w:val="fr-FR"/>
        </w:rPr>
        <w:t>.</w:t>
      </w:r>
      <w:r>
        <w:rPr>
          <w:lang w:val="fr-FR"/>
        </w:rPr>
        <w:t xml:space="preserve"> Les secteurs dans lesquels des procédures transfrontières d’évaluation stratégique environnementale semblent avoir le plus souvent avoir été engagées sont les suivants : énergie, gestion des déchets et de l’eau, et aménagement des villes et du territoire</w:t>
      </w:r>
      <w:r w:rsidR="00A3423F" w:rsidRPr="00A3423F">
        <w:rPr>
          <w:lang w:val="fr-FR"/>
        </w:rPr>
        <w:t>.</w:t>
      </w:r>
      <w:r>
        <w:rPr>
          <w:lang w:val="fr-FR"/>
        </w:rPr>
        <w:t xml:space="preserve"> La plupart des procédures transfrontières indiquées concernaient le secteur de la gestion de l’eau (32)</w:t>
      </w:r>
      <w:r w:rsidR="00A3423F" w:rsidRPr="00A3423F">
        <w:rPr>
          <w:lang w:val="fr-FR"/>
        </w:rPr>
        <w:t>.</w:t>
      </w:r>
      <w:r>
        <w:rPr>
          <w:lang w:val="fr-FR"/>
        </w:rPr>
        <w:t xml:space="preserve"> </w:t>
      </w:r>
    </w:p>
    <w:p w14:paraId="38DC0CDC" w14:textId="1577CBC5" w:rsidR="00D902EB" w:rsidRPr="00265B89" w:rsidRDefault="00D902EB" w:rsidP="00D902EB">
      <w:pPr>
        <w:pStyle w:val="SingleTxtG"/>
        <w:rPr>
          <w:rFonts w:eastAsia="Times"/>
          <w:lang w:val="fr-FR"/>
        </w:rPr>
      </w:pPr>
      <w:r>
        <w:rPr>
          <w:lang w:val="fr-FR"/>
        </w:rPr>
        <w:t>59</w:t>
      </w:r>
      <w:r w:rsidR="00A3423F" w:rsidRPr="00A3423F">
        <w:rPr>
          <w:lang w:val="fr-FR"/>
        </w:rPr>
        <w:t>.</w:t>
      </w:r>
      <w:r>
        <w:rPr>
          <w:lang w:val="fr-FR"/>
        </w:rPr>
        <w:tab/>
        <w:t>Quinze Parties (sur 22) fournissent des informations sur la durée de leurs procédures nationales d’évaluation stratégique environnementale</w:t>
      </w:r>
      <w:r w:rsidR="00A3423F" w:rsidRPr="00A3423F">
        <w:rPr>
          <w:lang w:val="fr-FR"/>
        </w:rPr>
        <w:t>.</w:t>
      </w:r>
      <w:r>
        <w:rPr>
          <w:lang w:val="fr-FR"/>
        </w:rPr>
        <w:t xml:space="preserve"> Ces données montrent que ces procédures varient de un (Bosnie-Herzégovine) à trente</w:t>
      </w:r>
      <w:r>
        <w:rPr>
          <w:lang w:val="fr-FR"/>
        </w:rPr>
        <w:noBreakHyphen/>
        <w:t>trois mois (Estonie), selon le secteur</w:t>
      </w:r>
      <w:r w:rsidR="00A3423F" w:rsidRPr="00A3423F">
        <w:rPr>
          <w:lang w:val="fr-FR"/>
        </w:rPr>
        <w:t>.</w:t>
      </w:r>
      <w:r>
        <w:rPr>
          <w:lang w:val="fr-FR"/>
        </w:rPr>
        <w:t xml:space="preserve"> Certains répondants indiquent la durée maximale/moyenne de la procédure nationale ordinaire d’évaluation stratégique environnementale (Espagne, Estonie et Luxembourg) ; d’autres fournissent des informations sur la durée des procédures nationales dans les secteurs concernés (voir le tableau 4 ci-après)</w:t>
      </w:r>
      <w:r w:rsidR="00A3423F" w:rsidRPr="00A3423F">
        <w:rPr>
          <w:lang w:val="fr-FR"/>
        </w:rPr>
        <w:t>.</w:t>
      </w:r>
      <w:r>
        <w:rPr>
          <w:lang w:val="fr-FR"/>
        </w:rPr>
        <w:t xml:space="preserve"> La Bosnie-Herzégovine et la Lituanie font état d’un </w:t>
      </w:r>
      <w:r>
        <w:rPr>
          <w:lang w:val="fr-FR"/>
        </w:rPr>
        <w:lastRenderedPageBreak/>
        <w:t>délai de six mois pour les procédures transfrontières dans les secteurs de la gestion des déchets et de l’aménagement des villes et du territoire</w:t>
      </w:r>
      <w:r w:rsidR="00A3423F" w:rsidRPr="00A3423F">
        <w:rPr>
          <w:lang w:val="fr-FR"/>
        </w:rPr>
        <w:t>.</w:t>
      </w:r>
      <w:r>
        <w:rPr>
          <w:lang w:val="fr-FR"/>
        </w:rPr>
        <w:t xml:space="preserve"> La Tchéquie fait état d’un délai de dix</w:t>
      </w:r>
      <w:r>
        <w:rPr>
          <w:lang w:val="fr-FR"/>
        </w:rPr>
        <w:noBreakHyphen/>
        <w:t>huit mois pour les programmes de coopération internationale Interreg</w:t>
      </w:r>
      <w:r w:rsidR="00A3423F" w:rsidRPr="00A3423F">
        <w:rPr>
          <w:lang w:val="fr-FR"/>
        </w:rPr>
        <w:t>.</w:t>
      </w:r>
      <w:r>
        <w:rPr>
          <w:lang w:val="fr-FR"/>
        </w:rPr>
        <w:t xml:space="preserve"> </w:t>
      </w:r>
    </w:p>
    <w:p w14:paraId="6CE61F26" w14:textId="1015556F" w:rsidR="00D902EB" w:rsidRPr="00E15B31" w:rsidRDefault="00D902EB" w:rsidP="00D902EB">
      <w:pPr>
        <w:pStyle w:val="SingleTxtG"/>
        <w:rPr>
          <w:lang w:val="fr-FR"/>
        </w:rPr>
      </w:pPr>
      <w:r>
        <w:rPr>
          <w:lang w:val="fr-FR"/>
        </w:rPr>
        <w:t>60</w:t>
      </w:r>
      <w:r w:rsidR="00A3423F" w:rsidRPr="00A3423F">
        <w:rPr>
          <w:lang w:val="fr-FR"/>
        </w:rPr>
        <w:t>.</w:t>
      </w:r>
      <w:r>
        <w:rPr>
          <w:lang w:val="fr-FR"/>
        </w:rPr>
        <w:tab/>
        <w:t>La plupart des Parties indiquent ne pas disposer de données sur le coût des procédures d’évaluation stratégique environnementale</w:t>
      </w:r>
      <w:r w:rsidR="00A3423F" w:rsidRPr="00A3423F">
        <w:rPr>
          <w:lang w:val="fr-FR"/>
        </w:rPr>
        <w:t>.</w:t>
      </w:r>
      <w:r>
        <w:rPr>
          <w:lang w:val="fr-FR"/>
        </w:rPr>
        <w:t xml:space="preserve"> Le Monténégro précise que les coûts du rapport environnemental représentent 5 à 15 % du coût total de l’élaboration d’un plan/programme, tandis que la Suède fournit des exemples de coûts réels</w:t>
      </w:r>
      <w:r w:rsidR="00A3423F" w:rsidRPr="00A3423F">
        <w:rPr>
          <w:lang w:val="fr-FR"/>
        </w:rPr>
        <w:t>.</w:t>
      </w:r>
    </w:p>
    <w:p w14:paraId="2ACF6950" w14:textId="3FE44A11" w:rsidR="005F26E5" w:rsidRDefault="00D902EB" w:rsidP="00D902EB">
      <w:pPr>
        <w:pStyle w:val="SingleTxtG"/>
        <w:rPr>
          <w:lang w:val="fr-FR"/>
        </w:rPr>
      </w:pPr>
      <w:r>
        <w:rPr>
          <w:lang w:val="fr-FR"/>
        </w:rPr>
        <w:t>61</w:t>
      </w:r>
      <w:r w:rsidR="00A3423F" w:rsidRPr="00A3423F">
        <w:rPr>
          <w:lang w:val="fr-FR"/>
        </w:rPr>
        <w:t>.</w:t>
      </w:r>
      <w:r>
        <w:rPr>
          <w:lang w:val="fr-FR"/>
        </w:rPr>
        <w:tab/>
        <w:t>Dix Parties (sur 21) disposent d’un registre des procédures nationales et transfrontières d’évaluation stratégique environnementale, qui peut être consulté par les autres Parties (question II</w:t>
      </w:r>
      <w:r w:rsidR="00A3423F" w:rsidRPr="00A3423F">
        <w:rPr>
          <w:lang w:val="fr-FR"/>
        </w:rPr>
        <w:t>.</w:t>
      </w:r>
      <w:r>
        <w:rPr>
          <w:lang w:val="fr-FR"/>
        </w:rPr>
        <w:t>4)</w:t>
      </w:r>
      <w:r w:rsidR="00A3423F" w:rsidRPr="00A3423F">
        <w:rPr>
          <w:lang w:val="fr-FR"/>
        </w:rPr>
        <w:t>.</w:t>
      </w:r>
      <w:r>
        <w:rPr>
          <w:lang w:val="fr-FR"/>
        </w:rPr>
        <w:t xml:space="preserve"> Les hyperliens vers ces registres sont inclus dans le tableau 5</w:t>
      </w:r>
      <w:r w:rsidR="00A3423F" w:rsidRPr="00A3423F">
        <w:rPr>
          <w:lang w:val="fr-FR"/>
        </w:rPr>
        <w:t>.</w:t>
      </w:r>
      <w:r>
        <w:rPr>
          <w:lang w:val="fr-FR"/>
        </w:rPr>
        <w:t xml:space="preserve"> </w:t>
      </w:r>
    </w:p>
    <w:p w14:paraId="1B296447" w14:textId="77777777" w:rsidR="00847E55" w:rsidRDefault="00847E55" w:rsidP="00D902EB">
      <w:pPr>
        <w:pStyle w:val="SingleTxtG"/>
        <w:rPr>
          <w:lang w:val="fr-FR"/>
        </w:rPr>
      </w:pPr>
    </w:p>
    <w:p w14:paraId="441F1986" w14:textId="77777777" w:rsidR="00A169F2" w:rsidRDefault="00A169F2" w:rsidP="00D902EB">
      <w:pPr>
        <w:pStyle w:val="SingleTxtG"/>
        <w:sectPr w:rsidR="00A169F2" w:rsidSect="00D902EB">
          <w:headerReference w:type="even" r:id="rId20"/>
          <w:headerReference w:type="default" r:id="rId21"/>
          <w:footerReference w:type="even" r:id="rId22"/>
          <w:footerReference w:type="default" r:id="rId23"/>
          <w:footerReference w:type="first" r:id="rId24"/>
          <w:endnotePr>
            <w:numFmt w:val="decimal"/>
          </w:endnotePr>
          <w:pgSz w:w="11906" w:h="16838" w:code="9"/>
          <w:pgMar w:top="1417" w:right="1134" w:bottom="1134" w:left="1134" w:header="850" w:footer="567" w:gutter="0"/>
          <w:cols w:space="708"/>
          <w:titlePg/>
          <w:docGrid w:linePitch="360"/>
        </w:sectPr>
      </w:pPr>
    </w:p>
    <w:p w14:paraId="4000C014" w14:textId="77777777" w:rsidR="00A169F2" w:rsidRPr="003A5596" w:rsidRDefault="00A169F2" w:rsidP="00847E55">
      <w:pPr>
        <w:pStyle w:val="Titre1"/>
        <w:ind w:left="284"/>
        <w:rPr>
          <w:rFonts w:ascii="Times" w:eastAsia="Times" w:hAnsi="Times" w:cs="Times"/>
          <w:i/>
          <w:lang w:val="fr-FR"/>
        </w:rPr>
      </w:pPr>
      <w:r w:rsidRPr="00AD484A">
        <w:rPr>
          <w:lang w:val="fr-FR"/>
        </w:rPr>
        <w:lastRenderedPageBreak/>
        <w:t>Tableau 2</w:t>
      </w:r>
      <w:r>
        <w:rPr>
          <w:lang w:val="fr-FR"/>
        </w:rPr>
        <w:t xml:space="preserve"> </w:t>
      </w:r>
    </w:p>
    <w:p w14:paraId="77D58B51" w14:textId="77777777" w:rsidR="00A169F2" w:rsidRPr="00D17621" w:rsidRDefault="00A169F2" w:rsidP="00847E55">
      <w:pPr>
        <w:pStyle w:val="Titre1"/>
        <w:spacing w:after="120"/>
        <w:ind w:left="284"/>
        <w:rPr>
          <w:b/>
          <w:bCs/>
          <w:lang w:val="fr-FR"/>
        </w:rPr>
      </w:pPr>
      <w:r w:rsidRPr="00D17621">
        <w:rPr>
          <w:b/>
          <w:bCs/>
          <w:lang w:val="fr-FR"/>
        </w:rPr>
        <w:t>Procédures nationales d</w:t>
      </w:r>
      <w:r>
        <w:rPr>
          <w:b/>
          <w:bCs/>
          <w:lang w:val="fr-FR"/>
        </w:rPr>
        <w:t>’</w:t>
      </w:r>
      <w:r w:rsidRPr="00D17621">
        <w:rPr>
          <w:b/>
          <w:bCs/>
          <w:lang w:val="fr-FR"/>
        </w:rPr>
        <w:t>évaluation stratégique environnementale engagées pendant la période 2019-2021</w:t>
      </w:r>
    </w:p>
    <w:tbl>
      <w:tblPr>
        <w:tblW w:w="13776" w:type="dxa"/>
        <w:tblInd w:w="283" w:type="dxa"/>
        <w:tblLayout w:type="fixed"/>
        <w:tblCellMar>
          <w:left w:w="0" w:type="dxa"/>
          <w:right w:w="0" w:type="dxa"/>
        </w:tblCellMar>
        <w:tblLook w:val="04A0" w:firstRow="1" w:lastRow="0" w:firstColumn="1" w:lastColumn="0" w:noHBand="0" w:noVBand="1"/>
      </w:tblPr>
      <w:tblGrid>
        <w:gridCol w:w="1418"/>
        <w:gridCol w:w="676"/>
        <w:gridCol w:w="606"/>
        <w:gridCol w:w="649"/>
        <w:gridCol w:w="697"/>
        <w:gridCol w:w="697"/>
        <w:gridCol w:w="697"/>
        <w:gridCol w:w="836"/>
        <w:gridCol w:w="1007"/>
        <w:gridCol w:w="808"/>
        <w:gridCol w:w="674"/>
        <w:gridCol w:w="654"/>
        <w:gridCol w:w="1181"/>
        <w:gridCol w:w="809"/>
        <w:gridCol w:w="657"/>
        <w:gridCol w:w="867"/>
        <w:gridCol w:w="843"/>
      </w:tblGrid>
      <w:tr w:rsidR="00A169F2" w:rsidRPr="00D17621" w14:paraId="129D2146" w14:textId="77777777" w:rsidTr="0039665D">
        <w:trPr>
          <w:cantSplit/>
          <w:tblHeader/>
        </w:trPr>
        <w:tc>
          <w:tcPr>
            <w:tcW w:w="1418" w:type="dxa"/>
            <w:tcBorders>
              <w:top w:val="single" w:sz="4" w:space="0" w:color="auto"/>
              <w:bottom w:val="single" w:sz="12" w:space="0" w:color="auto"/>
            </w:tcBorders>
            <w:shd w:val="clear" w:color="auto" w:fill="auto"/>
            <w:vAlign w:val="bottom"/>
          </w:tcPr>
          <w:p w14:paraId="564E8A46" w14:textId="77777777" w:rsidR="00A169F2" w:rsidRPr="00D17621" w:rsidRDefault="00A169F2" w:rsidP="0039665D">
            <w:pPr>
              <w:suppressAutoHyphens w:val="0"/>
              <w:spacing w:before="80" w:after="80" w:line="200" w:lineRule="exact"/>
              <w:rPr>
                <w:i/>
                <w:sz w:val="16"/>
              </w:rPr>
            </w:pPr>
            <w:bookmarkStart w:id="17" w:name="_Hlk17713414"/>
            <w:r w:rsidRPr="00D17621">
              <w:rPr>
                <w:i/>
                <w:sz w:val="16"/>
                <w:lang w:val="fr-FR"/>
              </w:rPr>
              <w:t>Total/niveau local/niveau national</w:t>
            </w:r>
          </w:p>
        </w:tc>
        <w:tc>
          <w:tcPr>
            <w:tcW w:w="676" w:type="dxa"/>
            <w:tcBorders>
              <w:top w:val="single" w:sz="4" w:space="0" w:color="auto"/>
              <w:bottom w:val="single" w:sz="12" w:space="0" w:color="auto"/>
            </w:tcBorders>
            <w:shd w:val="clear" w:color="auto" w:fill="auto"/>
            <w:textDirection w:val="lrTbV"/>
            <w:vAlign w:val="bottom"/>
          </w:tcPr>
          <w:p w14:paraId="1E1B9658" w14:textId="21790C58"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Agri</w:t>
            </w:r>
            <w:r w:rsidR="00A3423F" w:rsidRPr="00A3423F">
              <w:rPr>
                <w:i/>
                <w:sz w:val="16"/>
                <w:szCs w:val="18"/>
                <w:lang w:val="fr-FR"/>
              </w:rPr>
              <w:t>.</w:t>
            </w:r>
          </w:p>
        </w:tc>
        <w:tc>
          <w:tcPr>
            <w:tcW w:w="606" w:type="dxa"/>
            <w:tcBorders>
              <w:top w:val="single" w:sz="4" w:space="0" w:color="auto"/>
              <w:bottom w:val="single" w:sz="12" w:space="0" w:color="auto"/>
            </w:tcBorders>
            <w:shd w:val="clear" w:color="auto" w:fill="auto"/>
            <w:textDirection w:val="lrTbV"/>
            <w:vAlign w:val="bottom"/>
          </w:tcPr>
          <w:p w14:paraId="23636B90"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Forêts</w:t>
            </w:r>
          </w:p>
        </w:tc>
        <w:tc>
          <w:tcPr>
            <w:tcW w:w="649" w:type="dxa"/>
            <w:tcBorders>
              <w:top w:val="single" w:sz="4" w:space="0" w:color="auto"/>
              <w:bottom w:val="single" w:sz="12" w:space="0" w:color="auto"/>
            </w:tcBorders>
            <w:shd w:val="clear" w:color="auto" w:fill="auto"/>
            <w:textDirection w:val="lrTbV"/>
            <w:vAlign w:val="bottom"/>
          </w:tcPr>
          <w:p w14:paraId="382232A1"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Pêches</w:t>
            </w:r>
          </w:p>
        </w:tc>
        <w:tc>
          <w:tcPr>
            <w:tcW w:w="697" w:type="dxa"/>
            <w:tcBorders>
              <w:top w:val="single" w:sz="4" w:space="0" w:color="auto"/>
              <w:bottom w:val="single" w:sz="12" w:space="0" w:color="auto"/>
            </w:tcBorders>
            <w:shd w:val="clear" w:color="auto" w:fill="auto"/>
            <w:textDirection w:val="lrTbV"/>
            <w:vAlign w:val="bottom"/>
          </w:tcPr>
          <w:p w14:paraId="12FD10A0"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Énergie</w:t>
            </w:r>
          </w:p>
        </w:tc>
        <w:tc>
          <w:tcPr>
            <w:tcW w:w="697" w:type="dxa"/>
            <w:tcBorders>
              <w:top w:val="single" w:sz="4" w:space="0" w:color="auto"/>
              <w:bottom w:val="single" w:sz="12" w:space="0" w:color="auto"/>
            </w:tcBorders>
            <w:shd w:val="clear" w:color="auto" w:fill="auto"/>
            <w:textDirection w:val="lrTbV"/>
            <w:vAlign w:val="bottom"/>
          </w:tcPr>
          <w:p w14:paraId="11737E34"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Industrie</w:t>
            </w:r>
          </w:p>
        </w:tc>
        <w:tc>
          <w:tcPr>
            <w:tcW w:w="697" w:type="dxa"/>
            <w:tcBorders>
              <w:top w:val="single" w:sz="4" w:space="0" w:color="auto"/>
              <w:bottom w:val="single" w:sz="12" w:space="0" w:color="auto"/>
            </w:tcBorders>
            <w:shd w:val="clear" w:color="auto" w:fill="auto"/>
            <w:textDirection w:val="lrTbV"/>
            <w:vAlign w:val="bottom"/>
          </w:tcPr>
          <w:p w14:paraId="16BD4D96" w14:textId="6A7EAC23"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Trans</w:t>
            </w:r>
            <w:r w:rsidR="00A3423F" w:rsidRPr="00A3423F">
              <w:rPr>
                <w:i/>
                <w:sz w:val="16"/>
                <w:szCs w:val="18"/>
                <w:lang w:val="fr-FR"/>
              </w:rPr>
              <w:t>.</w:t>
            </w:r>
          </w:p>
        </w:tc>
        <w:tc>
          <w:tcPr>
            <w:tcW w:w="836" w:type="dxa"/>
            <w:tcBorders>
              <w:top w:val="single" w:sz="4" w:space="0" w:color="auto"/>
              <w:bottom w:val="single" w:sz="12" w:space="0" w:color="auto"/>
            </w:tcBorders>
            <w:shd w:val="clear" w:color="auto" w:fill="auto"/>
            <w:textDirection w:val="lrTbV"/>
            <w:vAlign w:val="bottom"/>
          </w:tcPr>
          <w:p w14:paraId="77562BE9" w14:textId="19C699F4" w:rsidR="00A169F2" w:rsidRPr="00D17621" w:rsidRDefault="00A169F2" w:rsidP="0039665D">
            <w:pPr>
              <w:suppressAutoHyphens w:val="0"/>
              <w:spacing w:before="80" w:after="80" w:line="200" w:lineRule="exact"/>
              <w:jc w:val="right"/>
              <w:rPr>
                <w:i/>
                <w:sz w:val="16"/>
                <w:szCs w:val="18"/>
              </w:rPr>
            </w:pPr>
            <w:proofErr w:type="spellStart"/>
            <w:r w:rsidRPr="00D17621">
              <w:rPr>
                <w:i/>
                <w:sz w:val="16"/>
                <w:szCs w:val="18"/>
                <w:lang w:val="fr-FR"/>
              </w:rPr>
              <w:t>Dév</w:t>
            </w:r>
            <w:proofErr w:type="spellEnd"/>
            <w:r w:rsidR="00A3423F" w:rsidRPr="00A3423F">
              <w:rPr>
                <w:i/>
                <w:sz w:val="16"/>
                <w:szCs w:val="18"/>
                <w:lang w:val="fr-FR"/>
              </w:rPr>
              <w:t>.</w:t>
            </w:r>
            <w:r w:rsidRPr="00D17621">
              <w:rPr>
                <w:i/>
                <w:sz w:val="16"/>
                <w:szCs w:val="18"/>
                <w:lang w:val="fr-FR"/>
              </w:rPr>
              <w:t xml:space="preserve"> régional</w:t>
            </w:r>
          </w:p>
        </w:tc>
        <w:tc>
          <w:tcPr>
            <w:tcW w:w="1007" w:type="dxa"/>
            <w:tcBorders>
              <w:top w:val="single" w:sz="4" w:space="0" w:color="auto"/>
              <w:bottom w:val="single" w:sz="12" w:space="0" w:color="auto"/>
            </w:tcBorders>
            <w:shd w:val="clear" w:color="auto" w:fill="auto"/>
            <w:textDirection w:val="lrTbV"/>
            <w:vAlign w:val="bottom"/>
          </w:tcPr>
          <w:p w14:paraId="3FDF813B"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Gestion déchets</w:t>
            </w:r>
          </w:p>
        </w:tc>
        <w:tc>
          <w:tcPr>
            <w:tcW w:w="808" w:type="dxa"/>
            <w:tcBorders>
              <w:top w:val="single" w:sz="4" w:space="0" w:color="auto"/>
              <w:bottom w:val="single" w:sz="12" w:space="0" w:color="auto"/>
            </w:tcBorders>
            <w:shd w:val="clear" w:color="auto" w:fill="auto"/>
            <w:textDirection w:val="lrTbV"/>
            <w:vAlign w:val="bottom"/>
          </w:tcPr>
          <w:p w14:paraId="7C6D8A5F"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 xml:space="preserve">Gestion </w:t>
            </w:r>
            <w:r>
              <w:rPr>
                <w:i/>
                <w:sz w:val="16"/>
                <w:szCs w:val="18"/>
                <w:lang w:val="fr-FR"/>
              </w:rPr>
              <w:br/>
            </w:r>
            <w:r w:rsidRPr="00D17621">
              <w:rPr>
                <w:i/>
                <w:sz w:val="16"/>
                <w:szCs w:val="18"/>
                <w:lang w:val="fr-FR"/>
              </w:rPr>
              <w:t>eau</w:t>
            </w:r>
          </w:p>
        </w:tc>
        <w:tc>
          <w:tcPr>
            <w:tcW w:w="674" w:type="dxa"/>
            <w:tcBorders>
              <w:top w:val="single" w:sz="4" w:space="0" w:color="auto"/>
              <w:bottom w:val="single" w:sz="12" w:space="0" w:color="auto"/>
            </w:tcBorders>
            <w:shd w:val="clear" w:color="auto" w:fill="auto"/>
            <w:textDirection w:val="lrTbV"/>
            <w:vAlign w:val="bottom"/>
          </w:tcPr>
          <w:p w14:paraId="11626BD4" w14:textId="52C099BA"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Télécom</w:t>
            </w:r>
            <w:r w:rsidR="00A3423F" w:rsidRPr="00A3423F">
              <w:rPr>
                <w:i/>
                <w:sz w:val="16"/>
                <w:szCs w:val="18"/>
                <w:lang w:val="fr-FR"/>
              </w:rPr>
              <w:t>.</w:t>
            </w:r>
          </w:p>
        </w:tc>
        <w:tc>
          <w:tcPr>
            <w:tcW w:w="654" w:type="dxa"/>
            <w:tcBorders>
              <w:top w:val="single" w:sz="4" w:space="0" w:color="auto"/>
              <w:bottom w:val="single" w:sz="12" w:space="0" w:color="auto"/>
            </w:tcBorders>
            <w:shd w:val="clear" w:color="auto" w:fill="auto"/>
            <w:textDirection w:val="lrTbV"/>
            <w:vAlign w:val="bottom"/>
          </w:tcPr>
          <w:p w14:paraId="07CF6DAD"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Tourisme</w:t>
            </w:r>
          </w:p>
        </w:tc>
        <w:tc>
          <w:tcPr>
            <w:tcW w:w="1181" w:type="dxa"/>
            <w:tcBorders>
              <w:top w:val="single" w:sz="4" w:space="0" w:color="auto"/>
              <w:bottom w:val="single" w:sz="12" w:space="0" w:color="auto"/>
            </w:tcBorders>
            <w:shd w:val="clear" w:color="auto" w:fill="auto"/>
            <w:textDirection w:val="lrTbV"/>
            <w:vAlign w:val="bottom"/>
          </w:tcPr>
          <w:p w14:paraId="3BAF282A" w14:textId="77777777" w:rsidR="00A169F2" w:rsidRPr="00D17621" w:rsidRDefault="00A169F2" w:rsidP="0039665D">
            <w:pPr>
              <w:suppressAutoHyphens w:val="0"/>
              <w:spacing w:before="80" w:after="80" w:line="200" w:lineRule="exact"/>
              <w:jc w:val="right"/>
              <w:rPr>
                <w:i/>
                <w:sz w:val="16"/>
                <w:szCs w:val="18"/>
              </w:rPr>
            </w:pPr>
            <w:r w:rsidRPr="00D17621">
              <w:rPr>
                <w:i/>
                <w:sz w:val="16"/>
                <w:szCs w:val="18"/>
                <w:lang w:val="fr-FR"/>
              </w:rPr>
              <w:t>Aménagement villes/territoire</w:t>
            </w:r>
          </w:p>
        </w:tc>
        <w:tc>
          <w:tcPr>
            <w:tcW w:w="809" w:type="dxa"/>
            <w:tcBorders>
              <w:top w:val="single" w:sz="4" w:space="0" w:color="auto"/>
              <w:bottom w:val="single" w:sz="12" w:space="0" w:color="auto"/>
            </w:tcBorders>
            <w:shd w:val="clear" w:color="auto" w:fill="auto"/>
            <w:textDirection w:val="lrTbV"/>
            <w:vAlign w:val="bottom"/>
          </w:tcPr>
          <w:p w14:paraId="49A4B471" w14:textId="77777777" w:rsidR="00A169F2" w:rsidRPr="00D17621" w:rsidRDefault="00A169F2" w:rsidP="0039665D">
            <w:pPr>
              <w:suppressAutoHyphens w:val="0"/>
              <w:spacing w:before="80" w:after="80" w:line="200" w:lineRule="exact"/>
              <w:jc w:val="right"/>
              <w:rPr>
                <w:i/>
                <w:sz w:val="16"/>
              </w:rPr>
            </w:pPr>
            <w:r w:rsidRPr="00D17621">
              <w:rPr>
                <w:i/>
                <w:sz w:val="16"/>
                <w:lang w:val="fr-FR"/>
              </w:rPr>
              <w:t>Utilisation des sols</w:t>
            </w:r>
          </w:p>
        </w:tc>
        <w:tc>
          <w:tcPr>
            <w:tcW w:w="657" w:type="dxa"/>
            <w:tcBorders>
              <w:top w:val="single" w:sz="4" w:space="0" w:color="auto"/>
              <w:bottom w:val="single" w:sz="12" w:space="0" w:color="auto"/>
            </w:tcBorders>
            <w:shd w:val="clear" w:color="auto" w:fill="auto"/>
            <w:textDirection w:val="lrTbV"/>
            <w:vAlign w:val="bottom"/>
          </w:tcPr>
          <w:p w14:paraId="4EAB1D14" w14:textId="77777777" w:rsidR="00A169F2" w:rsidRPr="00D17621" w:rsidRDefault="00A169F2" w:rsidP="0039665D">
            <w:pPr>
              <w:suppressAutoHyphens w:val="0"/>
              <w:spacing w:before="80" w:after="80" w:line="200" w:lineRule="exact"/>
              <w:jc w:val="right"/>
              <w:rPr>
                <w:i/>
                <w:sz w:val="16"/>
              </w:rPr>
            </w:pPr>
            <w:r w:rsidRPr="00D17621">
              <w:rPr>
                <w:i/>
                <w:sz w:val="16"/>
                <w:lang w:val="fr-FR"/>
              </w:rPr>
              <w:t>Autre</w:t>
            </w:r>
          </w:p>
        </w:tc>
        <w:tc>
          <w:tcPr>
            <w:tcW w:w="867" w:type="dxa"/>
            <w:tcBorders>
              <w:top w:val="single" w:sz="4" w:space="0" w:color="auto"/>
              <w:bottom w:val="single" w:sz="12" w:space="0" w:color="auto"/>
            </w:tcBorders>
            <w:shd w:val="clear" w:color="auto" w:fill="auto"/>
            <w:textDirection w:val="lrTbV"/>
            <w:vAlign w:val="bottom"/>
          </w:tcPr>
          <w:p w14:paraId="158773CA" w14:textId="77777777" w:rsidR="00A169F2" w:rsidRPr="00D17621" w:rsidRDefault="00A169F2" w:rsidP="0039665D">
            <w:pPr>
              <w:suppressAutoHyphens w:val="0"/>
              <w:spacing w:before="80" w:after="80" w:line="200" w:lineRule="exact"/>
              <w:jc w:val="right"/>
              <w:rPr>
                <w:i/>
                <w:sz w:val="16"/>
              </w:rPr>
            </w:pPr>
            <w:r w:rsidRPr="00D17621">
              <w:rPr>
                <w:i/>
                <w:sz w:val="16"/>
                <w:lang w:val="fr-FR"/>
              </w:rPr>
              <w:t>Total (tous secteurs)</w:t>
            </w:r>
          </w:p>
        </w:tc>
        <w:tc>
          <w:tcPr>
            <w:tcW w:w="843" w:type="dxa"/>
            <w:tcBorders>
              <w:top w:val="single" w:sz="4" w:space="0" w:color="auto"/>
              <w:bottom w:val="single" w:sz="12" w:space="0" w:color="auto"/>
            </w:tcBorders>
            <w:shd w:val="clear" w:color="auto" w:fill="auto"/>
            <w:textDirection w:val="lrTbV"/>
            <w:vAlign w:val="bottom"/>
          </w:tcPr>
          <w:p w14:paraId="0871D8F7" w14:textId="77777777" w:rsidR="00A169F2" w:rsidRPr="00D17621" w:rsidRDefault="00A169F2" w:rsidP="0039665D">
            <w:pPr>
              <w:suppressAutoHyphens w:val="0"/>
              <w:spacing w:before="80" w:after="80" w:line="200" w:lineRule="exact"/>
              <w:jc w:val="right"/>
              <w:rPr>
                <w:i/>
                <w:sz w:val="16"/>
                <w:lang w:val="fr-FR"/>
              </w:rPr>
            </w:pPr>
            <w:r w:rsidRPr="00D17621">
              <w:rPr>
                <w:i/>
                <w:sz w:val="16"/>
                <w:lang w:val="fr-FR"/>
              </w:rPr>
              <w:t>Données statistiques (S) ou estimations (E)</w:t>
            </w:r>
          </w:p>
        </w:tc>
      </w:tr>
      <w:tr w:rsidR="00A169F2" w:rsidRPr="00D17621" w14:paraId="7D58151A" w14:textId="77777777" w:rsidTr="0039665D">
        <w:tc>
          <w:tcPr>
            <w:tcW w:w="1418" w:type="dxa"/>
            <w:shd w:val="clear" w:color="auto" w:fill="auto"/>
          </w:tcPr>
          <w:p w14:paraId="31122DFB" w14:textId="77777777" w:rsidR="00A169F2" w:rsidRPr="00D17621" w:rsidRDefault="00A169F2" w:rsidP="0039665D">
            <w:pPr>
              <w:suppressAutoHyphens w:val="0"/>
              <w:spacing w:before="40" w:after="40" w:line="220" w:lineRule="exact"/>
              <w:rPr>
                <w:sz w:val="18"/>
                <w:szCs w:val="24"/>
              </w:rPr>
            </w:pPr>
            <w:r w:rsidRPr="00D17621">
              <w:rPr>
                <w:sz w:val="18"/>
                <w:lang w:val="fr-FR"/>
              </w:rPr>
              <w:t>Albanie</w:t>
            </w:r>
          </w:p>
        </w:tc>
        <w:tc>
          <w:tcPr>
            <w:tcW w:w="676" w:type="dxa"/>
            <w:shd w:val="clear" w:color="auto" w:fill="auto"/>
            <w:textDirection w:val="lrTbV"/>
            <w:vAlign w:val="bottom"/>
          </w:tcPr>
          <w:p w14:paraId="217ACED3"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7F5D49EB"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38E9B156"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7844F88B"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8FFF791"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5EC92DF2"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66F48690"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4DDB207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808" w:type="dxa"/>
            <w:shd w:val="clear" w:color="auto" w:fill="auto"/>
            <w:vAlign w:val="bottom"/>
          </w:tcPr>
          <w:p w14:paraId="6A7A8E56"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7AB37026"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50E26C1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6/6/0</w:t>
            </w:r>
          </w:p>
        </w:tc>
        <w:tc>
          <w:tcPr>
            <w:tcW w:w="1181" w:type="dxa"/>
            <w:shd w:val="clear" w:color="auto" w:fill="auto"/>
            <w:vAlign w:val="bottom"/>
          </w:tcPr>
          <w:p w14:paraId="195AC71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19/19/0</w:t>
            </w:r>
          </w:p>
        </w:tc>
        <w:tc>
          <w:tcPr>
            <w:tcW w:w="809" w:type="dxa"/>
            <w:shd w:val="clear" w:color="auto" w:fill="auto"/>
            <w:vAlign w:val="bottom"/>
          </w:tcPr>
          <w:p w14:paraId="4A94916D"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409BD4CB"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353F538D"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59751FF6" w14:textId="77777777" w:rsidR="00A169F2" w:rsidRPr="00D17621" w:rsidRDefault="00A169F2" w:rsidP="0039665D">
            <w:pPr>
              <w:suppressAutoHyphens w:val="0"/>
              <w:spacing w:before="40" w:after="40" w:line="220" w:lineRule="exact"/>
              <w:jc w:val="right"/>
              <w:rPr>
                <w:sz w:val="18"/>
                <w:szCs w:val="18"/>
              </w:rPr>
            </w:pPr>
            <w:r w:rsidRPr="00D17621">
              <w:rPr>
                <w:sz w:val="18"/>
                <w:lang w:val="fr-FR"/>
              </w:rPr>
              <w:t>S</w:t>
            </w:r>
          </w:p>
        </w:tc>
      </w:tr>
      <w:tr w:rsidR="00A169F2" w:rsidRPr="00D17621" w14:paraId="4A14FFD7" w14:textId="77777777" w:rsidTr="0039665D">
        <w:tc>
          <w:tcPr>
            <w:tcW w:w="1418" w:type="dxa"/>
            <w:shd w:val="clear" w:color="auto" w:fill="auto"/>
          </w:tcPr>
          <w:p w14:paraId="372E8680" w14:textId="77777777" w:rsidR="00A169F2" w:rsidRPr="00D17621" w:rsidRDefault="00A169F2" w:rsidP="0039665D">
            <w:pPr>
              <w:suppressAutoHyphens w:val="0"/>
              <w:spacing w:before="40" w:after="40" w:line="220" w:lineRule="exact"/>
              <w:rPr>
                <w:sz w:val="18"/>
                <w:szCs w:val="24"/>
              </w:rPr>
            </w:pPr>
            <w:r w:rsidRPr="00D17621">
              <w:rPr>
                <w:sz w:val="18"/>
                <w:lang w:val="fr-FR"/>
              </w:rPr>
              <w:t>Autriche</w:t>
            </w:r>
          </w:p>
        </w:tc>
        <w:tc>
          <w:tcPr>
            <w:tcW w:w="676" w:type="dxa"/>
            <w:shd w:val="clear" w:color="auto" w:fill="auto"/>
            <w:textDirection w:val="lrTbV"/>
            <w:vAlign w:val="bottom"/>
          </w:tcPr>
          <w:p w14:paraId="0EEAA050"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5A14DF4C"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6DC75653"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347A7B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3EF8D664"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6B4590C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3/03</w:t>
            </w:r>
          </w:p>
        </w:tc>
        <w:tc>
          <w:tcPr>
            <w:tcW w:w="836" w:type="dxa"/>
            <w:shd w:val="clear" w:color="auto" w:fill="auto"/>
            <w:vAlign w:val="bottom"/>
          </w:tcPr>
          <w:p w14:paraId="66D0AD1C"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6E8E04A1"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59547F2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3/0/3</w:t>
            </w:r>
          </w:p>
        </w:tc>
        <w:tc>
          <w:tcPr>
            <w:tcW w:w="674" w:type="dxa"/>
            <w:shd w:val="clear" w:color="auto" w:fill="auto"/>
            <w:vAlign w:val="bottom"/>
          </w:tcPr>
          <w:p w14:paraId="19A02118"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2F22423A"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505380DD"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2E83774D"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590/560/30</w:t>
            </w:r>
          </w:p>
        </w:tc>
        <w:tc>
          <w:tcPr>
            <w:tcW w:w="657" w:type="dxa"/>
            <w:shd w:val="clear" w:color="auto" w:fill="auto"/>
            <w:vAlign w:val="bottom"/>
          </w:tcPr>
          <w:p w14:paraId="048496B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14/0/14</w:t>
            </w:r>
          </w:p>
        </w:tc>
        <w:tc>
          <w:tcPr>
            <w:tcW w:w="867" w:type="dxa"/>
            <w:shd w:val="clear" w:color="auto" w:fill="auto"/>
            <w:textDirection w:val="lrTbV"/>
            <w:vAlign w:val="bottom"/>
          </w:tcPr>
          <w:p w14:paraId="6D96F133"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52B021F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4926F438" w14:textId="77777777" w:rsidTr="0039665D">
        <w:tc>
          <w:tcPr>
            <w:tcW w:w="1418" w:type="dxa"/>
            <w:shd w:val="clear" w:color="auto" w:fill="auto"/>
          </w:tcPr>
          <w:p w14:paraId="22A7AA88" w14:textId="77777777" w:rsidR="00A169F2" w:rsidRPr="00D17621" w:rsidRDefault="00A169F2" w:rsidP="0039665D">
            <w:pPr>
              <w:suppressAutoHyphens w:val="0"/>
              <w:spacing w:before="40" w:after="40" w:line="220" w:lineRule="exact"/>
              <w:rPr>
                <w:sz w:val="18"/>
                <w:szCs w:val="24"/>
              </w:rPr>
            </w:pPr>
            <w:r w:rsidRPr="00D17621">
              <w:rPr>
                <w:sz w:val="18"/>
                <w:lang w:val="fr-FR"/>
              </w:rPr>
              <w:t>Bosnie-Herzégovine</w:t>
            </w:r>
          </w:p>
        </w:tc>
        <w:tc>
          <w:tcPr>
            <w:tcW w:w="676" w:type="dxa"/>
            <w:shd w:val="clear" w:color="auto" w:fill="auto"/>
            <w:textDirection w:val="lrTbV"/>
            <w:vAlign w:val="bottom"/>
          </w:tcPr>
          <w:p w14:paraId="1545EB91"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366ACA15"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39D74825"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2F775FB"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3A75DD0D"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56ADFE6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836" w:type="dxa"/>
            <w:shd w:val="clear" w:color="auto" w:fill="auto"/>
            <w:vAlign w:val="bottom"/>
          </w:tcPr>
          <w:p w14:paraId="6C05CEF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4/4/0</w:t>
            </w:r>
          </w:p>
        </w:tc>
        <w:tc>
          <w:tcPr>
            <w:tcW w:w="1007" w:type="dxa"/>
            <w:shd w:val="clear" w:color="auto" w:fill="auto"/>
            <w:vAlign w:val="bottom"/>
          </w:tcPr>
          <w:p w14:paraId="35E0FAB9"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12FF58C3"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68FCE43D"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48CCE93A"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781C339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809" w:type="dxa"/>
            <w:shd w:val="clear" w:color="auto" w:fill="auto"/>
            <w:vAlign w:val="bottom"/>
          </w:tcPr>
          <w:p w14:paraId="6CF3A8FA"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5AA67488"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3ED16D08"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0350ADC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S</w:t>
            </w:r>
          </w:p>
        </w:tc>
      </w:tr>
      <w:tr w:rsidR="00A169F2" w:rsidRPr="00D17621" w14:paraId="31C1BB55" w14:textId="77777777" w:rsidTr="0039665D">
        <w:tc>
          <w:tcPr>
            <w:tcW w:w="1418" w:type="dxa"/>
            <w:shd w:val="clear" w:color="auto" w:fill="auto"/>
          </w:tcPr>
          <w:p w14:paraId="7673F524" w14:textId="77777777" w:rsidR="00A169F2" w:rsidRPr="00D17621" w:rsidRDefault="00A169F2" w:rsidP="0039665D">
            <w:pPr>
              <w:suppressAutoHyphens w:val="0"/>
              <w:spacing w:before="40" w:after="40" w:line="220" w:lineRule="exact"/>
              <w:rPr>
                <w:sz w:val="18"/>
                <w:szCs w:val="24"/>
              </w:rPr>
            </w:pPr>
            <w:r w:rsidRPr="00D17621">
              <w:rPr>
                <w:sz w:val="18"/>
                <w:lang w:val="fr-FR"/>
              </w:rPr>
              <w:t>Croatie</w:t>
            </w:r>
          </w:p>
        </w:tc>
        <w:tc>
          <w:tcPr>
            <w:tcW w:w="676" w:type="dxa"/>
            <w:shd w:val="clear" w:color="auto" w:fill="auto"/>
            <w:textDirection w:val="lrTbV"/>
            <w:vAlign w:val="bottom"/>
          </w:tcPr>
          <w:p w14:paraId="59904D0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2/0/2</w:t>
            </w:r>
          </w:p>
        </w:tc>
        <w:tc>
          <w:tcPr>
            <w:tcW w:w="606" w:type="dxa"/>
            <w:shd w:val="clear" w:color="auto" w:fill="auto"/>
            <w:vAlign w:val="bottom"/>
          </w:tcPr>
          <w:p w14:paraId="0FE7F590"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0C45DF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2/0/2</w:t>
            </w:r>
          </w:p>
        </w:tc>
        <w:tc>
          <w:tcPr>
            <w:tcW w:w="697" w:type="dxa"/>
            <w:shd w:val="clear" w:color="auto" w:fill="auto"/>
            <w:vAlign w:val="bottom"/>
          </w:tcPr>
          <w:p w14:paraId="1856BA7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2/0/1</w:t>
            </w:r>
          </w:p>
        </w:tc>
        <w:tc>
          <w:tcPr>
            <w:tcW w:w="697" w:type="dxa"/>
            <w:shd w:val="clear" w:color="auto" w:fill="auto"/>
            <w:vAlign w:val="bottom"/>
          </w:tcPr>
          <w:p w14:paraId="523BE48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5EBB20ED"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4/3/1</w:t>
            </w:r>
          </w:p>
        </w:tc>
        <w:tc>
          <w:tcPr>
            <w:tcW w:w="836" w:type="dxa"/>
            <w:shd w:val="clear" w:color="auto" w:fill="auto"/>
            <w:vAlign w:val="bottom"/>
          </w:tcPr>
          <w:p w14:paraId="4BEB170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7/6/1</w:t>
            </w:r>
          </w:p>
        </w:tc>
        <w:tc>
          <w:tcPr>
            <w:tcW w:w="1007" w:type="dxa"/>
            <w:shd w:val="clear" w:color="auto" w:fill="auto"/>
            <w:vAlign w:val="bottom"/>
          </w:tcPr>
          <w:p w14:paraId="14DFA68A"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6304AFA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3/0/3</w:t>
            </w:r>
          </w:p>
        </w:tc>
        <w:tc>
          <w:tcPr>
            <w:tcW w:w="674" w:type="dxa"/>
            <w:shd w:val="clear" w:color="auto" w:fill="auto"/>
            <w:vAlign w:val="bottom"/>
          </w:tcPr>
          <w:p w14:paraId="45D4A53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54" w:type="dxa"/>
            <w:shd w:val="clear" w:color="auto" w:fill="auto"/>
            <w:vAlign w:val="bottom"/>
          </w:tcPr>
          <w:p w14:paraId="09D3044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2/0/2</w:t>
            </w:r>
          </w:p>
        </w:tc>
        <w:tc>
          <w:tcPr>
            <w:tcW w:w="1181" w:type="dxa"/>
            <w:shd w:val="clear" w:color="auto" w:fill="auto"/>
            <w:vAlign w:val="bottom"/>
          </w:tcPr>
          <w:p w14:paraId="7F56D9D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8/8/0</w:t>
            </w:r>
          </w:p>
        </w:tc>
        <w:tc>
          <w:tcPr>
            <w:tcW w:w="809" w:type="dxa"/>
            <w:shd w:val="clear" w:color="auto" w:fill="auto"/>
            <w:vAlign w:val="bottom"/>
          </w:tcPr>
          <w:p w14:paraId="41F0486D"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3A175B5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1/0/0</w:t>
            </w:r>
          </w:p>
        </w:tc>
        <w:tc>
          <w:tcPr>
            <w:tcW w:w="867" w:type="dxa"/>
            <w:shd w:val="clear" w:color="auto" w:fill="auto"/>
            <w:textDirection w:val="lrTbV"/>
            <w:vAlign w:val="bottom"/>
          </w:tcPr>
          <w:p w14:paraId="2D17AEA3"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0093662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171153FE" w14:textId="77777777" w:rsidTr="0039665D">
        <w:tc>
          <w:tcPr>
            <w:tcW w:w="1418" w:type="dxa"/>
            <w:shd w:val="clear" w:color="auto" w:fill="auto"/>
          </w:tcPr>
          <w:p w14:paraId="703C8052" w14:textId="77777777" w:rsidR="00A169F2" w:rsidRPr="00D17621" w:rsidRDefault="00A169F2" w:rsidP="0039665D">
            <w:pPr>
              <w:suppressAutoHyphens w:val="0"/>
              <w:spacing w:before="40" w:after="40" w:line="220" w:lineRule="exact"/>
              <w:rPr>
                <w:sz w:val="18"/>
                <w:szCs w:val="24"/>
              </w:rPr>
            </w:pPr>
            <w:r w:rsidRPr="00D17621">
              <w:rPr>
                <w:sz w:val="18"/>
                <w:lang w:val="fr-FR"/>
              </w:rPr>
              <w:t>Espagne</w:t>
            </w:r>
          </w:p>
        </w:tc>
        <w:tc>
          <w:tcPr>
            <w:tcW w:w="676" w:type="dxa"/>
            <w:shd w:val="clear" w:color="auto" w:fill="auto"/>
            <w:textDirection w:val="lrTbV"/>
            <w:vAlign w:val="bottom"/>
          </w:tcPr>
          <w:p w14:paraId="5C13CA5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2/-/2</w:t>
            </w:r>
          </w:p>
        </w:tc>
        <w:tc>
          <w:tcPr>
            <w:tcW w:w="606" w:type="dxa"/>
            <w:shd w:val="clear" w:color="auto" w:fill="auto"/>
            <w:vAlign w:val="bottom"/>
          </w:tcPr>
          <w:p w14:paraId="7E45D666"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83EF7BF"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2B33B6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4/-/4</w:t>
            </w:r>
          </w:p>
        </w:tc>
        <w:tc>
          <w:tcPr>
            <w:tcW w:w="697" w:type="dxa"/>
            <w:shd w:val="clear" w:color="auto" w:fill="auto"/>
            <w:vAlign w:val="bottom"/>
          </w:tcPr>
          <w:p w14:paraId="30FB5A54"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35C515E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7/-/7</w:t>
            </w:r>
          </w:p>
        </w:tc>
        <w:tc>
          <w:tcPr>
            <w:tcW w:w="836" w:type="dxa"/>
            <w:shd w:val="clear" w:color="auto" w:fill="auto"/>
            <w:vAlign w:val="bottom"/>
          </w:tcPr>
          <w:p w14:paraId="64E6BB33"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02A883C6"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15D3FA2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12/-/12</w:t>
            </w:r>
          </w:p>
        </w:tc>
        <w:tc>
          <w:tcPr>
            <w:tcW w:w="674" w:type="dxa"/>
            <w:shd w:val="clear" w:color="auto" w:fill="auto"/>
            <w:vAlign w:val="bottom"/>
          </w:tcPr>
          <w:p w14:paraId="00307EFE"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5F849211"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7BE46E11"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055F6CE1"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38E09A0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7/-/7</w:t>
            </w:r>
          </w:p>
        </w:tc>
        <w:tc>
          <w:tcPr>
            <w:tcW w:w="867" w:type="dxa"/>
            <w:shd w:val="clear" w:color="auto" w:fill="auto"/>
            <w:textDirection w:val="lrTbV"/>
            <w:vAlign w:val="bottom"/>
          </w:tcPr>
          <w:p w14:paraId="1B81D16B"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5E4BA54D"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63C07EF0" w14:textId="77777777" w:rsidTr="0039665D">
        <w:tc>
          <w:tcPr>
            <w:tcW w:w="1418" w:type="dxa"/>
            <w:shd w:val="clear" w:color="auto" w:fill="auto"/>
          </w:tcPr>
          <w:p w14:paraId="0ECFE2A9" w14:textId="77777777" w:rsidR="00A169F2" w:rsidRPr="00D17621" w:rsidRDefault="00A169F2" w:rsidP="0039665D">
            <w:pPr>
              <w:suppressAutoHyphens w:val="0"/>
              <w:spacing w:before="40" w:after="40" w:line="220" w:lineRule="exact"/>
              <w:rPr>
                <w:sz w:val="18"/>
                <w:szCs w:val="24"/>
              </w:rPr>
            </w:pPr>
            <w:r w:rsidRPr="00D17621">
              <w:rPr>
                <w:sz w:val="18"/>
                <w:lang w:val="fr-FR"/>
              </w:rPr>
              <w:t>Estonie</w:t>
            </w:r>
          </w:p>
        </w:tc>
        <w:tc>
          <w:tcPr>
            <w:tcW w:w="676" w:type="dxa"/>
            <w:shd w:val="clear" w:color="auto" w:fill="auto"/>
            <w:textDirection w:val="lrTbV"/>
            <w:vAlign w:val="bottom"/>
          </w:tcPr>
          <w:p w14:paraId="58372763"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56EEF16E"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27B0FB74"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4BAB5999"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7990EDD"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5DBE451"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2FD2BB76"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426E7502"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228BB115"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641546EC"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1F4EB2D7"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292F932F"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212E4AF1"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07FDC35D"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2D3C8906" w14:textId="77777777" w:rsidR="00A169F2" w:rsidRPr="00D17621" w:rsidRDefault="00A169F2" w:rsidP="0039665D">
            <w:pPr>
              <w:suppressAutoHyphens w:val="0"/>
              <w:spacing w:before="40" w:after="40" w:line="220" w:lineRule="exact"/>
              <w:jc w:val="right"/>
              <w:rPr>
                <w:sz w:val="18"/>
                <w:szCs w:val="24"/>
              </w:rPr>
            </w:pPr>
            <w:r>
              <w:rPr>
                <w:szCs w:val="24"/>
              </w:rPr>
              <w:t>~</w:t>
            </w:r>
            <w:r w:rsidRPr="00D17621">
              <w:rPr>
                <w:sz w:val="18"/>
                <w:lang w:val="fr-FR"/>
              </w:rPr>
              <w:t>20 par an</w:t>
            </w:r>
          </w:p>
        </w:tc>
        <w:tc>
          <w:tcPr>
            <w:tcW w:w="843" w:type="dxa"/>
            <w:shd w:val="clear" w:color="auto" w:fill="auto"/>
            <w:textDirection w:val="lrTbV"/>
            <w:vAlign w:val="bottom"/>
          </w:tcPr>
          <w:p w14:paraId="0661748A" w14:textId="77777777" w:rsidR="00A169F2" w:rsidRPr="00D17621" w:rsidRDefault="00A169F2" w:rsidP="0039665D">
            <w:pPr>
              <w:suppressAutoHyphens w:val="0"/>
              <w:spacing w:before="40" w:after="40" w:line="220" w:lineRule="exact"/>
              <w:jc w:val="right"/>
              <w:rPr>
                <w:sz w:val="18"/>
                <w:szCs w:val="24"/>
              </w:rPr>
            </w:pPr>
            <w:r>
              <w:rPr>
                <w:sz w:val="18"/>
                <w:szCs w:val="24"/>
              </w:rPr>
              <w:t>E</w:t>
            </w:r>
          </w:p>
        </w:tc>
      </w:tr>
      <w:tr w:rsidR="00A169F2" w:rsidRPr="00D17621" w14:paraId="794DDFB0" w14:textId="77777777" w:rsidTr="0039665D">
        <w:tc>
          <w:tcPr>
            <w:tcW w:w="1418" w:type="dxa"/>
            <w:shd w:val="clear" w:color="auto" w:fill="auto"/>
          </w:tcPr>
          <w:p w14:paraId="6AD2AEDA" w14:textId="77777777" w:rsidR="00A169F2" w:rsidRPr="00D17621" w:rsidRDefault="00A169F2" w:rsidP="0039665D">
            <w:pPr>
              <w:suppressAutoHyphens w:val="0"/>
              <w:spacing w:before="40" w:after="40" w:line="220" w:lineRule="exact"/>
              <w:rPr>
                <w:sz w:val="18"/>
                <w:szCs w:val="24"/>
              </w:rPr>
            </w:pPr>
            <w:r w:rsidRPr="00D17621">
              <w:rPr>
                <w:sz w:val="18"/>
                <w:lang w:val="fr-FR"/>
              </w:rPr>
              <w:t>Finlande</w:t>
            </w:r>
          </w:p>
        </w:tc>
        <w:tc>
          <w:tcPr>
            <w:tcW w:w="676" w:type="dxa"/>
            <w:shd w:val="clear" w:color="auto" w:fill="auto"/>
            <w:textDirection w:val="lrTbV"/>
            <w:vAlign w:val="bottom"/>
          </w:tcPr>
          <w:p w14:paraId="2F8AD01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06" w:type="dxa"/>
            <w:shd w:val="clear" w:color="auto" w:fill="auto"/>
            <w:vAlign w:val="bottom"/>
          </w:tcPr>
          <w:p w14:paraId="7B5DD599"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9D8473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5930F3E7"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4609C679"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00FFCD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36" w:type="dxa"/>
            <w:shd w:val="clear" w:color="auto" w:fill="auto"/>
            <w:vAlign w:val="bottom"/>
          </w:tcPr>
          <w:p w14:paraId="006327F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30/0/1</w:t>
            </w:r>
          </w:p>
        </w:tc>
        <w:tc>
          <w:tcPr>
            <w:tcW w:w="1007" w:type="dxa"/>
            <w:shd w:val="clear" w:color="auto" w:fill="auto"/>
            <w:vAlign w:val="bottom"/>
          </w:tcPr>
          <w:p w14:paraId="76FFCA4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08" w:type="dxa"/>
            <w:shd w:val="clear" w:color="auto" w:fill="auto"/>
            <w:vAlign w:val="bottom"/>
          </w:tcPr>
          <w:p w14:paraId="4DFFCDB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29/0/1</w:t>
            </w:r>
          </w:p>
        </w:tc>
        <w:tc>
          <w:tcPr>
            <w:tcW w:w="674" w:type="dxa"/>
            <w:shd w:val="clear" w:color="auto" w:fill="auto"/>
            <w:vAlign w:val="bottom"/>
          </w:tcPr>
          <w:p w14:paraId="6984CF9B"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271D687E"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2E3E74E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3500/3500**/8</w:t>
            </w:r>
          </w:p>
        </w:tc>
        <w:tc>
          <w:tcPr>
            <w:tcW w:w="809" w:type="dxa"/>
            <w:shd w:val="clear" w:color="auto" w:fill="auto"/>
            <w:vAlign w:val="bottom"/>
          </w:tcPr>
          <w:p w14:paraId="2D18890E"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214EB993"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64320DEC"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6F4D088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552E098E" w14:textId="77777777" w:rsidTr="0039665D">
        <w:tc>
          <w:tcPr>
            <w:tcW w:w="1418" w:type="dxa"/>
            <w:shd w:val="clear" w:color="auto" w:fill="auto"/>
          </w:tcPr>
          <w:p w14:paraId="3B8B5474" w14:textId="77777777" w:rsidR="00A169F2" w:rsidRPr="00D17621" w:rsidRDefault="00A169F2" w:rsidP="0039665D">
            <w:pPr>
              <w:suppressAutoHyphens w:val="0"/>
              <w:spacing w:before="40" w:after="40" w:line="220" w:lineRule="exact"/>
              <w:rPr>
                <w:sz w:val="18"/>
                <w:szCs w:val="24"/>
              </w:rPr>
            </w:pPr>
            <w:r w:rsidRPr="00D17621">
              <w:rPr>
                <w:sz w:val="18"/>
                <w:lang w:val="fr-FR"/>
              </w:rPr>
              <w:t>Hongrie</w:t>
            </w:r>
          </w:p>
        </w:tc>
        <w:tc>
          <w:tcPr>
            <w:tcW w:w="676" w:type="dxa"/>
            <w:shd w:val="clear" w:color="auto" w:fill="auto"/>
            <w:textDirection w:val="lrTbV"/>
            <w:vAlign w:val="bottom"/>
          </w:tcPr>
          <w:p w14:paraId="6B33C72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606" w:type="dxa"/>
            <w:shd w:val="clear" w:color="auto" w:fill="auto"/>
            <w:vAlign w:val="bottom"/>
          </w:tcPr>
          <w:p w14:paraId="3C6CC57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w:t>
            </w:r>
          </w:p>
        </w:tc>
        <w:tc>
          <w:tcPr>
            <w:tcW w:w="649" w:type="dxa"/>
            <w:shd w:val="clear" w:color="auto" w:fill="auto"/>
            <w:vAlign w:val="bottom"/>
          </w:tcPr>
          <w:p w14:paraId="33DF4D9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697" w:type="dxa"/>
            <w:shd w:val="clear" w:color="auto" w:fill="auto"/>
            <w:vAlign w:val="bottom"/>
          </w:tcPr>
          <w:p w14:paraId="18B0E6B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697" w:type="dxa"/>
            <w:shd w:val="clear" w:color="auto" w:fill="auto"/>
            <w:vAlign w:val="bottom"/>
          </w:tcPr>
          <w:p w14:paraId="558F9ED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697" w:type="dxa"/>
            <w:shd w:val="clear" w:color="auto" w:fill="auto"/>
            <w:vAlign w:val="bottom"/>
          </w:tcPr>
          <w:p w14:paraId="01CCBBC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-/-/8</w:t>
            </w:r>
          </w:p>
        </w:tc>
        <w:tc>
          <w:tcPr>
            <w:tcW w:w="836" w:type="dxa"/>
            <w:shd w:val="clear" w:color="auto" w:fill="auto"/>
            <w:vAlign w:val="bottom"/>
          </w:tcPr>
          <w:p w14:paraId="264D755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-/-/14</w:t>
            </w:r>
          </w:p>
        </w:tc>
        <w:tc>
          <w:tcPr>
            <w:tcW w:w="1007" w:type="dxa"/>
            <w:shd w:val="clear" w:color="auto" w:fill="auto"/>
            <w:vAlign w:val="bottom"/>
          </w:tcPr>
          <w:p w14:paraId="049AC06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808" w:type="dxa"/>
            <w:shd w:val="clear" w:color="auto" w:fill="auto"/>
            <w:vAlign w:val="bottom"/>
          </w:tcPr>
          <w:p w14:paraId="3FD50D2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-/-/8</w:t>
            </w:r>
          </w:p>
        </w:tc>
        <w:tc>
          <w:tcPr>
            <w:tcW w:w="674" w:type="dxa"/>
            <w:shd w:val="clear" w:color="auto" w:fill="auto"/>
            <w:vAlign w:val="bottom"/>
          </w:tcPr>
          <w:p w14:paraId="6B679A0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w:t>
            </w:r>
          </w:p>
        </w:tc>
        <w:tc>
          <w:tcPr>
            <w:tcW w:w="654" w:type="dxa"/>
            <w:shd w:val="clear" w:color="auto" w:fill="auto"/>
            <w:vAlign w:val="bottom"/>
          </w:tcPr>
          <w:p w14:paraId="008C726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-/-/7</w:t>
            </w:r>
          </w:p>
        </w:tc>
        <w:tc>
          <w:tcPr>
            <w:tcW w:w="1181" w:type="dxa"/>
            <w:shd w:val="clear" w:color="auto" w:fill="auto"/>
            <w:vAlign w:val="bottom"/>
          </w:tcPr>
          <w:p w14:paraId="270DC97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809" w:type="dxa"/>
            <w:shd w:val="clear" w:color="auto" w:fill="auto"/>
            <w:vAlign w:val="bottom"/>
          </w:tcPr>
          <w:p w14:paraId="56F5965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w:t>
            </w:r>
          </w:p>
        </w:tc>
        <w:tc>
          <w:tcPr>
            <w:tcW w:w="657" w:type="dxa"/>
            <w:shd w:val="clear" w:color="auto" w:fill="auto"/>
            <w:vAlign w:val="bottom"/>
          </w:tcPr>
          <w:p w14:paraId="269680D5"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76D94417"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081628F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6DC5B341" w14:textId="77777777" w:rsidTr="0039665D">
        <w:tc>
          <w:tcPr>
            <w:tcW w:w="1418" w:type="dxa"/>
            <w:shd w:val="clear" w:color="auto" w:fill="auto"/>
          </w:tcPr>
          <w:p w14:paraId="62318285" w14:textId="77777777" w:rsidR="00A169F2" w:rsidRPr="00D17621" w:rsidRDefault="00A169F2" w:rsidP="0039665D">
            <w:pPr>
              <w:suppressAutoHyphens w:val="0"/>
              <w:spacing w:before="40" w:after="40" w:line="220" w:lineRule="exact"/>
              <w:rPr>
                <w:sz w:val="18"/>
                <w:szCs w:val="24"/>
              </w:rPr>
            </w:pPr>
            <w:r w:rsidRPr="00D17621">
              <w:rPr>
                <w:sz w:val="18"/>
                <w:lang w:val="fr-FR"/>
              </w:rPr>
              <w:t xml:space="preserve">Lettonie </w:t>
            </w:r>
          </w:p>
        </w:tc>
        <w:tc>
          <w:tcPr>
            <w:tcW w:w="676" w:type="dxa"/>
            <w:shd w:val="clear" w:color="auto" w:fill="auto"/>
            <w:textDirection w:val="lrTbV"/>
            <w:vAlign w:val="bottom"/>
          </w:tcPr>
          <w:p w14:paraId="206924C6"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7CB48E73"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35C9DFC4"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C9A442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6534B5B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322B7CB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36" w:type="dxa"/>
            <w:shd w:val="clear" w:color="auto" w:fill="auto"/>
            <w:vAlign w:val="bottom"/>
          </w:tcPr>
          <w:p w14:paraId="495BD5B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9/0/9</w:t>
            </w:r>
          </w:p>
        </w:tc>
        <w:tc>
          <w:tcPr>
            <w:tcW w:w="1007" w:type="dxa"/>
            <w:shd w:val="clear" w:color="auto" w:fill="auto"/>
            <w:vAlign w:val="bottom"/>
          </w:tcPr>
          <w:p w14:paraId="63229C8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08" w:type="dxa"/>
            <w:shd w:val="clear" w:color="auto" w:fill="auto"/>
            <w:vAlign w:val="bottom"/>
          </w:tcPr>
          <w:p w14:paraId="41DBD91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74" w:type="dxa"/>
            <w:shd w:val="clear" w:color="auto" w:fill="auto"/>
            <w:vAlign w:val="bottom"/>
          </w:tcPr>
          <w:p w14:paraId="2A23E601"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3E3B7301"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09B7C18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48/48/0</w:t>
            </w:r>
          </w:p>
        </w:tc>
        <w:tc>
          <w:tcPr>
            <w:tcW w:w="809" w:type="dxa"/>
            <w:shd w:val="clear" w:color="auto" w:fill="auto"/>
            <w:vAlign w:val="bottom"/>
          </w:tcPr>
          <w:p w14:paraId="69877164"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0C15E904"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3F98F035"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6943EC1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S</w:t>
            </w:r>
          </w:p>
        </w:tc>
      </w:tr>
      <w:tr w:rsidR="00A169F2" w:rsidRPr="00D17621" w14:paraId="54CBECB5" w14:textId="77777777" w:rsidTr="0039665D">
        <w:tc>
          <w:tcPr>
            <w:tcW w:w="1418" w:type="dxa"/>
            <w:shd w:val="clear" w:color="auto" w:fill="auto"/>
          </w:tcPr>
          <w:p w14:paraId="547AB096" w14:textId="77777777" w:rsidR="00A169F2" w:rsidRPr="00D17621" w:rsidRDefault="00A169F2" w:rsidP="0039665D">
            <w:pPr>
              <w:suppressAutoHyphens w:val="0"/>
              <w:spacing w:before="40" w:after="40" w:line="220" w:lineRule="exact"/>
              <w:rPr>
                <w:sz w:val="18"/>
                <w:szCs w:val="24"/>
              </w:rPr>
            </w:pPr>
            <w:r w:rsidRPr="00D17621">
              <w:rPr>
                <w:sz w:val="18"/>
                <w:lang w:val="fr-FR"/>
              </w:rPr>
              <w:t>Lituanie</w:t>
            </w:r>
          </w:p>
        </w:tc>
        <w:tc>
          <w:tcPr>
            <w:tcW w:w="676" w:type="dxa"/>
            <w:shd w:val="clear" w:color="auto" w:fill="auto"/>
            <w:textDirection w:val="lrTbV"/>
            <w:vAlign w:val="bottom"/>
          </w:tcPr>
          <w:p w14:paraId="01D53A9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06" w:type="dxa"/>
            <w:shd w:val="clear" w:color="auto" w:fill="auto"/>
            <w:vAlign w:val="bottom"/>
          </w:tcPr>
          <w:p w14:paraId="6C35935C"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E632ED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97" w:type="dxa"/>
            <w:shd w:val="clear" w:color="auto" w:fill="auto"/>
            <w:vAlign w:val="bottom"/>
          </w:tcPr>
          <w:p w14:paraId="1E0855E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697" w:type="dxa"/>
            <w:shd w:val="clear" w:color="auto" w:fill="auto"/>
            <w:vAlign w:val="bottom"/>
          </w:tcPr>
          <w:p w14:paraId="40D4656C"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2F43A64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w:t>
            </w:r>
          </w:p>
        </w:tc>
        <w:tc>
          <w:tcPr>
            <w:tcW w:w="836" w:type="dxa"/>
            <w:shd w:val="clear" w:color="auto" w:fill="auto"/>
            <w:vAlign w:val="bottom"/>
          </w:tcPr>
          <w:p w14:paraId="514F5EB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w:t>
            </w:r>
          </w:p>
        </w:tc>
        <w:tc>
          <w:tcPr>
            <w:tcW w:w="1007" w:type="dxa"/>
            <w:shd w:val="clear" w:color="auto" w:fill="auto"/>
            <w:vAlign w:val="bottom"/>
          </w:tcPr>
          <w:p w14:paraId="6CF179A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08" w:type="dxa"/>
            <w:shd w:val="clear" w:color="auto" w:fill="auto"/>
            <w:vAlign w:val="bottom"/>
          </w:tcPr>
          <w:p w14:paraId="06D50072"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347EC3CC"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7E2A2D4A"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33187B5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-/305/2</w:t>
            </w:r>
          </w:p>
        </w:tc>
        <w:tc>
          <w:tcPr>
            <w:tcW w:w="809" w:type="dxa"/>
            <w:shd w:val="clear" w:color="auto" w:fill="auto"/>
            <w:vAlign w:val="bottom"/>
          </w:tcPr>
          <w:p w14:paraId="4D3FFA57"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2A73B79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67" w:type="dxa"/>
            <w:shd w:val="clear" w:color="auto" w:fill="auto"/>
            <w:textDirection w:val="lrTbV"/>
            <w:vAlign w:val="bottom"/>
          </w:tcPr>
          <w:p w14:paraId="3458045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360/345/15</w:t>
            </w:r>
          </w:p>
        </w:tc>
        <w:tc>
          <w:tcPr>
            <w:tcW w:w="843" w:type="dxa"/>
            <w:shd w:val="clear" w:color="auto" w:fill="auto"/>
            <w:textDirection w:val="lrTbV"/>
            <w:vAlign w:val="bottom"/>
          </w:tcPr>
          <w:p w14:paraId="2FAB2C36"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5A677A96" w14:textId="77777777" w:rsidTr="0039665D">
        <w:tc>
          <w:tcPr>
            <w:tcW w:w="1418" w:type="dxa"/>
            <w:shd w:val="clear" w:color="auto" w:fill="auto"/>
          </w:tcPr>
          <w:p w14:paraId="2E44B478" w14:textId="77777777" w:rsidR="00A169F2" w:rsidRPr="00D17621" w:rsidRDefault="00A169F2" w:rsidP="0039665D">
            <w:pPr>
              <w:suppressAutoHyphens w:val="0"/>
              <w:spacing w:before="40" w:after="40" w:line="220" w:lineRule="exact"/>
              <w:rPr>
                <w:sz w:val="18"/>
                <w:szCs w:val="24"/>
              </w:rPr>
            </w:pPr>
            <w:r w:rsidRPr="00D17621">
              <w:rPr>
                <w:sz w:val="18"/>
                <w:lang w:val="fr-FR"/>
              </w:rPr>
              <w:t>Luxembourg</w:t>
            </w:r>
          </w:p>
        </w:tc>
        <w:tc>
          <w:tcPr>
            <w:tcW w:w="676" w:type="dxa"/>
            <w:shd w:val="clear" w:color="auto" w:fill="auto"/>
            <w:textDirection w:val="lrTbV"/>
            <w:vAlign w:val="bottom"/>
          </w:tcPr>
          <w:p w14:paraId="1CCC3BD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 xml:space="preserve">1/0/1 </w:t>
            </w:r>
          </w:p>
        </w:tc>
        <w:tc>
          <w:tcPr>
            <w:tcW w:w="606" w:type="dxa"/>
            <w:shd w:val="clear" w:color="auto" w:fill="auto"/>
            <w:vAlign w:val="bottom"/>
          </w:tcPr>
          <w:p w14:paraId="622024DB"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0632D488"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6710194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97" w:type="dxa"/>
            <w:shd w:val="clear" w:color="auto" w:fill="auto"/>
            <w:vAlign w:val="bottom"/>
          </w:tcPr>
          <w:p w14:paraId="6FA5C720"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45D501C6"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17B1D92E"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1CE581C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08" w:type="dxa"/>
            <w:shd w:val="clear" w:color="auto" w:fill="auto"/>
            <w:vAlign w:val="bottom"/>
          </w:tcPr>
          <w:p w14:paraId="2BB1188C"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4407777E"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6D80054C"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63581D5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86/83/3</w:t>
            </w:r>
          </w:p>
        </w:tc>
        <w:tc>
          <w:tcPr>
            <w:tcW w:w="809" w:type="dxa"/>
            <w:shd w:val="clear" w:color="auto" w:fill="auto"/>
            <w:vAlign w:val="bottom"/>
          </w:tcPr>
          <w:p w14:paraId="466B29DD"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1831DC2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67" w:type="dxa"/>
            <w:shd w:val="clear" w:color="auto" w:fill="auto"/>
            <w:textDirection w:val="lrTbV"/>
            <w:vAlign w:val="bottom"/>
          </w:tcPr>
          <w:p w14:paraId="4BD787FA"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26886A6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S</w:t>
            </w:r>
          </w:p>
        </w:tc>
      </w:tr>
      <w:tr w:rsidR="00A169F2" w:rsidRPr="00D17621" w14:paraId="0062CAB4" w14:textId="77777777" w:rsidTr="0039665D">
        <w:tc>
          <w:tcPr>
            <w:tcW w:w="1418" w:type="dxa"/>
            <w:shd w:val="clear" w:color="auto" w:fill="auto"/>
          </w:tcPr>
          <w:p w14:paraId="4ED6C606" w14:textId="77777777" w:rsidR="00A169F2" w:rsidRPr="00D17621" w:rsidRDefault="00A169F2" w:rsidP="0039665D">
            <w:pPr>
              <w:suppressAutoHyphens w:val="0"/>
              <w:spacing w:before="40" w:after="40" w:line="220" w:lineRule="exact"/>
              <w:rPr>
                <w:sz w:val="18"/>
                <w:szCs w:val="24"/>
              </w:rPr>
            </w:pPr>
            <w:r w:rsidRPr="00D17621">
              <w:rPr>
                <w:sz w:val="18"/>
                <w:lang w:val="fr-FR"/>
              </w:rPr>
              <w:t>Malte</w:t>
            </w:r>
          </w:p>
        </w:tc>
        <w:tc>
          <w:tcPr>
            <w:tcW w:w="676" w:type="dxa"/>
            <w:shd w:val="clear" w:color="auto" w:fill="auto"/>
            <w:textDirection w:val="lrTbV"/>
            <w:vAlign w:val="bottom"/>
          </w:tcPr>
          <w:p w14:paraId="2077C5D9"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2DEDDE5D"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19786908"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3B622A2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2/0/2</w:t>
            </w:r>
          </w:p>
        </w:tc>
        <w:tc>
          <w:tcPr>
            <w:tcW w:w="697" w:type="dxa"/>
            <w:shd w:val="clear" w:color="auto" w:fill="auto"/>
            <w:vAlign w:val="bottom"/>
          </w:tcPr>
          <w:p w14:paraId="3FF8EB1F"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4B60D7E2"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5D46C7DA"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7F6DCC5C"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3245E14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74" w:type="dxa"/>
            <w:shd w:val="clear" w:color="auto" w:fill="auto"/>
            <w:vAlign w:val="bottom"/>
          </w:tcPr>
          <w:p w14:paraId="3DE04460"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5FABD9B6"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5ECBF5DB"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51A3AB20"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0EE8B8E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67" w:type="dxa"/>
            <w:shd w:val="clear" w:color="auto" w:fill="auto"/>
            <w:textDirection w:val="lrTbV"/>
            <w:vAlign w:val="bottom"/>
          </w:tcPr>
          <w:p w14:paraId="110B2ED2"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750FF62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139B31E3" w14:textId="77777777" w:rsidTr="0039665D">
        <w:tc>
          <w:tcPr>
            <w:tcW w:w="1418" w:type="dxa"/>
            <w:shd w:val="clear" w:color="auto" w:fill="auto"/>
          </w:tcPr>
          <w:p w14:paraId="6907062C" w14:textId="77777777" w:rsidR="00A169F2" w:rsidRPr="00D17621" w:rsidRDefault="00A169F2" w:rsidP="0039665D">
            <w:pPr>
              <w:suppressAutoHyphens w:val="0"/>
              <w:spacing w:before="40" w:after="40" w:line="220" w:lineRule="exact"/>
              <w:rPr>
                <w:sz w:val="18"/>
                <w:szCs w:val="24"/>
              </w:rPr>
            </w:pPr>
            <w:r w:rsidRPr="00D17621">
              <w:rPr>
                <w:sz w:val="18"/>
                <w:lang w:val="fr-FR"/>
              </w:rPr>
              <w:t>Monténégro</w:t>
            </w:r>
          </w:p>
        </w:tc>
        <w:tc>
          <w:tcPr>
            <w:tcW w:w="676" w:type="dxa"/>
            <w:shd w:val="clear" w:color="auto" w:fill="auto"/>
            <w:textDirection w:val="lrTbV"/>
            <w:vAlign w:val="bottom"/>
          </w:tcPr>
          <w:p w14:paraId="4D84BB53"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7813323F"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137B8596"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4C09826"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6B99964F"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7E2850DA"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6BB2BAA5"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42AF4B18"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59E0BAF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74" w:type="dxa"/>
            <w:shd w:val="clear" w:color="auto" w:fill="auto"/>
            <w:vAlign w:val="bottom"/>
          </w:tcPr>
          <w:p w14:paraId="1D72BC54"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55AFA760"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4EB4E4F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9/0/9</w:t>
            </w:r>
          </w:p>
        </w:tc>
        <w:tc>
          <w:tcPr>
            <w:tcW w:w="809" w:type="dxa"/>
            <w:shd w:val="clear" w:color="auto" w:fill="auto"/>
            <w:vAlign w:val="bottom"/>
          </w:tcPr>
          <w:p w14:paraId="0CBFCDF1"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354C489B"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4A8A22AC"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3060FB7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7198EEE8" w14:textId="77777777" w:rsidTr="0039665D">
        <w:tc>
          <w:tcPr>
            <w:tcW w:w="1418" w:type="dxa"/>
            <w:shd w:val="clear" w:color="auto" w:fill="auto"/>
          </w:tcPr>
          <w:p w14:paraId="43D59367" w14:textId="77777777" w:rsidR="00A169F2" w:rsidRPr="00D17621" w:rsidRDefault="00A169F2" w:rsidP="0039665D">
            <w:pPr>
              <w:suppressAutoHyphens w:val="0"/>
              <w:spacing w:before="40" w:after="40" w:line="220" w:lineRule="exact"/>
              <w:rPr>
                <w:sz w:val="18"/>
                <w:szCs w:val="24"/>
              </w:rPr>
            </w:pPr>
            <w:r w:rsidRPr="00D17621">
              <w:rPr>
                <w:sz w:val="18"/>
                <w:lang w:val="fr-FR"/>
              </w:rPr>
              <w:t>Pologne</w:t>
            </w:r>
          </w:p>
        </w:tc>
        <w:tc>
          <w:tcPr>
            <w:tcW w:w="676" w:type="dxa"/>
            <w:shd w:val="clear" w:color="auto" w:fill="auto"/>
            <w:textDirection w:val="lrTbV"/>
            <w:vAlign w:val="bottom"/>
          </w:tcPr>
          <w:p w14:paraId="7384AA43" w14:textId="77777777" w:rsidR="00A169F2" w:rsidRPr="00D17621" w:rsidRDefault="00A169F2" w:rsidP="0039665D">
            <w:pPr>
              <w:suppressAutoHyphens w:val="0"/>
              <w:spacing w:before="40" w:after="40" w:line="220" w:lineRule="exact"/>
              <w:jc w:val="right"/>
              <w:rPr>
                <w:sz w:val="18"/>
                <w:szCs w:val="24"/>
              </w:rPr>
            </w:pPr>
          </w:p>
        </w:tc>
        <w:tc>
          <w:tcPr>
            <w:tcW w:w="606" w:type="dxa"/>
            <w:shd w:val="clear" w:color="auto" w:fill="auto"/>
            <w:vAlign w:val="bottom"/>
          </w:tcPr>
          <w:p w14:paraId="4384AFFF"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4609397"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80AEC69"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761C48D7"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362351FF" w14:textId="77777777" w:rsidR="00A169F2" w:rsidRPr="00D17621" w:rsidRDefault="00A169F2" w:rsidP="0039665D">
            <w:pPr>
              <w:suppressAutoHyphens w:val="0"/>
              <w:spacing w:before="40" w:after="40" w:line="220" w:lineRule="exact"/>
              <w:jc w:val="right"/>
              <w:rPr>
                <w:sz w:val="18"/>
                <w:szCs w:val="24"/>
              </w:rPr>
            </w:pPr>
          </w:p>
        </w:tc>
        <w:tc>
          <w:tcPr>
            <w:tcW w:w="836" w:type="dxa"/>
            <w:shd w:val="clear" w:color="auto" w:fill="auto"/>
            <w:vAlign w:val="bottom"/>
          </w:tcPr>
          <w:p w14:paraId="040D8114"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151D7CCA"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2748FE6B" w14:textId="77777777" w:rsidR="00A169F2" w:rsidRPr="00D17621" w:rsidRDefault="00A169F2" w:rsidP="0039665D">
            <w:pPr>
              <w:suppressAutoHyphens w:val="0"/>
              <w:spacing w:before="40" w:after="40" w:line="220" w:lineRule="exact"/>
              <w:jc w:val="right"/>
              <w:rPr>
                <w:sz w:val="18"/>
                <w:szCs w:val="24"/>
              </w:rPr>
            </w:pPr>
          </w:p>
        </w:tc>
        <w:tc>
          <w:tcPr>
            <w:tcW w:w="674" w:type="dxa"/>
            <w:shd w:val="clear" w:color="auto" w:fill="auto"/>
            <w:vAlign w:val="bottom"/>
          </w:tcPr>
          <w:p w14:paraId="365508B7"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773C3702"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5C174275"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035D70BA"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32BA4A77"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2FC7883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1840/1790/50</w:t>
            </w:r>
          </w:p>
        </w:tc>
        <w:tc>
          <w:tcPr>
            <w:tcW w:w="843" w:type="dxa"/>
            <w:shd w:val="clear" w:color="auto" w:fill="auto"/>
            <w:textDirection w:val="lrTbV"/>
            <w:vAlign w:val="bottom"/>
          </w:tcPr>
          <w:p w14:paraId="14C2007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E</w:t>
            </w:r>
          </w:p>
        </w:tc>
      </w:tr>
      <w:tr w:rsidR="00A169F2" w:rsidRPr="00D17621" w14:paraId="465AC43C" w14:textId="77777777" w:rsidTr="0039665D">
        <w:tc>
          <w:tcPr>
            <w:tcW w:w="1418" w:type="dxa"/>
            <w:shd w:val="clear" w:color="auto" w:fill="auto"/>
          </w:tcPr>
          <w:p w14:paraId="13122907" w14:textId="77777777" w:rsidR="00A169F2" w:rsidRPr="00D17621" w:rsidRDefault="00A169F2" w:rsidP="0039665D">
            <w:pPr>
              <w:suppressAutoHyphens w:val="0"/>
              <w:spacing w:before="40" w:after="40" w:line="220" w:lineRule="exact"/>
              <w:rPr>
                <w:sz w:val="18"/>
                <w:szCs w:val="24"/>
              </w:rPr>
            </w:pPr>
            <w:r w:rsidRPr="00D17621">
              <w:rPr>
                <w:sz w:val="18"/>
                <w:lang w:val="fr-FR"/>
              </w:rPr>
              <w:t>République de Moldova</w:t>
            </w:r>
          </w:p>
        </w:tc>
        <w:tc>
          <w:tcPr>
            <w:tcW w:w="676" w:type="dxa"/>
            <w:shd w:val="clear" w:color="auto" w:fill="auto"/>
            <w:textDirection w:val="lrTbV"/>
            <w:vAlign w:val="bottom"/>
          </w:tcPr>
          <w:p w14:paraId="3ABCB70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06" w:type="dxa"/>
            <w:shd w:val="clear" w:color="auto" w:fill="auto"/>
            <w:vAlign w:val="bottom"/>
          </w:tcPr>
          <w:p w14:paraId="74C56372"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385148F"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33728D7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4CA8D336"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03BB8A1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36" w:type="dxa"/>
            <w:shd w:val="clear" w:color="auto" w:fill="auto"/>
            <w:vAlign w:val="bottom"/>
          </w:tcPr>
          <w:p w14:paraId="4CACAB02" w14:textId="77777777" w:rsidR="00A169F2" w:rsidRPr="00D17621" w:rsidRDefault="00A169F2" w:rsidP="0039665D">
            <w:pPr>
              <w:suppressAutoHyphens w:val="0"/>
              <w:spacing w:before="40" w:after="40" w:line="220" w:lineRule="exact"/>
              <w:jc w:val="right"/>
              <w:rPr>
                <w:sz w:val="18"/>
                <w:szCs w:val="24"/>
              </w:rPr>
            </w:pPr>
          </w:p>
        </w:tc>
        <w:tc>
          <w:tcPr>
            <w:tcW w:w="1007" w:type="dxa"/>
            <w:shd w:val="clear" w:color="auto" w:fill="auto"/>
            <w:vAlign w:val="bottom"/>
          </w:tcPr>
          <w:p w14:paraId="172936BC"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232576F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2/0/2</w:t>
            </w:r>
          </w:p>
        </w:tc>
        <w:tc>
          <w:tcPr>
            <w:tcW w:w="674" w:type="dxa"/>
            <w:shd w:val="clear" w:color="auto" w:fill="auto"/>
            <w:vAlign w:val="bottom"/>
          </w:tcPr>
          <w:p w14:paraId="6F51525E"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1DD1D749"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163CDE2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88/88/0</w:t>
            </w:r>
          </w:p>
        </w:tc>
        <w:tc>
          <w:tcPr>
            <w:tcW w:w="809" w:type="dxa"/>
            <w:shd w:val="clear" w:color="auto" w:fill="auto"/>
            <w:vAlign w:val="bottom"/>
          </w:tcPr>
          <w:p w14:paraId="3823D883"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5235D89B" w14:textId="77777777" w:rsidR="00A169F2" w:rsidRPr="00D17621" w:rsidRDefault="00A169F2" w:rsidP="0039665D">
            <w:pPr>
              <w:suppressAutoHyphens w:val="0"/>
              <w:spacing w:before="40" w:after="40" w:line="220" w:lineRule="exact"/>
              <w:jc w:val="right"/>
              <w:rPr>
                <w:sz w:val="18"/>
                <w:szCs w:val="24"/>
              </w:rPr>
            </w:pPr>
          </w:p>
        </w:tc>
        <w:tc>
          <w:tcPr>
            <w:tcW w:w="867" w:type="dxa"/>
            <w:shd w:val="clear" w:color="auto" w:fill="auto"/>
            <w:textDirection w:val="lrTbV"/>
            <w:vAlign w:val="bottom"/>
          </w:tcPr>
          <w:p w14:paraId="76C382EE"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4582CF6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S</w:t>
            </w:r>
          </w:p>
        </w:tc>
      </w:tr>
      <w:tr w:rsidR="00A169F2" w:rsidRPr="00D17621" w14:paraId="0B16FF2C" w14:textId="77777777" w:rsidTr="0039665D">
        <w:tc>
          <w:tcPr>
            <w:tcW w:w="1418" w:type="dxa"/>
            <w:shd w:val="clear" w:color="auto" w:fill="auto"/>
          </w:tcPr>
          <w:p w14:paraId="2326FF46" w14:textId="77777777" w:rsidR="00A169F2" w:rsidRPr="00D17621" w:rsidRDefault="00A169F2" w:rsidP="0039665D">
            <w:pPr>
              <w:suppressAutoHyphens w:val="0"/>
              <w:spacing w:before="40" w:after="40" w:line="220" w:lineRule="exact"/>
              <w:rPr>
                <w:sz w:val="18"/>
                <w:szCs w:val="24"/>
              </w:rPr>
            </w:pPr>
            <w:r w:rsidRPr="00D17621">
              <w:rPr>
                <w:sz w:val="18"/>
                <w:lang w:val="fr-FR"/>
              </w:rPr>
              <w:t>Roumanie</w:t>
            </w:r>
          </w:p>
        </w:tc>
        <w:tc>
          <w:tcPr>
            <w:tcW w:w="676" w:type="dxa"/>
            <w:shd w:val="clear" w:color="auto" w:fill="auto"/>
            <w:textDirection w:val="lrTbV"/>
            <w:vAlign w:val="bottom"/>
          </w:tcPr>
          <w:p w14:paraId="2A1BF33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06" w:type="dxa"/>
            <w:shd w:val="clear" w:color="auto" w:fill="auto"/>
            <w:vAlign w:val="bottom"/>
          </w:tcPr>
          <w:p w14:paraId="0D4EC6E6"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22311C5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97" w:type="dxa"/>
            <w:shd w:val="clear" w:color="auto" w:fill="auto"/>
            <w:vAlign w:val="bottom"/>
          </w:tcPr>
          <w:p w14:paraId="511893E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97" w:type="dxa"/>
            <w:shd w:val="clear" w:color="auto" w:fill="auto"/>
            <w:vAlign w:val="bottom"/>
          </w:tcPr>
          <w:p w14:paraId="36EE4F58"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97" w:type="dxa"/>
            <w:shd w:val="clear" w:color="auto" w:fill="auto"/>
            <w:vAlign w:val="bottom"/>
          </w:tcPr>
          <w:p w14:paraId="6F66C1AD"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w:t>
            </w:r>
          </w:p>
        </w:tc>
        <w:tc>
          <w:tcPr>
            <w:tcW w:w="836" w:type="dxa"/>
            <w:shd w:val="clear" w:color="auto" w:fill="auto"/>
            <w:vAlign w:val="bottom"/>
          </w:tcPr>
          <w:p w14:paraId="5420FA7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1007" w:type="dxa"/>
            <w:shd w:val="clear" w:color="auto" w:fill="auto"/>
            <w:vAlign w:val="bottom"/>
          </w:tcPr>
          <w:p w14:paraId="1035815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08" w:type="dxa"/>
            <w:shd w:val="clear" w:color="auto" w:fill="auto"/>
            <w:vAlign w:val="bottom"/>
          </w:tcPr>
          <w:p w14:paraId="6FB0E0B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74" w:type="dxa"/>
            <w:shd w:val="clear" w:color="auto" w:fill="auto"/>
            <w:vAlign w:val="bottom"/>
          </w:tcPr>
          <w:p w14:paraId="6FA8D59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654" w:type="dxa"/>
            <w:shd w:val="clear" w:color="auto" w:fill="auto"/>
            <w:vAlign w:val="bottom"/>
          </w:tcPr>
          <w:p w14:paraId="3B1611D7"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58B729D0" w14:textId="77777777" w:rsidR="00A169F2" w:rsidRPr="00D17621" w:rsidRDefault="00A169F2" w:rsidP="0039665D">
            <w:pPr>
              <w:suppressAutoHyphens w:val="0"/>
              <w:spacing w:before="40" w:after="40" w:line="220" w:lineRule="exact"/>
              <w:jc w:val="right"/>
              <w:rPr>
                <w:sz w:val="18"/>
                <w:szCs w:val="24"/>
              </w:rPr>
            </w:pPr>
          </w:p>
        </w:tc>
        <w:tc>
          <w:tcPr>
            <w:tcW w:w="809" w:type="dxa"/>
            <w:shd w:val="clear" w:color="auto" w:fill="auto"/>
            <w:vAlign w:val="bottom"/>
          </w:tcPr>
          <w:p w14:paraId="05CC000F" w14:textId="77777777" w:rsidR="00A169F2" w:rsidRPr="00D17621" w:rsidRDefault="00A169F2" w:rsidP="0039665D">
            <w:pPr>
              <w:suppressAutoHyphens w:val="0"/>
              <w:spacing w:before="40" w:after="40" w:line="220" w:lineRule="exact"/>
              <w:jc w:val="right"/>
              <w:rPr>
                <w:sz w:val="18"/>
                <w:szCs w:val="24"/>
              </w:rPr>
            </w:pPr>
          </w:p>
        </w:tc>
        <w:tc>
          <w:tcPr>
            <w:tcW w:w="657" w:type="dxa"/>
            <w:shd w:val="clear" w:color="auto" w:fill="auto"/>
            <w:vAlign w:val="bottom"/>
          </w:tcPr>
          <w:p w14:paraId="7E2AFDB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w:t>
            </w:r>
          </w:p>
        </w:tc>
        <w:tc>
          <w:tcPr>
            <w:tcW w:w="867" w:type="dxa"/>
            <w:shd w:val="clear" w:color="auto" w:fill="auto"/>
            <w:textDirection w:val="lrTbV"/>
            <w:vAlign w:val="bottom"/>
          </w:tcPr>
          <w:p w14:paraId="52542D25"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0254D25E"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5C62BB83" w14:textId="77777777" w:rsidTr="0039665D">
        <w:tc>
          <w:tcPr>
            <w:tcW w:w="1418" w:type="dxa"/>
            <w:shd w:val="clear" w:color="auto" w:fill="auto"/>
          </w:tcPr>
          <w:p w14:paraId="0C47F61C" w14:textId="77777777" w:rsidR="00A169F2" w:rsidRPr="00D17621" w:rsidRDefault="00A169F2" w:rsidP="0039665D">
            <w:pPr>
              <w:suppressAutoHyphens w:val="0"/>
              <w:spacing w:before="40" w:after="40" w:line="220" w:lineRule="exact"/>
              <w:rPr>
                <w:sz w:val="18"/>
                <w:szCs w:val="24"/>
              </w:rPr>
            </w:pPr>
            <w:r w:rsidRPr="00D17621">
              <w:rPr>
                <w:sz w:val="18"/>
                <w:lang w:val="fr-FR"/>
              </w:rPr>
              <w:t>Suède</w:t>
            </w:r>
          </w:p>
        </w:tc>
        <w:tc>
          <w:tcPr>
            <w:tcW w:w="676" w:type="dxa"/>
            <w:shd w:val="clear" w:color="auto" w:fill="auto"/>
            <w:textDirection w:val="lrTbV"/>
            <w:vAlign w:val="bottom"/>
          </w:tcPr>
          <w:p w14:paraId="3FB9405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06" w:type="dxa"/>
            <w:shd w:val="clear" w:color="auto" w:fill="auto"/>
            <w:vAlign w:val="bottom"/>
          </w:tcPr>
          <w:p w14:paraId="40E632AF" w14:textId="77777777" w:rsidR="00A169F2" w:rsidRPr="00D17621" w:rsidRDefault="00A169F2" w:rsidP="0039665D">
            <w:pPr>
              <w:suppressAutoHyphens w:val="0"/>
              <w:spacing w:before="40" w:after="40" w:line="220" w:lineRule="exact"/>
              <w:jc w:val="right"/>
              <w:rPr>
                <w:sz w:val="18"/>
                <w:szCs w:val="24"/>
              </w:rPr>
            </w:pPr>
          </w:p>
        </w:tc>
        <w:tc>
          <w:tcPr>
            <w:tcW w:w="649" w:type="dxa"/>
            <w:shd w:val="clear" w:color="auto" w:fill="auto"/>
            <w:vAlign w:val="bottom"/>
          </w:tcPr>
          <w:p w14:paraId="5A3337C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79F046E0" w14:textId="77777777" w:rsidR="00A169F2" w:rsidRPr="00D17621" w:rsidRDefault="00A169F2" w:rsidP="0039665D">
            <w:pPr>
              <w:suppressAutoHyphens w:val="0"/>
              <w:spacing w:before="40" w:after="40" w:line="220" w:lineRule="exact"/>
              <w:jc w:val="right"/>
              <w:rPr>
                <w:sz w:val="18"/>
                <w:szCs w:val="24"/>
              </w:rPr>
            </w:pPr>
          </w:p>
        </w:tc>
        <w:tc>
          <w:tcPr>
            <w:tcW w:w="697" w:type="dxa"/>
            <w:shd w:val="clear" w:color="auto" w:fill="auto"/>
            <w:vAlign w:val="bottom"/>
          </w:tcPr>
          <w:p w14:paraId="11DC014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697" w:type="dxa"/>
            <w:shd w:val="clear" w:color="auto" w:fill="auto"/>
            <w:vAlign w:val="bottom"/>
          </w:tcPr>
          <w:p w14:paraId="402ABF9D"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22/21/1</w:t>
            </w:r>
          </w:p>
        </w:tc>
        <w:tc>
          <w:tcPr>
            <w:tcW w:w="836" w:type="dxa"/>
            <w:shd w:val="clear" w:color="auto" w:fill="auto"/>
            <w:vAlign w:val="bottom"/>
          </w:tcPr>
          <w:p w14:paraId="4305BF4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9/0/9</w:t>
            </w:r>
          </w:p>
        </w:tc>
        <w:tc>
          <w:tcPr>
            <w:tcW w:w="1007" w:type="dxa"/>
            <w:shd w:val="clear" w:color="auto" w:fill="auto"/>
            <w:vAlign w:val="bottom"/>
          </w:tcPr>
          <w:p w14:paraId="4E88E1EF" w14:textId="77777777" w:rsidR="00A169F2" w:rsidRPr="00D17621" w:rsidRDefault="00A169F2" w:rsidP="0039665D">
            <w:pPr>
              <w:suppressAutoHyphens w:val="0"/>
              <w:spacing w:before="40" w:after="40" w:line="220" w:lineRule="exact"/>
              <w:jc w:val="right"/>
              <w:rPr>
                <w:sz w:val="18"/>
                <w:szCs w:val="24"/>
              </w:rPr>
            </w:pPr>
          </w:p>
        </w:tc>
        <w:tc>
          <w:tcPr>
            <w:tcW w:w="808" w:type="dxa"/>
            <w:shd w:val="clear" w:color="auto" w:fill="auto"/>
            <w:vAlign w:val="bottom"/>
          </w:tcPr>
          <w:p w14:paraId="74507C6A" w14:textId="77777777" w:rsidR="00A169F2" w:rsidRPr="00D17621" w:rsidDel="00E7510A" w:rsidRDefault="00A169F2" w:rsidP="0039665D">
            <w:pPr>
              <w:suppressAutoHyphens w:val="0"/>
              <w:spacing w:before="40" w:after="40" w:line="220" w:lineRule="exact"/>
              <w:jc w:val="right"/>
              <w:rPr>
                <w:sz w:val="18"/>
                <w:szCs w:val="24"/>
              </w:rPr>
            </w:pPr>
            <w:r w:rsidRPr="00D17621">
              <w:rPr>
                <w:sz w:val="18"/>
                <w:lang w:val="fr-FR"/>
              </w:rPr>
              <w:t>6/5/1</w:t>
            </w:r>
          </w:p>
        </w:tc>
        <w:tc>
          <w:tcPr>
            <w:tcW w:w="674" w:type="dxa"/>
            <w:shd w:val="clear" w:color="auto" w:fill="auto"/>
            <w:vAlign w:val="bottom"/>
          </w:tcPr>
          <w:p w14:paraId="4EC1F29B" w14:textId="77777777" w:rsidR="00A169F2" w:rsidRPr="00D17621" w:rsidRDefault="00A169F2" w:rsidP="0039665D">
            <w:pPr>
              <w:suppressAutoHyphens w:val="0"/>
              <w:spacing w:before="40" w:after="40" w:line="220" w:lineRule="exact"/>
              <w:jc w:val="right"/>
              <w:rPr>
                <w:sz w:val="18"/>
                <w:szCs w:val="24"/>
              </w:rPr>
            </w:pPr>
          </w:p>
        </w:tc>
        <w:tc>
          <w:tcPr>
            <w:tcW w:w="654" w:type="dxa"/>
            <w:shd w:val="clear" w:color="auto" w:fill="auto"/>
            <w:vAlign w:val="bottom"/>
          </w:tcPr>
          <w:p w14:paraId="01850725" w14:textId="77777777" w:rsidR="00A169F2" w:rsidRPr="00D17621" w:rsidRDefault="00A169F2" w:rsidP="0039665D">
            <w:pPr>
              <w:suppressAutoHyphens w:val="0"/>
              <w:spacing w:before="40" w:after="40" w:line="220" w:lineRule="exact"/>
              <w:jc w:val="right"/>
              <w:rPr>
                <w:sz w:val="18"/>
                <w:szCs w:val="24"/>
              </w:rPr>
            </w:pPr>
          </w:p>
        </w:tc>
        <w:tc>
          <w:tcPr>
            <w:tcW w:w="1181" w:type="dxa"/>
            <w:shd w:val="clear" w:color="auto" w:fill="auto"/>
            <w:vAlign w:val="bottom"/>
          </w:tcPr>
          <w:p w14:paraId="676FB9F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183/183/0</w:t>
            </w:r>
          </w:p>
        </w:tc>
        <w:tc>
          <w:tcPr>
            <w:tcW w:w="809" w:type="dxa"/>
            <w:shd w:val="clear" w:color="auto" w:fill="auto"/>
            <w:vAlign w:val="bottom"/>
          </w:tcPr>
          <w:p w14:paraId="443DC99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142/0/142</w:t>
            </w:r>
          </w:p>
        </w:tc>
        <w:tc>
          <w:tcPr>
            <w:tcW w:w="657" w:type="dxa"/>
            <w:shd w:val="clear" w:color="auto" w:fill="auto"/>
            <w:vAlign w:val="bottom"/>
          </w:tcPr>
          <w:p w14:paraId="116B862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20(E)/0/20</w:t>
            </w:r>
          </w:p>
        </w:tc>
        <w:tc>
          <w:tcPr>
            <w:tcW w:w="867" w:type="dxa"/>
            <w:shd w:val="clear" w:color="auto" w:fill="auto"/>
            <w:textDirection w:val="lrTbV"/>
            <w:vAlign w:val="bottom"/>
          </w:tcPr>
          <w:p w14:paraId="6505D636" w14:textId="77777777" w:rsidR="00A169F2" w:rsidRPr="00D17621" w:rsidRDefault="00A169F2" w:rsidP="0039665D">
            <w:pPr>
              <w:suppressAutoHyphens w:val="0"/>
              <w:spacing w:before="40" w:after="40" w:line="220" w:lineRule="exact"/>
              <w:jc w:val="right"/>
              <w:rPr>
                <w:sz w:val="18"/>
                <w:szCs w:val="24"/>
              </w:rPr>
            </w:pPr>
          </w:p>
        </w:tc>
        <w:tc>
          <w:tcPr>
            <w:tcW w:w="843" w:type="dxa"/>
            <w:shd w:val="clear" w:color="auto" w:fill="auto"/>
            <w:textDirection w:val="lrTbV"/>
            <w:vAlign w:val="bottom"/>
          </w:tcPr>
          <w:p w14:paraId="2BF7CC3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S</w:t>
            </w:r>
          </w:p>
        </w:tc>
      </w:tr>
      <w:tr w:rsidR="00A169F2" w:rsidRPr="00D17621" w14:paraId="5424C3E8" w14:textId="77777777" w:rsidTr="0039665D">
        <w:tc>
          <w:tcPr>
            <w:tcW w:w="1418" w:type="dxa"/>
            <w:tcBorders>
              <w:bottom w:val="single" w:sz="12" w:space="0" w:color="auto"/>
            </w:tcBorders>
            <w:shd w:val="clear" w:color="auto" w:fill="auto"/>
          </w:tcPr>
          <w:p w14:paraId="52C086C0" w14:textId="77777777" w:rsidR="00A169F2" w:rsidRPr="00D17621" w:rsidRDefault="00A169F2" w:rsidP="0039665D">
            <w:pPr>
              <w:keepNext/>
              <w:suppressAutoHyphens w:val="0"/>
              <w:spacing w:before="40" w:after="40" w:line="220" w:lineRule="exact"/>
              <w:rPr>
                <w:sz w:val="18"/>
                <w:szCs w:val="24"/>
              </w:rPr>
            </w:pPr>
            <w:r w:rsidRPr="00D17621">
              <w:rPr>
                <w:sz w:val="18"/>
                <w:lang w:val="fr-FR"/>
              </w:rPr>
              <w:lastRenderedPageBreak/>
              <w:t>Tchéquie</w:t>
            </w:r>
          </w:p>
        </w:tc>
        <w:tc>
          <w:tcPr>
            <w:tcW w:w="676" w:type="dxa"/>
            <w:tcBorders>
              <w:bottom w:val="single" w:sz="12" w:space="0" w:color="auto"/>
            </w:tcBorders>
            <w:shd w:val="clear" w:color="auto" w:fill="auto"/>
            <w:textDirection w:val="lrTbV"/>
            <w:vAlign w:val="bottom"/>
          </w:tcPr>
          <w:p w14:paraId="3EFE5EBF"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1/0/1</w:t>
            </w:r>
          </w:p>
        </w:tc>
        <w:tc>
          <w:tcPr>
            <w:tcW w:w="606" w:type="dxa"/>
            <w:tcBorders>
              <w:bottom w:val="single" w:sz="12" w:space="0" w:color="auto"/>
            </w:tcBorders>
            <w:shd w:val="clear" w:color="auto" w:fill="auto"/>
            <w:vAlign w:val="bottom"/>
          </w:tcPr>
          <w:p w14:paraId="3F85ADE9" w14:textId="77777777" w:rsidR="00A169F2" w:rsidRPr="00D17621" w:rsidRDefault="00A169F2" w:rsidP="0039665D">
            <w:pPr>
              <w:keepNext/>
              <w:suppressAutoHyphens w:val="0"/>
              <w:spacing w:before="40" w:after="40" w:line="220" w:lineRule="exact"/>
              <w:jc w:val="right"/>
              <w:rPr>
                <w:sz w:val="18"/>
                <w:szCs w:val="24"/>
              </w:rPr>
            </w:pPr>
          </w:p>
        </w:tc>
        <w:tc>
          <w:tcPr>
            <w:tcW w:w="649" w:type="dxa"/>
            <w:tcBorders>
              <w:bottom w:val="single" w:sz="12" w:space="0" w:color="auto"/>
            </w:tcBorders>
            <w:shd w:val="clear" w:color="auto" w:fill="auto"/>
            <w:vAlign w:val="bottom"/>
          </w:tcPr>
          <w:p w14:paraId="066DAC66"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2/0/2</w:t>
            </w:r>
          </w:p>
        </w:tc>
        <w:tc>
          <w:tcPr>
            <w:tcW w:w="697" w:type="dxa"/>
            <w:tcBorders>
              <w:bottom w:val="single" w:sz="12" w:space="0" w:color="auto"/>
            </w:tcBorders>
            <w:shd w:val="clear" w:color="auto" w:fill="auto"/>
            <w:vAlign w:val="bottom"/>
          </w:tcPr>
          <w:p w14:paraId="387B75FC"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2/2/0</w:t>
            </w:r>
          </w:p>
        </w:tc>
        <w:tc>
          <w:tcPr>
            <w:tcW w:w="697" w:type="dxa"/>
            <w:tcBorders>
              <w:bottom w:val="single" w:sz="12" w:space="0" w:color="auto"/>
            </w:tcBorders>
            <w:shd w:val="clear" w:color="auto" w:fill="auto"/>
            <w:vAlign w:val="bottom"/>
          </w:tcPr>
          <w:p w14:paraId="736A0F79" w14:textId="77777777" w:rsidR="00A169F2" w:rsidRPr="00D17621" w:rsidRDefault="00A169F2" w:rsidP="0039665D">
            <w:pPr>
              <w:keepNext/>
              <w:suppressAutoHyphens w:val="0"/>
              <w:spacing w:before="40" w:after="40" w:line="220" w:lineRule="exact"/>
              <w:jc w:val="right"/>
              <w:rPr>
                <w:sz w:val="18"/>
                <w:szCs w:val="24"/>
              </w:rPr>
            </w:pPr>
          </w:p>
        </w:tc>
        <w:tc>
          <w:tcPr>
            <w:tcW w:w="697" w:type="dxa"/>
            <w:tcBorders>
              <w:bottom w:val="single" w:sz="12" w:space="0" w:color="auto"/>
            </w:tcBorders>
            <w:shd w:val="clear" w:color="auto" w:fill="auto"/>
            <w:vAlign w:val="bottom"/>
          </w:tcPr>
          <w:p w14:paraId="46E0875F"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14/16/2</w:t>
            </w:r>
          </w:p>
        </w:tc>
        <w:tc>
          <w:tcPr>
            <w:tcW w:w="836" w:type="dxa"/>
            <w:tcBorders>
              <w:bottom w:val="single" w:sz="12" w:space="0" w:color="auto"/>
            </w:tcBorders>
            <w:shd w:val="clear" w:color="auto" w:fill="auto"/>
            <w:vAlign w:val="bottom"/>
          </w:tcPr>
          <w:p w14:paraId="2EB62F70"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54/52*/2</w:t>
            </w:r>
          </w:p>
        </w:tc>
        <w:tc>
          <w:tcPr>
            <w:tcW w:w="1007" w:type="dxa"/>
            <w:tcBorders>
              <w:bottom w:val="single" w:sz="12" w:space="0" w:color="auto"/>
            </w:tcBorders>
            <w:shd w:val="clear" w:color="auto" w:fill="auto"/>
            <w:vAlign w:val="bottom"/>
          </w:tcPr>
          <w:p w14:paraId="1E46B30E"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2/0/2</w:t>
            </w:r>
          </w:p>
        </w:tc>
        <w:tc>
          <w:tcPr>
            <w:tcW w:w="808" w:type="dxa"/>
            <w:tcBorders>
              <w:bottom w:val="single" w:sz="12" w:space="0" w:color="auto"/>
            </w:tcBorders>
            <w:shd w:val="clear" w:color="auto" w:fill="auto"/>
            <w:vAlign w:val="bottom"/>
          </w:tcPr>
          <w:p w14:paraId="194FF1FC"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15/6/9</w:t>
            </w:r>
          </w:p>
        </w:tc>
        <w:tc>
          <w:tcPr>
            <w:tcW w:w="674" w:type="dxa"/>
            <w:tcBorders>
              <w:bottom w:val="single" w:sz="12" w:space="0" w:color="auto"/>
            </w:tcBorders>
            <w:shd w:val="clear" w:color="auto" w:fill="auto"/>
            <w:vAlign w:val="bottom"/>
          </w:tcPr>
          <w:p w14:paraId="2B03187B" w14:textId="77777777" w:rsidR="00A169F2" w:rsidRPr="00D17621" w:rsidRDefault="00A169F2" w:rsidP="0039665D">
            <w:pPr>
              <w:keepNext/>
              <w:suppressAutoHyphens w:val="0"/>
              <w:spacing w:before="40" w:after="40" w:line="220" w:lineRule="exact"/>
              <w:jc w:val="right"/>
              <w:rPr>
                <w:sz w:val="18"/>
                <w:szCs w:val="24"/>
              </w:rPr>
            </w:pPr>
          </w:p>
        </w:tc>
        <w:tc>
          <w:tcPr>
            <w:tcW w:w="654" w:type="dxa"/>
            <w:tcBorders>
              <w:bottom w:val="single" w:sz="12" w:space="0" w:color="auto"/>
            </w:tcBorders>
            <w:shd w:val="clear" w:color="auto" w:fill="auto"/>
            <w:vAlign w:val="bottom"/>
          </w:tcPr>
          <w:p w14:paraId="30CEE88C" w14:textId="77777777" w:rsidR="00A169F2" w:rsidRPr="00D17621" w:rsidRDefault="00A169F2" w:rsidP="0039665D">
            <w:pPr>
              <w:keepNext/>
              <w:suppressAutoHyphens w:val="0"/>
              <w:spacing w:before="40" w:after="40" w:line="220" w:lineRule="exact"/>
              <w:jc w:val="right"/>
              <w:rPr>
                <w:sz w:val="18"/>
                <w:szCs w:val="24"/>
              </w:rPr>
            </w:pPr>
          </w:p>
        </w:tc>
        <w:tc>
          <w:tcPr>
            <w:tcW w:w="1181" w:type="dxa"/>
            <w:tcBorders>
              <w:bottom w:val="single" w:sz="12" w:space="0" w:color="auto"/>
            </w:tcBorders>
            <w:shd w:val="clear" w:color="auto" w:fill="auto"/>
            <w:vAlign w:val="bottom"/>
          </w:tcPr>
          <w:p w14:paraId="0CBC0FBD"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1/0/1</w:t>
            </w:r>
          </w:p>
        </w:tc>
        <w:tc>
          <w:tcPr>
            <w:tcW w:w="809" w:type="dxa"/>
            <w:tcBorders>
              <w:bottom w:val="single" w:sz="12" w:space="0" w:color="auto"/>
            </w:tcBorders>
            <w:shd w:val="clear" w:color="auto" w:fill="auto"/>
            <w:vAlign w:val="bottom"/>
          </w:tcPr>
          <w:p w14:paraId="25B48713"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764/764/0</w:t>
            </w:r>
          </w:p>
        </w:tc>
        <w:tc>
          <w:tcPr>
            <w:tcW w:w="657" w:type="dxa"/>
            <w:tcBorders>
              <w:bottom w:val="single" w:sz="12" w:space="0" w:color="auto"/>
            </w:tcBorders>
            <w:shd w:val="clear" w:color="auto" w:fill="auto"/>
            <w:vAlign w:val="bottom"/>
          </w:tcPr>
          <w:p w14:paraId="19AEAD56"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24/10/14</w:t>
            </w:r>
          </w:p>
        </w:tc>
        <w:tc>
          <w:tcPr>
            <w:tcW w:w="867" w:type="dxa"/>
            <w:tcBorders>
              <w:bottom w:val="single" w:sz="12" w:space="0" w:color="auto"/>
            </w:tcBorders>
            <w:shd w:val="clear" w:color="auto" w:fill="auto"/>
            <w:textDirection w:val="lrTbV"/>
            <w:vAlign w:val="bottom"/>
          </w:tcPr>
          <w:p w14:paraId="5D3C7004" w14:textId="77777777" w:rsidR="00A169F2" w:rsidRPr="00D17621" w:rsidRDefault="00A169F2" w:rsidP="0039665D">
            <w:pPr>
              <w:keepNext/>
              <w:suppressAutoHyphens w:val="0"/>
              <w:spacing w:before="40" w:after="40" w:line="220" w:lineRule="exact"/>
              <w:jc w:val="right"/>
              <w:rPr>
                <w:sz w:val="18"/>
                <w:szCs w:val="24"/>
              </w:rPr>
            </w:pPr>
          </w:p>
        </w:tc>
        <w:tc>
          <w:tcPr>
            <w:tcW w:w="843" w:type="dxa"/>
            <w:tcBorders>
              <w:bottom w:val="single" w:sz="12" w:space="0" w:color="auto"/>
            </w:tcBorders>
            <w:shd w:val="clear" w:color="auto" w:fill="auto"/>
            <w:textDirection w:val="lrTbV"/>
            <w:vAlign w:val="bottom"/>
          </w:tcPr>
          <w:p w14:paraId="72A236FF" w14:textId="77777777" w:rsidR="00A169F2" w:rsidRPr="00D17621" w:rsidRDefault="00A169F2" w:rsidP="0039665D">
            <w:pPr>
              <w:keepNext/>
              <w:suppressAutoHyphens w:val="0"/>
              <w:spacing w:before="40" w:after="40" w:line="220" w:lineRule="exact"/>
              <w:jc w:val="right"/>
              <w:rPr>
                <w:sz w:val="18"/>
                <w:szCs w:val="24"/>
              </w:rPr>
            </w:pPr>
            <w:r w:rsidRPr="00D17621">
              <w:rPr>
                <w:sz w:val="18"/>
                <w:lang w:val="fr-FR"/>
              </w:rPr>
              <w:t>S</w:t>
            </w:r>
          </w:p>
        </w:tc>
      </w:tr>
    </w:tbl>
    <w:bookmarkEnd w:id="17"/>
    <w:p w14:paraId="217C6B15" w14:textId="58D7FDCB" w:rsidR="00A169F2" w:rsidRPr="00D17621" w:rsidRDefault="00A169F2" w:rsidP="00A169F2">
      <w:pPr>
        <w:keepNext/>
        <w:spacing w:before="120"/>
        <w:ind w:left="284" w:firstLine="170"/>
        <w:rPr>
          <w:sz w:val="16"/>
          <w:szCs w:val="18"/>
          <w:lang w:val="fr-FR"/>
        </w:rPr>
      </w:pPr>
      <w:r w:rsidRPr="00D17621">
        <w:rPr>
          <w:sz w:val="18"/>
          <w:szCs w:val="18"/>
          <w:lang w:val="fr-FR"/>
        </w:rPr>
        <w:t xml:space="preserve">* </w:t>
      </w:r>
      <w:r>
        <w:rPr>
          <w:sz w:val="18"/>
          <w:szCs w:val="18"/>
          <w:lang w:val="fr-FR"/>
        </w:rPr>
        <w:t xml:space="preserve"> </w:t>
      </w:r>
      <w:r w:rsidRPr="00D17621">
        <w:rPr>
          <w:sz w:val="18"/>
          <w:szCs w:val="18"/>
          <w:lang w:val="fr-FR"/>
        </w:rPr>
        <w:t>Y compris 22 plans de principe relatif au développement régional et leurs modifications (niveau régional)</w:t>
      </w:r>
      <w:r w:rsidR="00A3423F" w:rsidRPr="00A3423F">
        <w:rPr>
          <w:sz w:val="18"/>
          <w:szCs w:val="18"/>
          <w:lang w:val="fr-FR"/>
        </w:rPr>
        <w:t>.</w:t>
      </w:r>
    </w:p>
    <w:p w14:paraId="3D24C944" w14:textId="62CDE743" w:rsidR="00A169F2" w:rsidRPr="00D17621" w:rsidRDefault="00A169F2" w:rsidP="00A169F2">
      <w:pPr>
        <w:keepNext/>
        <w:ind w:left="284" w:firstLine="170"/>
        <w:rPr>
          <w:sz w:val="16"/>
          <w:szCs w:val="18"/>
          <w:lang w:val="fr-FR"/>
        </w:rPr>
      </w:pPr>
      <w:r w:rsidRPr="00D17621">
        <w:rPr>
          <w:sz w:val="18"/>
          <w:szCs w:val="18"/>
          <w:lang w:val="fr-FR"/>
        </w:rPr>
        <w:t xml:space="preserve">** </w:t>
      </w:r>
      <w:r>
        <w:rPr>
          <w:sz w:val="18"/>
          <w:szCs w:val="18"/>
          <w:lang w:val="fr-FR"/>
        </w:rPr>
        <w:t xml:space="preserve"> </w:t>
      </w:r>
      <w:r w:rsidRPr="00D17621">
        <w:rPr>
          <w:sz w:val="18"/>
          <w:szCs w:val="18"/>
          <w:lang w:val="fr-FR"/>
        </w:rPr>
        <w:t>300 plans directeurs locaux et 3</w:t>
      </w:r>
      <w:r>
        <w:rPr>
          <w:sz w:val="18"/>
          <w:szCs w:val="18"/>
          <w:lang w:val="fr-FR"/>
        </w:rPr>
        <w:t> </w:t>
      </w:r>
      <w:r w:rsidRPr="00D17621">
        <w:rPr>
          <w:sz w:val="18"/>
          <w:szCs w:val="18"/>
          <w:lang w:val="fr-FR"/>
        </w:rPr>
        <w:t>200</w:t>
      </w:r>
      <w:r>
        <w:rPr>
          <w:sz w:val="18"/>
          <w:szCs w:val="18"/>
          <w:lang w:val="fr-FR"/>
        </w:rPr>
        <w:t> </w:t>
      </w:r>
      <w:r w:rsidRPr="00D17621">
        <w:rPr>
          <w:sz w:val="18"/>
          <w:szCs w:val="18"/>
          <w:lang w:val="fr-FR"/>
        </w:rPr>
        <w:t>plans détaillés locaux</w:t>
      </w:r>
      <w:r w:rsidR="00A3423F" w:rsidRPr="00A3423F">
        <w:rPr>
          <w:sz w:val="18"/>
          <w:szCs w:val="18"/>
          <w:lang w:val="fr-FR"/>
        </w:rPr>
        <w:t>.</w:t>
      </w:r>
    </w:p>
    <w:p w14:paraId="4749F7DD" w14:textId="1DF5A0A7" w:rsidR="00A169F2" w:rsidRPr="00D17621" w:rsidRDefault="00A169F2" w:rsidP="00A169F2">
      <w:pPr>
        <w:keepNext/>
        <w:ind w:left="284" w:firstLine="170"/>
        <w:rPr>
          <w:sz w:val="18"/>
          <w:szCs w:val="18"/>
          <w:lang w:val="fr-FR"/>
        </w:rPr>
      </w:pPr>
      <w:r w:rsidRPr="00D17621">
        <w:rPr>
          <w:i/>
          <w:iCs/>
          <w:sz w:val="18"/>
          <w:szCs w:val="18"/>
          <w:lang w:val="fr-FR"/>
        </w:rPr>
        <w:t>Abréviations </w:t>
      </w:r>
      <w:r w:rsidRPr="009459E4">
        <w:rPr>
          <w:sz w:val="18"/>
          <w:szCs w:val="18"/>
          <w:lang w:val="fr-FR"/>
        </w:rPr>
        <w:t xml:space="preserve">: </w:t>
      </w:r>
      <w:r w:rsidRPr="00D17621">
        <w:rPr>
          <w:sz w:val="18"/>
          <w:szCs w:val="18"/>
          <w:lang w:val="fr-FR"/>
        </w:rPr>
        <w:t>Agri</w:t>
      </w:r>
      <w:r w:rsidR="00A3423F" w:rsidRPr="00A3423F">
        <w:rPr>
          <w:sz w:val="18"/>
          <w:szCs w:val="18"/>
          <w:lang w:val="fr-FR"/>
        </w:rPr>
        <w:t>.</w:t>
      </w:r>
      <w:r w:rsidRPr="00D17621">
        <w:rPr>
          <w:sz w:val="18"/>
          <w:szCs w:val="18"/>
          <w:lang w:val="fr-FR"/>
        </w:rPr>
        <w:t xml:space="preserve">, Agricole ; </w:t>
      </w:r>
      <w:proofErr w:type="spellStart"/>
      <w:r w:rsidRPr="00D17621">
        <w:rPr>
          <w:sz w:val="18"/>
          <w:szCs w:val="18"/>
          <w:lang w:val="fr-FR"/>
        </w:rPr>
        <w:t>Dév</w:t>
      </w:r>
      <w:proofErr w:type="spellEnd"/>
      <w:r w:rsidR="00A3423F" w:rsidRPr="00A3423F">
        <w:rPr>
          <w:sz w:val="18"/>
          <w:szCs w:val="18"/>
          <w:lang w:val="fr-FR"/>
        </w:rPr>
        <w:t>.</w:t>
      </w:r>
      <w:r w:rsidRPr="00D17621">
        <w:rPr>
          <w:sz w:val="18"/>
          <w:szCs w:val="18"/>
          <w:lang w:val="fr-FR"/>
        </w:rPr>
        <w:t xml:space="preserve"> régional, Développement régional ; Trans</w:t>
      </w:r>
      <w:r w:rsidR="00A3423F" w:rsidRPr="00A3423F">
        <w:rPr>
          <w:sz w:val="18"/>
          <w:szCs w:val="18"/>
          <w:lang w:val="fr-FR"/>
        </w:rPr>
        <w:t>.</w:t>
      </w:r>
      <w:r w:rsidRPr="00D17621">
        <w:rPr>
          <w:sz w:val="18"/>
          <w:szCs w:val="18"/>
          <w:lang w:val="fr-FR"/>
        </w:rPr>
        <w:t>, Transports ; Télécom</w:t>
      </w:r>
      <w:r>
        <w:rPr>
          <w:sz w:val="18"/>
          <w:szCs w:val="18"/>
          <w:lang w:val="fr-FR"/>
        </w:rPr>
        <w:t> </w:t>
      </w:r>
      <w:r w:rsidRPr="00D17621">
        <w:rPr>
          <w:sz w:val="18"/>
          <w:szCs w:val="18"/>
          <w:lang w:val="fr-FR"/>
        </w:rPr>
        <w:t>; Télécommunications</w:t>
      </w:r>
      <w:r w:rsidR="00A3423F" w:rsidRPr="00A3423F">
        <w:rPr>
          <w:sz w:val="18"/>
          <w:szCs w:val="18"/>
          <w:lang w:val="fr-FR"/>
        </w:rPr>
        <w:t>.</w:t>
      </w:r>
    </w:p>
    <w:p w14:paraId="7BB6C208" w14:textId="1ED663D2" w:rsidR="00A169F2" w:rsidRPr="00D17621" w:rsidRDefault="00A169F2" w:rsidP="00A169F2">
      <w:pPr>
        <w:keepNext/>
        <w:spacing w:after="240"/>
        <w:ind w:left="284" w:firstLine="170"/>
        <w:rPr>
          <w:sz w:val="16"/>
          <w:szCs w:val="18"/>
          <w:lang w:val="fr-FR"/>
        </w:rPr>
      </w:pPr>
      <w:r w:rsidRPr="00D17621">
        <w:rPr>
          <w:i/>
          <w:iCs/>
          <w:sz w:val="18"/>
          <w:szCs w:val="18"/>
          <w:lang w:val="fr-FR"/>
        </w:rPr>
        <w:t>Note </w:t>
      </w:r>
      <w:r w:rsidRPr="009459E4">
        <w:rPr>
          <w:sz w:val="18"/>
          <w:szCs w:val="18"/>
          <w:lang w:val="fr-FR"/>
        </w:rPr>
        <w:t xml:space="preserve">: </w:t>
      </w:r>
      <w:r w:rsidRPr="00D17621">
        <w:rPr>
          <w:sz w:val="18"/>
          <w:szCs w:val="18"/>
          <w:lang w:val="fr-FR"/>
        </w:rPr>
        <w:t>Ce tableau repose sur des informations incomplètes, car tous les répondants n</w:t>
      </w:r>
      <w:r>
        <w:rPr>
          <w:sz w:val="18"/>
          <w:szCs w:val="18"/>
          <w:lang w:val="fr-FR"/>
        </w:rPr>
        <w:t>’</w:t>
      </w:r>
      <w:r w:rsidRPr="00D17621">
        <w:rPr>
          <w:sz w:val="18"/>
          <w:szCs w:val="18"/>
          <w:lang w:val="fr-FR"/>
        </w:rPr>
        <w:t>ont pas regroupé leurs procédures d</w:t>
      </w:r>
      <w:r>
        <w:rPr>
          <w:sz w:val="18"/>
          <w:szCs w:val="18"/>
          <w:lang w:val="fr-FR"/>
        </w:rPr>
        <w:t>’</w:t>
      </w:r>
      <w:r w:rsidRPr="00D17621">
        <w:rPr>
          <w:sz w:val="18"/>
          <w:szCs w:val="18"/>
          <w:lang w:val="fr-FR"/>
        </w:rPr>
        <w:t xml:space="preserve">évaluation stratégique environnementale selon les secteurs </w:t>
      </w:r>
      <w:r>
        <w:rPr>
          <w:sz w:val="18"/>
          <w:szCs w:val="18"/>
          <w:lang w:val="fr-FR"/>
        </w:rPr>
        <w:br/>
      </w:r>
      <w:r w:rsidRPr="00D17621">
        <w:rPr>
          <w:sz w:val="18"/>
          <w:szCs w:val="18"/>
          <w:lang w:val="fr-FR"/>
        </w:rPr>
        <w:t>énumérés à l</w:t>
      </w:r>
      <w:r>
        <w:rPr>
          <w:sz w:val="18"/>
          <w:szCs w:val="18"/>
          <w:lang w:val="fr-FR"/>
        </w:rPr>
        <w:t>’</w:t>
      </w:r>
      <w:r w:rsidRPr="00D17621">
        <w:rPr>
          <w:sz w:val="18"/>
          <w:szCs w:val="18"/>
          <w:lang w:val="fr-FR"/>
        </w:rPr>
        <w:t>article 4</w:t>
      </w:r>
      <w:r w:rsidR="00A3423F" w:rsidRPr="00A3423F">
        <w:rPr>
          <w:sz w:val="18"/>
          <w:szCs w:val="18"/>
          <w:lang w:val="fr-FR"/>
        </w:rPr>
        <w:t>.</w:t>
      </w:r>
      <w:r w:rsidRPr="00D17621">
        <w:rPr>
          <w:sz w:val="18"/>
          <w:szCs w:val="18"/>
          <w:lang w:val="fr-FR"/>
        </w:rPr>
        <w:t>2</w:t>
      </w:r>
      <w:r w:rsidR="00A3423F" w:rsidRPr="00A3423F">
        <w:rPr>
          <w:sz w:val="18"/>
          <w:szCs w:val="18"/>
          <w:lang w:val="fr-FR"/>
        </w:rPr>
        <w:t>.</w:t>
      </w:r>
      <w:r w:rsidRPr="00D17621">
        <w:rPr>
          <w:sz w:val="18"/>
          <w:szCs w:val="18"/>
          <w:lang w:val="fr-FR"/>
        </w:rPr>
        <w:t xml:space="preserve"> En outre, certains répondants n</w:t>
      </w:r>
      <w:r>
        <w:rPr>
          <w:sz w:val="18"/>
          <w:szCs w:val="18"/>
          <w:lang w:val="fr-FR"/>
        </w:rPr>
        <w:t>’</w:t>
      </w:r>
      <w:r w:rsidRPr="00D17621">
        <w:rPr>
          <w:sz w:val="18"/>
          <w:szCs w:val="18"/>
          <w:lang w:val="fr-FR"/>
        </w:rPr>
        <w:t>ont pas été en mesure de déterminer le nombre de procédures d</w:t>
      </w:r>
      <w:r>
        <w:rPr>
          <w:sz w:val="18"/>
          <w:szCs w:val="18"/>
          <w:lang w:val="fr-FR"/>
        </w:rPr>
        <w:t>’</w:t>
      </w:r>
      <w:r w:rsidRPr="00D17621">
        <w:rPr>
          <w:sz w:val="18"/>
          <w:szCs w:val="18"/>
          <w:lang w:val="fr-FR"/>
        </w:rPr>
        <w:t xml:space="preserve">évaluation stratégique environnementale engagées au cours </w:t>
      </w:r>
      <w:r>
        <w:rPr>
          <w:sz w:val="18"/>
          <w:szCs w:val="18"/>
          <w:lang w:val="fr-FR"/>
        </w:rPr>
        <w:br/>
      </w:r>
      <w:r w:rsidRPr="00D17621">
        <w:rPr>
          <w:sz w:val="18"/>
          <w:szCs w:val="18"/>
          <w:lang w:val="fr-FR"/>
        </w:rPr>
        <w:t>de la période concernée, notamment au niveau local, en raison de données incomplètes ou de l</w:t>
      </w:r>
      <w:r>
        <w:rPr>
          <w:sz w:val="18"/>
          <w:szCs w:val="18"/>
          <w:lang w:val="fr-FR"/>
        </w:rPr>
        <w:t>’</w:t>
      </w:r>
      <w:r w:rsidRPr="00D17621">
        <w:rPr>
          <w:sz w:val="18"/>
          <w:szCs w:val="18"/>
          <w:lang w:val="fr-FR"/>
        </w:rPr>
        <w:t>absence de données statistiques</w:t>
      </w:r>
      <w:r w:rsidR="00A3423F" w:rsidRPr="00A3423F">
        <w:rPr>
          <w:sz w:val="18"/>
          <w:szCs w:val="18"/>
          <w:lang w:val="fr-FR"/>
        </w:rPr>
        <w:t>.</w:t>
      </w:r>
    </w:p>
    <w:p w14:paraId="2D3EAA90" w14:textId="77777777" w:rsidR="00A169F2" w:rsidRPr="00E15B31" w:rsidRDefault="00A169F2" w:rsidP="00A169F2">
      <w:pPr>
        <w:rPr>
          <w:lang w:val="fr-FR"/>
        </w:rPr>
      </w:pPr>
      <w:r w:rsidRPr="00E15B31">
        <w:rPr>
          <w:lang w:val="fr-FR"/>
        </w:rPr>
        <w:br w:type="page"/>
      </w:r>
    </w:p>
    <w:p w14:paraId="58222151" w14:textId="77777777" w:rsidR="00A169F2" w:rsidRPr="003A5596" w:rsidRDefault="00A169F2" w:rsidP="00847E55">
      <w:pPr>
        <w:pStyle w:val="Titre1"/>
        <w:ind w:left="284"/>
        <w:rPr>
          <w:rFonts w:ascii="Times" w:eastAsia="Times" w:hAnsi="Times" w:cs="Times"/>
          <w:i/>
          <w:lang w:val="fr-FR"/>
        </w:rPr>
      </w:pPr>
      <w:r w:rsidRPr="00322B48">
        <w:rPr>
          <w:lang w:val="fr-FR"/>
        </w:rPr>
        <w:lastRenderedPageBreak/>
        <w:t>Tableau 3</w:t>
      </w:r>
      <w:r>
        <w:rPr>
          <w:lang w:val="fr-FR"/>
        </w:rPr>
        <w:t xml:space="preserve"> </w:t>
      </w:r>
    </w:p>
    <w:p w14:paraId="3064F373" w14:textId="77777777" w:rsidR="00A169F2" w:rsidRPr="00D17621" w:rsidRDefault="00A169F2" w:rsidP="00847E55">
      <w:pPr>
        <w:pStyle w:val="Titre1"/>
        <w:spacing w:after="120"/>
        <w:ind w:left="284"/>
        <w:rPr>
          <w:rFonts w:eastAsia="Times"/>
          <w:b/>
          <w:bCs/>
          <w:lang w:val="fr-FR"/>
        </w:rPr>
      </w:pPr>
      <w:r w:rsidRPr="00D17621">
        <w:rPr>
          <w:b/>
          <w:bCs/>
          <w:lang w:val="fr-FR"/>
        </w:rPr>
        <w:t>Procédures transfrontières d</w:t>
      </w:r>
      <w:r>
        <w:rPr>
          <w:b/>
          <w:bCs/>
          <w:lang w:val="fr-FR"/>
        </w:rPr>
        <w:t>’</w:t>
      </w:r>
      <w:r w:rsidRPr="00D17621">
        <w:rPr>
          <w:b/>
          <w:bCs/>
          <w:lang w:val="fr-FR"/>
        </w:rPr>
        <w:t>évaluation stratégique environnementale engagées pendant la période 2019-2021</w:t>
      </w:r>
    </w:p>
    <w:tbl>
      <w:tblPr>
        <w:tblW w:w="13776" w:type="dxa"/>
        <w:tblInd w:w="283" w:type="dxa"/>
        <w:tblLayout w:type="fixed"/>
        <w:tblCellMar>
          <w:left w:w="0" w:type="dxa"/>
          <w:right w:w="0" w:type="dxa"/>
        </w:tblCellMar>
        <w:tblLook w:val="04A0" w:firstRow="1" w:lastRow="0" w:firstColumn="1" w:lastColumn="0" w:noHBand="0" w:noVBand="1"/>
      </w:tblPr>
      <w:tblGrid>
        <w:gridCol w:w="1797"/>
        <w:gridCol w:w="770"/>
        <w:gridCol w:w="770"/>
        <w:gridCol w:w="770"/>
        <w:gridCol w:w="770"/>
        <w:gridCol w:w="770"/>
        <w:gridCol w:w="771"/>
        <w:gridCol w:w="1096"/>
        <w:gridCol w:w="850"/>
        <w:gridCol w:w="851"/>
        <w:gridCol w:w="708"/>
        <w:gridCol w:w="783"/>
        <w:gridCol w:w="1091"/>
        <w:gridCol w:w="873"/>
        <w:gridCol w:w="553"/>
        <w:gridCol w:w="553"/>
      </w:tblGrid>
      <w:tr w:rsidR="00A169F2" w:rsidRPr="00D17621" w14:paraId="46B9E651" w14:textId="77777777" w:rsidTr="0039665D">
        <w:trPr>
          <w:cantSplit/>
          <w:tblHeader/>
        </w:trPr>
        <w:tc>
          <w:tcPr>
            <w:tcW w:w="1797" w:type="dxa"/>
            <w:tcBorders>
              <w:top w:val="single" w:sz="4" w:space="0" w:color="auto"/>
              <w:bottom w:val="single" w:sz="12" w:space="0" w:color="auto"/>
            </w:tcBorders>
            <w:shd w:val="clear" w:color="auto" w:fill="auto"/>
            <w:vAlign w:val="bottom"/>
          </w:tcPr>
          <w:p w14:paraId="2BDC4025" w14:textId="77777777" w:rsidR="00A169F2" w:rsidRPr="00D17621" w:rsidRDefault="00A169F2" w:rsidP="0039665D">
            <w:pPr>
              <w:suppressAutoHyphens w:val="0"/>
              <w:spacing w:before="80" w:after="80" w:line="200" w:lineRule="exact"/>
              <w:rPr>
                <w:i/>
                <w:sz w:val="16"/>
                <w:lang w:val="fr-FR"/>
              </w:rPr>
            </w:pPr>
            <w:r w:rsidRPr="00D17621">
              <w:rPr>
                <w:i/>
                <w:sz w:val="16"/>
                <w:lang w:val="fr-FR"/>
              </w:rPr>
              <w:t>Total/niveau local/niveau national</w:t>
            </w:r>
          </w:p>
          <w:p w14:paraId="3B959C37" w14:textId="77777777" w:rsidR="00A169F2" w:rsidRPr="00D17621" w:rsidRDefault="00A169F2" w:rsidP="0039665D">
            <w:pPr>
              <w:suppressAutoHyphens w:val="0"/>
              <w:spacing w:before="80" w:after="80" w:line="200" w:lineRule="exact"/>
              <w:rPr>
                <w:i/>
                <w:sz w:val="16"/>
                <w:lang w:val="fr-FR"/>
              </w:rPr>
            </w:pPr>
            <w:r w:rsidRPr="00D17621">
              <w:rPr>
                <w:i/>
                <w:sz w:val="16"/>
                <w:lang w:val="fr-FR"/>
              </w:rPr>
              <w:t>Partie d</w:t>
            </w:r>
            <w:r>
              <w:rPr>
                <w:i/>
                <w:sz w:val="16"/>
                <w:lang w:val="fr-FR"/>
              </w:rPr>
              <w:t>’</w:t>
            </w:r>
            <w:r w:rsidRPr="00D17621">
              <w:rPr>
                <w:i/>
                <w:sz w:val="16"/>
                <w:lang w:val="fr-FR"/>
              </w:rPr>
              <w:t xml:space="preserve">origine (Partie touchée) </w:t>
            </w:r>
          </w:p>
        </w:tc>
        <w:tc>
          <w:tcPr>
            <w:tcW w:w="770" w:type="dxa"/>
            <w:tcBorders>
              <w:top w:val="single" w:sz="4" w:space="0" w:color="auto"/>
              <w:bottom w:val="single" w:sz="12" w:space="0" w:color="auto"/>
            </w:tcBorders>
            <w:shd w:val="clear" w:color="auto" w:fill="auto"/>
            <w:textDirection w:val="lrTbV"/>
            <w:vAlign w:val="bottom"/>
          </w:tcPr>
          <w:p w14:paraId="7596BC79" w14:textId="77777777" w:rsidR="00A169F2" w:rsidRPr="00D17621" w:rsidRDefault="00A169F2" w:rsidP="0039665D">
            <w:pPr>
              <w:suppressAutoHyphens w:val="0"/>
              <w:spacing w:before="80" w:after="80" w:line="200" w:lineRule="exact"/>
              <w:jc w:val="right"/>
              <w:rPr>
                <w:i/>
                <w:sz w:val="16"/>
              </w:rPr>
            </w:pPr>
            <w:r w:rsidRPr="00D17621">
              <w:rPr>
                <w:i/>
                <w:sz w:val="16"/>
                <w:lang w:val="fr-FR"/>
              </w:rPr>
              <w:t>Agriculture</w:t>
            </w:r>
          </w:p>
        </w:tc>
        <w:tc>
          <w:tcPr>
            <w:tcW w:w="770" w:type="dxa"/>
            <w:tcBorders>
              <w:top w:val="single" w:sz="4" w:space="0" w:color="auto"/>
              <w:bottom w:val="single" w:sz="12" w:space="0" w:color="auto"/>
            </w:tcBorders>
            <w:shd w:val="clear" w:color="auto" w:fill="auto"/>
            <w:textDirection w:val="lrTbV"/>
            <w:vAlign w:val="bottom"/>
          </w:tcPr>
          <w:p w14:paraId="32C96DA3" w14:textId="77777777" w:rsidR="00A169F2" w:rsidRPr="00D17621" w:rsidRDefault="00A169F2" w:rsidP="0039665D">
            <w:pPr>
              <w:suppressAutoHyphens w:val="0"/>
              <w:spacing w:before="80" w:after="80" w:line="200" w:lineRule="exact"/>
              <w:jc w:val="right"/>
              <w:rPr>
                <w:i/>
                <w:sz w:val="16"/>
              </w:rPr>
            </w:pPr>
            <w:r w:rsidRPr="00D17621">
              <w:rPr>
                <w:i/>
                <w:sz w:val="16"/>
                <w:lang w:val="fr-FR"/>
              </w:rPr>
              <w:t>Forêts</w:t>
            </w:r>
          </w:p>
        </w:tc>
        <w:tc>
          <w:tcPr>
            <w:tcW w:w="770" w:type="dxa"/>
            <w:tcBorders>
              <w:top w:val="single" w:sz="4" w:space="0" w:color="auto"/>
              <w:bottom w:val="single" w:sz="12" w:space="0" w:color="auto"/>
            </w:tcBorders>
            <w:shd w:val="clear" w:color="auto" w:fill="auto"/>
            <w:textDirection w:val="lrTbV"/>
            <w:vAlign w:val="bottom"/>
          </w:tcPr>
          <w:p w14:paraId="747FCD78" w14:textId="77777777" w:rsidR="00A169F2" w:rsidRPr="00D17621" w:rsidRDefault="00A169F2" w:rsidP="0039665D">
            <w:pPr>
              <w:suppressAutoHyphens w:val="0"/>
              <w:spacing w:before="80" w:after="80" w:line="200" w:lineRule="exact"/>
              <w:jc w:val="right"/>
              <w:rPr>
                <w:i/>
                <w:sz w:val="16"/>
              </w:rPr>
            </w:pPr>
            <w:r w:rsidRPr="00D17621">
              <w:rPr>
                <w:i/>
                <w:sz w:val="16"/>
                <w:lang w:val="fr-FR"/>
              </w:rPr>
              <w:t>Pêches</w:t>
            </w:r>
          </w:p>
        </w:tc>
        <w:tc>
          <w:tcPr>
            <w:tcW w:w="770" w:type="dxa"/>
            <w:tcBorders>
              <w:top w:val="single" w:sz="4" w:space="0" w:color="auto"/>
              <w:bottom w:val="single" w:sz="12" w:space="0" w:color="auto"/>
            </w:tcBorders>
            <w:shd w:val="clear" w:color="auto" w:fill="auto"/>
            <w:textDirection w:val="lrTbV"/>
            <w:vAlign w:val="bottom"/>
          </w:tcPr>
          <w:p w14:paraId="65FA6AD4" w14:textId="77777777" w:rsidR="00A169F2" w:rsidRPr="00D17621" w:rsidRDefault="00A169F2" w:rsidP="0039665D">
            <w:pPr>
              <w:suppressAutoHyphens w:val="0"/>
              <w:spacing w:before="80" w:after="80" w:line="200" w:lineRule="exact"/>
              <w:jc w:val="right"/>
              <w:rPr>
                <w:i/>
                <w:sz w:val="16"/>
              </w:rPr>
            </w:pPr>
            <w:r w:rsidRPr="00D17621">
              <w:rPr>
                <w:i/>
                <w:sz w:val="16"/>
                <w:lang w:val="fr-FR"/>
              </w:rPr>
              <w:t>Énergie</w:t>
            </w:r>
          </w:p>
        </w:tc>
        <w:tc>
          <w:tcPr>
            <w:tcW w:w="770" w:type="dxa"/>
            <w:tcBorders>
              <w:top w:val="single" w:sz="4" w:space="0" w:color="auto"/>
              <w:bottom w:val="single" w:sz="12" w:space="0" w:color="auto"/>
            </w:tcBorders>
            <w:shd w:val="clear" w:color="auto" w:fill="auto"/>
            <w:textDirection w:val="lrTbV"/>
            <w:vAlign w:val="bottom"/>
          </w:tcPr>
          <w:p w14:paraId="52E13921" w14:textId="77777777" w:rsidR="00A169F2" w:rsidRPr="00D17621" w:rsidRDefault="00A169F2" w:rsidP="0039665D">
            <w:pPr>
              <w:suppressAutoHyphens w:val="0"/>
              <w:spacing w:before="80" w:after="80" w:line="200" w:lineRule="exact"/>
              <w:jc w:val="right"/>
              <w:rPr>
                <w:i/>
                <w:sz w:val="16"/>
              </w:rPr>
            </w:pPr>
            <w:r w:rsidRPr="00D17621">
              <w:rPr>
                <w:i/>
                <w:sz w:val="16"/>
                <w:lang w:val="fr-FR"/>
              </w:rPr>
              <w:t>Industrie</w:t>
            </w:r>
          </w:p>
        </w:tc>
        <w:tc>
          <w:tcPr>
            <w:tcW w:w="771" w:type="dxa"/>
            <w:tcBorders>
              <w:top w:val="single" w:sz="4" w:space="0" w:color="auto"/>
              <w:bottom w:val="single" w:sz="12" w:space="0" w:color="auto"/>
            </w:tcBorders>
            <w:shd w:val="clear" w:color="auto" w:fill="auto"/>
            <w:textDirection w:val="lrTbV"/>
            <w:vAlign w:val="bottom"/>
          </w:tcPr>
          <w:p w14:paraId="25599955" w14:textId="77777777" w:rsidR="00A169F2" w:rsidRPr="009459E4" w:rsidRDefault="00A169F2" w:rsidP="0039665D">
            <w:pPr>
              <w:suppressAutoHyphens w:val="0"/>
              <w:spacing w:before="80" w:after="80" w:line="200" w:lineRule="exact"/>
              <w:jc w:val="right"/>
              <w:rPr>
                <w:i/>
                <w:sz w:val="16"/>
                <w:lang w:val="fr-FR"/>
              </w:rPr>
            </w:pPr>
            <w:r w:rsidRPr="00D17621">
              <w:rPr>
                <w:i/>
                <w:sz w:val="16"/>
                <w:lang w:val="fr-FR"/>
              </w:rPr>
              <w:t>Transports</w:t>
            </w:r>
          </w:p>
        </w:tc>
        <w:tc>
          <w:tcPr>
            <w:tcW w:w="1096" w:type="dxa"/>
            <w:tcBorders>
              <w:top w:val="single" w:sz="4" w:space="0" w:color="auto"/>
              <w:bottom w:val="single" w:sz="12" w:space="0" w:color="auto"/>
            </w:tcBorders>
            <w:shd w:val="clear" w:color="auto" w:fill="auto"/>
            <w:textDirection w:val="lrTbV"/>
            <w:vAlign w:val="bottom"/>
          </w:tcPr>
          <w:p w14:paraId="795C0C65" w14:textId="77777777" w:rsidR="00A169F2" w:rsidRPr="00D17621" w:rsidRDefault="00A169F2" w:rsidP="0039665D">
            <w:pPr>
              <w:suppressAutoHyphens w:val="0"/>
              <w:spacing w:before="80" w:after="80" w:line="200" w:lineRule="exact"/>
              <w:jc w:val="right"/>
              <w:rPr>
                <w:i/>
                <w:sz w:val="16"/>
              </w:rPr>
            </w:pPr>
            <w:r w:rsidRPr="00D17621">
              <w:rPr>
                <w:i/>
                <w:sz w:val="16"/>
                <w:lang w:val="fr-FR"/>
              </w:rPr>
              <w:t>Développement régional</w:t>
            </w:r>
          </w:p>
        </w:tc>
        <w:tc>
          <w:tcPr>
            <w:tcW w:w="850" w:type="dxa"/>
            <w:tcBorders>
              <w:top w:val="single" w:sz="4" w:space="0" w:color="auto"/>
              <w:bottom w:val="single" w:sz="12" w:space="0" w:color="auto"/>
            </w:tcBorders>
            <w:shd w:val="clear" w:color="auto" w:fill="auto"/>
            <w:textDirection w:val="lrTbV"/>
            <w:vAlign w:val="bottom"/>
          </w:tcPr>
          <w:p w14:paraId="5B547993" w14:textId="77777777" w:rsidR="00A169F2" w:rsidRPr="00D17621" w:rsidRDefault="00A169F2" w:rsidP="0039665D">
            <w:pPr>
              <w:suppressAutoHyphens w:val="0"/>
              <w:spacing w:before="80" w:after="80" w:line="200" w:lineRule="exact"/>
              <w:jc w:val="right"/>
              <w:rPr>
                <w:i/>
                <w:sz w:val="16"/>
              </w:rPr>
            </w:pPr>
            <w:r w:rsidRPr="00D17621">
              <w:rPr>
                <w:i/>
                <w:sz w:val="16"/>
                <w:lang w:val="fr-FR"/>
              </w:rPr>
              <w:t>Gestion des déchets</w:t>
            </w:r>
          </w:p>
        </w:tc>
        <w:tc>
          <w:tcPr>
            <w:tcW w:w="851" w:type="dxa"/>
            <w:tcBorders>
              <w:top w:val="single" w:sz="4" w:space="0" w:color="auto"/>
              <w:bottom w:val="single" w:sz="12" w:space="0" w:color="auto"/>
            </w:tcBorders>
            <w:shd w:val="clear" w:color="auto" w:fill="auto"/>
            <w:textDirection w:val="lrTbV"/>
            <w:vAlign w:val="bottom"/>
          </w:tcPr>
          <w:p w14:paraId="52C8D20B" w14:textId="77777777" w:rsidR="00A169F2" w:rsidRPr="009459E4" w:rsidRDefault="00A169F2" w:rsidP="0039665D">
            <w:pPr>
              <w:suppressAutoHyphens w:val="0"/>
              <w:spacing w:before="80" w:after="80" w:line="200" w:lineRule="exact"/>
              <w:jc w:val="right"/>
              <w:rPr>
                <w:i/>
                <w:sz w:val="16"/>
                <w:szCs w:val="16"/>
                <w:lang w:val="fr-FR"/>
              </w:rPr>
            </w:pPr>
            <w:r w:rsidRPr="009459E4">
              <w:rPr>
                <w:i/>
                <w:sz w:val="16"/>
                <w:lang w:val="fr-FR"/>
              </w:rPr>
              <w:t>Gestion de l</w:t>
            </w:r>
            <w:r>
              <w:rPr>
                <w:i/>
                <w:sz w:val="16"/>
                <w:lang w:val="fr-FR"/>
              </w:rPr>
              <w:t>’</w:t>
            </w:r>
            <w:r w:rsidRPr="009459E4">
              <w:rPr>
                <w:i/>
                <w:sz w:val="16"/>
                <w:lang w:val="fr-FR"/>
              </w:rPr>
              <w:t>eau</w:t>
            </w:r>
          </w:p>
        </w:tc>
        <w:tc>
          <w:tcPr>
            <w:tcW w:w="708" w:type="dxa"/>
            <w:tcBorders>
              <w:top w:val="single" w:sz="4" w:space="0" w:color="auto"/>
              <w:bottom w:val="single" w:sz="12" w:space="0" w:color="auto"/>
            </w:tcBorders>
            <w:shd w:val="clear" w:color="auto" w:fill="auto"/>
            <w:textDirection w:val="lrTbV"/>
            <w:vAlign w:val="bottom"/>
          </w:tcPr>
          <w:p w14:paraId="7D2EE16F" w14:textId="644FFBDF" w:rsidR="00A169F2" w:rsidRPr="00D17621" w:rsidRDefault="00A169F2" w:rsidP="0039665D">
            <w:pPr>
              <w:suppressAutoHyphens w:val="0"/>
              <w:spacing w:before="80" w:after="80" w:line="200" w:lineRule="exact"/>
              <w:jc w:val="right"/>
              <w:rPr>
                <w:i/>
                <w:sz w:val="16"/>
              </w:rPr>
            </w:pPr>
            <w:r w:rsidRPr="00D17621">
              <w:rPr>
                <w:i/>
                <w:sz w:val="16"/>
                <w:lang w:val="fr-FR"/>
              </w:rPr>
              <w:t>Tél</w:t>
            </w:r>
            <w:r w:rsidR="00A3423F" w:rsidRPr="00A3423F">
              <w:rPr>
                <w:i/>
                <w:sz w:val="16"/>
                <w:lang w:val="fr-FR"/>
              </w:rPr>
              <w:t>.</w:t>
            </w:r>
          </w:p>
        </w:tc>
        <w:tc>
          <w:tcPr>
            <w:tcW w:w="783" w:type="dxa"/>
            <w:tcBorders>
              <w:top w:val="single" w:sz="4" w:space="0" w:color="auto"/>
              <w:bottom w:val="single" w:sz="12" w:space="0" w:color="auto"/>
            </w:tcBorders>
            <w:shd w:val="clear" w:color="auto" w:fill="auto"/>
            <w:textDirection w:val="lrTbV"/>
            <w:vAlign w:val="bottom"/>
          </w:tcPr>
          <w:p w14:paraId="0A8B5FAE" w14:textId="77777777" w:rsidR="00A169F2" w:rsidRPr="00D17621" w:rsidRDefault="00A169F2" w:rsidP="0039665D">
            <w:pPr>
              <w:suppressAutoHyphens w:val="0"/>
              <w:spacing w:before="80" w:after="80" w:line="200" w:lineRule="exact"/>
              <w:jc w:val="right"/>
              <w:rPr>
                <w:i/>
                <w:sz w:val="16"/>
              </w:rPr>
            </w:pPr>
            <w:r w:rsidRPr="00D17621">
              <w:rPr>
                <w:i/>
                <w:sz w:val="16"/>
                <w:lang w:val="fr-FR"/>
              </w:rPr>
              <w:t>Tourisme</w:t>
            </w:r>
          </w:p>
        </w:tc>
        <w:tc>
          <w:tcPr>
            <w:tcW w:w="1091" w:type="dxa"/>
            <w:tcBorders>
              <w:top w:val="single" w:sz="4" w:space="0" w:color="auto"/>
              <w:bottom w:val="single" w:sz="12" w:space="0" w:color="auto"/>
            </w:tcBorders>
            <w:shd w:val="clear" w:color="auto" w:fill="auto"/>
            <w:textDirection w:val="lrTbV"/>
            <w:vAlign w:val="bottom"/>
          </w:tcPr>
          <w:p w14:paraId="1FE24F89" w14:textId="77777777" w:rsidR="00A169F2" w:rsidRPr="00D17621" w:rsidRDefault="00A169F2" w:rsidP="0039665D">
            <w:pPr>
              <w:suppressAutoHyphens w:val="0"/>
              <w:spacing w:before="80" w:after="80" w:line="200" w:lineRule="exact"/>
              <w:jc w:val="right"/>
              <w:rPr>
                <w:i/>
                <w:sz w:val="16"/>
              </w:rPr>
            </w:pPr>
            <w:r w:rsidRPr="00D17621">
              <w:rPr>
                <w:i/>
                <w:sz w:val="16"/>
                <w:lang w:val="fr-FR"/>
              </w:rPr>
              <w:t>Aménagement villes/territoire</w:t>
            </w:r>
          </w:p>
        </w:tc>
        <w:tc>
          <w:tcPr>
            <w:tcW w:w="873" w:type="dxa"/>
            <w:tcBorders>
              <w:top w:val="single" w:sz="4" w:space="0" w:color="auto"/>
              <w:bottom w:val="single" w:sz="12" w:space="0" w:color="auto"/>
            </w:tcBorders>
            <w:shd w:val="clear" w:color="auto" w:fill="auto"/>
            <w:textDirection w:val="lrTbV"/>
            <w:vAlign w:val="bottom"/>
          </w:tcPr>
          <w:p w14:paraId="4811EC86" w14:textId="77777777" w:rsidR="00A169F2" w:rsidRPr="00D17621" w:rsidRDefault="00A169F2" w:rsidP="0039665D">
            <w:pPr>
              <w:suppressAutoHyphens w:val="0"/>
              <w:spacing w:before="80" w:after="80" w:line="200" w:lineRule="exact"/>
              <w:jc w:val="right"/>
              <w:rPr>
                <w:i/>
                <w:sz w:val="16"/>
              </w:rPr>
            </w:pPr>
            <w:r w:rsidRPr="00D17621">
              <w:rPr>
                <w:i/>
                <w:sz w:val="16"/>
                <w:lang w:val="fr-FR"/>
              </w:rPr>
              <w:t>Utilisation des terres</w:t>
            </w:r>
          </w:p>
        </w:tc>
        <w:tc>
          <w:tcPr>
            <w:tcW w:w="553" w:type="dxa"/>
            <w:tcBorders>
              <w:top w:val="single" w:sz="4" w:space="0" w:color="auto"/>
              <w:bottom w:val="single" w:sz="12" w:space="0" w:color="auto"/>
            </w:tcBorders>
            <w:shd w:val="clear" w:color="auto" w:fill="auto"/>
            <w:textDirection w:val="lrTbV"/>
            <w:vAlign w:val="bottom"/>
          </w:tcPr>
          <w:p w14:paraId="72AB9B88" w14:textId="77777777" w:rsidR="00A169F2" w:rsidRPr="00D17621" w:rsidRDefault="00A169F2" w:rsidP="0039665D">
            <w:pPr>
              <w:suppressAutoHyphens w:val="0"/>
              <w:spacing w:before="80" w:after="80" w:line="200" w:lineRule="exact"/>
              <w:jc w:val="right"/>
              <w:rPr>
                <w:i/>
                <w:sz w:val="16"/>
              </w:rPr>
            </w:pPr>
            <w:r w:rsidRPr="00D17621">
              <w:rPr>
                <w:i/>
                <w:sz w:val="16"/>
                <w:lang w:val="fr-FR"/>
              </w:rPr>
              <w:t>Autre</w:t>
            </w:r>
          </w:p>
        </w:tc>
        <w:tc>
          <w:tcPr>
            <w:tcW w:w="553" w:type="dxa"/>
            <w:tcBorders>
              <w:top w:val="single" w:sz="4" w:space="0" w:color="auto"/>
              <w:bottom w:val="single" w:sz="12" w:space="0" w:color="auto"/>
            </w:tcBorders>
            <w:shd w:val="clear" w:color="auto" w:fill="auto"/>
            <w:textDirection w:val="lrTbV"/>
            <w:vAlign w:val="bottom"/>
          </w:tcPr>
          <w:p w14:paraId="3C7A9BDB" w14:textId="77777777" w:rsidR="00A169F2" w:rsidRPr="00D17621" w:rsidRDefault="00A169F2" w:rsidP="0039665D">
            <w:pPr>
              <w:suppressAutoHyphens w:val="0"/>
              <w:spacing w:before="80" w:after="80" w:line="200" w:lineRule="exact"/>
              <w:jc w:val="right"/>
              <w:rPr>
                <w:i/>
                <w:sz w:val="16"/>
              </w:rPr>
            </w:pPr>
            <w:r w:rsidRPr="00D17621">
              <w:rPr>
                <w:i/>
                <w:sz w:val="16"/>
                <w:lang w:val="fr-FR"/>
              </w:rPr>
              <w:t>Total</w:t>
            </w:r>
          </w:p>
        </w:tc>
      </w:tr>
      <w:tr w:rsidR="00A169F2" w:rsidRPr="00D17621" w14:paraId="51BD82DB" w14:textId="77777777" w:rsidTr="0039665D">
        <w:tc>
          <w:tcPr>
            <w:tcW w:w="1797" w:type="dxa"/>
            <w:shd w:val="clear" w:color="auto" w:fill="auto"/>
          </w:tcPr>
          <w:p w14:paraId="64C58F62" w14:textId="77777777" w:rsidR="00A169F2" w:rsidRPr="00D17621" w:rsidRDefault="00A169F2" w:rsidP="0039665D">
            <w:pPr>
              <w:suppressAutoHyphens w:val="0"/>
              <w:spacing w:before="40" w:after="40" w:line="220" w:lineRule="exact"/>
              <w:rPr>
                <w:sz w:val="18"/>
                <w:szCs w:val="24"/>
              </w:rPr>
            </w:pPr>
            <w:r w:rsidRPr="00D17621">
              <w:rPr>
                <w:sz w:val="18"/>
                <w:lang w:val="fr-FR"/>
              </w:rPr>
              <w:t>Albanie</w:t>
            </w:r>
          </w:p>
        </w:tc>
        <w:tc>
          <w:tcPr>
            <w:tcW w:w="770" w:type="dxa"/>
            <w:shd w:val="clear" w:color="auto" w:fill="auto"/>
            <w:textDirection w:val="lrTbV"/>
            <w:vAlign w:val="bottom"/>
          </w:tcPr>
          <w:p w14:paraId="0A1A9A44"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99CD940"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1474F14"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7B1A282"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4B432D0"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000E2A63"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3A7CBCC1"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5E621912"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7468B0A9"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6F4E3D86"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279B40E2"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0A14D3AE"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5C0968D1"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006F303"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55A5B92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0(0)</w:t>
            </w:r>
          </w:p>
        </w:tc>
      </w:tr>
      <w:tr w:rsidR="00A169F2" w:rsidRPr="00D17621" w14:paraId="6BBDA66B" w14:textId="77777777" w:rsidTr="0039665D">
        <w:tc>
          <w:tcPr>
            <w:tcW w:w="1797" w:type="dxa"/>
            <w:shd w:val="clear" w:color="auto" w:fill="auto"/>
          </w:tcPr>
          <w:p w14:paraId="6E51FC66" w14:textId="77777777" w:rsidR="00A169F2" w:rsidRPr="00D17621" w:rsidDel="00E5581A" w:rsidRDefault="00A169F2" w:rsidP="0039665D">
            <w:pPr>
              <w:suppressAutoHyphens w:val="0"/>
              <w:spacing w:before="40" w:after="40" w:line="220" w:lineRule="exact"/>
              <w:rPr>
                <w:sz w:val="18"/>
                <w:szCs w:val="24"/>
              </w:rPr>
            </w:pPr>
            <w:r w:rsidRPr="00D17621">
              <w:rPr>
                <w:sz w:val="18"/>
                <w:lang w:val="fr-FR"/>
              </w:rPr>
              <w:t>Autriche</w:t>
            </w:r>
          </w:p>
        </w:tc>
        <w:tc>
          <w:tcPr>
            <w:tcW w:w="770" w:type="dxa"/>
            <w:shd w:val="clear" w:color="auto" w:fill="auto"/>
            <w:textDirection w:val="lrTbV"/>
            <w:vAlign w:val="bottom"/>
          </w:tcPr>
          <w:p w14:paraId="5A4CC40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E08F47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89774B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565512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w:t>
            </w:r>
          </w:p>
        </w:tc>
        <w:tc>
          <w:tcPr>
            <w:tcW w:w="770" w:type="dxa"/>
            <w:shd w:val="clear" w:color="auto" w:fill="auto"/>
            <w:vAlign w:val="bottom"/>
          </w:tcPr>
          <w:p w14:paraId="4AE6C8EA"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12B6962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1096" w:type="dxa"/>
            <w:shd w:val="clear" w:color="auto" w:fill="auto"/>
            <w:vAlign w:val="bottom"/>
          </w:tcPr>
          <w:p w14:paraId="01AADAD1"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12994172"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1C706AC4" w14:textId="77777777" w:rsidR="00A169F2" w:rsidRPr="00D17621" w:rsidDel="00E5581A"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1FBC9C19"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21BD3C15"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73B6B2AA" w14:textId="77777777" w:rsidR="00A169F2" w:rsidRPr="00D17621" w:rsidDel="00E5581A"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42F11713"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60EFC5C"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7F421B2"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5</w:t>
            </w:r>
          </w:p>
        </w:tc>
      </w:tr>
      <w:tr w:rsidR="00A169F2" w:rsidRPr="00D17621" w14:paraId="5C261720" w14:textId="77777777" w:rsidTr="0039665D">
        <w:tc>
          <w:tcPr>
            <w:tcW w:w="1797" w:type="dxa"/>
            <w:shd w:val="clear" w:color="auto" w:fill="auto"/>
          </w:tcPr>
          <w:p w14:paraId="65A64158" w14:textId="77777777" w:rsidR="00A169F2" w:rsidRPr="00D17621" w:rsidRDefault="00A169F2" w:rsidP="0039665D">
            <w:pPr>
              <w:suppressAutoHyphens w:val="0"/>
              <w:spacing w:before="40" w:after="40" w:line="220" w:lineRule="exact"/>
              <w:rPr>
                <w:sz w:val="18"/>
                <w:szCs w:val="24"/>
              </w:rPr>
            </w:pPr>
            <w:r w:rsidRPr="00D17621">
              <w:rPr>
                <w:sz w:val="18"/>
                <w:lang w:val="fr-FR"/>
              </w:rPr>
              <w:t>Bosnie-Herzégovine</w:t>
            </w:r>
          </w:p>
        </w:tc>
        <w:tc>
          <w:tcPr>
            <w:tcW w:w="770" w:type="dxa"/>
            <w:shd w:val="clear" w:color="auto" w:fill="auto"/>
            <w:textDirection w:val="lrTbV"/>
            <w:vAlign w:val="bottom"/>
          </w:tcPr>
          <w:p w14:paraId="3625AB2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E23DD5E"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0F05610"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F226167"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4FF9219"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7B948F36"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0D470B6C"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798DEAF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51" w:type="dxa"/>
            <w:shd w:val="clear" w:color="auto" w:fill="auto"/>
            <w:vAlign w:val="bottom"/>
          </w:tcPr>
          <w:p w14:paraId="547D44C0"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64C36D5D"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38476D0A"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272EF3D3"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4F4C9B4D"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48EEB4E9"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089F239E"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43E69297" w14:textId="77777777" w:rsidTr="0039665D">
        <w:tc>
          <w:tcPr>
            <w:tcW w:w="1797" w:type="dxa"/>
            <w:shd w:val="clear" w:color="auto" w:fill="auto"/>
          </w:tcPr>
          <w:p w14:paraId="3C51FF57" w14:textId="77777777" w:rsidR="00A169F2" w:rsidRPr="00D17621" w:rsidRDefault="00A169F2" w:rsidP="0039665D">
            <w:pPr>
              <w:suppressAutoHyphens w:val="0"/>
              <w:spacing w:before="40" w:after="40" w:line="220" w:lineRule="exact"/>
              <w:rPr>
                <w:sz w:val="18"/>
                <w:szCs w:val="24"/>
              </w:rPr>
            </w:pPr>
            <w:r w:rsidRPr="00D17621">
              <w:rPr>
                <w:sz w:val="18"/>
                <w:lang w:val="fr-FR"/>
              </w:rPr>
              <w:t>Croatie</w:t>
            </w:r>
          </w:p>
        </w:tc>
        <w:tc>
          <w:tcPr>
            <w:tcW w:w="770" w:type="dxa"/>
            <w:shd w:val="clear" w:color="auto" w:fill="auto"/>
            <w:textDirection w:val="lrTbV"/>
            <w:vAlign w:val="bottom"/>
          </w:tcPr>
          <w:p w14:paraId="30BD88D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23790F2"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8C082E2"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6C69F26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770" w:type="dxa"/>
            <w:shd w:val="clear" w:color="auto" w:fill="auto"/>
            <w:vAlign w:val="bottom"/>
          </w:tcPr>
          <w:p w14:paraId="3784BB73"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7A17EB7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1096" w:type="dxa"/>
            <w:shd w:val="clear" w:color="auto" w:fill="auto"/>
            <w:vAlign w:val="bottom"/>
          </w:tcPr>
          <w:p w14:paraId="02B01E8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50" w:type="dxa"/>
            <w:shd w:val="clear" w:color="auto" w:fill="auto"/>
            <w:vAlign w:val="bottom"/>
          </w:tcPr>
          <w:p w14:paraId="398FD7D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4/0/4</w:t>
            </w:r>
          </w:p>
        </w:tc>
        <w:tc>
          <w:tcPr>
            <w:tcW w:w="851" w:type="dxa"/>
            <w:shd w:val="clear" w:color="auto" w:fill="auto"/>
            <w:vAlign w:val="bottom"/>
          </w:tcPr>
          <w:p w14:paraId="5E573E4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708" w:type="dxa"/>
            <w:shd w:val="clear" w:color="auto" w:fill="auto"/>
            <w:vAlign w:val="bottom"/>
          </w:tcPr>
          <w:p w14:paraId="53FDE47E"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4E338B6A"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2A7852F3"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65130E4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553" w:type="dxa"/>
            <w:shd w:val="clear" w:color="auto" w:fill="auto"/>
            <w:vAlign w:val="bottom"/>
          </w:tcPr>
          <w:p w14:paraId="27172650"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E259C36"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2(7)</w:t>
            </w:r>
          </w:p>
        </w:tc>
      </w:tr>
      <w:tr w:rsidR="00A169F2" w:rsidRPr="00D17621" w14:paraId="73EED89B" w14:textId="77777777" w:rsidTr="0039665D">
        <w:tc>
          <w:tcPr>
            <w:tcW w:w="1797" w:type="dxa"/>
            <w:shd w:val="clear" w:color="auto" w:fill="auto"/>
          </w:tcPr>
          <w:p w14:paraId="7F9295ED" w14:textId="77777777" w:rsidR="00A169F2" w:rsidRPr="00D17621" w:rsidRDefault="00A169F2" w:rsidP="0039665D">
            <w:pPr>
              <w:suppressAutoHyphens w:val="0"/>
              <w:spacing w:before="40" w:after="40" w:line="220" w:lineRule="exact"/>
              <w:rPr>
                <w:sz w:val="18"/>
                <w:szCs w:val="24"/>
              </w:rPr>
            </w:pPr>
            <w:r w:rsidRPr="00D17621">
              <w:rPr>
                <w:sz w:val="18"/>
                <w:lang w:val="fr-FR"/>
              </w:rPr>
              <w:t>Espagne</w:t>
            </w:r>
          </w:p>
        </w:tc>
        <w:tc>
          <w:tcPr>
            <w:tcW w:w="770" w:type="dxa"/>
            <w:shd w:val="clear" w:color="auto" w:fill="auto"/>
            <w:textDirection w:val="lrTbV"/>
            <w:vAlign w:val="bottom"/>
          </w:tcPr>
          <w:p w14:paraId="358E949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9E7497C"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8FAF1B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E17C0E3"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004FA25B"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0A142107"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4143C437"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5FCB3C73"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12DAE77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w:t>
            </w:r>
          </w:p>
        </w:tc>
        <w:tc>
          <w:tcPr>
            <w:tcW w:w="708" w:type="dxa"/>
            <w:shd w:val="clear" w:color="auto" w:fill="auto"/>
            <w:vAlign w:val="bottom"/>
          </w:tcPr>
          <w:p w14:paraId="72EE71FB"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40979B67"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13318394"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6D919157"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0481A8E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w:t>
            </w:r>
          </w:p>
        </w:tc>
        <w:tc>
          <w:tcPr>
            <w:tcW w:w="553" w:type="dxa"/>
            <w:shd w:val="clear" w:color="auto" w:fill="auto"/>
            <w:vAlign w:val="bottom"/>
          </w:tcPr>
          <w:p w14:paraId="7D384CFF"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62C61A68" w14:textId="77777777" w:rsidTr="0039665D">
        <w:tc>
          <w:tcPr>
            <w:tcW w:w="1797" w:type="dxa"/>
            <w:shd w:val="clear" w:color="auto" w:fill="auto"/>
          </w:tcPr>
          <w:p w14:paraId="2CF8A9D2" w14:textId="77777777" w:rsidR="00A169F2" w:rsidRPr="00D17621" w:rsidRDefault="00A169F2" w:rsidP="0039665D">
            <w:pPr>
              <w:suppressAutoHyphens w:val="0"/>
              <w:spacing w:before="40" w:after="40" w:line="220" w:lineRule="exact"/>
              <w:rPr>
                <w:sz w:val="18"/>
                <w:szCs w:val="24"/>
              </w:rPr>
            </w:pPr>
            <w:r w:rsidRPr="00D17621">
              <w:rPr>
                <w:sz w:val="18"/>
                <w:lang w:val="fr-FR"/>
              </w:rPr>
              <w:t>Estonie</w:t>
            </w:r>
          </w:p>
        </w:tc>
        <w:tc>
          <w:tcPr>
            <w:tcW w:w="770" w:type="dxa"/>
            <w:shd w:val="clear" w:color="auto" w:fill="auto"/>
            <w:textDirection w:val="lrTbV"/>
            <w:vAlign w:val="bottom"/>
          </w:tcPr>
          <w:p w14:paraId="5A97AC5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07BB5149"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82A2287"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37B7A0C" w14:textId="77777777" w:rsidR="00A169F2" w:rsidRPr="00D17621" w:rsidDel="00E5581A"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305F280"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4635180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1096" w:type="dxa"/>
            <w:shd w:val="clear" w:color="auto" w:fill="auto"/>
            <w:vAlign w:val="bottom"/>
          </w:tcPr>
          <w:p w14:paraId="7DE7A45F"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3A99DCEE"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1/0/1</w:t>
            </w:r>
          </w:p>
        </w:tc>
        <w:tc>
          <w:tcPr>
            <w:tcW w:w="851" w:type="dxa"/>
            <w:shd w:val="clear" w:color="auto" w:fill="auto"/>
            <w:vAlign w:val="bottom"/>
          </w:tcPr>
          <w:p w14:paraId="3BBD5939"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6A14B37A"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37362C02"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344316A7"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0CC8DAEA"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1082F91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5/0/5</w:t>
            </w:r>
          </w:p>
        </w:tc>
        <w:tc>
          <w:tcPr>
            <w:tcW w:w="553" w:type="dxa"/>
            <w:shd w:val="clear" w:color="auto" w:fill="auto"/>
            <w:vAlign w:val="bottom"/>
          </w:tcPr>
          <w:p w14:paraId="0B9B6032"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3(4)</w:t>
            </w:r>
          </w:p>
        </w:tc>
      </w:tr>
      <w:tr w:rsidR="00A169F2" w:rsidRPr="00D17621" w14:paraId="28BA5370" w14:textId="77777777" w:rsidTr="0039665D">
        <w:tc>
          <w:tcPr>
            <w:tcW w:w="1797" w:type="dxa"/>
            <w:shd w:val="clear" w:color="auto" w:fill="auto"/>
          </w:tcPr>
          <w:p w14:paraId="64EFE31E" w14:textId="77777777" w:rsidR="00A169F2" w:rsidRPr="00D17621" w:rsidRDefault="00A169F2" w:rsidP="0039665D">
            <w:pPr>
              <w:suppressAutoHyphens w:val="0"/>
              <w:spacing w:before="40" w:after="40" w:line="220" w:lineRule="exact"/>
              <w:rPr>
                <w:sz w:val="18"/>
                <w:szCs w:val="24"/>
              </w:rPr>
            </w:pPr>
            <w:r w:rsidRPr="00D17621">
              <w:rPr>
                <w:sz w:val="18"/>
                <w:lang w:val="fr-FR"/>
              </w:rPr>
              <w:t>Finlande</w:t>
            </w:r>
          </w:p>
        </w:tc>
        <w:tc>
          <w:tcPr>
            <w:tcW w:w="770" w:type="dxa"/>
            <w:shd w:val="clear" w:color="auto" w:fill="auto"/>
            <w:textDirection w:val="lrTbV"/>
            <w:vAlign w:val="bottom"/>
          </w:tcPr>
          <w:p w14:paraId="61E8DFD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DE05B87"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63241FC2"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BE34DE2"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A2FD355"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77CB4402"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4BFD02A7"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445B994F"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091540F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6/4/2</w:t>
            </w:r>
          </w:p>
        </w:tc>
        <w:tc>
          <w:tcPr>
            <w:tcW w:w="708" w:type="dxa"/>
            <w:shd w:val="clear" w:color="auto" w:fill="auto"/>
            <w:vAlign w:val="bottom"/>
          </w:tcPr>
          <w:p w14:paraId="0F6A38B2"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790DCCE4"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217A4AEE"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2/1/1</w:t>
            </w:r>
          </w:p>
        </w:tc>
        <w:tc>
          <w:tcPr>
            <w:tcW w:w="873" w:type="dxa"/>
            <w:shd w:val="clear" w:color="auto" w:fill="auto"/>
            <w:vAlign w:val="bottom"/>
          </w:tcPr>
          <w:p w14:paraId="6B9948ED"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28F9C56"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0A6D9358"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24368591" w14:textId="77777777" w:rsidTr="0039665D">
        <w:tc>
          <w:tcPr>
            <w:tcW w:w="1797" w:type="dxa"/>
            <w:shd w:val="clear" w:color="auto" w:fill="auto"/>
          </w:tcPr>
          <w:p w14:paraId="0F1FB992" w14:textId="77777777" w:rsidR="00A169F2" w:rsidRPr="00D17621" w:rsidRDefault="00A169F2" w:rsidP="0039665D">
            <w:pPr>
              <w:suppressAutoHyphens w:val="0"/>
              <w:spacing w:before="40" w:after="40" w:line="220" w:lineRule="exact"/>
              <w:rPr>
                <w:sz w:val="18"/>
                <w:szCs w:val="24"/>
              </w:rPr>
            </w:pPr>
            <w:r w:rsidRPr="00D17621">
              <w:rPr>
                <w:sz w:val="18"/>
                <w:lang w:val="fr-FR"/>
              </w:rPr>
              <w:t>Hongrie</w:t>
            </w:r>
          </w:p>
        </w:tc>
        <w:tc>
          <w:tcPr>
            <w:tcW w:w="770" w:type="dxa"/>
            <w:shd w:val="clear" w:color="auto" w:fill="auto"/>
            <w:textDirection w:val="lrTbV"/>
            <w:vAlign w:val="bottom"/>
          </w:tcPr>
          <w:p w14:paraId="4F1ECD43"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6BB5582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703E80D"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BE9F56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770" w:type="dxa"/>
            <w:shd w:val="clear" w:color="auto" w:fill="auto"/>
            <w:vAlign w:val="bottom"/>
          </w:tcPr>
          <w:p w14:paraId="3977DFC9"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46D0EF6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w:t>
            </w:r>
          </w:p>
        </w:tc>
        <w:tc>
          <w:tcPr>
            <w:tcW w:w="1096" w:type="dxa"/>
            <w:shd w:val="clear" w:color="auto" w:fill="auto"/>
            <w:vAlign w:val="bottom"/>
          </w:tcPr>
          <w:p w14:paraId="587DCE10"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6D570EC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51" w:type="dxa"/>
            <w:shd w:val="clear" w:color="auto" w:fill="auto"/>
            <w:vAlign w:val="bottom"/>
          </w:tcPr>
          <w:p w14:paraId="3FDE053D"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437BCA34"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7F090CF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1091" w:type="dxa"/>
            <w:shd w:val="clear" w:color="auto" w:fill="auto"/>
            <w:vAlign w:val="bottom"/>
          </w:tcPr>
          <w:p w14:paraId="19429AE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w:t>
            </w:r>
          </w:p>
        </w:tc>
        <w:tc>
          <w:tcPr>
            <w:tcW w:w="873" w:type="dxa"/>
            <w:shd w:val="clear" w:color="auto" w:fill="auto"/>
            <w:vAlign w:val="bottom"/>
          </w:tcPr>
          <w:p w14:paraId="2B3C39B3"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407E55F4"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49B447E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 (12)</w:t>
            </w:r>
          </w:p>
        </w:tc>
      </w:tr>
      <w:tr w:rsidR="00A169F2" w:rsidRPr="00D17621" w14:paraId="76131923" w14:textId="77777777" w:rsidTr="0039665D">
        <w:tc>
          <w:tcPr>
            <w:tcW w:w="1797" w:type="dxa"/>
            <w:shd w:val="clear" w:color="auto" w:fill="auto"/>
          </w:tcPr>
          <w:p w14:paraId="5AAEC4B2" w14:textId="77777777" w:rsidR="00A169F2" w:rsidRPr="00D17621" w:rsidRDefault="00A169F2" w:rsidP="0039665D">
            <w:pPr>
              <w:suppressAutoHyphens w:val="0"/>
              <w:spacing w:before="40" w:after="40" w:line="220" w:lineRule="exact"/>
              <w:rPr>
                <w:sz w:val="18"/>
                <w:szCs w:val="24"/>
              </w:rPr>
            </w:pPr>
            <w:r w:rsidRPr="00D17621">
              <w:rPr>
                <w:sz w:val="18"/>
                <w:lang w:val="fr-FR"/>
              </w:rPr>
              <w:t>Lettonie</w:t>
            </w:r>
          </w:p>
        </w:tc>
        <w:tc>
          <w:tcPr>
            <w:tcW w:w="770" w:type="dxa"/>
            <w:shd w:val="clear" w:color="auto" w:fill="auto"/>
            <w:textDirection w:val="lrTbV"/>
            <w:vAlign w:val="bottom"/>
          </w:tcPr>
          <w:p w14:paraId="7DBCC344"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D9C0967"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6219E70"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02C82FB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4DB513A"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7CC7FE6D" w14:textId="77777777" w:rsidR="00A169F2" w:rsidRPr="00D17621" w:rsidDel="00E5581A"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1F78A312"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7214AC99" w14:textId="77777777" w:rsidR="00A169F2" w:rsidRPr="00D17621" w:rsidDel="00E5581A"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1E2E593A" w14:textId="77777777" w:rsidR="00A169F2" w:rsidRPr="00D17621" w:rsidDel="00E5581A"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7321D26B"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73925698"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5010EBA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1(3)</w:t>
            </w:r>
          </w:p>
        </w:tc>
        <w:tc>
          <w:tcPr>
            <w:tcW w:w="873" w:type="dxa"/>
            <w:shd w:val="clear" w:color="auto" w:fill="auto"/>
            <w:vAlign w:val="bottom"/>
          </w:tcPr>
          <w:p w14:paraId="342CFE78"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D2B2027"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A7D5AD9"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1(3)</w:t>
            </w:r>
          </w:p>
        </w:tc>
      </w:tr>
      <w:tr w:rsidR="00A169F2" w:rsidRPr="00D17621" w14:paraId="50619967" w14:textId="77777777" w:rsidTr="0039665D">
        <w:tc>
          <w:tcPr>
            <w:tcW w:w="1797" w:type="dxa"/>
            <w:shd w:val="clear" w:color="auto" w:fill="auto"/>
          </w:tcPr>
          <w:p w14:paraId="55B8398B" w14:textId="77777777" w:rsidR="00A169F2" w:rsidRPr="00D17621" w:rsidRDefault="00A169F2" w:rsidP="0039665D">
            <w:pPr>
              <w:suppressAutoHyphens w:val="0"/>
              <w:spacing w:before="40" w:after="40" w:line="220" w:lineRule="exact"/>
              <w:rPr>
                <w:sz w:val="18"/>
                <w:szCs w:val="24"/>
              </w:rPr>
            </w:pPr>
            <w:r w:rsidRPr="00D17621">
              <w:rPr>
                <w:sz w:val="18"/>
                <w:lang w:val="fr-FR"/>
              </w:rPr>
              <w:t>Lituanie</w:t>
            </w:r>
          </w:p>
        </w:tc>
        <w:tc>
          <w:tcPr>
            <w:tcW w:w="770" w:type="dxa"/>
            <w:shd w:val="clear" w:color="auto" w:fill="auto"/>
            <w:textDirection w:val="lrTbV"/>
            <w:vAlign w:val="bottom"/>
          </w:tcPr>
          <w:p w14:paraId="17845DA5"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C0935BE"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185F99B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6988CDF"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56111DD"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37F736BC"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21FB8FE8"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4ACC874E"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236F94E1"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0AAF318A"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7E0C3EA4"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36CC0CA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873" w:type="dxa"/>
            <w:shd w:val="clear" w:color="auto" w:fill="auto"/>
            <w:vAlign w:val="bottom"/>
          </w:tcPr>
          <w:p w14:paraId="4D0ED5F6"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4D33100A"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AFB2906"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257CB120" w14:textId="77777777" w:rsidTr="0039665D">
        <w:tc>
          <w:tcPr>
            <w:tcW w:w="1797" w:type="dxa"/>
            <w:shd w:val="clear" w:color="auto" w:fill="auto"/>
          </w:tcPr>
          <w:p w14:paraId="4B46F689" w14:textId="77777777" w:rsidR="00A169F2" w:rsidRPr="00D17621" w:rsidRDefault="00A169F2" w:rsidP="0039665D">
            <w:pPr>
              <w:suppressAutoHyphens w:val="0"/>
              <w:spacing w:before="40" w:after="40" w:line="220" w:lineRule="exact"/>
              <w:rPr>
                <w:sz w:val="18"/>
                <w:szCs w:val="24"/>
              </w:rPr>
            </w:pPr>
            <w:r w:rsidRPr="00D17621">
              <w:rPr>
                <w:sz w:val="18"/>
                <w:lang w:val="fr-FR"/>
              </w:rPr>
              <w:t>Luxembourg</w:t>
            </w:r>
          </w:p>
        </w:tc>
        <w:tc>
          <w:tcPr>
            <w:tcW w:w="770" w:type="dxa"/>
            <w:shd w:val="clear" w:color="auto" w:fill="auto"/>
            <w:textDirection w:val="lrTbV"/>
            <w:vAlign w:val="bottom"/>
          </w:tcPr>
          <w:p w14:paraId="7C6CB1BE"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0EBCD4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770" w:type="dxa"/>
            <w:shd w:val="clear" w:color="auto" w:fill="auto"/>
            <w:vAlign w:val="bottom"/>
          </w:tcPr>
          <w:p w14:paraId="212EA4AA"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156FC41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770" w:type="dxa"/>
            <w:shd w:val="clear" w:color="auto" w:fill="auto"/>
            <w:vAlign w:val="bottom"/>
          </w:tcPr>
          <w:p w14:paraId="7BC2278D"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627448D4"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221AC98E"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78B30C9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w:t>
            </w:r>
          </w:p>
        </w:tc>
        <w:tc>
          <w:tcPr>
            <w:tcW w:w="851" w:type="dxa"/>
            <w:shd w:val="clear" w:color="auto" w:fill="auto"/>
            <w:vAlign w:val="bottom"/>
          </w:tcPr>
          <w:p w14:paraId="07F641E4"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708" w:type="dxa"/>
            <w:shd w:val="clear" w:color="auto" w:fill="auto"/>
            <w:vAlign w:val="bottom"/>
          </w:tcPr>
          <w:p w14:paraId="0D4A7D41"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7DB3EDA4"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7AB0B44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873" w:type="dxa"/>
            <w:shd w:val="clear" w:color="auto" w:fill="auto"/>
            <w:vAlign w:val="bottom"/>
          </w:tcPr>
          <w:p w14:paraId="6800B978"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ED81AE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553" w:type="dxa"/>
            <w:shd w:val="clear" w:color="auto" w:fill="auto"/>
            <w:vAlign w:val="bottom"/>
          </w:tcPr>
          <w:p w14:paraId="438D798B"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07B214A3" w14:textId="77777777" w:rsidTr="0039665D">
        <w:tc>
          <w:tcPr>
            <w:tcW w:w="1797" w:type="dxa"/>
            <w:shd w:val="clear" w:color="auto" w:fill="auto"/>
          </w:tcPr>
          <w:p w14:paraId="3BA3D41E" w14:textId="77777777" w:rsidR="00A169F2" w:rsidRPr="00D17621" w:rsidRDefault="00A169F2" w:rsidP="0039665D">
            <w:pPr>
              <w:suppressAutoHyphens w:val="0"/>
              <w:spacing w:before="40" w:after="40" w:line="220" w:lineRule="exact"/>
              <w:rPr>
                <w:sz w:val="18"/>
                <w:szCs w:val="24"/>
              </w:rPr>
            </w:pPr>
            <w:r w:rsidRPr="00D17621">
              <w:rPr>
                <w:sz w:val="18"/>
                <w:lang w:val="fr-FR"/>
              </w:rPr>
              <w:t>Monténégro</w:t>
            </w:r>
          </w:p>
        </w:tc>
        <w:tc>
          <w:tcPr>
            <w:tcW w:w="770" w:type="dxa"/>
            <w:shd w:val="clear" w:color="auto" w:fill="auto"/>
            <w:textDirection w:val="lrTbV"/>
            <w:vAlign w:val="bottom"/>
          </w:tcPr>
          <w:p w14:paraId="170D654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7F3419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A280DCE"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DA66A7A"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44FD7EF"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361BD15A"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643B4854"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5152A82A"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6B0A317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2/-/-</w:t>
            </w:r>
          </w:p>
        </w:tc>
        <w:tc>
          <w:tcPr>
            <w:tcW w:w="708" w:type="dxa"/>
            <w:shd w:val="clear" w:color="auto" w:fill="auto"/>
            <w:vAlign w:val="bottom"/>
          </w:tcPr>
          <w:p w14:paraId="0117A242"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02B8682A"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7780D0D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73" w:type="dxa"/>
            <w:shd w:val="clear" w:color="auto" w:fill="auto"/>
            <w:vAlign w:val="bottom"/>
          </w:tcPr>
          <w:p w14:paraId="23D90603"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57C85EE8"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CEDBE80"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2CD7DC70" w14:textId="77777777" w:rsidTr="0039665D">
        <w:tc>
          <w:tcPr>
            <w:tcW w:w="1797" w:type="dxa"/>
            <w:shd w:val="clear" w:color="auto" w:fill="auto"/>
          </w:tcPr>
          <w:p w14:paraId="55CE666A" w14:textId="77777777" w:rsidR="00A169F2" w:rsidRPr="00D17621" w:rsidRDefault="00A169F2" w:rsidP="0039665D">
            <w:pPr>
              <w:suppressAutoHyphens w:val="0"/>
              <w:spacing w:before="40" w:after="40" w:line="220" w:lineRule="exact"/>
              <w:rPr>
                <w:sz w:val="18"/>
                <w:szCs w:val="24"/>
              </w:rPr>
            </w:pPr>
            <w:r w:rsidRPr="00D17621">
              <w:rPr>
                <w:sz w:val="18"/>
                <w:lang w:val="fr-FR"/>
              </w:rPr>
              <w:t>Pologne</w:t>
            </w:r>
          </w:p>
        </w:tc>
        <w:tc>
          <w:tcPr>
            <w:tcW w:w="770" w:type="dxa"/>
            <w:shd w:val="clear" w:color="auto" w:fill="auto"/>
            <w:textDirection w:val="lrTbV"/>
            <w:vAlign w:val="bottom"/>
          </w:tcPr>
          <w:p w14:paraId="6A3BC8FF"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129ACC56"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79DAFB8"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76B13B0"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770" w:type="dxa"/>
            <w:shd w:val="clear" w:color="auto" w:fill="auto"/>
            <w:vAlign w:val="bottom"/>
          </w:tcPr>
          <w:p w14:paraId="41DF2BB7"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299CF116"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04D99829"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2AAF1518"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19C8F60A"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4D939993"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3277823B"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2DCBE581"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02305810"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13AF1B4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553" w:type="dxa"/>
            <w:shd w:val="clear" w:color="auto" w:fill="auto"/>
            <w:vAlign w:val="bottom"/>
          </w:tcPr>
          <w:p w14:paraId="3FB5645B"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2F6445ED" w14:textId="77777777" w:rsidTr="0039665D">
        <w:tc>
          <w:tcPr>
            <w:tcW w:w="1797" w:type="dxa"/>
            <w:shd w:val="clear" w:color="auto" w:fill="auto"/>
          </w:tcPr>
          <w:p w14:paraId="7030854F" w14:textId="703760F2" w:rsidR="00A169F2" w:rsidRPr="00D17621" w:rsidRDefault="00A169F2" w:rsidP="0039665D">
            <w:pPr>
              <w:suppressAutoHyphens w:val="0"/>
              <w:spacing w:before="40" w:after="40" w:line="220" w:lineRule="exact"/>
              <w:rPr>
                <w:sz w:val="18"/>
                <w:szCs w:val="24"/>
              </w:rPr>
            </w:pPr>
            <w:proofErr w:type="spellStart"/>
            <w:r w:rsidRPr="00D17621">
              <w:rPr>
                <w:sz w:val="18"/>
                <w:lang w:val="fr-FR"/>
              </w:rPr>
              <w:t>Rép</w:t>
            </w:r>
            <w:proofErr w:type="spellEnd"/>
            <w:r w:rsidR="00A3423F" w:rsidRPr="00A3423F">
              <w:rPr>
                <w:sz w:val="18"/>
                <w:lang w:val="fr-FR"/>
              </w:rPr>
              <w:t>.</w:t>
            </w:r>
            <w:r w:rsidRPr="00D17621">
              <w:rPr>
                <w:sz w:val="18"/>
                <w:lang w:val="fr-FR"/>
              </w:rPr>
              <w:t xml:space="preserve"> de Moldova</w:t>
            </w:r>
          </w:p>
        </w:tc>
        <w:tc>
          <w:tcPr>
            <w:tcW w:w="770" w:type="dxa"/>
            <w:shd w:val="clear" w:color="auto" w:fill="auto"/>
            <w:textDirection w:val="lrTbV"/>
            <w:vAlign w:val="bottom"/>
          </w:tcPr>
          <w:p w14:paraId="107712A0"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43123F65"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E16D32B"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CAFEB6B"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770" w:type="dxa"/>
            <w:shd w:val="clear" w:color="auto" w:fill="auto"/>
            <w:vAlign w:val="bottom"/>
          </w:tcPr>
          <w:p w14:paraId="43E736B2"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182A27CD"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2445B4D9"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2137A65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1/0/1</w:t>
            </w:r>
          </w:p>
        </w:tc>
        <w:tc>
          <w:tcPr>
            <w:tcW w:w="851" w:type="dxa"/>
            <w:shd w:val="clear" w:color="auto" w:fill="auto"/>
            <w:vAlign w:val="bottom"/>
          </w:tcPr>
          <w:p w14:paraId="6EF5830A"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5BB10740"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316FFC64"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30324F83"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15211D7F"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327560DD"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5C11BBF3"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666CFCEA" w14:textId="77777777" w:rsidTr="0039665D">
        <w:tc>
          <w:tcPr>
            <w:tcW w:w="1797" w:type="dxa"/>
            <w:shd w:val="clear" w:color="auto" w:fill="auto"/>
          </w:tcPr>
          <w:p w14:paraId="34DB571C" w14:textId="77777777" w:rsidR="00A169F2" w:rsidRPr="00D17621" w:rsidRDefault="00A169F2" w:rsidP="0039665D">
            <w:pPr>
              <w:suppressAutoHyphens w:val="0"/>
              <w:spacing w:before="40" w:after="40" w:line="220" w:lineRule="exact"/>
              <w:rPr>
                <w:sz w:val="18"/>
                <w:szCs w:val="24"/>
              </w:rPr>
            </w:pPr>
            <w:r w:rsidRPr="00D17621">
              <w:rPr>
                <w:sz w:val="18"/>
                <w:lang w:val="fr-FR"/>
              </w:rPr>
              <w:t>Roumanie</w:t>
            </w:r>
          </w:p>
        </w:tc>
        <w:tc>
          <w:tcPr>
            <w:tcW w:w="770" w:type="dxa"/>
            <w:shd w:val="clear" w:color="auto" w:fill="auto"/>
            <w:textDirection w:val="lrTbV"/>
            <w:vAlign w:val="bottom"/>
          </w:tcPr>
          <w:p w14:paraId="5DA9A7FC"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09E4E14"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642645CE"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B50E94C"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770" w:type="dxa"/>
            <w:shd w:val="clear" w:color="auto" w:fill="auto"/>
            <w:vAlign w:val="bottom"/>
          </w:tcPr>
          <w:p w14:paraId="5A12CCF1"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1E4D2C91"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1096" w:type="dxa"/>
            <w:shd w:val="clear" w:color="auto" w:fill="auto"/>
            <w:vAlign w:val="bottom"/>
          </w:tcPr>
          <w:p w14:paraId="11B3898D"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2FB095A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851" w:type="dxa"/>
            <w:shd w:val="clear" w:color="auto" w:fill="auto"/>
            <w:vAlign w:val="bottom"/>
          </w:tcPr>
          <w:p w14:paraId="246A00AF"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11A90B53"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1D242926"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0F4B60E9"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59D196C5"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5891F262"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20C8C3D"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731F3755" w14:textId="77777777" w:rsidTr="0039665D">
        <w:tc>
          <w:tcPr>
            <w:tcW w:w="1797" w:type="dxa"/>
            <w:shd w:val="clear" w:color="auto" w:fill="auto"/>
          </w:tcPr>
          <w:p w14:paraId="7E2F877A" w14:textId="77777777" w:rsidR="00A169F2" w:rsidRPr="00D17621" w:rsidRDefault="00A169F2" w:rsidP="0039665D">
            <w:pPr>
              <w:suppressAutoHyphens w:val="0"/>
              <w:spacing w:before="40" w:after="40" w:line="220" w:lineRule="exact"/>
              <w:rPr>
                <w:sz w:val="18"/>
                <w:szCs w:val="24"/>
              </w:rPr>
            </w:pPr>
            <w:r w:rsidRPr="00D17621">
              <w:rPr>
                <w:sz w:val="18"/>
                <w:lang w:val="fr-FR"/>
              </w:rPr>
              <w:t>Slovaquie</w:t>
            </w:r>
          </w:p>
        </w:tc>
        <w:tc>
          <w:tcPr>
            <w:tcW w:w="770" w:type="dxa"/>
            <w:shd w:val="clear" w:color="auto" w:fill="auto"/>
            <w:textDirection w:val="lrTbV"/>
            <w:vAlign w:val="bottom"/>
          </w:tcPr>
          <w:p w14:paraId="006D57CC"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7DCDE5FA"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5EFCA2DA"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1D007451"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57B0937"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4C1D48E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w:t>
            </w:r>
          </w:p>
        </w:tc>
        <w:tc>
          <w:tcPr>
            <w:tcW w:w="1096" w:type="dxa"/>
            <w:shd w:val="clear" w:color="auto" w:fill="auto"/>
            <w:vAlign w:val="bottom"/>
          </w:tcPr>
          <w:p w14:paraId="1A82185D"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5/-/-</w:t>
            </w:r>
          </w:p>
        </w:tc>
        <w:tc>
          <w:tcPr>
            <w:tcW w:w="850" w:type="dxa"/>
            <w:shd w:val="clear" w:color="auto" w:fill="auto"/>
            <w:vAlign w:val="bottom"/>
          </w:tcPr>
          <w:p w14:paraId="0BED70D8"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2F0EC5C4" w14:textId="77777777" w:rsidR="00A169F2" w:rsidRPr="00D17621" w:rsidRDefault="00A169F2" w:rsidP="0039665D">
            <w:pPr>
              <w:suppressAutoHyphens w:val="0"/>
              <w:spacing w:before="40" w:after="40" w:line="220" w:lineRule="exact"/>
              <w:jc w:val="right"/>
              <w:rPr>
                <w:sz w:val="18"/>
                <w:szCs w:val="24"/>
              </w:rPr>
            </w:pPr>
          </w:p>
        </w:tc>
        <w:tc>
          <w:tcPr>
            <w:tcW w:w="708" w:type="dxa"/>
            <w:shd w:val="clear" w:color="auto" w:fill="auto"/>
            <w:vAlign w:val="bottom"/>
          </w:tcPr>
          <w:p w14:paraId="64C5CBFD"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132F964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w:t>
            </w:r>
          </w:p>
        </w:tc>
        <w:tc>
          <w:tcPr>
            <w:tcW w:w="1091" w:type="dxa"/>
            <w:shd w:val="clear" w:color="auto" w:fill="auto"/>
            <w:vAlign w:val="bottom"/>
          </w:tcPr>
          <w:p w14:paraId="23A60FAB" w14:textId="77777777" w:rsidR="00A169F2" w:rsidRPr="00D17621" w:rsidRDefault="00A169F2" w:rsidP="0039665D">
            <w:pPr>
              <w:suppressAutoHyphens w:val="0"/>
              <w:spacing w:before="40" w:after="40" w:line="220" w:lineRule="exact"/>
              <w:jc w:val="right"/>
              <w:rPr>
                <w:sz w:val="18"/>
                <w:szCs w:val="24"/>
              </w:rPr>
            </w:pPr>
          </w:p>
        </w:tc>
        <w:tc>
          <w:tcPr>
            <w:tcW w:w="873" w:type="dxa"/>
            <w:shd w:val="clear" w:color="auto" w:fill="auto"/>
            <w:vAlign w:val="bottom"/>
          </w:tcPr>
          <w:p w14:paraId="34B3EB17"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754E8E45" w14:textId="77777777" w:rsidR="00A169F2" w:rsidRPr="00D17621" w:rsidRDefault="00A169F2" w:rsidP="0039665D">
            <w:pPr>
              <w:suppressAutoHyphens w:val="0"/>
              <w:spacing w:before="40" w:after="40" w:line="220" w:lineRule="exact"/>
              <w:jc w:val="right"/>
              <w:rPr>
                <w:sz w:val="18"/>
                <w:szCs w:val="24"/>
              </w:rPr>
            </w:pPr>
          </w:p>
        </w:tc>
        <w:tc>
          <w:tcPr>
            <w:tcW w:w="553" w:type="dxa"/>
            <w:shd w:val="clear" w:color="auto" w:fill="auto"/>
            <w:vAlign w:val="bottom"/>
          </w:tcPr>
          <w:p w14:paraId="61B4E0C1" w14:textId="77777777" w:rsidR="00A169F2" w:rsidRPr="00D17621" w:rsidRDefault="00A169F2" w:rsidP="0039665D">
            <w:pPr>
              <w:suppressAutoHyphens w:val="0"/>
              <w:spacing w:before="40" w:after="40" w:line="220" w:lineRule="exact"/>
              <w:jc w:val="right"/>
              <w:rPr>
                <w:sz w:val="18"/>
                <w:szCs w:val="24"/>
              </w:rPr>
            </w:pPr>
          </w:p>
        </w:tc>
      </w:tr>
      <w:tr w:rsidR="00A169F2" w:rsidRPr="00D17621" w14:paraId="55F027C5" w14:textId="77777777" w:rsidTr="0039665D">
        <w:tc>
          <w:tcPr>
            <w:tcW w:w="1797" w:type="dxa"/>
            <w:shd w:val="clear" w:color="auto" w:fill="auto"/>
          </w:tcPr>
          <w:p w14:paraId="0F9AB550" w14:textId="77777777" w:rsidR="00A169F2" w:rsidRPr="00D17621" w:rsidRDefault="00A169F2" w:rsidP="0039665D">
            <w:pPr>
              <w:suppressAutoHyphens w:val="0"/>
              <w:spacing w:before="40" w:after="40" w:line="220" w:lineRule="exact"/>
              <w:rPr>
                <w:sz w:val="18"/>
                <w:szCs w:val="24"/>
              </w:rPr>
            </w:pPr>
            <w:r w:rsidRPr="00D17621">
              <w:rPr>
                <w:sz w:val="18"/>
                <w:lang w:val="fr-FR"/>
              </w:rPr>
              <w:t>Suède</w:t>
            </w:r>
          </w:p>
        </w:tc>
        <w:tc>
          <w:tcPr>
            <w:tcW w:w="770" w:type="dxa"/>
            <w:shd w:val="clear" w:color="auto" w:fill="auto"/>
            <w:textDirection w:val="lrTbV"/>
            <w:vAlign w:val="bottom"/>
          </w:tcPr>
          <w:p w14:paraId="3D2A743C"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20BA0827"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1BD7784B" w14:textId="77777777" w:rsidR="00A169F2" w:rsidRPr="00D17621" w:rsidRDefault="00A169F2" w:rsidP="0039665D">
            <w:pPr>
              <w:suppressAutoHyphens w:val="0"/>
              <w:spacing w:before="40" w:after="40" w:line="220" w:lineRule="exact"/>
              <w:jc w:val="right"/>
              <w:rPr>
                <w:sz w:val="18"/>
                <w:szCs w:val="24"/>
              </w:rPr>
            </w:pPr>
          </w:p>
        </w:tc>
        <w:tc>
          <w:tcPr>
            <w:tcW w:w="770" w:type="dxa"/>
            <w:shd w:val="clear" w:color="auto" w:fill="auto"/>
            <w:vAlign w:val="bottom"/>
          </w:tcPr>
          <w:p w14:paraId="342E8A99"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10/4/6</w:t>
            </w:r>
          </w:p>
        </w:tc>
        <w:tc>
          <w:tcPr>
            <w:tcW w:w="770" w:type="dxa"/>
            <w:shd w:val="clear" w:color="auto" w:fill="auto"/>
            <w:vAlign w:val="bottom"/>
          </w:tcPr>
          <w:p w14:paraId="7887CFA5" w14:textId="77777777" w:rsidR="00A169F2" w:rsidRPr="00D17621" w:rsidRDefault="00A169F2" w:rsidP="0039665D">
            <w:pPr>
              <w:suppressAutoHyphens w:val="0"/>
              <w:spacing w:before="40" w:after="40" w:line="220" w:lineRule="exact"/>
              <w:jc w:val="right"/>
              <w:rPr>
                <w:sz w:val="18"/>
                <w:szCs w:val="24"/>
              </w:rPr>
            </w:pPr>
          </w:p>
        </w:tc>
        <w:tc>
          <w:tcPr>
            <w:tcW w:w="771" w:type="dxa"/>
            <w:shd w:val="clear" w:color="auto" w:fill="auto"/>
            <w:vAlign w:val="bottom"/>
          </w:tcPr>
          <w:p w14:paraId="0D35D266" w14:textId="77777777" w:rsidR="00A169F2" w:rsidRPr="00D17621" w:rsidRDefault="00A169F2" w:rsidP="0039665D">
            <w:pPr>
              <w:suppressAutoHyphens w:val="0"/>
              <w:spacing w:before="40" w:after="40" w:line="220" w:lineRule="exact"/>
              <w:jc w:val="right"/>
              <w:rPr>
                <w:sz w:val="18"/>
                <w:szCs w:val="24"/>
              </w:rPr>
            </w:pPr>
          </w:p>
        </w:tc>
        <w:tc>
          <w:tcPr>
            <w:tcW w:w="1096" w:type="dxa"/>
            <w:shd w:val="clear" w:color="auto" w:fill="auto"/>
            <w:vAlign w:val="bottom"/>
          </w:tcPr>
          <w:p w14:paraId="64D5446E" w14:textId="77777777" w:rsidR="00A169F2" w:rsidRPr="00D17621"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64AF24B3" w14:textId="77777777" w:rsidR="00A169F2" w:rsidRPr="00D17621"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2E1FC0B8" w14:textId="77777777" w:rsidR="00A169F2" w:rsidRPr="00D17621" w:rsidDel="00E5581A" w:rsidRDefault="00A169F2" w:rsidP="0039665D">
            <w:pPr>
              <w:suppressAutoHyphens w:val="0"/>
              <w:spacing w:before="40" w:after="40" w:line="220" w:lineRule="exact"/>
              <w:jc w:val="right"/>
              <w:rPr>
                <w:sz w:val="18"/>
                <w:szCs w:val="24"/>
              </w:rPr>
            </w:pPr>
            <w:r w:rsidRPr="00D17621">
              <w:rPr>
                <w:sz w:val="18"/>
                <w:lang w:val="fr-FR"/>
              </w:rPr>
              <w:t>12/5/7</w:t>
            </w:r>
          </w:p>
        </w:tc>
        <w:tc>
          <w:tcPr>
            <w:tcW w:w="708" w:type="dxa"/>
            <w:shd w:val="clear" w:color="auto" w:fill="auto"/>
            <w:vAlign w:val="bottom"/>
          </w:tcPr>
          <w:p w14:paraId="13311695" w14:textId="77777777" w:rsidR="00A169F2" w:rsidRPr="00D17621" w:rsidRDefault="00A169F2" w:rsidP="0039665D">
            <w:pPr>
              <w:suppressAutoHyphens w:val="0"/>
              <w:spacing w:before="40" w:after="40" w:line="220" w:lineRule="exact"/>
              <w:jc w:val="right"/>
              <w:rPr>
                <w:sz w:val="18"/>
                <w:szCs w:val="24"/>
              </w:rPr>
            </w:pPr>
          </w:p>
        </w:tc>
        <w:tc>
          <w:tcPr>
            <w:tcW w:w="783" w:type="dxa"/>
            <w:shd w:val="clear" w:color="auto" w:fill="auto"/>
            <w:vAlign w:val="bottom"/>
          </w:tcPr>
          <w:p w14:paraId="5D3C0D65" w14:textId="77777777" w:rsidR="00A169F2" w:rsidRPr="00D17621" w:rsidRDefault="00A169F2" w:rsidP="0039665D">
            <w:pPr>
              <w:suppressAutoHyphens w:val="0"/>
              <w:spacing w:before="40" w:after="40" w:line="220" w:lineRule="exact"/>
              <w:jc w:val="right"/>
              <w:rPr>
                <w:sz w:val="18"/>
                <w:szCs w:val="24"/>
              </w:rPr>
            </w:pPr>
          </w:p>
        </w:tc>
        <w:tc>
          <w:tcPr>
            <w:tcW w:w="1091" w:type="dxa"/>
            <w:shd w:val="clear" w:color="auto" w:fill="auto"/>
            <w:vAlign w:val="bottom"/>
          </w:tcPr>
          <w:p w14:paraId="63DACF8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873" w:type="dxa"/>
            <w:shd w:val="clear" w:color="auto" w:fill="auto"/>
            <w:vAlign w:val="bottom"/>
          </w:tcPr>
          <w:p w14:paraId="5C58673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4/4/0</w:t>
            </w:r>
          </w:p>
        </w:tc>
        <w:tc>
          <w:tcPr>
            <w:tcW w:w="553" w:type="dxa"/>
            <w:shd w:val="clear" w:color="auto" w:fill="auto"/>
            <w:vAlign w:val="bottom"/>
          </w:tcPr>
          <w:p w14:paraId="467C04B7"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3/0/3</w:t>
            </w:r>
          </w:p>
        </w:tc>
        <w:tc>
          <w:tcPr>
            <w:tcW w:w="553" w:type="dxa"/>
            <w:shd w:val="clear" w:color="auto" w:fill="auto"/>
            <w:vAlign w:val="bottom"/>
          </w:tcPr>
          <w:p w14:paraId="1ECDBD9E" w14:textId="77777777" w:rsidR="00A169F2" w:rsidRPr="00D17621" w:rsidDel="00E5581A" w:rsidRDefault="00A169F2" w:rsidP="0039665D">
            <w:pPr>
              <w:suppressAutoHyphens w:val="0"/>
              <w:spacing w:before="40" w:after="40" w:line="220" w:lineRule="exact"/>
              <w:jc w:val="right"/>
              <w:rPr>
                <w:sz w:val="18"/>
                <w:szCs w:val="24"/>
              </w:rPr>
            </w:pPr>
          </w:p>
        </w:tc>
      </w:tr>
      <w:tr w:rsidR="00A169F2" w:rsidRPr="00D17621" w14:paraId="2D7053E9" w14:textId="77777777" w:rsidTr="0039665D">
        <w:tc>
          <w:tcPr>
            <w:tcW w:w="1797" w:type="dxa"/>
            <w:tcBorders>
              <w:bottom w:val="single" w:sz="12" w:space="0" w:color="auto"/>
            </w:tcBorders>
            <w:shd w:val="clear" w:color="auto" w:fill="auto"/>
          </w:tcPr>
          <w:p w14:paraId="79329471" w14:textId="77777777" w:rsidR="00A169F2" w:rsidRPr="00D17621" w:rsidRDefault="00A169F2" w:rsidP="0039665D">
            <w:pPr>
              <w:suppressAutoHyphens w:val="0"/>
              <w:spacing w:before="40" w:after="40" w:line="220" w:lineRule="exact"/>
              <w:rPr>
                <w:sz w:val="18"/>
                <w:szCs w:val="24"/>
              </w:rPr>
            </w:pPr>
            <w:r w:rsidRPr="00D17621">
              <w:rPr>
                <w:sz w:val="18"/>
                <w:lang w:val="fr-FR"/>
              </w:rPr>
              <w:t>Tchéquie</w:t>
            </w:r>
          </w:p>
        </w:tc>
        <w:tc>
          <w:tcPr>
            <w:tcW w:w="770" w:type="dxa"/>
            <w:tcBorders>
              <w:bottom w:val="single" w:sz="12" w:space="0" w:color="auto"/>
            </w:tcBorders>
            <w:shd w:val="clear" w:color="auto" w:fill="auto"/>
            <w:textDirection w:val="lrTbV"/>
            <w:vAlign w:val="bottom"/>
          </w:tcPr>
          <w:p w14:paraId="2475B820" w14:textId="77777777" w:rsidR="00A169F2" w:rsidRPr="00D17621" w:rsidRDefault="00A169F2" w:rsidP="0039665D">
            <w:pPr>
              <w:suppressAutoHyphens w:val="0"/>
              <w:spacing w:before="40" w:after="40" w:line="220" w:lineRule="exact"/>
              <w:jc w:val="right"/>
              <w:rPr>
                <w:sz w:val="18"/>
                <w:szCs w:val="24"/>
              </w:rPr>
            </w:pPr>
          </w:p>
        </w:tc>
        <w:tc>
          <w:tcPr>
            <w:tcW w:w="770" w:type="dxa"/>
            <w:tcBorders>
              <w:bottom w:val="single" w:sz="12" w:space="0" w:color="auto"/>
            </w:tcBorders>
            <w:shd w:val="clear" w:color="auto" w:fill="auto"/>
            <w:vAlign w:val="bottom"/>
          </w:tcPr>
          <w:p w14:paraId="53256DE1" w14:textId="77777777" w:rsidR="00A169F2" w:rsidRPr="00D17621" w:rsidRDefault="00A169F2" w:rsidP="0039665D">
            <w:pPr>
              <w:suppressAutoHyphens w:val="0"/>
              <w:spacing w:before="40" w:after="40" w:line="220" w:lineRule="exact"/>
              <w:jc w:val="right"/>
              <w:rPr>
                <w:sz w:val="18"/>
                <w:szCs w:val="24"/>
              </w:rPr>
            </w:pPr>
          </w:p>
        </w:tc>
        <w:tc>
          <w:tcPr>
            <w:tcW w:w="770" w:type="dxa"/>
            <w:tcBorders>
              <w:bottom w:val="single" w:sz="12" w:space="0" w:color="auto"/>
            </w:tcBorders>
            <w:shd w:val="clear" w:color="auto" w:fill="auto"/>
            <w:vAlign w:val="bottom"/>
          </w:tcPr>
          <w:p w14:paraId="5DF52ACD" w14:textId="77777777" w:rsidR="00A169F2" w:rsidRPr="00D17621" w:rsidRDefault="00A169F2" w:rsidP="0039665D">
            <w:pPr>
              <w:suppressAutoHyphens w:val="0"/>
              <w:spacing w:before="40" w:after="40" w:line="220" w:lineRule="exact"/>
              <w:jc w:val="right"/>
              <w:rPr>
                <w:sz w:val="18"/>
                <w:szCs w:val="24"/>
              </w:rPr>
            </w:pPr>
          </w:p>
        </w:tc>
        <w:tc>
          <w:tcPr>
            <w:tcW w:w="770" w:type="dxa"/>
            <w:tcBorders>
              <w:bottom w:val="single" w:sz="12" w:space="0" w:color="auto"/>
            </w:tcBorders>
            <w:shd w:val="clear" w:color="auto" w:fill="auto"/>
            <w:vAlign w:val="bottom"/>
          </w:tcPr>
          <w:p w14:paraId="2177E10D" w14:textId="77777777" w:rsidR="00A169F2" w:rsidRPr="00D17621" w:rsidRDefault="00A169F2" w:rsidP="0039665D">
            <w:pPr>
              <w:suppressAutoHyphens w:val="0"/>
              <w:spacing w:before="40" w:after="40" w:line="220" w:lineRule="exact"/>
              <w:jc w:val="right"/>
              <w:rPr>
                <w:sz w:val="18"/>
                <w:szCs w:val="24"/>
              </w:rPr>
            </w:pPr>
          </w:p>
        </w:tc>
        <w:tc>
          <w:tcPr>
            <w:tcW w:w="770" w:type="dxa"/>
            <w:tcBorders>
              <w:bottom w:val="single" w:sz="12" w:space="0" w:color="auto"/>
            </w:tcBorders>
            <w:shd w:val="clear" w:color="auto" w:fill="auto"/>
            <w:vAlign w:val="bottom"/>
          </w:tcPr>
          <w:p w14:paraId="0F017CC1" w14:textId="77777777" w:rsidR="00A169F2" w:rsidRPr="00D17621" w:rsidRDefault="00A169F2" w:rsidP="0039665D">
            <w:pPr>
              <w:suppressAutoHyphens w:val="0"/>
              <w:spacing w:before="40" w:after="40" w:line="220" w:lineRule="exact"/>
              <w:jc w:val="right"/>
              <w:rPr>
                <w:sz w:val="18"/>
                <w:szCs w:val="24"/>
              </w:rPr>
            </w:pPr>
          </w:p>
        </w:tc>
        <w:tc>
          <w:tcPr>
            <w:tcW w:w="771" w:type="dxa"/>
            <w:tcBorders>
              <w:bottom w:val="single" w:sz="12" w:space="0" w:color="auto"/>
            </w:tcBorders>
            <w:shd w:val="clear" w:color="auto" w:fill="auto"/>
            <w:vAlign w:val="bottom"/>
          </w:tcPr>
          <w:p w14:paraId="471BA119"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1096" w:type="dxa"/>
            <w:tcBorders>
              <w:bottom w:val="single" w:sz="12" w:space="0" w:color="auto"/>
            </w:tcBorders>
            <w:shd w:val="clear" w:color="auto" w:fill="auto"/>
            <w:vAlign w:val="bottom"/>
          </w:tcPr>
          <w:p w14:paraId="0A0023A3"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4/4/0</w:t>
            </w:r>
          </w:p>
        </w:tc>
        <w:tc>
          <w:tcPr>
            <w:tcW w:w="850" w:type="dxa"/>
            <w:tcBorders>
              <w:bottom w:val="single" w:sz="12" w:space="0" w:color="auto"/>
            </w:tcBorders>
            <w:shd w:val="clear" w:color="auto" w:fill="auto"/>
            <w:vAlign w:val="bottom"/>
          </w:tcPr>
          <w:p w14:paraId="4263D8BD" w14:textId="77777777" w:rsidR="00A169F2" w:rsidRPr="00D17621" w:rsidRDefault="00A169F2" w:rsidP="0039665D">
            <w:pPr>
              <w:suppressAutoHyphens w:val="0"/>
              <w:spacing w:before="40" w:after="40" w:line="220" w:lineRule="exact"/>
              <w:jc w:val="right"/>
              <w:rPr>
                <w:sz w:val="18"/>
                <w:szCs w:val="24"/>
              </w:rPr>
            </w:pPr>
          </w:p>
        </w:tc>
        <w:tc>
          <w:tcPr>
            <w:tcW w:w="851" w:type="dxa"/>
            <w:tcBorders>
              <w:bottom w:val="single" w:sz="12" w:space="0" w:color="auto"/>
            </w:tcBorders>
            <w:shd w:val="clear" w:color="auto" w:fill="auto"/>
            <w:vAlign w:val="bottom"/>
          </w:tcPr>
          <w:p w14:paraId="0B7EB12A"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4/3/1</w:t>
            </w:r>
          </w:p>
        </w:tc>
        <w:tc>
          <w:tcPr>
            <w:tcW w:w="708" w:type="dxa"/>
            <w:tcBorders>
              <w:bottom w:val="single" w:sz="12" w:space="0" w:color="auto"/>
            </w:tcBorders>
            <w:shd w:val="clear" w:color="auto" w:fill="auto"/>
            <w:vAlign w:val="bottom"/>
          </w:tcPr>
          <w:p w14:paraId="165F5E52" w14:textId="77777777" w:rsidR="00A169F2" w:rsidRPr="00D17621" w:rsidRDefault="00A169F2" w:rsidP="0039665D">
            <w:pPr>
              <w:suppressAutoHyphens w:val="0"/>
              <w:spacing w:before="40" w:after="40" w:line="220" w:lineRule="exact"/>
              <w:jc w:val="right"/>
              <w:rPr>
                <w:sz w:val="18"/>
                <w:szCs w:val="24"/>
              </w:rPr>
            </w:pPr>
          </w:p>
        </w:tc>
        <w:tc>
          <w:tcPr>
            <w:tcW w:w="783" w:type="dxa"/>
            <w:tcBorders>
              <w:bottom w:val="single" w:sz="12" w:space="0" w:color="auto"/>
            </w:tcBorders>
            <w:shd w:val="clear" w:color="auto" w:fill="auto"/>
            <w:vAlign w:val="bottom"/>
          </w:tcPr>
          <w:p w14:paraId="63B21CE5"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1091" w:type="dxa"/>
            <w:tcBorders>
              <w:bottom w:val="single" w:sz="12" w:space="0" w:color="auto"/>
            </w:tcBorders>
            <w:shd w:val="clear" w:color="auto" w:fill="auto"/>
            <w:vAlign w:val="bottom"/>
          </w:tcPr>
          <w:p w14:paraId="430B645E" w14:textId="77777777" w:rsidR="00A169F2" w:rsidRPr="00D17621" w:rsidRDefault="00A169F2" w:rsidP="0039665D">
            <w:pPr>
              <w:suppressAutoHyphens w:val="0"/>
              <w:spacing w:before="40" w:after="40" w:line="220" w:lineRule="exact"/>
              <w:jc w:val="right"/>
              <w:rPr>
                <w:sz w:val="18"/>
                <w:szCs w:val="24"/>
              </w:rPr>
            </w:pPr>
          </w:p>
        </w:tc>
        <w:tc>
          <w:tcPr>
            <w:tcW w:w="873" w:type="dxa"/>
            <w:tcBorders>
              <w:bottom w:val="single" w:sz="12" w:space="0" w:color="auto"/>
            </w:tcBorders>
            <w:shd w:val="clear" w:color="auto" w:fill="auto"/>
            <w:vAlign w:val="bottom"/>
          </w:tcPr>
          <w:p w14:paraId="2716488F"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1/1/0</w:t>
            </w:r>
          </w:p>
        </w:tc>
        <w:tc>
          <w:tcPr>
            <w:tcW w:w="553" w:type="dxa"/>
            <w:tcBorders>
              <w:bottom w:val="single" w:sz="12" w:space="0" w:color="auto"/>
            </w:tcBorders>
            <w:shd w:val="clear" w:color="auto" w:fill="auto"/>
            <w:vAlign w:val="bottom"/>
          </w:tcPr>
          <w:p w14:paraId="1CEA6AB2" w14:textId="77777777" w:rsidR="00A169F2" w:rsidRPr="00D17621" w:rsidRDefault="00A169F2" w:rsidP="0039665D">
            <w:pPr>
              <w:suppressAutoHyphens w:val="0"/>
              <w:spacing w:before="40" w:after="40" w:line="220" w:lineRule="exact"/>
              <w:jc w:val="right"/>
              <w:rPr>
                <w:sz w:val="18"/>
                <w:szCs w:val="24"/>
              </w:rPr>
            </w:pPr>
            <w:r w:rsidRPr="00D17621">
              <w:rPr>
                <w:sz w:val="18"/>
                <w:lang w:val="fr-FR"/>
              </w:rPr>
              <w:t>6/5/1</w:t>
            </w:r>
          </w:p>
        </w:tc>
        <w:tc>
          <w:tcPr>
            <w:tcW w:w="553" w:type="dxa"/>
            <w:tcBorders>
              <w:bottom w:val="single" w:sz="12" w:space="0" w:color="auto"/>
            </w:tcBorders>
            <w:shd w:val="clear" w:color="auto" w:fill="auto"/>
            <w:vAlign w:val="bottom"/>
          </w:tcPr>
          <w:p w14:paraId="680BF2D9" w14:textId="77777777" w:rsidR="00A169F2" w:rsidRPr="00D17621" w:rsidRDefault="00A169F2" w:rsidP="0039665D">
            <w:pPr>
              <w:suppressAutoHyphens w:val="0"/>
              <w:spacing w:before="40" w:after="40" w:line="220" w:lineRule="exact"/>
              <w:jc w:val="right"/>
              <w:rPr>
                <w:sz w:val="18"/>
                <w:szCs w:val="24"/>
              </w:rPr>
            </w:pPr>
          </w:p>
        </w:tc>
      </w:tr>
    </w:tbl>
    <w:p w14:paraId="494FECC2" w14:textId="746ABEA2" w:rsidR="00A169F2" w:rsidRPr="009459E4" w:rsidRDefault="00A169F2" w:rsidP="00A169F2">
      <w:pPr>
        <w:spacing w:before="120" w:after="240"/>
        <w:ind w:left="284" w:firstLine="170"/>
        <w:rPr>
          <w:sz w:val="16"/>
          <w:szCs w:val="18"/>
          <w:lang w:val="fr-FR"/>
        </w:rPr>
      </w:pPr>
      <w:r w:rsidRPr="009459E4">
        <w:rPr>
          <w:i/>
          <w:iCs/>
          <w:sz w:val="18"/>
          <w:szCs w:val="18"/>
          <w:lang w:val="fr-FR"/>
        </w:rPr>
        <w:t>Note </w:t>
      </w:r>
      <w:r w:rsidRPr="009459E4">
        <w:rPr>
          <w:sz w:val="18"/>
          <w:szCs w:val="18"/>
          <w:lang w:val="fr-FR"/>
        </w:rPr>
        <w:t>: Ce tableau se fonde sur des informations incomplètes, car tous les répondants n</w:t>
      </w:r>
      <w:r>
        <w:rPr>
          <w:sz w:val="18"/>
          <w:szCs w:val="18"/>
          <w:lang w:val="fr-FR"/>
        </w:rPr>
        <w:t>’</w:t>
      </w:r>
      <w:r w:rsidRPr="009459E4">
        <w:rPr>
          <w:sz w:val="18"/>
          <w:szCs w:val="18"/>
          <w:lang w:val="fr-FR"/>
        </w:rPr>
        <w:t>ont pas regroupé leurs procédures d</w:t>
      </w:r>
      <w:r>
        <w:rPr>
          <w:sz w:val="18"/>
          <w:szCs w:val="18"/>
          <w:lang w:val="fr-FR"/>
        </w:rPr>
        <w:t>’</w:t>
      </w:r>
      <w:r w:rsidRPr="009459E4">
        <w:rPr>
          <w:sz w:val="18"/>
          <w:szCs w:val="18"/>
          <w:lang w:val="fr-FR"/>
        </w:rPr>
        <w:t xml:space="preserve">évaluation stratégique environnementale selon les secteurs </w:t>
      </w:r>
      <w:r>
        <w:rPr>
          <w:sz w:val="18"/>
          <w:szCs w:val="18"/>
          <w:lang w:val="fr-FR"/>
        </w:rPr>
        <w:br/>
      </w:r>
      <w:r w:rsidRPr="009459E4">
        <w:rPr>
          <w:sz w:val="18"/>
          <w:szCs w:val="18"/>
          <w:lang w:val="fr-FR"/>
        </w:rPr>
        <w:t>énumérés à l</w:t>
      </w:r>
      <w:r>
        <w:rPr>
          <w:sz w:val="18"/>
          <w:szCs w:val="18"/>
          <w:lang w:val="fr-FR"/>
        </w:rPr>
        <w:t>’</w:t>
      </w:r>
      <w:r w:rsidRPr="009459E4">
        <w:rPr>
          <w:sz w:val="18"/>
          <w:szCs w:val="18"/>
          <w:lang w:val="fr-FR"/>
        </w:rPr>
        <w:t>article 4</w:t>
      </w:r>
      <w:r w:rsidR="00A3423F" w:rsidRPr="00A3423F">
        <w:rPr>
          <w:sz w:val="18"/>
          <w:szCs w:val="18"/>
          <w:lang w:val="fr-FR"/>
        </w:rPr>
        <w:t>.</w:t>
      </w:r>
      <w:r w:rsidRPr="009459E4">
        <w:rPr>
          <w:sz w:val="18"/>
          <w:szCs w:val="18"/>
          <w:lang w:val="fr-FR"/>
        </w:rPr>
        <w:t>2</w:t>
      </w:r>
      <w:r w:rsidR="00A3423F" w:rsidRPr="00A3423F">
        <w:rPr>
          <w:sz w:val="18"/>
          <w:szCs w:val="18"/>
          <w:lang w:val="fr-FR"/>
        </w:rPr>
        <w:t>.</w:t>
      </w:r>
      <w:r w:rsidRPr="009459E4">
        <w:rPr>
          <w:sz w:val="18"/>
          <w:szCs w:val="18"/>
          <w:lang w:val="fr-FR"/>
        </w:rPr>
        <w:t xml:space="preserve"> En outre, certains répondants n</w:t>
      </w:r>
      <w:r>
        <w:rPr>
          <w:sz w:val="18"/>
          <w:szCs w:val="18"/>
          <w:lang w:val="fr-FR"/>
        </w:rPr>
        <w:t>’</w:t>
      </w:r>
      <w:r w:rsidRPr="009459E4">
        <w:rPr>
          <w:sz w:val="18"/>
          <w:szCs w:val="18"/>
          <w:lang w:val="fr-FR"/>
        </w:rPr>
        <w:t>ont pas été en mesure de déterminer le nombre de procédures d</w:t>
      </w:r>
      <w:r>
        <w:rPr>
          <w:sz w:val="18"/>
          <w:szCs w:val="18"/>
          <w:lang w:val="fr-FR"/>
        </w:rPr>
        <w:t>’</w:t>
      </w:r>
      <w:r w:rsidRPr="009459E4">
        <w:rPr>
          <w:sz w:val="18"/>
          <w:szCs w:val="18"/>
          <w:lang w:val="fr-FR"/>
        </w:rPr>
        <w:t xml:space="preserve">évaluation stratégique environnementale engagées au cours </w:t>
      </w:r>
      <w:r>
        <w:rPr>
          <w:sz w:val="18"/>
          <w:szCs w:val="18"/>
          <w:lang w:val="fr-FR"/>
        </w:rPr>
        <w:br/>
      </w:r>
      <w:r w:rsidRPr="009459E4">
        <w:rPr>
          <w:sz w:val="18"/>
          <w:szCs w:val="18"/>
          <w:lang w:val="fr-FR"/>
        </w:rPr>
        <w:t>de la période à l</w:t>
      </w:r>
      <w:r>
        <w:rPr>
          <w:sz w:val="18"/>
          <w:szCs w:val="18"/>
          <w:lang w:val="fr-FR"/>
        </w:rPr>
        <w:t>’</w:t>
      </w:r>
      <w:r w:rsidRPr="009459E4">
        <w:rPr>
          <w:sz w:val="18"/>
          <w:szCs w:val="18"/>
          <w:lang w:val="fr-FR"/>
        </w:rPr>
        <w:t>examen</w:t>
      </w:r>
      <w:r w:rsidR="00A3423F" w:rsidRPr="00A3423F">
        <w:rPr>
          <w:sz w:val="18"/>
          <w:szCs w:val="18"/>
          <w:lang w:val="fr-FR"/>
        </w:rPr>
        <w:t>.</w:t>
      </w:r>
      <w:r w:rsidRPr="009459E4">
        <w:rPr>
          <w:sz w:val="18"/>
          <w:szCs w:val="18"/>
          <w:lang w:val="fr-FR"/>
        </w:rPr>
        <w:t xml:space="preserve"> La plupart des Parties, mais pas toutes, n</w:t>
      </w:r>
      <w:r>
        <w:rPr>
          <w:sz w:val="18"/>
          <w:szCs w:val="18"/>
          <w:lang w:val="fr-FR"/>
        </w:rPr>
        <w:t>’</w:t>
      </w:r>
      <w:r w:rsidRPr="009459E4">
        <w:rPr>
          <w:sz w:val="18"/>
          <w:szCs w:val="18"/>
          <w:lang w:val="fr-FR"/>
        </w:rPr>
        <w:t>ont pas établi de distinction entre les procédures transfrontières dans lesquelles elles étaient la Partie d</w:t>
      </w:r>
      <w:r>
        <w:rPr>
          <w:sz w:val="18"/>
          <w:szCs w:val="18"/>
          <w:lang w:val="fr-FR"/>
        </w:rPr>
        <w:t>’</w:t>
      </w:r>
      <w:r w:rsidRPr="009459E4">
        <w:rPr>
          <w:sz w:val="18"/>
          <w:szCs w:val="18"/>
          <w:lang w:val="fr-FR"/>
        </w:rPr>
        <w:t xml:space="preserve">origine </w:t>
      </w:r>
      <w:r>
        <w:rPr>
          <w:sz w:val="18"/>
          <w:szCs w:val="18"/>
          <w:lang w:val="fr-FR"/>
        </w:rPr>
        <w:br/>
      </w:r>
      <w:r w:rsidRPr="009459E4">
        <w:rPr>
          <w:sz w:val="18"/>
          <w:szCs w:val="18"/>
          <w:lang w:val="fr-FR"/>
        </w:rPr>
        <w:t>et celles dans lesquelles elles étaient une Partie touchée</w:t>
      </w:r>
      <w:r w:rsidR="00A3423F" w:rsidRPr="00A3423F">
        <w:rPr>
          <w:sz w:val="18"/>
          <w:szCs w:val="18"/>
          <w:lang w:val="fr-FR"/>
        </w:rPr>
        <w:t>.</w:t>
      </w:r>
    </w:p>
    <w:p w14:paraId="1A3AA386" w14:textId="77777777" w:rsidR="00A169F2" w:rsidRPr="00E15B31" w:rsidRDefault="00A169F2" w:rsidP="00A169F2">
      <w:pPr>
        <w:rPr>
          <w:lang w:val="fr-FR"/>
        </w:rPr>
      </w:pPr>
      <w:r w:rsidRPr="00E15B31">
        <w:rPr>
          <w:lang w:val="fr-FR"/>
        </w:rPr>
        <w:br w:type="page"/>
      </w:r>
    </w:p>
    <w:p w14:paraId="56A00560" w14:textId="77777777" w:rsidR="00A169F2" w:rsidRPr="003A5596" w:rsidRDefault="00A169F2" w:rsidP="00847E55">
      <w:pPr>
        <w:pStyle w:val="Titre1"/>
        <w:ind w:left="284"/>
        <w:rPr>
          <w:rFonts w:ascii="Times" w:eastAsia="Times" w:hAnsi="Times" w:cs="Times"/>
          <w:i/>
          <w:lang w:val="fr-FR"/>
        </w:rPr>
      </w:pPr>
      <w:r w:rsidRPr="00BA3196">
        <w:rPr>
          <w:lang w:val="fr-FR"/>
        </w:rPr>
        <w:lastRenderedPageBreak/>
        <w:t>Tableau 4</w:t>
      </w:r>
    </w:p>
    <w:p w14:paraId="53FB0878" w14:textId="77777777" w:rsidR="00A169F2" w:rsidRDefault="00A169F2" w:rsidP="00847E55">
      <w:pPr>
        <w:pStyle w:val="Titre1"/>
        <w:ind w:left="284"/>
        <w:rPr>
          <w:b/>
          <w:bCs/>
          <w:lang w:val="fr-FR"/>
        </w:rPr>
      </w:pPr>
      <w:r w:rsidRPr="009459E4">
        <w:rPr>
          <w:b/>
          <w:bCs/>
          <w:lang w:val="fr-FR"/>
        </w:rPr>
        <w:t>Durée moyenne estimée des procédures d</w:t>
      </w:r>
      <w:r>
        <w:rPr>
          <w:b/>
          <w:bCs/>
          <w:lang w:val="fr-FR"/>
        </w:rPr>
        <w:t>’</w:t>
      </w:r>
      <w:r w:rsidRPr="009459E4">
        <w:rPr>
          <w:b/>
          <w:bCs/>
          <w:lang w:val="fr-FR"/>
        </w:rPr>
        <w:t>évaluation stratégique environnementale</w:t>
      </w:r>
    </w:p>
    <w:p w14:paraId="6080C034" w14:textId="77777777" w:rsidR="00A169F2" w:rsidRPr="009459E4" w:rsidRDefault="00A169F2" w:rsidP="00847E55">
      <w:pPr>
        <w:pStyle w:val="Titre1"/>
        <w:spacing w:after="120"/>
        <w:ind w:left="284"/>
        <w:rPr>
          <w:rFonts w:eastAsia="Times"/>
          <w:sz w:val="16"/>
          <w:szCs w:val="16"/>
        </w:rPr>
      </w:pPr>
      <w:r w:rsidRPr="009459E4">
        <w:rPr>
          <w:sz w:val="16"/>
          <w:szCs w:val="16"/>
          <w:lang w:val="fr-FR"/>
        </w:rPr>
        <w:t>(</w:t>
      </w:r>
      <w:r w:rsidRPr="009459E4">
        <w:rPr>
          <w:i/>
          <w:iCs/>
          <w:sz w:val="16"/>
          <w:szCs w:val="16"/>
          <w:lang w:val="fr-FR"/>
        </w:rPr>
        <w:t>En mois</w:t>
      </w:r>
      <w:r w:rsidRPr="009459E4">
        <w:rPr>
          <w:sz w:val="16"/>
          <w:szCs w:val="16"/>
          <w:lang w:val="fr-FR"/>
        </w:rPr>
        <w:t>)</w:t>
      </w:r>
    </w:p>
    <w:tbl>
      <w:tblPr>
        <w:tblW w:w="13776" w:type="dxa"/>
        <w:tblInd w:w="283" w:type="dxa"/>
        <w:tblLayout w:type="fixed"/>
        <w:tblCellMar>
          <w:left w:w="0" w:type="dxa"/>
          <w:right w:w="0" w:type="dxa"/>
        </w:tblCellMar>
        <w:tblLook w:val="04A0" w:firstRow="1" w:lastRow="0" w:firstColumn="1" w:lastColumn="0" w:noHBand="0" w:noVBand="1"/>
      </w:tblPr>
      <w:tblGrid>
        <w:gridCol w:w="1418"/>
        <w:gridCol w:w="891"/>
        <w:gridCol w:w="718"/>
        <w:gridCol w:w="717"/>
        <w:gridCol w:w="718"/>
        <w:gridCol w:w="717"/>
        <w:gridCol w:w="775"/>
        <w:gridCol w:w="1134"/>
        <w:gridCol w:w="851"/>
        <w:gridCol w:w="850"/>
        <w:gridCol w:w="1418"/>
        <w:gridCol w:w="779"/>
        <w:gridCol w:w="1329"/>
        <w:gridCol w:w="878"/>
        <w:gridCol w:w="583"/>
      </w:tblGrid>
      <w:tr w:rsidR="00A169F2" w:rsidRPr="009459E4" w14:paraId="6C105E6B" w14:textId="77777777" w:rsidTr="0039665D">
        <w:trPr>
          <w:cantSplit/>
          <w:tblHeader/>
        </w:trPr>
        <w:tc>
          <w:tcPr>
            <w:tcW w:w="1418" w:type="dxa"/>
            <w:tcBorders>
              <w:top w:val="single" w:sz="4" w:space="0" w:color="auto"/>
              <w:bottom w:val="single" w:sz="12" w:space="0" w:color="auto"/>
            </w:tcBorders>
            <w:shd w:val="clear" w:color="auto" w:fill="auto"/>
            <w:vAlign w:val="bottom"/>
          </w:tcPr>
          <w:p w14:paraId="465A7836" w14:textId="77777777" w:rsidR="00A169F2" w:rsidRPr="009459E4" w:rsidRDefault="00A169F2" w:rsidP="0039665D">
            <w:pPr>
              <w:suppressAutoHyphens w:val="0"/>
              <w:spacing w:before="80" w:after="80" w:line="200" w:lineRule="exact"/>
              <w:rPr>
                <w:i/>
                <w:sz w:val="16"/>
              </w:rPr>
            </w:pPr>
            <w:r w:rsidRPr="009459E4">
              <w:rPr>
                <w:i/>
                <w:sz w:val="16"/>
                <w:lang w:val="fr-FR"/>
              </w:rPr>
              <w:t>Nationales/</w:t>
            </w:r>
            <w:r>
              <w:rPr>
                <w:i/>
                <w:sz w:val="16"/>
                <w:lang w:val="fr-FR"/>
              </w:rPr>
              <w:br/>
            </w:r>
            <w:r w:rsidRPr="009459E4">
              <w:rPr>
                <w:i/>
                <w:sz w:val="16"/>
                <w:lang w:val="fr-FR"/>
              </w:rPr>
              <w:t>(transfrontières)</w:t>
            </w:r>
          </w:p>
        </w:tc>
        <w:tc>
          <w:tcPr>
            <w:tcW w:w="891" w:type="dxa"/>
            <w:tcBorders>
              <w:top w:val="single" w:sz="4" w:space="0" w:color="auto"/>
              <w:bottom w:val="single" w:sz="12" w:space="0" w:color="auto"/>
            </w:tcBorders>
            <w:shd w:val="clear" w:color="auto" w:fill="auto"/>
            <w:vAlign w:val="bottom"/>
          </w:tcPr>
          <w:p w14:paraId="17C289FC" w14:textId="77777777" w:rsidR="00A169F2" w:rsidRPr="009459E4" w:rsidRDefault="00A169F2" w:rsidP="0039665D">
            <w:pPr>
              <w:suppressAutoHyphens w:val="0"/>
              <w:spacing w:before="80" w:after="80" w:line="200" w:lineRule="exact"/>
              <w:jc w:val="right"/>
              <w:rPr>
                <w:i/>
                <w:sz w:val="16"/>
              </w:rPr>
            </w:pPr>
            <w:r w:rsidRPr="009459E4">
              <w:rPr>
                <w:i/>
                <w:sz w:val="16"/>
                <w:lang w:val="fr-FR"/>
              </w:rPr>
              <w:t>Agriculture</w:t>
            </w:r>
          </w:p>
        </w:tc>
        <w:tc>
          <w:tcPr>
            <w:tcW w:w="718" w:type="dxa"/>
            <w:tcBorders>
              <w:top w:val="single" w:sz="4" w:space="0" w:color="auto"/>
              <w:bottom w:val="single" w:sz="12" w:space="0" w:color="auto"/>
            </w:tcBorders>
            <w:shd w:val="clear" w:color="auto" w:fill="auto"/>
            <w:vAlign w:val="bottom"/>
          </w:tcPr>
          <w:p w14:paraId="1D343E46" w14:textId="77777777" w:rsidR="00A169F2" w:rsidRPr="009459E4" w:rsidRDefault="00A169F2" w:rsidP="0039665D">
            <w:pPr>
              <w:suppressAutoHyphens w:val="0"/>
              <w:spacing w:before="80" w:after="80" w:line="200" w:lineRule="exact"/>
              <w:jc w:val="right"/>
              <w:rPr>
                <w:i/>
                <w:sz w:val="16"/>
              </w:rPr>
            </w:pPr>
            <w:r w:rsidRPr="009459E4">
              <w:rPr>
                <w:i/>
                <w:sz w:val="16"/>
                <w:lang w:val="fr-FR"/>
              </w:rPr>
              <w:t>Forêts</w:t>
            </w:r>
          </w:p>
        </w:tc>
        <w:tc>
          <w:tcPr>
            <w:tcW w:w="717" w:type="dxa"/>
            <w:tcBorders>
              <w:top w:val="single" w:sz="4" w:space="0" w:color="auto"/>
              <w:bottom w:val="single" w:sz="12" w:space="0" w:color="auto"/>
            </w:tcBorders>
            <w:shd w:val="clear" w:color="auto" w:fill="auto"/>
            <w:vAlign w:val="bottom"/>
          </w:tcPr>
          <w:p w14:paraId="7845BFF8" w14:textId="77777777" w:rsidR="00A169F2" w:rsidRPr="009459E4" w:rsidRDefault="00A169F2" w:rsidP="0039665D">
            <w:pPr>
              <w:suppressAutoHyphens w:val="0"/>
              <w:spacing w:before="80" w:after="80" w:line="200" w:lineRule="exact"/>
              <w:jc w:val="right"/>
              <w:rPr>
                <w:i/>
                <w:sz w:val="16"/>
              </w:rPr>
            </w:pPr>
            <w:r w:rsidRPr="009459E4">
              <w:rPr>
                <w:i/>
                <w:sz w:val="16"/>
                <w:lang w:val="fr-FR"/>
              </w:rPr>
              <w:t>Pêches</w:t>
            </w:r>
          </w:p>
        </w:tc>
        <w:tc>
          <w:tcPr>
            <w:tcW w:w="718" w:type="dxa"/>
            <w:tcBorders>
              <w:top w:val="single" w:sz="4" w:space="0" w:color="auto"/>
              <w:bottom w:val="single" w:sz="12" w:space="0" w:color="auto"/>
            </w:tcBorders>
            <w:shd w:val="clear" w:color="auto" w:fill="auto"/>
            <w:vAlign w:val="bottom"/>
          </w:tcPr>
          <w:p w14:paraId="26E2844E" w14:textId="77777777" w:rsidR="00A169F2" w:rsidRPr="009459E4" w:rsidRDefault="00A169F2" w:rsidP="0039665D">
            <w:pPr>
              <w:suppressAutoHyphens w:val="0"/>
              <w:spacing w:before="80" w:after="80" w:line="200" w:lineRule="exact"/>
              <w:jc w:val="right"/>
              <w:rPr>
                <w:i/>
                <w:sz w:val="16"/>
              </w:rPr>
            </w:pPr>
            <w:r w:rsidRPr="009459E4">
              <w:rPr>
                <w:i/>
                <w:sz w:val="16"/>
                <w:lang w:val="fr-FR"/>
              </w:rPr>
              <w:t>Énergie</w:t>
            </w:r>
          </w:p>
        </w:tc>
        <w:tc>
          <w:tcPr>
            <w:tcW w:w="717" w:type="dxa"/>
            <w:tcBorders>
              <w:top w:val="single" w:sz="4" w:space="0" w:color="auto"/>
              <w:bottom w:val="single" w:sz="12" w:space="0" w:color="auto"/>
            </w:tcBorders>
            <w:shd w:val="clear" w:color="auto" w:fill="auto"/>
            <w:vAlign w:val="bottom"/>
          </w:tcPr>
          <w:p w14:paraId="5AFA7DE0" w14:textId="77777777" w:rsidR="00A169F2" w:rsidRPr="009459E4" w:rsidRDefault="00A169F2" w:rsidP="0039665D">
            <w:pPr>
              <w:suppressAutoHyphens w:val="0"/>
              <w:spacing w:before="80" w:after="80" w:line="200" w:lineRule="exact"/>
              <w:jc w:val="right"/>
              <w:rPr>
                <w:i/>
                <w:sz w:val="16"/>
              </w:rPr>
            </w:pPr>
            <w:r w:rsidRPr="009459E4">
              <w:rPr>
                <w:i/>
                <w:sz w:val="16"/>
                <w:lang w:val="fr-FR"/>
              </w:rPr>
              <w:t>Industrie</w:t>
            </w:r>
          </w:p>
        </w:tc>
        <w:tc>
          <w:tcPr>
            <w:tcW w:w="775" w:type="dxa"/>
            <w:tcBorders>
              <w:top w:val="single" w:sz="4" w:space="0" w:color="auto"/>
              <w:bottom w:val="single" w:sz="12" w:space="0" w:color="auto"/>
            </w:tcBorders>
            <w:shd w:val="clear" w:color="auto" w:fill="auto"/>
            <w:vAlign w:val="bottom"/>
          </w:tcPr>
          <w:p w14:paraId="56BBD689" w14:textId="77777777" w:rsidR="00A169F2" w:rsidRPr="009459E4" w:rsidRDefault="00A169F2" w:rsidP="0039665D">
            <w:pPr>
              <w:suppressAutoHyphens w:val="0"/>
              <w:spacing w:before="80" w:after="80" w:line="200" w:lineRule="exact"/>
              <w:jc w:val="right"/>
              <w:rPr>
                <w:i/>
                <w:sz w:val="16"/>
              </w:rPr>
            </w:pPr>
            <w:r w:rsidRPr="009459E4">
              <w:rPr>
                <w:i/>
                <w:sz w:val="16"/>
                <w:lang w:val="fr-FR"/>
              </w:rPr>
              <w:t>Transports</w:t>
            </w:r>
          </w:p>
        </w:tc>
        <w:tc>
          <w:tcPr>
            <w:tcW w:w="1134" w:type="dxa"/>
            <w:tcBorders>
              <w:top w:val="single" w:sz="4" w:space="0" w:color="auto"/>
              <w:bottom w:val="single" w:sz="12" w:space="0" w:color="auto"/>
            </w:tcBorders>
            <w:shd w:val="clear" w:color="auto" w:fill="auto"/>
            <w:vAlign w:val="bottom"/>
          </w:tcPr>
          <w:p w14:paraId="7F222FA4" w14:textId="77777777" w:rsidR="00A169F2" w:rsidRPr="009459E4" w:rsidRDefault="00A169F2" w:rsidP="0039665D">
            <w:pPr>
              <w:suppressAutoHyphens w:val="0"/>
              <w:spacing w:before="80" w:after="80" w:line="200" w:lineRule="exact"/>
              <w:jc w:val="right"/>
              <w:rPr>
                <w:i/>
                <w:sz w:val="16"/>
              </w:rPr>
            </w:pPr>
            <w:r w:rsidRPr="009459E4">
              <w:rPr>
                <w:i/>
                <w:sz w:val="16"/>
                <w:lang w:val="fr-FR"/>
              </w:rPr>
              <w:t>Développement régional</w:t>
            </w:r>
          </w:p>
        </w:tc>
        <w:tc>
          <w:tcPr>
            <w:tcW w:w="851" w:type="dxa"/>
            <w:tcBorders>
              <w:top w:val="single" w:sz="4" w:space="0" w:color="auto"/>
              <w:bottom w:val="single" w:sz="12" w:space="0" w:color="auto"/>
            </w:tcBorders>
            <w:shd w:val="clear" w:color="auto" w:fill="auto"/>
            <w:vAlign w:val="bottom"/>
          </w:tcPr>
          <w:p w14:paraId="5D8A99AB" w14:textId="77777777" w:rsidR="00A169F2" w:rsidRPr="009459E4" w:rsidRDefault="00A169F2" w:rsidP="0039665D">
            <w:pPr>
              <w:suppressAutoHyphens w:val="0"/>
              <w:spacing w:before="80" w:after="80" w:line="200" w:lineRule="exact"/>
              <w:jc w:val="right"/>
              <w:rPr>
                <w:i/>
                <w:sz w:val="16"/>
              </w:rPr>
            </w:pPr>
            <w:r w:rsidRPr="009459E4">
              <w:rPr>
                <w:i/>
                <w:sz w:val="16"/>
                <w:lang w:val="fr-FR"/>
              </w:rPr>
              <w:t>Gestion des déchets</w:t>
            </w:r>
          </w:p>
        </w:tc>
        <w:tc>
          <w:tcPr>
            <w:tcW w:w="850" w:type="dxa"/>
            <w:tcBorders>
              <w:top w:val="single" w:sz="4" w:space="0" w:color="auto"/>
              <w:bottom w:val="single" w:sz="12" w:space="0" w:color="auto"/>
            </w:tcBorders>
            <w:shd w:val="clear" w:color="auto" w:fill="auto"/>
            <w:vAlign w:val="bottom"/>
          </w:tcPr>
          <w:p w14:paraId="29360EF6" w14:textId="77777777" w:rsidR="00A169F2" w:rsidRPr="009459E4" w:rsidRDefault="00A169F2" w:rsidP="0039665D">
            <w:pPr>
              <w:suppressAutoHyphens w:val="0"/>
              <w:spacing w:before="80" w:after="80" w:line="200" w:lineRule="exact"/>
              <w:jc w:val="right"/>
              <w:rPr>
                <w:i/>
                <w:sz w:val="16"/>
              </w:rPr>
            </w:pPr>
            <w:r w:rsidRPr="009459E4">
              <w:rPr>
                <w:i/>
                <w:sz w:val="16"/>
                <w:lang w:val="fr-FR"/>
              </w:rPr>
              <w:t xml:space="preserve">Gestion </w:t>
            </w:r>
            <w:r>
              <w:rPr>
                <w:i/>
                <w:sz w:val="16"/>
                <w:lang w:val="fr-FR"/>
              </w:rPr>
              <w:br/>
            </w:r>
            <w:r w:rsidRPr="009459E4">
              <w:rPr>
                <w:i/>
                <w:sz w:val="16"/>
                <w:lang w:val="fr-FR"/>
              </w:rPr>
              <w:t>de l</w:t>
            </w:r>
            <w:r>
              <w:rPr>
                <w:i/>
                <w:sz w:val="16"/>
                <w:lang w:val="fr-FR"/>
              </w:rPr>
              <w:t>’</w:t>
            </w:r>
            <w:r w:rsidRPr="009459E4">
              <w:rPr>
                <w:i/>
                <w:sz w:val="16"/>
                <w:lang w:val="fr-FR"/>
              </w:rPr>
              <w:t>eau</w:t>
            </w:r>
          </w:p>
        </w:tc>
        <w:tc>
          <w:tcPr>
            <w:tcW w:w="1418" w:type="dxa"/>
            <w:tcBorders>
              <w:top w:val="single" w:sz="4" w:space="0" w:color="auto"/>
              <w:bottom w:val="single" w:sz="12" w:space="0" w:color="auto"/>
            </w:tcBorders>
            <w:shd w:val="clear" w:color="auto" w:fill="auto"/>
            <w:vAlign w:val="bottom"/>
          </w:tcPr>
          <w:p w14:paraId="19E8C50B" w14:textId="77777777" w:rsidR="00A169F2" w:rsidRPr="009459E4" w:rsidRDefault="00A169F2" w:rsidP="0039665D">
            <w:pPr>
              <w:suppressAutoHyphens w:val="0"/>
              <w:spacing w:before="80" w:after="80" w:line="200" w:lineRule="exact"/>
              <w:jc w:val="right"/>
              <w:rPr>
                <w:i/>
                <w:sz w:val="16"/>
              </w:rPr>
            </w:pPr>
            <w:r w:rsidRPr="009459E4">
              <w:rPr>
                <w:i/>
                <w:sz w:val="16"/>
                <w:lang w:val="fr-FR"/>
              </w:rPr>
              <w:t>Télécommunications</w:t>
            </w:r>
          </w:p>
        </w:tc>
        <w:tc>
          <w:tcPr>
            <w:tcW w:w="779" w:type="dxa"/>
            <w:tcBorders>
              <w:top w:val="single" w:sz="4" w:space="0" w:color="auto"/>
              <w:bottom w:val="single" w:sz="12" w:space="0" w:color="auto"/>
            </w:tcBorders>
            <w:shd w:val="clear" w:color="auto" w:fill="auto"/>
            <w:vAlign w:val="bottom"/>
          </w:tcPr>
          <w:p w14:paraId="11DBEA07" w14:textId="77777777" w:rsidR="00A169F2" w:rsidRPr="009459E4" w:rsidRDefault="00A169F2" w:rsidP="0039665D">
            <w:pPr>
              <w:suppressAutoHyphens w:val="0"/>
              <w:spacing w:before="80" w:after="80" w:line="200" w:lineRule="exact"/>
              <w:jc w:val="right"/>
              <w:rPr>
                <w:i/>
                <w:sz w:val="16"/>
              </w:rPr>
            </w:pPr>
            <w:r w:rsidRPr="009459E4">
              <w:rPr>
                <w:i/>
                <w:sz w:val="16"/>
                <w:lang w:val="fr-FR"/>
              </w:rPr>
              <w:t>Tourisme</w:t>
            </w:r>
          </w:p>
        </w:tc>
        <w:tc>
          <w:tcPr>
            <w:tcW w:w="1329" w:type="dxa"/>
            <w:tcBorders>
              <w:top w:val="single" w:sz="4" w:space="0" w:color="auto"/>
              <w:bottom w:val="single" w:sz="12" w:space="0" w:color="auto"/>
            </w:tcBorders>
            <w:shd w:val="clear" w:color="auto" w:fill="auto"/>
            <w:vAlign w:val="bottom"/>
          </w:tcPr>
          <w:p w14:paraId="3CADB668" w14:textId="77777777" w:rsidR="00A169F2" w:rsidRPr="009459E4" w:rsidRDefault="00A169F2" w:rsidP="0039665D">
            <w:pPr>
              <w:suppressAutoHyphens w:val="0"/>
              <w:spacing w:before="80" w:after="80" w:line="200" w:lineRule="exact"/>
              <w:jc w:val="right"/>
              <w:rPr>
                <w:i/>
                <w:sz w:val="16"/>
              </w:rPr>
            </w:pPr>
            <w:r w:rsidRPr="009459E4">
              <w:rPr>
                <w:i/>
                <w:sz w:val="16"/>
                <w:lang w:val="fr-FR"/>
              </w:rPr>
              <w:t>Aménagement villes/territoire</w:t>
            </w:r>
          </w:p>
        </w:tc>
        <w:tc>
          <w:tcPr>
            <w:tcW w:w="878" w:type="dxa"/>
            <w:tcBorders>
              <w:top w:val="single" w:sz="4" w:space="0" w:color="auto"/>
              <w:bottom w:val="single" w:sz="12" w:space="0" w:color="auto"/>
            </w:tcBorders>
            <w:shd w:val="clear" w:color="auto" w:fill="auto"/>
            <w:vAlign w:val="bottom"/>
          </w:tcPr>
          <w:p w14:paraId="6F3B7F88" w14:textId="77777777" w:rsidR="00A169F2" w:rsidRPr="009459E4" w:rsidRDefault="00A169F2" w:rsidP="0039665D">
            <w:pPr>
              <w:suppressAutoHyphens w:val="0"/>
              <w:spacing w:before="80" w:after="80" w:line="200" w:lineRule="exact"/>
              <w:jc w:val="right"/>
              <w:rPr>
                <w:i/>
                <w:sz w:val="16"/>
              </w:rPr>
            </w:pPr>
            <w:r w:rsidRPr="009459E4">
              <w:rPr>
                <w:i/>
                <w:sz w:val="16"/>
                <w:lang w:val="fr-FR"/>
              </w:rPr>
              <w:t>Utilisation des terres</w:t>
            </w:r>
          </w:p>
        </w:tc>
        <w:tc>
          <w:tcPr>
            <w:tcW w:w="583" w:type="dxa"/>
            <w:tcBorders>
              <w:top w:val="single" w:sz="4" w:space="0" w:color="auto"/>
              <w:bottom w:val="single" w:sz="12" w:space="0" w:color="auto"/>
            </w:tcBorders>
            <w:shd w:val="clear" w:color="auto" w:fill="auto"/>
            <w:vAlign w:val="bottom"/>
          </w:tcPr>
          <w:p w14:paraId="589876BF" w14:textId="77777777" w:rsidR="00A169F2" w:rsidRPr="009459E4" w:rsidRDefault="00A169F2" w:rsidP="0039665D">
            <w:pPr>
              <w:suppressAutoHyphens w:val="0"/>
              <w:spacing w:before="80" w:after="80" w:line="200" w:lineRule="exact"/>
              <w:jc w:val="right"/>
              <w:rPr>
                <w:i/>
                <w:sz w:val="16"/>
              </w:rPr>
            </w:pPr>
            <w:r w:rsidRPr="009459E4">
              <w:rPr>
                <w:i/>
                <w:sz w:val="16"/>
                <w:lang w:val="fr-FR"/>
              </w:rPr>
              <w:t>Autre</w:t>
            </w:r>
          </w:p>
        </w:tc>
      </w:tr>
      <w:tr w:rsidR="00A169F2" w:rsidRPr="009459E4" w14:paraId="553D35A9" w14:textId="77777777" w:rsidTr="0039665D">
        <w:tc>
          <w:tcPr>
            <w:tcW w:w="1418" w:type="dxa"/>
            <w:shd w:val="clear" w:color="auto" w:fill="auto"/>
          </w:tcPr>
          <w:p w14:paraId="4B031154" w14:textId="77777777" w:rsidR="00A169F2" w:rsidRPr="009459E4" w:rsidRDefault="00A169F2" w:rsidP="0039665D">
            <w:pPr>
              <w:suppressAutoHyphens w:val="0"/>
              <w:spacing w:before="40" w:after="40" w:line="220" w:lineRule="exact"/>
              <w:rPr>
                <w:sz w:val="18"/>
                <w:szCs w:val="24"/>
              </w:rPr>
            </w:pPr>
            <w:r w:rsidRPr="009459E4">
              <w:rPr>
                <w:sz w:val="18"/>
                <w:lang w:val="fr-FR"/>
              </w:rPr>
              <w:t>Albanie</w:t>
            </w:r>
          </w:p>
        </w:tc>
        <w:tc>
          <w:tcPr>
            <w:tcW w:w="891" w:type="dxa"/>
            <w:shd w:val="clear" w:color="auto" w:fill="auto"/>
            <w:textDirection w:val="lrTbV"/>
            <w:vAlign w:val="bottom"/>
          </w:tcPr>
          <w:p w14:paraId="4FBC9111"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101612F1"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39E17241"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18E90520"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3E766A7A"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5FDF9998"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20143CCE"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436D637B"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5–6</w:t>
            </w:r>
          </w:p>
        </w:tc>
        <w:tc>
          <w:tcPr>
            <w:tcW w:w="850" w:type="dxa"/>
            <w:shd w:val="clear" w:color="auto" w:fill="auto"/>
            <w:vAlign w:val="bottom"/>
          </w:tcPr>
          <w:p w14:paraId="568E4BCF"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2BFF3425"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78803127"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5–6</w:t>
            </w:r>
          </w:p>
        </w:tc>
        <w:tc>
          <w:tcPr>
            <w:tcW w:w="1329" w:type="dxa"/>
            <w:shd w:val="clear" w:color="auto" w:fill="auto"/>
            <w:vAlign w:val="bottom"/>
          </w:tcPr>
          <w:p w14:paraId="68EA8A78"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5–6</w:t>
            </w:r>
          </w:p>
        </w:tc>
        <w:tc>
          <w:tcPr>
            <w:tcW w:w="878" w:type="dxa"/>
            <w:shd w:val="clear" w:color="auto" w:fill="auto"/>
            <w:vAlign w:val="bottom"/>
          </w:tcPr>
          <w:p w14:paraId="08CF0D9E"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0A4A08B8"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3F1128DD" w14:textId="77777777" w:rsidTr="0039665D">
        <w:tc>
          <w:tcPr>
            <w:tcW w:w="1418" w:type="dxa"/>
            <w:shd w:val="clear" w:color="auto" w:fill="auto"/>
          </w:tcPr>
          <w:p w14:paraId="284084CA" w14:textId="77777777" w:rsidR="00A169F2" w:rsidRPr="009459E4" w:rsidRDefault="00A169F2" w:rsidP="0039665D">
            <w:pPr>
              <w:suppressAutoHyphens w:val="0"/>
              <w:spacing w:before="40" w:after="40" w:line="220" w:lineRule="exact"/>
              <w:rPr>
                <w:sz w:val="18"/>
                <w:szCs w:val="24"/>
              </w:rPr>
            </w:pPr>
            <w:r w:rsidRPr="009459E4">
              <w:rPr>
                <w:sz w:val="18"/>
                <w:lang w:val="fr-FR"/>
              </w:rPr>
              <w:t>Autriche</w:t>
            </w:r>
          </w:p>
        </w:tc>
        <w:tc>
          <w:tcPr>
            <w:tcW w:w="891" w:type="dxa"/>
            <w:shd w:val="clear" w:color="auto" w:fill="auto"/>
            <w:textDirection w:val="lrTbV"/>
            <w:vAlign w:val="bottom"/>
          </w:tcPr>
          <w:p w14:paraId="4E32FE8B"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155BE713"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01BC8FCF"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39E5ABC0"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3AFABD65"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4040919A"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081E867C"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1619E5BE"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7A8F6151"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69956293"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22F38EE0"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74BCE94F"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0E4F75E9"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196B2903"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5E5B05FC" w14:textId="77777777" w:rsidTr="0039665D">
        <w:tc>
          <w:tcPr>
            <w:tcW w:w="1418" w:type="dxa"/>
            <w:shd w:val="clear" w:color="auto" w:fill="auto"/>
          </w:tcPr>
          <w:p w14:paraId="105978C9" w14:textId="77777777" w:rsidR="00A169F2" w:rsidRPr="009459E4" w:rsidRDefault="00A169F2" w:rsidP="0039665D">
            <w:pPr>
              <w:suppressAutoHyphens w:val="0"/>
              <w:spacing w:before="40" w:after="40" w:line="220" w:lineRule="exact"/>
              <w:rPr>
                <w:sz w:val="18"/>
                <w:szCs w:val="24"/>
              </w:rPr>
            </w:pPr>
            <w:r w:rsidRPr="009459E4">
              <w:rPr>
                <w:sz w:val="18"/>
                <w:lang w:val="fr-FR"/>
              </w:rPr>
              <w:t>Bosnie-Herzégovine</w:t>
            </w:r>
          </w:p>
        </w:tc>
        <w:tc>
          <w:tcPr>
            <w:tcW w:w="891" w:type="dxa"/>
            <w:shd w:val="clear" w:color="auto" w:fill="auto"/>
            <w:textDirection w:val="lrTbV"/>
            <w:vAlign w:val="bottom"/>
          </w:tcPr>
          <w:p w14:paraId="537B69F8"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409D3CB7"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6B2F085A"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066056AA"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38E975E0"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6F5BDC1A"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w:t>
            </w:r>
          </w:p>
        </w:tc>
        <w:tc>
          <w:tcPr>
            <w:tcW w:w="1134" w:type="dxa"/>
            <w:shd w:val="clear" w:color="auto" w:fill="auto"/>
            <w:vAlign w:val="bottom"/>
          </w:tcPr>
          <w:p w14:paraId="3217C775"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w:t>
            </w:r>
          </w:p>
        </w:tc>
        <w:tc>
          <w:tcPr>
            <w:tcW w:w="851" w:type="dxa"/>
            <w:shd w:val="clear" w:color="auto" w:fill="auto"/>
            <w:vAlign w:val="bottom"/>
          </w:tcPr>
          <w:p w14:paraId="554BB0A4"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(6)</w:t>
            </w:r>
          </w:p>
        </w:tc>
        <w:tc>
          <w:tcPr>
            <w:tcW w:w="850" w:type="dxa"/>
            <w:shd w:val="clear" w:color="auto" w:fill="auto"/>
            <w:vAlign w:val="bottom"/>
          </w:tcPr>
          <w:p w14:paraId="53C454F3"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2DFBD228"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30BA273E"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70803FC6"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w:t>
            </w:r>
          </w:p>
        </w:tc>
        <w:tc>
          <w:tcPr>
            <w:tcW w:w="878" w:type="dxa"/>
            <w:shd w:val="clear" w:color="auto" w:fill="auto"/>
            <w:vAlign w:val="bottom"/>
          </w:tcPr>
          <w:p w14:paraId="031B8F5C"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53577CC9"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w:t>
            </w:r>
          </w:p>
        </w:tc>
      </w:tr>
      <w:tr w:rsidR="00A169F2" w:rsidRPr="009459E4" w14:paraId="4EF11E6A" w14:textId="77777777" w:rsidTr="0039665D">
        <w:tc>
          <w:tcPr>
            <w:tcW w:w="1418" w:type="dxa"/>
            <w:shd w:val="clear" w:color="auto" w:fill="auto"/>
          </w:tcPr>
          <w:p w14:paraId="650172A8" w14:textId="77777777" w:rsidR="00A169F2" w:rsidRPr="009459E4" w:rsidRDefault="00A169F2" w:rsidP="0039665D">
            <w:pPr>
              <w:suppressAutoHyphens w:val="0"/>
              <w:spacing w:before="40" w:after="40" w:line="220" w:lineRule="exact"/>
              <w:rPr>
                <w:sz w:val="18"/>
                <w:szCs w:val="24"/>
              </w:rPr>
            </w:pPr>
            <w:r w:rsidRPr="009459E4">
              <w:rPr>
                <w:sz w:val="18"/>
                <w:lang w:val="fr-FR"/>
              </w:rPr>
              <w:t>Croatie</w:t>
            </w:r>
          </w:p>
        </w:tc>
        <w:tc>
          <w:tcPr>
            <w:tcW w:w="891" w:type="dxa"/>
            <w:shd w:val="clear" w:color="auto" w:fill="auto"/>
            <w:textDirection w:val="lrTbV"/>
            <w:vAlign w:val="bottom"/>
          </w:tcPr>
          <w:p w14:paraId="03987645"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w:t>
            </w:r>
          </w:p>
        </w:tc>
        <w:tc>
          <w:tcPr>
            <w:tcW w:w="718" w:type="dxa"/>
            <w:shd w:val="clear" w:color="auto" w:fill="auto"/>
            <w:vAlign w:val="bottom"/>
          </w:tcPr>
          <w:p w14:paraId="0AFDE360"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49089717"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w:t>
            </w:r>
          </w:p>
        </w:tc>
        <w:tc>
          <w:tcPr>
            <w:tcW w:w="718" w:type="dxa"/>
            <w:shd w:val="clear" w:color="auto" w:fill="auto"/>
            <w:vAlign w:val="bottom"/>
          </w:tcPr>
          <w:p w14:paraId="6999368D"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18</w:t>
            </w:r>
          </w:p>
        </w:tc>
        <w:tc>
          <w:tcPr>
            <w:tcW w:w="717" w:type="dxa"/>
            <w:shd w:val="clear" w:color="auto" w:fill="auto"/>
            <w:vAlign w:val="bottom"/>
          </w:tcPr>
          <w:p w14:paraId="35CEC053"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57B508B7"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w:t>
            </w:r>
          </w:p>
        </w:tc>
        <w:tc>
          <w:tcPr>
            <w:tcW w:w="1134" w:type="dxa"/>
            <w:shd w:val="clear" w:color="auto" w:fill="auto"/>
            <w:vAlign w:val="bottom"/>
          </w:tcPr>
          <w:p w14:paraId="571C4925"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w:t>
            </w:r>
          </w:p>
        </w:tc>
        <w:tc>
          <w:tcPr>
            <w:tcW w:w="851" w:type="dxa"/>
            <w:shd w:val="clear" w:color="auto" w:fill="auto"/>
            <w:vAlign w:val="bottom"/>
          </w:tcPr>
          <w:p w14:paraId="732EE329"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68CD8A1D"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18</w:t>
            </w:r>
          </w:p>
        </w:tc>
        <w:tc>
          <w:tcPr>
            <w:tcW w:w="1418" w:type="dxa"/>
            <w:shd w:val="clear" w:color="auto" w:fill="auto"/>
            <w:vAlign w:val="bottom"/>
          </w:tcPr>
          <w:p w14:paraId="30385BDE"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w:t>
            </w:r>
          </w:p>
        </w:tc>
        <w:tc>
          <w:tcPr>
            <w:tcW w:w="779" w:type="dxa"/>
            <w:shd w:val="clear" w:color="auto" w:fill="auto"/>
            <w:vAlign w:val="bottom"/>
          </w:tcPr>
          <w:p w14:paraId="7D292B9C"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2F7B0951"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12-18</w:t>
            </w:r>
          </w:p>
        </w:tc>
        <w:tc>
          <w:tcPr>
            <w:tcW w:w="878" w:type="dxa"/>
            <w:shd w:val="clear" w:color="auto" w:fill="auto"/>
            <w:vAlign w:val="bottom"/>
          </w:tcPr>
          <w:p w14:paraId="1E2135D4"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7B1AD1D7"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6B781F52" w14:textId="77777777" w:rsidTr="0039665D">
        <w:tc>
          <w:tcPr>
            <w:tcW w:w="1418" w:type="dxa"/>
            <w:shd w:val="clear" w:color="auto" w:fill="auto"/>
          </w:tcPr>
          <w:p w14:paraId="1328A559" w14:textId="77777777" w:rsidR="00A169F2" w:rsidRPr="009459E4" w:rsidRDefault="00A169F2" w:rsidP="0039665D">
            <w:pPr>
              <w:suppressAutoHyphens w:val="0"/>
              <w:spacing w:before="40" w:after="40" w:line="220" w:lineRule="exact"/>
              <w:rPr>
                <w:sz w:val="18"/>
                <w:szCs w:val="24"/>
              </w:rPr>
            </w:pPr>
            <w:r w:rsidRPr="009459E4">
              <w:rPr>
                <w:sz w:val="18"/>
                <w:lang w:val="fr-FR"/>
              </w:rPr>
              <w:t>Espagne</w:t>
            </w:r>
          </w:p>
        </w:tc>
        <w:tc>
          <w:tcPr>
            <w:tcW w:w="891" w:type="dxa"/>
            <w:shd w:val="clear" w:color="auto" w:fill="auto"/>
            <w:textDirection w:val="lrTbV"/>
            <w:vAlign w:val="bottom"/>
          </w:tcPr>
          <w:p w14:paraId="195BFCD5"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18" w:type="dxa"/>
            <w:shd w:val="clear" w:color="auto" w:fill="auto"/>
            <w:vAlign w:val="bottom"/>
          </w:tcPr>
          <w:p w14:paraId="78FF456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17" w:type="dxa"/>
            <w:shd w:val="clear" w:color="auto" w:fill="auto"/>
            <w:vAlign w:val="bottom"/>
          </w:tcPr>
          <w:p w14:paraId="74157772"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18" w:type="dxa"/>
            <w:shd w:val="clear" w:color="auto" w:fill="auto"/>
            <w:vAlign w:val="bottom"/>
          </w:tcPr>
          <w:p w14:paraId="76944F1D"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17" w:type="dxa"/>
            <w:shd w:val="clear" w:color="auto" w:fill="auto"/>
            <w:vAlign w:val="bottom"/>
          </w:tcPr>
          <w:p w14:paraId="32AC11BC"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75" w:type="dxa"/>
            <w:shd w:val="clear" w:color="auto" w:fill="auto"/>
            <w:vAlign w:val="bottom"/>
          </w:tcPr>
          <w:p w14:paraId="0E31191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1134" w:type="dxa"/>
            <w:shd w:val="clear" w:color="auto" w:fill="auto"/>
            <w:vAlign w:val="bottom"/>
          </w:tcPr>
          <w:p w14:paraId="0C9B4465"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851" w:type="dxa"/>
            <w:shd w:val="clear" w:color="auto" w:fill="auto"/>
            <w:vAlign w:val="bottom"/>
          </w:tcPr>
          <w:p w14:paraId="3B9B9867"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850" w:type="dxa"/>
            <w:shd w:val="clear" w:color="auto" w:fill="auto"/>
            <w:vAlign w:val="bottom"/>
          </w:tcPr>
          <w:p w14:paraId="5B328CB8"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1418" w:type="dxa"/>
            <w:shd w:val="clear" w:color="auto" w:fill="auto"/>
            <w:vAlign w:val="bottom"/>
          </w:tcPr>
          <w:p w14:paraId="3D4D5EDD"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79" w:type="dxa"/>
            <w:shd w:val="clear" w:color="auto" w:fill="auto"/>
            <w:vAlign w:val="bottom"/>
          </w:tcPr>
          <w:p w14:paraId="5C3D0CF7"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1329" w:type="dxa"/>
            <w:shd w:val="clear" w:color="auto" w:fill="auto"/>
            <w:vAlign w:val="bottom"/>
          </w:tcPr>
          <w:p w14:paraId="2D2740EA"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878" w:type="dxa"/>
            <w:shd w:val="clear" w:color="auto" w:fill="auto"/>
            <w:vAlign w:val="bottom"/>
          </w:tcPr>
          <w:p w14:paraId="55F21B09"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583" w:type="dxa"/>
            <w:shd w:val="clear" w:color="auto" w:fill="auto"/>
            <w:vAlign w:val="bottom"/>
          </w:tcPr>
          <w:p w14:paraId="440413CB"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r>
      <w:tr w:rsidR="00A169F2" w:rsidRPr="009459E4" w14:paraId="34379BB7" w14:textId="77777777" w:rsidTr="0039665D">
        <w:tc>
          <w:tcPr>
            <w:tcW w:w="1418" w:type="dxa"/>
            <w:shd w:val="clear" w:color="auto" w:fill="auto"/>
          </w:tcPr>
          <w:p w14:paraId="7A567F0D" w14:textId="77777777" w:rsidR="00A169F2" w:rsidRPr="009459E4" w:rsidRDefault="00A169F2" w:rsidP="0039665D">
            <w:pPr>
              <w:suppressAutoHyphens w:val="0"/>
              <w:spacing w:before="40" w:after="40" w:line="220" w:lineRule="exact"/>
              <w:rPr>
                <w:sz w:val="18"/>
                <w:szCs w:val="24"/>
              </w:rPr>
            </w:pPr>
            <w:r w:rsidRPr="009459E4">
              <w:rPr>
                <w:sz w:val="18"/>
                <w:lang w:val="fr-FR"/>
              </w:rPr>
              <w:t>Estonie</w:t>
            </w:r>
          </w:p>
        </w:tc>
        <w:tc>
          <w:tcPr>
            <w:tcW w:w="891" w:type="dxa"/>
            <w:shd w:val="clear" w:color="auto" w:fill="auto"/>
            <w:textDirection w:val="lrTbV"/>
            <w:vAlign w:val="bottom"/>
          </w:tcPr>
          <w:p w14:paraId="63551613"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523CB696"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7E35709B"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632DDB86"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714B8F33"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7AC18A77"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6DE9E9A5"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41B546DE"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626C8A17"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78FA6D38"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3A3CE785"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4D8A9BA1"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59813FCF"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4E79DD9C"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3AB69D4D" w14:textId="77777777" w:rsidTr="0039665D">
        <w:tc>
          <w:tcPr>
            <w:tcW w:w="1418" w:type="dxa"/>
            <w:shd w:val="clear" w:color="auto" w:fill="auto"/>
          </w:tcPr>
          <w:p w14:paraId="545D807D" w14:textId="77777777" w:rsidR="00A169F2" w:rsidRPr="009459E4" w:rsidRDefault="00A169F2" w:rsidP="0039665D">
            <w:pPr>
              <w:suppressAutoHyphens w:val="0"/>
              <w:spacing w:before="40" w:after="40" w:line="220" w:lineRule="exact"/>
              <w:rPr>
                <w:sz w:val="18"/>
                <w:szCs w:val="24"/>
              </w:rPr>
            </w:pPr>
            <w:r w:rsidRPr="009459E4">
              <w:rPr>
                <w:sz w:val="18"/>
                <w:lang w:val="fr-FR"/>
              </w:rPr>
              <w:t>Finlande</w:t>
            </w:r>
          </w:p>
        </w:tc>
        <w:tc>
          <w:tcPr>
            <w:tcW w:w="891" w:type="dxa"/>
            <w:shd w:val="clear" w:color="auto" w:fill="auto"/>
            <w:textDirection w:val="lrTbV"/>
            <w:vAlign w:val="bottom"/>
          </w:tcPr>
          <w:p w14:paraId="2217206A"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6C4356A6"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6E601DD5"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78655436"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625C81BE"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11EA460B"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638DDCAD"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5457BA07"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44888EEF"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45E05259"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49C3ECE9"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7C64728B" w14:textId="77777777" w:rsidR="00A169F2" w:rsidRPr="009459E4" w:rsidRDefault="00A169F2" w:rsidP="0039665D">
            <w:pPr>
              <w:suppressAutoHyphens w:val="0"/>
              <w:spacing w:before="40" w:after="40" w:line="220" w:lineRule="exact"/>
              <w:jc w:val="right"/>
              <w:rPr>
                <w:sz w:val="18"/>
                <w:szCs w:val="24"/>
                <w:lang w:val="fr-FR"/>
              </w:rPr>
            </w:pPr>
            <w:r w:rsidRPr="009459E4">
              <w:rPr>
                <w:sz w:val="18"/>
                <w:lang w:val="fr-FR"/>
              </w:rPr>
              <w:t>22</w:t>
            </w:r>
          </w:p>
          <w:p w14:paraId="348B3EC6" w14:textId="77777777" w:rsidR="00A169F2" w:rsidRPr="009459E4" w:rsidRDefault="00A169F2" w:rsidP="0039665D">
            <w:pPr>
              <w:suppressAutoHyphens w:val="0"/>
              <w:spacing w:before="40" w:after="40" w:line="220" w:lineRule="exact"/>
              <w:jc w:val="right"/>
              <w:rPr>
                <w:sz w:val="18"/>
                <w:szCs w:val="24"/>
                <w:lang w:val="fr-FR"/>
              </w:rPr>
            </w:pPr>
            <w:r w:rsidRPr="009459E4">
              <w:rPr>
                <w:sz w:val="18"/>
                <w:lang w:val="fr-FR"/>
              </w:rPr>
              <w:t>12 pour les plans locaux détaillés</w:t>
            </w:r>
          </w:p>
        </w:tc>
        <w:tc>
          <w:tcPr>
            <w:tcW w:w="878" w:type="dxa"/>
            <w:shd w:val="clear" w:color="auto" w:fill="auto"/>
            <w:vAlign w:val="bottom"/>
          </w:tcPr>
          <w:p w14:paraId="5CF40A92" w14:textId="77777777" w:rsidR="00A169F2" w:rsidRPr="009459E4" w:rsidRDefault="00A169F2" w:rsidP="0039665D">
            <w:pPr>
              <w:suppressAutoHyphens w:val="0"/>
              <w:spacing w:before="40" w:after="40" w:line="220" w:lineRule="exact"/>
              <w:jc w:val="right"/>
              <w:rPr>
                <w:sz w:val="18"/>
                <w:szCs w:val="24"/>
                <w:lang w:val="fr-FR"/>
              </w:rPr>
            </w:pPr>
          </w:p>
        </w:tc>
        <w:tc>
          <w:tcPr>
            <w:tcW w:w="583" w:type="dxa"/>
            <w:shd w:val="clear" w:color="auto" w:fill="auto"/>
            <w:vAlign w:val="bottom"/>
          </w:tcPr>
          <w:p w14:paraId="1946584F" w14:textId="77777777" w:rsidR="00A169F2" w:rsidRPr="009459E4" w:rsidRDefault="00A169F2" w:rsidP="0039665D">
            <w:pPr>
              <w:suppressAutoHyphens w:val="0"/>
              <w:spacing w:before="40" w:after="40" w:line="220" w:lineRule="exact"/>
              <w:jc w:val="right"/>
              <w:rPr>
                <w:sz w:val="18"/>
                <w:szCs w:val="24"/>
                <w:lang w:val="fr-FR"/>
              </w:rPr>
            </w:pPr>
          </w:p>
        </w:tc>
      </w:tr>
      <w:tr w:rsidR="00A169F2" w:rsidRPr="009459E4" w14:paraId="32EC7506" w14:textId="77777777" w:rsidTr="0039665D">
        <w:tc>
          <w:tcPr>
            <w:tcW w:w="1418" w:type="dxa"/>
            <w:shd w:val="clear" w:color="auto" w:fill="auto"/>
          </w:tcPr>
          <w:p w14:paraId="0ABD5B35" w14:textId="77777777" w:rsidR="00A169F2" w:rsidRPr="009459E4" w:rsidRDefault="00A169F2" w:rsidP="0039665D">
            <w:pPr>
              <w:suppressAutoHyphens w:val="0"/>
              <w:spacing w:before="40" w:after="40" w:line="220" w:lineRule="exact"/>
              <w:rPr>
                <w:sz w:val="18"/>
                <w:szCs w:val="24"/>
              </w:rPr>
            </w:pPr>
            <w:r w:rsidRPr="009459E4">
              <w:rPr>
                <w:sz w:val="18"/>
                <w:lang w:val="fr-FR"/>
              </w:rPr>
              <w:t>Hongrie</w:t>
            </w:r>
          </w:p>
        </w:tc>
        <w:tc>
          <w:tcPr>
            <w:tcW w:w="891" w:type="dxa"/>
            <w:shd w:val="clear" w:color="auto" w:fill="auto"/>
            <w:textDirection w:val="lrTbV"/>
            <w:vAlign w:val="bottom"/>
          </w:tcPr>
          <w:p w14:paraId="1D60B7A1"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718" w:type="dxa"/>
            <w:shd w:val="clear" w:color="auto" w:fill="auto"/>
            <w:vAlign w:val="bottom"/>
          </w:tcPr>
          <w:p w14:paraId="227157E2"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717" w:type="dxa"/>
            <w:shd w:val="clear" w:color="auto" w:fill="auto"/>
            <w:vAlign w:val="bottom"/>
          </w:tcPr>
          <w:p w14:paraId="71453C03"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081C20CD"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3-5/(3-5)</w:t>
            </w:r>
          </w:p>
        </w:tc>
        <w:tc>
          <w:tcPr>
            <w:tcW w:w="717" w:type="dxa"/>
            <w:shd w:val="clear" w:color="auto" w:fill="auto"/>
            <w:vAlign w:val="bottom"/>
          </w:tcPr>
          <w:p w14:paraId="3A23068E"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775" w:type="dxa"/>
            <w:shd w:val="clear" w:color="auto" w:fill="auto"/>
            <w:vAlign w:val="bottom"/>
          </w:tcPr>
          <w:p w14:paraId="6CBF4442"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3-5/(3-5)</w:t>
            </w:r>
          </w:p>
        </w:tc>
        <w:tc>
          <w:tcPr>
            <w:tcW w:w="1134" w:type="dxa"/>
            <w:shd w:val="clear" w:color="auto" w:fill="auto"/>
            <w:vAlign w:val="bottom"/>
          </w:tcPr>
          <w:p w14:paraId="00AA8D8B"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851" w:type="dxa"/>
            <w:shd w:val="clear" w:color="auto" w:fill="auto"/>
            <w:vAlign w:val="bottom"/>
          </w:tcPr>
          <w:p w14:paraId="2A04C0D3"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3-5/(5)</w:t>
            </w:r>
          </w:p>
        </w:tc>
        <w:tc>
          <w:tcPr>
            <w:tcW w:w="850" w:type="dxa"/>
            <w:shd w:val="clear" w:color="auto" w:fill="auto"/>
            <w:vAlign w:val="bottom"/>
          </w:tcPr>
          <w:p w14:paraId="13662264"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1418" w:type="dxa"/>
            <w:shd w:val="clear" w:color="auto" w:fill="auto"/>
            <w:vAlign w:val="bottom"/>
          </w:tcPr>
          <w:p w14:paraId="50421D19"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779" w:type="dxa"/>
            <w:shd w:val="clear" w:color="auto" w:fill="auto"/>
            <w:vAlign w:val="bottom"/>
          </w:tcPr>
          <w:p w14:paraId="13632436"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3-5/(4)</w:t>
            </w:r>
          </w:p>
        </w:tc>
        <w:tc>
          <w:tcPr>
            <w:tcW w:w="1329" w:type="dxa"/>
            <w:shd w:val="clear" w:color="auto" w:fill="auto"/>
            <w:vAlign w:val="bottom"/>
          </w:tcPr>
          <w:p w14:paraId="5D70D86C"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3-5/(3-5)</w:t>
            </w:r>
          </w:p>
        </w:tc>
        <w:tc>
          <w:tcPr>
            <w:tcW w:w="878" w:type="dxa"/>
            <w:shd w:val="clear" w:color="auto" w:fill="auto"/>
            <w:vAlign w:val="bottom"/>
          </w:tcPr>
          <w:p w14:paraId="4D2B98E6"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3-5</w:t>
            </w:r>
          </w:p>
        </w:tc>
        <w:tc>
          <w:tcPr>
            <w:tcW w:w="583" w:type="dxa"/>
            <w:shd w:val="clear" w:color="auto" w:fill="auto"/>
            <w:vAlign w:val="bottom"/>
          </w:tcPr>
          <w:p w14:paraId="1C959E73"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366DDD13" w14:textId="77777777" w:rsidTr="0039665D">
        <w:tc>
          <w:tcPr>
            <w:tcW w:w="1418" w:type="dxa"/>
            <w:shd w:val="clear" w:color="auto" w:fill="auto"/>
          </w:tcPr>
          <w:p w14:paraId="34523974" w14:textId="77777777" w:rsidR="00A169F2" w:rsidRPr="009459E4" w:rsidRDefault="00A169F2" w:rsidP="0039665D">
            <w:pPr>
              <w:suppressAutoHyphens w:val="0"/>
              <w:spacing w:before="40" w:after="40" w:line="220" w:lineRule="exact"/>
              <w:rPr>
                <w:sz w:val="18"/>
                <w:szCs w:val="24"/>
              </w:rPr>
            </w:pPr>
            <w:r w:rsidRPr="009459E4">
              <w:rPr>
                <w:sz w:val="18"/>
                <w:lang w:val="fr-FR"/>
              </w:rPr>
              <w:t>Lituanie</w:t>
            </w:r>
          </w:p>
        </w:tc>
        <w:tc>
          <w:tcPr>
            <w:tcW w:w="891" w:type="dxa"/>
            <w:shd w:val="clear" w:color="auto" w:fill="auto"/>
            <w:textDirection w:val="lrTbV"/>
            <w:vAlign w:val="bottom"/>
          </w:tcPr>
          <w:p w14:paraId="5172DB8D"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3E5D83D8"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2497C438"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6D4F6E82"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1B4F6D16"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5118A235"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3913B474"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43FEA0E1"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1A6EB04E"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236E6EA3"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5E9735EF"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69FD000B"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(6)</w:t>
            </w:r>
          </w:p>
        </w:tc>
        <w:tc>
          <w:tcPr>
            <w:tcW w:w="878" w:type="dxa"/>
            <w:shd w:val="clear" w:color="auto" w:fill="auto"/>
            <w:vAlign w:val="bottom"/>
          </w:tcPr>
          <w:p w14:paraId="29F78741"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180C999D"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23524A74" w14:textId="77777777" w:rsidTr="0039665D">
        <w:tc>
          <w:tcPr>
            <w:tcW w:w="1418" w:type="dxa"/>
            <w:shd w:val="clear" w:color="auto" w:fill="auto"/>
          </w:tcPr>
          <w:p w14:paraId="2FC6EEDB" w14:textId="77777777" w:rsidR="00A169F2" w:rsidRPr="009459E4" w:rsidRDefault="00A169F2" w:rsidP="0039665D">
            <w:pPr>
              <w:suppressAutoHyphens w:val="0"/>
              <w:spacing w:before="40" w:after="40" w:line="220" w:lineRule="exact"/>
              <w:rPr>
                <w:sz w:val="18"/>
                <w:szCs w:val="24"/>
              </w:rPr>
            </w:pPr>
            <w:r w:rsidRPr="009459E4">
              <w:rPr>
                <w:sz w:val="18"/>
                <w:lang w:val="fr-FR"/>
              </w:rPr>
              <w:t>Luxembourg</w:t>
            </w:r>
          </w:p>
        </w:tc>
        <w:tc>
          <w:tcPr>
            <w:tcW w:w="891" w:type="dxa"/>
            <w:shd w:val="clear" w:color="auto" w:fill="auto"/>
            <w:textDirection w:val="lrTbV"/>
            <w:vAlign w:val="bottom"/>
          </w:tcPr>
          <w:p w14:paraId="7DC60FF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8</w:t>
            </w:r>
          </w:p>
        </w:tc>
        <w:tc>
          <w:tcPr>
            <w:tcW w:w="718" w:type="dxa"/>
            <w:shd w:val="clear" w:color="auto" w:fill="auto"/>
            <w:vAlign w:val="bottom"/>
          </w:tcPr>
          <w:p w14:paraId="325E55DC"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6810B382"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63C37337"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5C2801E2"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05DD3371"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120B1E97"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4FA14499"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78D16ED4"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1595C5A3"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2DCBB331"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7AA62262"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528203A9"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60D34030"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24824651" w14:textId="77777777" w:rsidTr="0039665D">
        <w:tc>
          <w:tcPr>
            <w:tcW w:w="1418" w:type="dxa"/>
            <w:shd w:val="clear" w:color="auto" w:fill="auto"/>
          </w:tcPr>
          <w:p w14:paraId="26FF15E4" w14:textId="77777777" w:rsidR="00A169F2" w:rsidRPr="009459E4" w:rsidRDefault="00A169F2" w:rsidP="0039665D">
            <w:pPr>
              <w:suppressAutoHyphens w:val="0"/>
              <w:spacing w:before="40" w:after="40" w:line="220" w:lineRule="exact"/>
              <w:rPr>
                <w:sz w:val="18"/>
                <w:szCs w:val="24"/>
              </w:rPr>
            </w:pPr>
            <w:r w:rsidRPr="009459E4">
              <w:rPr>
                <w:sz w:val="18"/>
                <w:lang w:val="fr-FR"/>
              </w:rPr>
              <w:t>Malte</w:t>
            </w:r>
          </w:p>
        </w:tc>
        <w:tc>
          <w:tcPr>
            <w:tcW w:w="891" w:type="dxa"/>
            <w:shd w:val="clear" w:color="auto" w:fill="auto"/>
            <w:textDirection w:val="lrTbV"/>
            <w:vAlign w:val="bottom"/>
          </w:tcPr>
          <w:p w14:paraId="22F785D3"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0CD5B9C3"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7E44139A"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14B0E9C4"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9-26</w:t>
            </w:r>
          </w:p>
        </w:tc>
        <w:tc>
          <w:tcPr>
            <w:tcW w:w="717" w:type="dxa"/>
            <w:shd w:val="clear" w:color="auto" w:fill="auto"/>
            <w:vAlign w:val="bottom"/>
          </w:tcPr>
          <w:p w14:paraId="6204D08E"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6DC1B4F2"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3B478E31"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4326C564"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416F7421"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7</w:t>
            </w:r>
          </w:p>
        </w:tc>
        <w:tc>
          <w:tcPr>
            <w:tcW w:w="1418" w:type="dxa"/>
            <w:shd w:val="clear" w:color="auto" w:fill="auto"/>
            <w:vAlign w:val="bottom"/>
          </w:tcPr>
          <w:p w14:paraId="6BC6F7EB"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4B21DBB8"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6CF70AAA"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5C612061"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15241690"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112BAED4" w14:textId="77777777" w:rsidTr="0039665D">
        <w:tc>
          <w:tcPr>
            <w:tcW w:w="1418" w:type="dxa"/>
            <w:shd w:val="clear" w:color="auto" w:fill="auto"/>
          </w:tcPr>
          <w:p w14:paraId="34D04726" w14:textId="77777777" w:rsidR="00A169F2" w:rsidRPr="009459E4" w:rsidRDefault="00A169F2" w:rsidP="0039665D">
            <w:pPr>
              <w:suppressAutoHyphens w:val="0"/>
              <w:spacing w:before="40" w:after="40" w:line="220" w:lineRule="exact"/>
              <w:rPr>
                <w:sz w:val="18"/>
                <w:szCs w:val="24"/>
              </w:rPr>
            </w:pPr>
            <w:r w:rsidRPr="009459E4">
              <w:rPr>
                <w:sz w:val="18"/>
                <w:lang w:val="fr-FR"/>
              </w:rPr>
              <w:t>Monténégro</w:t>
            </w:r>
          </w:p>
        </w:tc>
        <w:tc>
          <w:tcPr>
            <w:tcW w:w="891" w:type="dxa"/>
            <w:shd w:val="clear" w:color="auto" w:fill="auto"/>
            <w:textDirection w:val="lrTbV"/>
            <w:vAlign w:val="bottom"/>
          </w:tcPr>
          <w:p w14:paraId="35465FB6"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67D299F6"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15697233" w14:textId="77777777" w:rsidR="00A169F2" w:rsidRPr="009459E4" w:rsidRDefault="00A169F2" w:rsidP="0039665D">
            <w:pPr>
              <w:suppressAutoHyphens w:val="0"/>
              <w:spacing w:before="40" w:after="40" w:line="220" w:lineRule="exact"/>
              <w:jc w:val="right"/>
              <w:rPr>
                <w:sz w:val="18"/>
                <w:szCs w:val="24"/>
              </w:rPr>
            </w:pPr>
          </w:p>
        </w:tc>
        <w:tc>
          <w:tcPr>
            <w:tcW w:w="718" w:type="dxa"/>
            <w:shd w:val="clear" w:color="auto" w:fill="auto"/>
            <w:vAlign w:val="bottom"/>
          </w:tcPr>
          <w:p w14:paraId="094EBD5C"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2CC33A0E"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5896F770"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329F610D"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275AEFA3"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66A817BB"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24</w:t>
            </w:r>
          </w:p>
        </w:tc>
        <w:tc>
          <w:tcPr>
            <w:tcW w:w="1418" w:type="dxa"/>
            <w:shd w:val="clear" w:color="auto" w:fill="auto"/>
            <w:vAlign w:val="bottom"/>
          </w:tcPr>
          <w:p w14:paraId="59A340C4"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66F88541"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671CF796"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5D5321B0"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594041DD"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5D97CB7C" w14:textId="77777777" w:rsidTr="0039665D">
        <w:tc>
          <w:tcPr>
            <w:tcW w:w="1418" w:type="dxa"/>
            <w:shd w:val="clear" w:color="auto" w:fill="auto"/>
          </w:tcPr>
          <w:p w14:paraId="53DEB1F0" w14:textId="77777777" w:rsidR="00A169F2" w:rsidRPr="009459E4" w:rsidRDefault="00A169F2" w:rsidP="0039665D">
            <w:pPr>
              <w:suppressAutoHyphens w:val="0"/>
              <w:spacing w:before="40" w:after="40" w:line="220" w:lineRule="exact"/>
              <w:rPr>
                <w:sz w:val="18"/>
                <w:szCs w:val="24"/>
              </w:rPr>
            </w:pPr>
            <w:r w:rsidRPr="009459E4">
              <w:rPr>
                <w:sz w:val="18"/>
                <w:lang w:val="fr-FR"/>
              </w:rPr>
              <w:t>Suède</w:t>
            </w:r>
          </w:p>
        </w:tc>
        <w:tc>
          <w:tcPr>
            <w:tcW w:w="891" w:type="dxa"/>
            <w:shd w:val="clear" w:color="auto" w:fill="auto"/>
            <w:textDirection w:val="lrTbV"/>
            <w:vAlign w:val="bottom"/>
          </w:tcPr>
          <w:p w14:paraId="215D238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22</w:t>
            </w:r>
          </w:p>
        </w:tc>
        <w:tc>
          <w:tcPr>
            <w:tcW w:w="718" w:type="dxa"/>
            <w:shd w:val="clear" w:color="auto" w:fill="auto"/>
            <w:vAlign w:val="bottom"/>
          </w:tcPr>
          <w:p w14:paraId="0D279AC7"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43697D63"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13</w:t>
            </w:r>
          </w:p>
        </w:tc>
        <w:tc>
          <w:tcPr>
            <w:tcW w:w="718" w:type="dxa"/>
            <w:shd w:val="clear" w:color="auto" w:fill="auto"/>
            <w:vAlign w:val="bottom"/>
          </w:tcPr>
          <w:p w14:paraId="40FC288A" w14:textId="77777777" w:rsidR="00A169F2" w:rsidRPr="009459E4" w:rsidRDefault="00A169F2" w:rsidP="0039665D">
            <w:pPr>
              <w:suppressAutoHyphens w:val="0"/>
              <w:spacing w:before="40" w:after="40" w:line="220" w:lineRule="exact"/>
              <w:jc w:val="right"/>
              <w:rPr>
                <w:sz w:val="18"/>
                <w:szCs w:val="24"/>
              </w:rPr>
            </w:pPr>
          </w:p>
        </w:tc>
        <w:tc>
          <w:tcPr>
            <w:tcW w:w="717" w:type="dxa"/>
            <w:shd w:val="clear" w:color="auto" w:fill="auto"/>
            <w:vAlign w:val="bottom"/>
          </w:tcPr>
          <w:p w14:paraId="24AC0D5A" w14:textId="77777777" w:rsidR="00A169F2" w:rsidRPr="009459E4" w:rsidRDefault="00A169F2" w:rsidP="0039665D">
            <w:pPr>
              <w:suppressAutoHyphens w:val="0"/>
              <w:spacing w:before="40" w:after="40" w:line="220" w:lineRule="exact"/>
              <w:jc w:val="right"/>
              <w:rPr>
                <w:sz w:val="18"/>
                <w:szCs w:val="24"/>
              </w:rPr>
            </w:pPr>
          </w:p>
        </w:tc>
        <w:tc>
          <w:tcPr>
            <w:tcW w:w="775" w:type="dxa"/>
            <w:shd w:val="clear" w:color="auto" w:fill="auto"/>
            <w:vAlign w:val="bottom"/>
          </w:tcPr>
          <w:p w14:paraId="7788F9A7" w14:textId="77777777" w:rsidR="00A169F2" w:rsidRPr="009459E4" w:rsidRDefault="00A169F2" w:rsidP="0039665D">
            <w:pPr>
              <w:suppressAutoHyphens w:val="0"/>
              <w:spacing w:before="40" w:after="40" w:line="220" w:lineRule="exact"/>
              <w:jc w:val="right"/>
              <w:rPr>
                <w:sz w:val="18"/>
                <w:szCs w:val="24"/>
              </w:rPr>
            </w:pPr>
          </w:p>
        </w:tc>
        <w:tc>
          <w:tcPr>
            <w:tcW w:w="1134" w:type="dxa"/>
            <w:shd w:val="clear" w:color="auto" w:fill="auto"/>
            <w:vAlign w:val="bottom"/>
          </w:tcPr>
          <w:p w14:paraId="5CDE7234" w14:textId="77777777" w:rsidR="00A169F2" w:rsidRPr="009459E4" w:rsidRDefault="00A169F2" w:rsidP="0039665D">
            <w:pPr>
              <w:suppressAutoHyphens w:val="0"/>
              <w:spacing w:before="40" w:after="40" w:line="220" w:lineRule="exact"/>
              <w:jc w:val="right"/>
              <w:rPr>
                <w:sz w:val="18"/>
                <w:szCs w:val="24"/>
              </w:rPr>
            </w:pPr>
          </w:p>
        </w:tc>
        <w:tc>
          <w:tcPr>
            <w:tcW w:w="851" w:type="dxa"/>
            <w:shd w:val="clear" w:color="auto" w:fill="auto"/>
            <w:vAlign w:val="bottom"/>
          </w:tcPr>
          <w:p w14:paraId="5CD01C84" w14:textId="77777777" w:rsidR="00A169F2" w:rsidRPr="009459E4" w:rsidRDefault="00A169F2" w:rsidP="0039665D">
            <w:pPr>
              <w:suppressAutoHyphens w:val="0"/>
              <w:spacing w:before="40" w:after="40" w:line="220" w:lineRule="exact"/>
              <w:jc w:val="right"/>
              <w:rPr>
                <w:sz w:val="18"/>
                <w:szCs w:val="24"/>
              </w:rPr>
            </w:pPr>
          </w:p>
        </w:tc>
        <w:tc>
          <w:tcPr>
            <w:tcW w:w="850" w:type="dxa"/>
            <w:shd w:val="clear" w:color="auto" w:fill="auto"/>
            <w:vAlign w:val="bottom"/>
          </w:tcPr>
          <w:p w14:paraId="36E2D5CF" w14:textId="77777777" w:rsidR="00A169F2" w:rsidRPr="009459E4" w:rsidRDefault="00A169F2" w:rsidP="0039665D">
            <w:pPr>
              <w:suppressAutoHyphens w:val="0"/>
              <w:spacing w:before="40" w:after="40" w:line="220" w:lineRule="exact"/>
              <w:jc w:val="right"/>
              <w:rPr>
                <w:sz w:val="18"/>
                <w:szCs w:val="24"/>
              </w:rPr>
            </w:pPr>
          </w:p>
        </w:tc>
        <w:tc>
          <w:tcPr>
            <w:tcW w:w="1418" w:type="dxa"/>
            <w:shd w:val="clear" w:color="auto" w:fill="auto"/>
            <w:vAlign w:val="bottom"/>
          </w:tcPr>
          <w:p w14:paraId="37314895" w14:textId="77777777" w:rsidR="00A169F2" w:rsidRPr="009459E4" w:rsidRDefault="00A169F2" w:rsidP="0039665D">
            <w:pPr>
              <w:suppressAutoHyphens w:val="0"/>
              <w:spacing w:before="40" w:after="40" w:line="220" w:lineRule="exact"/>
              <w:jc w:val="right"/>
              <w:rPr>
                <w:sz w:val="18"/>
                <w:szCs w:val="24"/>
              </w:rPr>
            </w:pPr>
          </w:p>
        </w:tc>
        <w:tc>
          <w:tcPr>
            <w:tcW w:w="779" w:type="dxa"/>
            <w:shd w:val="clear" w:color="auto" w:fill="auto"/>
            <w:vAlign w:val="bottom"/>
          </w:tcPr>
          <w:p w14:paraId="78BA428F" w14:textId="77777777" w:rsidR="00A169F2" w:rsidRPr="009459E4" w:rsidRDefault="00A169F2" w:rsidP="0039665D">
            <w:pPr>
              <w:suppressAutoHyphens w:val="0"/>
              <w:spacing w:before="40" w:after="40" w:line="220" w:lineRule="exact"/>
              <w:jc w:val="right"/>
              <w:rPr>
                <w:sz w:val="18"/>
                <w:szCs w:val="24"/>
              </w:rPr>
            </w:pPr>
          </w:p>
        </w:tc>
        <w:tc>
          <w:tcPr>
            <w:tcW w:w="1329" w:type="dxa"/>
            <w:shd w:val="clear" w:color="auto" w:fill="auto"/>
            <w:vAlign w:val="bottom"/>
          </w:tcPr>
          <w:p w14:paraId="1C985E43" w14:textId="77777777" w:rsidR="00A169F2" w:rsidRPr="009459E4" w:rsidRDefault="00A169F2" w:rsidP="0039665D">
            <w:pPr>
              <w:suppressAutoHyphens w:val="0"/>
              <w:spacing w:before="40" w:after="40" w:line="220" w:lineRule="exact"/>
              <w:jc w:val="right"/>
              <w:rPr>
                <w:sz w:val="18"/>
                <w:szCs w:val="24"/>
              </w:rPr>
            </w:pPr>
          </w:p>
        </w:tc>
        <w:tc>
          <w:tcPr>
            <w:tcW w:w="878" w:type="dxa"/>
            <w:shd w:val="clear" w:color="auto" w:fill="auto"/>
            <w:vAlign w:val="bottom"/>
          </w:tcPr>
          <w:p w14:paraId="1C6502FD" w14:textId="77777777" w:rsidR="00A169F2" w:rsidRPr="009459E4" w:rsidRDefault="00A169F2" w:rsidP="0039665D">
            <w:pPr>
              <w:suppressAutoHyphens w:val="0"/>
              <w:spacing w:before="40" w:after="40" w:line="220" w:lineRule="exact"/>
              <w:jc w:val="right"/>
              <w:rPr>
                <w:sz w:val="18"/>
                <w:szCs w:val="24"/>
              </w:rPr>
            </w:pPr>
          </w:p>
        </w:tc>
        <w:tc>
          <w:tcPr>
            <w:tcW w:w="583" w:type="dxa"/>
            <w:shd w:val="clear" w:color="auto" w:fill="auto"/>
            <w:vAlign w:val="bottom"/>
          </w:tcPr>
          <w:p w14:paraId="6A3064CC" w14:textId="77777777" w:rsidR="00A169F2" w:rsidRPr="009459E4" w:rsidRDefault="00A169F2" w:rsidP="0039665D">
            <w:pPr>
              <w:suppressAutoHyphens w:val="0"/>
              <w:spacing w:before="40" w:after="40" w:line="220" w:lineRule="exact"/>
              <w:jc w:val="right"/>
              <w:rPr>
                <w:sz w:val="18"/>
                <w:szCs w:val="24"/>
              </w:rPr>
            </w:pPr>
          </w:p>
        </w:tc>
      </w:tr>
      <w:tr w:rsidR="00A169F2" w:rsidRPr="009459E4" w14:paraId="6AFB6748" w14:textId="77777777" w:rsidTr="0039665D">
        <w:tc>
          <w:tcPr>
            <w:tcW w:w="1418" w:type="dxa"/>
            <w:tcBorders>
              <w:bottom w:val="single" w:sz="12" w:space="0" w:color="auto"/>
            </w:tcBorders>
            <w:shd w:val="clear" w:color="auto" w:fill="auto"/>
          </w:tcPr>
          <w:p w14:paraId="23664B09" w14:textId="77777777" w:rsidR="00A169F2" w:rsidRPr="009459E4" w:rsidRDefault="00A169F2" w:rsidP="0039665D">
            <w:pPr>
              <w:suppressAutoHyphens w:val="0"/>
              <w:spacing w:before="40" w:after="40" w:line="220" w:lineRule="exact"/>
              <w:rPr>
                <w:sz w:val="18"/>
                <w:szCs w:val="24"/>
              </w:rPr>
            </w:pPr>
            <w:r w:rsidRPr="009459E4">
              <w:rPr>
                <w:sz w:val="18"/>
                <w:lang w:val="fr-FR"/>
              </w:rPr>
              <w:t>Tchéquie</w:t>
            </w:r>
          </w:p>
        </w:tc>
        <w:tc>
          <w:tcPr>
            <w:tcW w:w="891" w:type="dxa"/>
            <w:tcBorders>
              <w:bottom w:val="single" w:sz="12" w:space="0" w:color="auto"/>
            </w:tcBorders>
            <w:shd w:val="clear" w:color="auto" w:fill="auto"/>
            <w:textDirection w:val="lrTbV"/>
            <w:vAlign w:val="bottom"/>
          </w:tcPr>
          <w:p w14:paraId="26595CD5" w14:textId="77777777" w:rsidR="00A169F2" w:rsidRPr="009459E4" w:rsidRDefault="00A169F2" w:rsidP="0039665D">
            <w:pPr>
              <w:suppressAutoHyphens w:val="0"/>
              <w:spacing w:before="40" w:after="40" w:line="220" w:lineRule="exact"/>
              <w:jc w:val="right"/>
              <w:rPr>
                <w:sz w:val="18"/>
                <w:szCs w:val="24"/>
              </w:rPr>
            </w:pPr>
          </w:p>
        </w:tc>
        <w:tc>
          <w:tcPr>
            <w:tcW w:w="718" w:type="dxa"/>
            <w:tcBorders>
              <w:bottom w:val="single" w:sz="12" w:space="0" w:color="auto"/>
            </w:tcBorders>
            <w:shd w:val="clear" w:color="auto" w:fill="auto"/>
            <w:vAlign w:val="bottom"/>
          </w:tcPr>
          <w:p w14:paraId="4D4B1292" w14:textId="77777777" w:rsidR="00A169F2" w:rsidRPr="009459E4" w:rsidRDefault="00A169F2" w:rsidP="0039665D">
            <w:pPr>
              <w:suppressAutoHyphens w:val="0"/>
              <w:spacing w:before="40" w:after="40" w:line="220" w:lineRule="exact"/>
              <w:jc w:val="right"/>
              <w:rPr>
                <w:sz w:val="18"/>
                <w:szCs w:val="24"/>
              </w:rPr>
            </w:pPr>
          </w:p>
        </w:tc>
        <w:tc>
          <w:tcPr>
            <w:tcW w:w="717" w:type="dxa"/>
            <w:tcBorders>
              <w:bottom w:val="single" w:sz="12" w:space="0" w:color="auto"/>
            </w:tcBorders>
            <w:shd w:val="clear" w:color="auto" w:fill="auto"/>
            <w:vAlign w:val="bottom"/>
          </w:tcPr>
          <w:p w14:paraId="541457E9"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13</w:t>
            </w:r>
          </w:p>
        </w:tc>
        <w:tc>
          <w:tcPr>
            <w:tcW w:w="718" w:type="dxa"/>
            <w:tcBorders>
              <w:bottom w:val="single" w:sz="12" w:space="0" w:color="auto"/>
            </w:tcBorders>
            <w:shd w:val="clear" w:color="auto" w:fill="auto"/>
            <w:vAlign w:val="bottom"/>
          </w:tcPr>
          <w:p w14:paraId="2B7D5C9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14</w:t>
            </w:r>
          </w:p>
        </w:tc>
        <w:tc>
          <w:tcPr>
            <w:tcW w:w="717" w:type="dxa"/>
            <w:tcBorders>
              <w:bottom w:val="single" w:sz="12" w:space="0" w:color="auto"/>
            </w:tcBorders>
            <w:shd w:val="clear" w:color="auto" w:fill="auto"/>
            <w:vAlign w:val="bottom"/>
          </w:tcPr>
          <w:p w14:paraId="0354CEC4" w14:textId="77777777" w:rsidR="00A169F2" w:rsidRPr="009459E4" w:rsidRDefault="00A169F2" w:rsidP="0039665D">
            <w:pPr>
              <w:suppressAutoHyphens w:val="0"/>
              <w:spacing w:before="40" w:after="40" w:line="220" w:lineRule="exact"/>
              <w:jc w:val="right"/>
              <w:rPr>
                <w:sz w:val="18"/>
                <w:szCs w:val="24"/>
              </w:rPr>
            </w:pPr>
          </w:p>
        </w:tc>
        <w:tc>
          <w:tcPr>
            <w:tcW w:w="775" w:type="dxa"/>
            <w:tcBorders>
              <w:bottom w:val="single" w:sz="12" w:space="0" w:color="auto"/>
            </w:tcBorders>
            <w:shd w:val="clear" w:color="auto" w:fill="auto"/>
            <w:vAlign w:val="bottom"/>
          </w:tcPr>
          <w:p w14:paraId="678CEF7F"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11</w:t>
            </w:r>
          </w:p>
        </w:tc>
        <w:tc>
          <w:tcPr>
            <w:tcW w:w="1134" w:type="dxa"/>
            <w:tcBorders>
              <w:bottom w:val="single" w:sz="12" w:space="0" w:color="auto"/>
            </w:tcBorders>
            <w:shd w:val="clear" w:color="auto" w:fill="auto"/>
            <w:vAlign w:val="bottom"/>
          </w:tcPr>
          <w:p w14:paraId="24CCC11E"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6</w:t>
            </w:r>
          </w:p>
        </w:tc>
        <w:tc>
          <w:tcPr>
            <w:tcW w:w="851" w:type="dxa"/>
            <w:tcBorders>
              <w:bottom w:val="single" w:sz="12" w:space="0" w:color="auto"/>
            </w:tcBorders>
            <w:shd w:val="clear" w:color="auto" w:fill="auto"/>
            <w:vAlign w:val="bottom"/>
          </w:tcPr>
          <w:p w14:paraId="5E196E8B" w14:textId="77777777" w:rsidR="00A169F2" w:rsidRPr="009459E4" w:rsidRDefault="00A169F2" w:rsidP="0039665D">
            <w:pPr>
              <w:suppressAutoHyphens w:val="0"/>
              <w:spacing w:before="40" w:after="40" w:line="220" w:lineRule="exact"/>
              <w:jc w:val="right"/>
              <w:rPr>
                <w:sz w:val="18"/>
                <w:szCs w:val="24"/>
              </w:rPr>
            </w:pPr>
          </w:p>
        </w:tc>
        <w:tc>
          <w:tcPr>
            <w:tcW w:w="850" w:type="dxa"/>
            <w:tcBorders>
              <w:bottom w:val="single" w:sz="12" w:space="0" w:color="auto"/>
            </w:tcBorders>
            <w:shd w:val="clear" w:color="auto" w:fill="auto"/>
            <w:vAlign w:val="bottom"/>
          </w:tcPr>
          <w:p w14:paraId="10B2B1C0"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11</w:t>
            </w:r>
          </w:p>
        </w:tc>
        <w:tc>
          <w:tcPr>
            <w:tcW w:w="1418" w:type="dxa"/>
            <w:tcBorders>
              <w:bottom w:val="single" w:sz="12" w:space="0" w:color="auto"/>
            </w:tcBorders>
            <w:shd w:val="clear" w:color="auto" w:fill="auto"/>
            <w:vAlign w:val="bottom"/>
          </w:tcPr>
          <w:p w14:paraId="3259D1C4" w14:textId="77777777" w:rsidR="00A169F2" w:rsidRPr="009459E4" w:rsidRDefault="00A169F2" w:rsidP="0039665D">
            <w:pPr>
              <w:suppressAutoHyphens w:val="0"/>
              <w:spacing w:before="40" w:after="40" w:line="220" w:lineRule="exact"/>
              <w:jc w:val="right"/>
              <w:rPr>
                <w:sz w:val="18"/>
                <w:szCs w:val="24"/>
              </w:rPr>
            </w:pPr>
          </w:p>
        </w:tc>
        <w:tc>
          <w:tcPr>
            <w:tcW w:w="779" w:type="dxa"/>
            <w:tcBorders>
              <w:bottom w:val="single" w:sz="12" w:space="0" w:color="auto"/>
            </w:tcBorders>
            <w:shd w:val="clear" w:color="auto" w:fill="auto"/>
            <w:vAlign w:val="bottom"/>
          </w:tcPr>
          <w:p w14:paraId="3AD11CD4" w14:textId="77777777" w:rsidR="00A169F2" w:rsidRPr="009459E4" w:rsidRDefault="00A169F2" w:rsidP="0039665D">
            <w:pPr>
              <w:suppressAutoHyphens w:val="0"/>
              <w:spacing w:before="40" w:after="40" w:line="220" w:lineRule="exact"/>
              <w:jc w:val="right"/>
              <w:rPr>
                <w:sz w:val="18"/>
                <w:szCs w:val="24"/>
              </w:rPr>
            </w:pPr>
          </w:p>
        </w:tc>
        <w:tc>
          <w:tcPr>
            <w:tcW w:w="1329" w:type="dxa"/>
            <w:tcBorders>
              <w:bottom w:val="single" w:sz="12" w:space="0" w:color="auto"/>
            </w:tcBorders>
            <w:shd w:val="clear" w:color="auto" w:fill="auto"/>
            <w:vAlign w:val="bottom"/>
          </w:tcPr>
          <w:p w14:paraId="034BB594"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6</w:t>
            </w:r>
          </w:p>
        </w:tc>
        <w:tc>
          <w:tcPr>
            <w:tcW w:w="878" w:type="dxa"/>
            <w:tcBorders>
              <w:bottom w:val="single" w:sz="12" w:space="0" w:color="auto"/>
            </w:tcBorders>
            <w:shd w:val="clear" w:color="auto" w:fill="auto"/>
            <w:vAlign w:val="bottom"/>
          </w:tcPr>
          <w:p w14:paraId="0A81A9F6"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11</w:t>
            </w:r>
          </w:p>
        </w:tc>
        <w:tc>
          <w:tcPr>
            <w:tcW w:w="583" w:type="dxa"/>
            <w:tcBorders>
              <w:bottom w:val="single" w:sz="12" w:space="0" w:color="auto"/>
            </w:tcBorders>
            <w:shd w:val="clear" w:color="auto" w:fill="auto"/>
            <w:vAlign w:val="bottom"/>
          </w:tcPr>
          <w:p w14:paraId="2B6208E1" w14:textId="77777777" w:rsidR="00A169F2" w:rsidRPr="009459E4" w:rsidRDefault="00A169F2" w:rsidP="0039665D">
            <w:pPr>
              <w:suppressAutoHyphens w:val="0"/>
              <w:spacing w:before="40" w:after="40" w:line="220" w:lineRule="exact"/>
              <w:jc w:val="right"/>
              <w:rPr>
                <w:sz w:val="18"/>
                <w:szCs w:val="24"/>
              </w:rPr>
            </w:pPr>
            <w:r w:rsidRPr="009459E4">
              <w:rPr>
                <w:sz w:val="18"/>
                <w:lang w:val="fr-FR"/>
              </w:rPr>
              <w:t>11 (18)</w:t>
            </w:r>
          </w:p>
        </w:tc>
      </w:tr>
    </w:tbl>
    <w:p w14:paraId="49B63805" w14:textId="77777777" w:rsidR="00A169F2" w:rsidRDefault="00A169F2" w:rsidP="00A169F2">
      <w:r>
        <w:br w:type="page"/>
      </w:r>
    </w:p>
    <w:p w14:paraId="6E8FE79D" w14:textId="77777777" w:rsidR="00A169F2" w:rsidRPr="003A5596" w:rsidRDefault="00A169F2" w:rsidP="00847E55">
      <w:pPr>
        <w:pStyle w:val="Titre1"/>
        <w:ind w:left="284"/>
        <w:rPr>
          <w:rFonts w:ascii="Times" w:eastAsia="Times" w:hAnsi="Times" w:cs="Times"/>
          <w:i/>
          <w:lang w:val="fr-FR"/>
        </w:rPr>
      </w:pPr>
      <w:r w:rsidRPr="00631CD1">
        <w:rPr>
          <w:lang w:val="fr-FR"/>
        </w:rPr>
        <w:lastRenderedPageBreak/>
        <w:t>Tableau 5</w:t>
      </w:r>
    </w:p>
    <w:p w14:paraId="21B55D09" w14:textId="77777777" w:rsidR="00A169F2" w:rsidRPr="00A25290" w:rsidRDefault="00A169F2" w:rsidP="00847E55">
      <w:pPr>
        <w:pStyle w:val="Titre1"/>
        <w:spacing w:after="120"/>
        <w:ind w:left="284"/>
        <w:rPr>
          <w:rFonts w:eastAsia="Times"/>
          <w:b/>
          <w:bCs/>
          <w:lang w:val="fr-FR"/>
        </w:rPr>
      </w:pPr>
      <w:r w:rsidRPr="00A25290">
        <w:rPr>
          <w:b/>
          <w:bCs/>
          <w:lang w:val="fr-FR"/>
        </w:rPr>
        <w:t>Liens vers les registres des procédures nationales ou transfrontières d</w:t>
      </w:r>
      <w:r>
        <w:rPr>
          <w:b/>
          <w:bCs/>
          <w:lang w:val="fr-FR"/>
        </w:rPr>
        <w:t>’</w:t>
      </w:r>
      <w:r w:rsidRPr="00A25290">
        <w:rPr>
          <w:b/>
          <w:bCs/>
          <w:lang w:val="fr-FR"/>
        </w:rPr>
        <w:t>évaluation stratégique environnementale (cas)</w:t>
      </w:r>
    </w:p>
    <w:tbl>
      <w:tblPr>
        <w:tblW w:w="13776" w:type="dxa"/>
        <w:tblInd w:w="283" w:type="dxa"/>
        <w:tblLayout w:type="fixed"/>
        <w:tblCellMar>
          <w:left w:w="0" w:type="dxa"/>
          <w:right w:w="0" w:type="dxa"/>
        </w:tblCellMar>
        <w:tblLook w:val="0620" w:firstRow="1" w:lastRow="0" w:firstColumn="0" w:lastColumn="0" w:noHBand="1" w:noVBand="1"/>
      </w:tblPr>
      <w:tblGrid>
        <w:gridCol w:w="1554"/>
        <w:gridCol w:w="6178"/>
        <w:gridCol w:w="6044"/>
      </w:tblGrid>
      <w:tr w:rsidR="00A169F2" w:rsidRPr="00A25290" w14:paraId="70BF0812" w14:textId="77777777" w:rsidTr="0039665D">
        <w:trPr>
          <w:tblHeader/>
        </w:trPr>
        <w:tc>
          <w:tcPr>
            <w:tcW w:w="1554" w:type="dxa"/>
            <w:tcBorders>
              <w:top w:val="single" w:sz="4" w:space="0" w:color="auto"/>
              <w:bottom w:val="single" w:sz="12" w:space="0" w:color="auto"/>
            </w:tcBorders>
            <w:shd w:val="clear" w:color="auto" w:fill="auto"/>
            <w:vAlign w:val="bottom"/>
          </w:tcPr>
          <w:p w14:paraId="45BEE46E" w14:textId="77777777" w:rsidR="00A169F2" w:rsidRPr="00A25290" w:rsidRDefault="00A169F2" w:rsidP="0039665D">
            <w:pPr>
              <w:suppressAutoHyphens w:val="0"/>
              <w:spacing w:before="80" w:after="80" w:line="200" w:lineRule="exact"/>
              <w:ind w:right="113"/>
              <w:rPr>
                <w:rFonts w:eastAsia="Times"/>
                <w:i/>
                <w:sz w:val="16"/>
              </w:rPr>
            </w:pPr>
            <w:r w:rsidRPr="00A25290">
              <w:rPr>
                <w:i/>
                <w:sz w:val="16"/>
                <w:lang w:val="fr-FR"/>
              </w:rPr>
              <w:t>Partie</w:t>
            </w:r>
          </w:p>
        </w:tc>
        <w:tc>
          <w:tcPr>
            <w:tcW w:w="6178" w:type="dxa"/>
            <w:tcBorders>
              <w:top w:val="single" w:sz="4" w:space="0" w:color="auto"/>
              <w:bottom w:val="single" w:sz="12" w:space="0" w:color="auto"/>
            </w:tcBorders>
            <w:shd w:val="clear" w:color="auto" w:fill="auto"/>
            <w:vAlign w:val="bottom"/>
          </w:tcPr>
          <w:p w14:paraId="474E38B6" w14:textId="77777777" w:rsidR="00A169F2" w:rsidRPr="00A25290" w:rsidRDefault="00A169F2" w:rsidP="0039665D">
            <w:pPr>
              <w:suppressAutoHyphens w:val="0"/>
              <w:spacing w:before="80" w:after="80" w:line="200" w:lineRule="exact"/>
              <w:ind w:right="113"/>
              <w:rPr>
                <w:rFonts w:eastAsia="Times"/>
                <w:i/>
                <w:sz w:val="16"/>
              </w:rPr>
            </w:pPr>
            <w:r w:rsidRPr="00A25290">
              <w:rPr>
                <w:i/>
                <w:sz w:val="16"/>
                <w:lang w:val="fr-FR"/>
              </w:rPr>
              <w:t>Procédures nationales</w:t>
            </w:r>
          </w:p>
        </w:tc>
        <w:tc>
          <w:tcPr>
            <w:tcW w:w="6044" w:type="dxa"/>
            <w:tcBorders>
              <w:top w:val="single" w:sz="4" w:space="0" w:color="auto"/>
              <w:bottom w:val="single" w:sz="12" w:space="0" w:color="auto"/>
            </w:tcBorders>
            <w:shd w:val="clear" w:color="auto" w:fill="auto"/>
            <w:vAlign w:val="bottom"/>
          </w:tcPr>
          <w:p w14:paraId="1EE27569" w14:textId="77777777" w:rsidR="00A169F2" w:rsidRPr="00A25290" w:rsidRDefault="00A169F2" w:rsidP="0039665D">
            <w:pPr>
              <w:suppressAutoHyphens w:val="0"/>
              <w:spacing w:before="80" w:after="80" w:line="200" w:lineRule="exact"/>
              <w:ind w:right="113"/>
              <w:rPr>
                <w:rFonts w:eastAsia="Times"/>
                <w:i/>
                <w:sz w:val="16"/>
              </w:rPr>
            </w:pPr>
            <w:r w:rsidRPr="00A25290">
              <w:rPr>
                <w:i/>
                <w:sz w:val="16"/>
                <w:lang w:val="fr-FR"/>
              </w:rPr>
              <w:t>Procédures transfrontières</w:t>
            </w:r>
          </w:p>
        </w:tc>
      </w:tr>
      <w:tr w:rsidR="00A169F2" w:rsidRPr="00A25290" w14:paraId="535755C3" w14:textId="77777777" w:rsidTr="0039665D">
        <w:trPr>
          <w:trHeight w:hRule="exact" w:val="113"/>
          <w:tblHeader/>
        </w:trPr>
        <w:tc>
          <w:tcPr>
            <w:tcW w:w="1554" w:type="dxa"/>
            <w:tcBorders>
              <w:top w:val="single" w:sz="12" w:space="0" w:color="auto"/>
            </w:tcBorders>
            <w:shd w:val="clear" w:color="auto" w:fill="auto"/>
          </w:tcPr>
          <w:p w14:paraId="6BA58CF4" w14:textId="77777777" w:rsidR="00A169F2" w:rsidRPr="00A25290" w:rsidRDefault="00A169F2" w:rsidP="0039665D">
            <w:pPr>
              <w:suppressAutoHyphens w:val="0"/>
              <w:spacing w:before="40" w:after="120"/>
              <w:ind w:right="113"/>
              <w:rPr>
                <w:lang w:val="fr-FR"/>
              </w:rPr>
            </w:pPr>
          </w:p>
        </w:tc>
        <w:tc>
          <w:tcPr>
            <w:tcW w:w="6178" w:type="dxa"/>
            <w:tcBorders>
              <w:top w:val="single" w:sz="12" w:space="0" w:color="auto"/>
            </w:tcBorders>
            <w:shd w:val="clear" w:color="auto" w:fill="auto"/>
          </w:tcPr>
          <w:p w14:paraId="491D5491" w14:textId="77777777" w:rsidR="00A169F2" w:rsidRPr="00A25290" w:rsidRDefault="00A169F2" w:rsidP="0039665D">
            <w:pPr>
              <w:suppressAutoHyphens w:val="0"/>
              <w:spacing w:before="40" w:after="120"/>
              <w:ind w:right="113"/>
              <w:rPr>
                <w:lang w:val="fr-FR"/>
              </w:rPr>
            </w:pPr>
          </w:p>
        </w:tc>
        <w:tc>
          <w:tcPr>
            <w:tcW w:w="6044" w:type="dxa"/>
            <w:tcBorders>
              <w:top w:val="single" w:sz="12" w:space="0" w:color="auto"/>
            </w:tcBorders>
            <w:shd w:val="clear" w:color="auto" w:fill="auto"/>
          </w:tcPr>
          <w:p w14:paraId="0542161F" w14:textId="77777777" w:rsidR="00A169F2" w:rsidRPr="00A25290" w:rsidRDefault="00A169F2" w:rsidP="0039665D">
            <w:pPr>
              <w:suppressAutoHyphens w:val="0"/>
              <w:spacing w:before="40" w:after="120"/>
              <w:ind w:right="113"/>
              <w:rPr>
                <w:lang w:val="fr-FR"/>
              </w:rPr>
            </w:pPr>
          </w:p>
        </w:tc>
      </w:tr>
      <w:tr w:rsidR="00A169F2" w:rsidRPr="00A25290" w14:paraId="667D3A33" w14:textId="77777777" w:rsidTr="0039665D">
        <w:tc>
          <w:tcPr>
            <w:tcW w:w="1554" w:type="dxa"/>
            <w:shd w:val="clear" w:color="auto" w:fill="auto"/>
          </w:tcPr>
          <w:p w14:paraId="58820403" w14:textId="77777777" w:rsidR="00A169F2" w:rsidRPr="00A25290" w:rsidRDefault="00A169F2" w:rsidP="0039665D">
            <w:pPr>
              <w:suppressAutoHyphens w:val="0"/>
              <w:spacing w:before="40" w:after="120"/>
              <w:ind w:right="113"/>
              <w:rPr>
                <w:rFonts w:eastAsia="Times"/>
              </w:rPr>
            </w:pPr>
            <w:r w:rsidRPr="00A25290">
              <w:rPr>
                <w:lang w:val="fr-FR"/>
              </w:rPr>
              <w:t>Croatie</w:t>
            </w:r>
          </w:p>
        </w:tc>
        <w:tc>
          <w:tcPr>
            <w:tcW w:w="6178" w:type="dxa"/>
            <w:shd w:val="clear" w:color="auto" w:fill="auto"/>
          </w:tcPr>
          <w:p w14:paraId="0EE0CFB1" w14:textId="65BA344D" w:rsidR="00A169F2" w:rsidRPr="00A25290" w:rsidRDefault="00A169F2" w:rsidP="0039665D">
            <w:pPr>
              <w:suppressAutoHyphens w:val="0"/>
              <w:spacing w:before="40" w:after="120"/>
              <w:ind w:right="113"/>
              <w:rPr>
                <w:rFonts w:eastAsia="Times"/>
              </w:rPr>
            </w:pPr>
            <w:hyperlink r:id="rId25" w:history="1">
              <w:r w:rsidRPr="001F13D2">
                <w:rPr>
                  <w:rStyle w:val="Lienhypertexte"/>
                </w:rPr>
                <w:t>https://mingor</w:t>
              </w:r>
              <w:r w:rsidR="00A3423F" w:rsidRPr="00A3423F">
                <w:rPr>
                  <w:rStyle w:val="Lienhypertexte"/>
                </w:rPr>
                <w:t>.</w:t>
              </w:r>
              <w:r w:rsidRPr="001F13D2">
                <w:rPr>
                  <w:rStyle w:val="Lienhypertexte"/>
                </w:rPr>
                <w:t>gov</w:t>
              </w:r>
              <w:r w:rsidR="00A3423F" w:rsidRPr="00A3423F">
                <w:rPr>
                  <w:rStyle w:val="Lienhypertexte"/>
                </w:rPr>
                <w:t>.</w:t>
              </w:r>
              <w:r w:rsidRPr="001F13D2">
                <w:rPr>
                  <w:rStyle w:val="Lienhypertexte"/>
                </w:rPr>
                <w:t>hr/oministarstvu-1065/djelokrug-rada/upravaza-procjenu-utjecaja-na-okolis-i-odrzivogospodarenje-otpadom-1271/procjenautjecaja-na-okolis-puo-spuo/strateskaprocjena-utjecaja-na-okolis-spuo4015/4015</w:t>
              </w:r>
            </w:hyperlink>
            <w:r w:rsidRPr="00A25290">
              <w:t xml:space="preserve"> </w:t>
            </w:r>
          </w:p>
        </w:tc>
        <w:tc>
          <w:tcPr>
            <w:tcW w:w="6044" w:type="dxa"/>
            <w:shd w:val="clear" w:color="auto" w:fill="auto"/>
          </w:tcPr>
          <w:p w14:paraId="618C82A7" w14:textId="20FD749A" w:rsidR="00A169F2" w:rsidRPr="00A25290" w:rsidRDefault="00A169F2" w:rsidP="0039665D">
            <w:pPr>
              <w:suppressAutoHyphens w:val="0"/>
              <w:spacing w:before="40" w:after="120"/>
              <w:ind w:right="113"/>
              <w:rPr>
                <w:rFonts w:eastAsia="Times"/>
                <w:color w:val="0000F7"/>
              </w:rPr>
            </w:pPr>
            <w:hyperlink r:id="rId26" w:history="1">
              <w:r w:rsidRPr="00A25290">
                <w:rPr>
                  <w:color w:val="0000F7"/>
                </w:rPr>
                <w:t>https://mingor</w:t>
              </w:r>
              <w:r w:rsidR="00A3423F" w:rsidRPr="00A3423F">
                <w:rPr>
                  <w:color w:val="0000F7"/>
                </w:rPr>
                <w:t>.</w:t>
              </w:r>
              <w:r w:rsidRPr="00A25290">
                <w:rPr>
                  <w:color w:val="0000F7"/>
                </w:rPr>
                <w:t>gov</w:t>
              </w:r>
              <w:r w:rsidR="00A3423F" w:rsidRPr="00A3423F">
                <w:rPr>
                  <w:color w:val="0000F7"/>
                </w:rPr>
                <w:t>.</w:t>
              </w:r>
              <w:r w:rsidRPr="00A25290">
                <w:rPr>
                  <w:color w:val="0000F7"/>
                </w:rPr>
                <w:t>hr/oministarstvu-1065/djelokrug-rada/uprava-zaprocjenu-utjecaja-na-okolis-i-odrzivogospodarenje-otpadom-1271/procjenautjecaja-na-okolis-puo-spuo/strateskaprocjena-utjecaja-na-okolis-spuo-4015/4015</w:t>
              </w:r>
            </w:hyperlink>
          </w:p>
        </w:tc>
      </w:tr>
      <w:tr w:rsidR="00A169F2" w:rsidRPr="00A25290" w14:paraId="57251DEA" w14:textId="77777777" w:rsidTr="0039665D">
        <w:tc>
          <w:tcPr>
            <w:tcW w:w="1554" w:type="dxa"/>
            <w:shd w:val="clear" w:color="auto" w:fill="auto"/>
          </w:tcPr>
          <w:p w14:paraId="6D2EA831" w14:textId="77777777" w:rsidR="00A169F2" w:rsidRPr="00A25290" w:rsidRDefault="00A169F2" w:rsidP="0039665D">
            <w:pPr>
              <w:suppressAutoHyphens w:val="0"/>
              <w:spacing w:before="40" w:after="120"/>
              <w:ind w:right="113"/>
              <w:rPr>
                <w:rFonts w:eastAsia="Times"/>
              </w:rPr>
            </w:pPr>
            <w:r w:rsidRPr="00A25290">
              <w:rPr>
                <w:lang w:val="fr-FR"/>
              </w:rPr>
              <w:t>Danemark</w:t>
            </w:r>
          </w:p>
        </w:tc>
        <w:tc>
          <w:tcPr>
            <w:tcW w:w="6178" w:type="dxa"/>
            <w:shd w:val="clear" w:color="auto" w:fill="auto"/>
          </w:tcPr>
          <w:p w14:paraId="31F74EB2" w14:textId="77777777" w:rsidR="00A169F2" w:rsidRPr="00A25290" w:rsidRDefault="00A169F2" w:rsidP="0039665D">
            <w:pPr>
              <w:suppressAutoHyphens w:val="0"/>
              <w:spacing w:before="40" w:after="120"/>
              <w:ind w:right="113"/>
              <w:rPr>
                <w:rFonts w:eastAsia="Times"/>
              </w:rPr>
            </w:pPr>
            <w:r w:rsidRPr="00A25290">
              <w:rPr>
                <w:rFonts w:eastAsia="Times"/>
              </w:rPr>
              <w:t>-</w:t>
            </w:r>
          </w:p>
        </w:tc>
        <w:tc>
          <w:tcPr>
            <w:tcW w:w="6044" w:type="dxa"/>
            <w:shd w:val="clear" w:color="auto" w:fill="auto"/>
          </w:tcPr>
          <w:p w14:paraId="7792D5E8" w14:textId="59FC6C60" w:rsidR="00A169F2" w:rsidRPr="00A25290" w:rsidRDefault="00A169F2" w:rsidP="0039665D">
            <w:pPr>
              <w:suppressAutoHyphens w:val="0"/>
              <w:spacing w:before="40" w:after="120"/>
              <w:ind w:right="113"/>
              <w:rPr>
                <w:rFonts w:eastAsia="Times"/>
              </w:rPr>
            </w:pPr>
            <w:hyperlink r:id="rId27" w:history="1">
              <w:r w:rsidRPr="00A25290">
                <w:rPr>
                  <w:rStyle w:val="Lienhypertexte"/>
                </w:rPr>
                <w:t>https://mst</w:t>
              </w:r>
              <w:r w:rsidR="00A3423F" w:rsidRPr="00A3423F">
                <w:rPr>
                  <w:rStyle w:val="Lienhypertexte"/>
                </w:rPr>
                <w:t>.</w:t>
              </w:r>
              <w:r w:rsidRPr="00A25290">
                <w:rPr>
                  <w:rStyle w:val="Lienhypertexte"/>
                </w:rPr>
                <w:t>dk/service/annoncering/espoo/</w:t>
              </w:r>
            </w:hyperlink>
          </w:p>
        </w:tc>
      </w:tr>
      <w:tr w:rsidR="00A169F2" w:rsidRPr="00A25290" w14:paraId="2E607512" w14:textId="77777777" w:rsidTr="0039665D">
        <w:tc>
          <w:tcPr>
            <w:tcW w:w="1554" w:type="dxa"/>
            <w:shd w:val="clear" w:color="auto" w:fill="auto"/>
          </w:tcPr>
          <w:p w14:paraId="45F984EE" w14:textId="77777777" w:rsidR="00A169F2" w:rsidRPr="00A25290" w:rsidRDefault="00A169F2" w:rsidP="0039665D">
            <w:pPr>
              <w:suppressAutoHyphens w:val="0"/>
              <w:spacing w:before="40" w:after="120"/>
              <w:ind w:right="113"/>
              <w:rPr>
                <w:rFonts w:eastAsia="Times"/>
              </w:rPr>
            </w:pPr>
            <w:r w:rsidRPr="00A25290">
              <w:rPr>
                <w:lang w:val="fr-FR"/>
              </w:rPr>
              <w:t>Espagne</w:t>
            </w:r>
          </w:p>
        </w:tc>
        <w:tc>
          <w:tcPr>
            <w:tcW w:w="6178" w:type="dxa"/>
            <w:shd w:val="clear" w:color="auto" w:fill="auto"/>
          </w:tcPr>
          <w:p w14:paraId="106D8005" w14:textId="53EED0A7" w:rsidR="00A169F2" w:rsidRPr="00A25290" w:rsidRDefault="00A169F2" w:rsidP="0039665D">
            <w:pPr>
              <w:suppressAutoHyphens w:val="0"/>
              <w:spacing w:before="40" w:after="120"/>
              <w:ind w:right="113"/>
              <w:rPr>
                <w:rFonts w:eastAsia="Times"/>
              </w:rPr>
            </w:pPr>
            <w:hyperlink r:id="rId28" w:history="1">
              <w:r w:rsidRPr="001F13D2">
                <w:rPr>
                  <w:color w:val="0000F7"/>
                </w:rPr>
                <w:t>https://sede</w:t>
              </w:r>
              <w:r w:rsidR="00A3423F" w:rsidRPr="00A3423F">
                <w:rPr>
                  <w:color w:val="0000F7"/>
                </w:rPr>
                <w:t>.</w:t>
              </w:r>
              <w:r w:rsidRPr="001F13D2">
                <w:rPr>
                  <w:color w:val="0000F7"/>
                </w:rPr>
                <w:t>miteco</w:t>
              </w:r>
              <w:r w:rsidR="00A3423F" w:rsidRPr="00A3423F">
                <w:rPr>
                  <w:color w:val="0000F7"/>
                </w:rPr>
                <w:t>.</w:t>
              </w:r>
              <w:r w:rsidRPr="001F13D2">
                <w:rPr>
                  <w:color w:val="0000F7"/>
                </w:rPr>
                <w:t>gob</w:t>
              </w:r>
              <w:r w:rsidR="00A3423F" w:rsidRPr="00A3423F">
                <w:rPr>
                  <w:color w:val="0000F7"/>
                </w:rPr>
                <w:t>.</w:t>
              </w:r>
              <w:r w:rsidRPr="001F13D2">
                <w:rPr>
                  <w:color w:val="0000F7"/>
                </w:rPr>
                <w:t>es//portal/site/seMITECO/navSabiaPlanes</w:t>
              </w:r>
            </w:hyperlink>
          </w:p>
        </w:tc>
        <w:tc>
          <w:tcPr>
            <w:tcW w:w="6044" w:type="dxa"/>
            <w:shd w:val="clear" w:color="auto" w:fill="auto"/>
          </w:tcPr>
          <w:p w14:paraId="53D50653" w14:textId="3A46807D" w:rsidR="00A169F2" w:rsidRPr="00A25290" w:rsidRDefault="00A169F2" w:rsidP="0039665D">
            <w:pPr>
              <w:suppressAutoHyphens w:val="0"/>
              <w:spacing w:before="40" w:after="120"/>
              <w:ind w:right="113"/>
              <w:rPr>
                <w:rFonts w:eastAsia="Times"/>
              </w:rPr>
            </w:pPr>
            <w:hyperlink r:id="rId29" w:history="1">
              <w:r w:rsidRPr="00A25290">
                <w:rPr>
                  <w:rStyle w:val="Lienhypertexte"/>
                </w:rPr>
                <w:t>https://sede</w:t>
              </w:r>
              <w:r w:rsidR="00A3423F" w:rsidRPr="00A3423F">
                <w:rPr>
                  <w:rStyle w:val="Lienhypertexte"/>
                </w:rPr>
                <w:t>.</w:t>
              </w:r>
              <w:r w:rsidRPr="00A25290">
                <w:rPr>
                  <w:rStyle w:val="Lienhypertexte"/>
                </w:rPr>
                <w:t>miteco</w:t>
              </w:r>
              <w:r w:rsidR="00A3423F" w:rsidRPr="00A3423F">
                <w:rPr>
                  <w:rStyle w:val="Lienhypertexte"/>
                </w:rPr>
                <w:t>.</w:t>
              </w:r>
              <w:r w:rsidRPr="00A25290">
                <w:rPr>
                  <w:rStyle w:val="Lienhypertexte"/>
                </w:rPr>
                <w:t>gob</w:t>
              </w:r>
              <w:r w:rsidR="00A3423F" w:rsidRPr="00A3423F">
                <w:rPr>
                  <w:rStyle w:val="Lienhypertexte"/>
                </w:rPr>
                <w:t>.</w:t>
              </w:r>
              <w:r w:rsidRPr="00A25290">
                <w:rPr>
                  <w:rStyle w:val="Lienhypertexte"/>
                </w:rPr>
                <w:t>es//portal/site/seMITECO/navSabiaPlanes</w:t>
              </w:r>
            </w:hyperlink>
          </w:p>
        </w:tc>
      </w:tr>
      <w:tr w:rsidR="00A169F2" w:rsidRPr="00A25290" w14:paraId="199CA7AD" w14:textId="77777777" w:rsidTr="0039665D">
        <w:tc>
          <w:tcPr>
            <w:tcW w:w="1554" w:type="dxa"/>
            <w:shd w:val="clear" w:color="auto" w:fill="auto"/>
          </w:tcPr>
          <w:p w14:paraId="457801FD" w14:textId="77777777" w:rsidR="00A169F2" w:rsidRPr="00A25290" w:rsidRDefault="00A169F2" w:rsidP="0039665D">
            <w:pPr>
              <w:suppressAutoHyphens w:val="0"/>
              <w:spacing w:before="40" w:after="120"/>
              <w:ind w:right="113"/>
              <w:rPr>
                <w:rFonts w:eastAsia="Times"/>
              </w:rPr>
            </w:pPr>
            <w:r w:rsidRPr="00A25290">
              <w:rPr>
                <w:lang w:val="fr-FR"/>
              </w:rPr>
              <w:t>Lettonie</w:t>
            </w:r>
          </w:p>
        </w:tc>
        <w:tc>
          <w:tcPr>
            <w:tcW w:w="6178" w:type="dxa"/>
            <w:shd w:val="clear" w:color="auto" w:fill="auto"/>
          </w:tcPr>
          <w:p w14:paraId="27F12792" w14:textId="0FFFB48A" w:rsidR="00A169F2" w:rsidRPr="00A25290" w:rsidRDefault="00A169F2" w:rsidP="0039665D">
            <w:pPr>
              <w:suppressAutoHyphens w:val="0"/>
              <w:spacing w:before="40" w:after="120"/>
              <w:ind w:right="113"/>
              <w:rPr>
                <w:rFonts w:eastAsia="Times"/>
              </w:rPr>
            </w:pPr>
            <w:hyperlink r:id="rId30" w:history="1">
              <w:r w:rsidRPr="001F13D2">
                <w:rPr>
                  <w:color w:val="0000F7"/>
                </w:rPr>
                <w:t>https://www</w:t>
              </w:r>
              <w:r w:rsidR="00A3423F" w:rsidRPr="00A3423F">
                <w:rPr>
                  <w:color w:val="0000F7"/>
                </w:rPr>
                <w:t>.</w:t>
              </w:r>
              <w:r w:rsidRPr="001F13D2">
                <w:rPr>
                  <w:color w:val="0000F7"/>
                </w:rPr>
                <w:t>vpvb</w:t>
              </w:r>
              <w:r w:rsidR="00A3423F" w:rsidRPr="00A3423F">
                <w:rPr>
                  <w:color w:val="0000F7"/>
                </w:rPr>
                <w:t>.</w:t>
              </w:r>
              <w:r w:rsidRPr="001F13D2">
                <w:rPr>
                  <w:color w:val="0000F7"/>
                </w:rPr>
                <w:t>gov</w:t>
              </w:r>
              <w:r w:rsidR="00A3423F" w:rsidRPr="00A3423F">
                <w:rPr>
                  <w:color w:val="0000F7"/>
                </w:rPr>
                <w:t>.</w:t>
              </w:r>
              <w:r w:rsidRPr="001F13D2">
                <w:rPr>
                  <w:color w:val="0000F7"/>
                </w:rPr>
                <w:t>lv/lv/darbibasjomas-strategiskais-ietekmes-uz-vidinovertejums</w:t>
              </w:r>
            </w:hyperlink>
          </w:p>
        </w:tc>
        <w:tc>
          <w:tcPr>
            <w:tcW w:w="6044" w:type="dxa"/>
            <w:shd w:val="clear" w:color="auto" w:fill="auto"/>
          </w:tcPr>
          <w:p w14:paraId="6987CBA7" w14:textId="4148E85D" w:rsidR="00A169F2" w:rsidRPr="00A25290" w:rsidRDefault="00A169F2" w:rsidP="0039665D">
            <w:pPr>
              <w:suppressAutoHyphens w:val="0"/>
              <w:spacing w:before="40" w:after="120"/>
              <w:ind w:right="113"/>
              <w:rPr>
                <w:rFonts w:eastAsia="Times"/>
              </w:rPr>
            </w:pPr>
            <w:hyperlink r:id="rId31" w:history="1">
              <w:r w:rsidRPr="00A25290">
                <w:rPr>
                  <w:color w:val="0000F7"/>
                </w:rPr>
                <w:t>https://www</w:t>
              </w:r>
              <w:r w:rsidR="00A3423F" w:rsidRPr="00A3423F">
                <w:rPr>
                  <w:color w:val="0000F7"/>
                </w:rPr>
                <w:t>.</w:t>
              </w:r>
              <w:r w:rsidRPr="00A25290">
                <w:rPr>
                  <w:color w:val="0000F7"/>
                </w:rPr>
                <w:t>vpvb</w:t>
              </w:r>
              <w:r w:rsidR="00A3423F" w:rsidRPr="00A3423F">
                <w:rPr>
                  <w:color w:val="0000F7"/>
                </w:rPr>
                <w:t>.</w:t>
              </w:r>
              <w:r w:rsidRPr="00A25290">
                <w:rPr>
                  <w:color w:val="0000F7"/>
                </w:rPr>
                <w:t>gov</w:t>
              </w:r>
              <w:r w:rsidR="00A3423F" w:rsidRPr="00A3423F">
                <w:rPr>
                  <w:color w:val="0000F7"/>
                </w:rPr>
                <w:t>.</w:t>
              </w:r>
              <w:r w:rsidRPr="00A25290">
                <w:rPr>
                  <w:color w:val="0000F7"/>
                </w:rPr>
                <w:t>lv/lv/jaunumi</w:t>
              </w:r>
            </w:hyperlink>
          </w:p>
        </w:tc>
      </w:tr>
      <w:tr w:rsidR="00A169F2" w:rsidRPr="00A25290" w14:paraId="411B890D" w14:textId="77777777" w:rsidTr="0039665D">
        <w:tc>
          <w:tcPr>
            <w:tcW w:w="1554" w:type="dxa"/>
            <w:shd w:val="clear" w:color="auto" w:fill="auto"/>
          </w:tcPr>
          <w:p w14:paraId="29D961CE" w14:textId="77777777" w:rsidR="00A169F2" w:rsidRPr="00A25290" w:rsidRDefault="00A169F2" w:rsidP="0039665D">
            <w:pPr>
              <w:suppressAutoHyphens w:val="0"/>
              <w:spacing w:before="40" w:after="120"/>
              <w:ind w:right="113"/>
              <w:rPr>
                <w:rFonts w:eastAsia="Times"/>
              </w:rPr>
            </w:pPr>
            <w:r w:rsidRPr="00A25290">
              <w:rPr>
                <w:lang w:val="fr-FR"/>
              </w:rPr>
              <w:t>Malte</w:t>
            </w:r>
          </w:p>
        </w:tc>
        <w:tc>
          <w:tcPr>
            <w:tcW w:w="6178" w:type="dxa"/>
            <w:shd w:val="clear" w:color="auto" w:fill="auto"/>
          </w:tcPr>
          <w:p w14:paraId="1389DA08" w14:textId="1635FA91" w:rsidR="00A169F2" w:rsidRPr="00A25290" w:rsidRDefault="00A169F2" w:rsidP="0039665D">
            <w:pPr>
              <w:suppressAutoHyphens w:val="0"/>
              <w:spacing w:before="40" w:after="120"/>
              <w:ind w:right="113"/>
              <w:rPr>
                <w:rFonts w:eastAsia="Times"/>
              </w:rPr>
            </w:pPr>
            <w:hyperlink r:id="rId32" w:history="1">
              <w:r w:rsidRPr="001F13D2">
                <w:rPr>
                  <w:color w:val="0000F7"/>
                </w:rPr>
                <w:t>https://environment</w:t>
              </w:r>
              <w:r w:rsidR="00A3423F" w:rsidRPr="00A3423F">
                <w:rPr>
                  <w:color w:val="0000F7"/>
                </w:rPr>
                <w:t>.</w:t>
              </w:r>
              <w:r w:rsidRPr="001F13D2">
                <w:rPr>
                  <w:color w:val="0000F7"/>
                </w:rPr>
                <w:t>gov</w:t>
              </w:r>
              <w:r w:rsidR="00A3423F" w:rsidRPr="00A3423F">
                <w:rPr>
                  <w:color w:val="0000F7"/>
                </w:rPr>
                <w:t>.</w:t>
              </w:r>
              <w:r w:rsidRPr="001F13D2">
                <w:rPr>
                  <w:color w:val="0000F7"/>
                </w:rPr>
                <w:t>mt/en/sea/Pages/plansProgrammes</w:t>
              </w:r>
              <w:r w:rsidR="00A3423F" w:rsidRPr="00A3423F">
                <w:rPr>
                  <w:color w:val="0000F7"/>
                </w:rPr>
                <w:t>.</w:t>
              </w:r>
              <w:r w:rsidRPr="001F13D2">
                <w:rPr>
                  <w:color w:val="0000F7"/>
                </w:rPr>
                <w:t>aspx</w:t>
              </w:r>
            </w:hyperlink>
          </w:p>
        </w:tc>
        <w:tc>
          <w:tcPr>
            <w:tcW w:w="6044" w:type="dxa"/>
            <w:shd w:val="clear" w:color="auto" w:fill="auto"/>
          </w:tcPr>
          <w:p w14:paraId="2A7E0F3E" w14:textId="01747D3B" w:rsidR="00A169F2" w:rsidRPr="00A25290" w:rsidRDefault="00A169F2" w:rsidP="0039665D">
            <w:pPr>
              <w:suppressAutoHyphens w:val="0"/>
              <w:spacing w:before="40" w:after="120"/>
              <w:ind w:right="113"/>
              <w:rPr>
                <w:rFonts w:eastAsia="Times"/>
              </w:rPr>
            </w:pPr>
            <w:hyperlink r:id="rId33" w:history="1">
              <w:r w:rsidRPr="00A25290">
                <w:rPr>
                  <w:rStyle w:val="Lienhypertexte"/>
                </w:rPr>
                <w:t>https://environment</w:t>
              </w:r>
              <w:r w:rsidR="00A3423F" w:rsidRPr="00A3423F">
                <w:rPr>
                  <w:rStyle w:val="Lienhypertexte"/>
                </w:rPr>
                <w:t>.</w:t>
              </w:r>
              <w:r w:rsidRPr="00A25290">
                <w:rPr>
                  <w:rStyle w:val="Lienhypertexte"/>
                </w:rPr>
                <w:t>gov</w:t>
              </w:r>
              <w:r w:rsidR="00A3423F" w:rsidRPr="00A3423F">
                <w:rPr>
                  <w:rStyle w:val="Lienhypertexte"/>
                </w:rPr>
                <w:t>.</w:t>
              </w:r>
              <w:r w:rsidRPr="00A25290">
                <w:rPr>
                  <w:rStyle w:val="Lienhypertexte"/>
                </w:rPr>
                <w:t>mt/en/sea/Pages/plansProgrammes</w:t>
              </w:r>
              <w:r w:rsidR="00A3423F" w:rsidRPr="00A3423F">
                <w:rPr>
                  <w:rStyle w:val="Lienhypertexte"/>
                </w:rPr>
                <w:t>.</w:t>
              </w:r>
              <w:r w:rsidRPr="00A25290">
                <w:rPr>
                  <w:rStyle w:val="Lienhypertexte"/>
                </w:rPr>
                <w:t>aspx</w:t>
              </w:r>
            </w:hyperlink>
          </w:p>
        </w:tc>
      </w:tr>
      <w:tr w:rsidR="00A169F2" w:rsidRPr="00A25290" w14:paraId="41E09D25" w14:textId="77777777" w:rsidTr="0039665D">
        <w:tc>
          <w:tcPr>
            <w:tcW w:w="1554" w:type="dxa"/>
            <w:shd w:val="clear" w:color="auto" w:fill="auto"/>
          </w:tcPr>
          <w:p w14:paraId="58659528" w14:textId="77777777" w:rsidR="00A169F2" w:rsidRPr="00A25290" w:rsidRDefault="00A169F2" w:rsidP="0039665D">
            <w:pPr>
              <w:suppressAutoHyphens w:val="0"/>
              <w:spacing w:before="40" w:after="120"/>
              <w:ind w:right="113"/>
              <w:rPr>
                <w:rFonts w:eastAsia="Times"/>
              </w:rPr>
            </w:pPr>
            <w:r w:rsidRPr="00A25290">
              <w:rPr>
                <w:lang w:val="fr-FR"/>
              </w:rPr>
              <w:t>Monténégro</w:t>
            </w:r>
          </w:p>
        </w:tc>
        <w:tc>
          <w:tcPr>
            <w:tcW w:w="6178" w:type="dxa"/>
            <w:shd w:val="clear" w:color="auto" w:fill="auto"/>
          </w:tcPr>
          <w:p w14:paraId="4C180CC7" w14:textId="07A756E3" w:rsidR="00A169F2" w:rsidRPr="00A25290" w:rsidRDefault="00A169F2" w:rsidP="0039665D">
            <w:pPr>
              <w:suppressAutoHyphens w:val="0"/>
              <w:spacing w:before="40" w:after="120"/>
              <w:ind w:right="113"/>
              <w:rPr>
                <w:rFonts w:eastAsia="Times"/>
              </w:rPr>
            </w:pPr>
            <w:hyperlink r:id="rId34" w:history="1">
              <w:r w:rsidRPr="001F13D2">
                <w:rPr>
                  <w:rStyle w:val="Lienhypertexte"/>
                </w:rPr>
                <w:t>https://epa</w:t>
              </w:r>
              <w:r w:rsidR="00A3423F" w:rsidRPr="00A3423F">
                <w:rPr>
                  <w:rStyle w:val="Lienhypertexte"/>
                </w:rPr>
                <w:t>.</w:t>
              </w:r>
              <w:r w:rsidRPr="001F13D2">
                <w:rPr>
                  <w:rStyle w:val="Lienhypertexte"/>
                </w:rPr>
                <w:t>org</w:t>
              </w:r>
              <w:r w:rsidR="00A3423F" w:rsidRPr="00A3423F">
                <w:rPr>
                  <w:rStyle w:val="Lienhypertexte"/>
                </w:rPr>
                <w:t>.</w:t>
              </w:r>
              <w:r w:rsidRPr="001F13D2">
                <w:rPr>
                  <w:rStyle w:val="Lienhypertexte"/>
                </w:rPr>
                <w:t>me/obavjestenja-sea/</w:t>
              </w:r>
            </w:hyperlink>
          </w:p>
        </w:tc>
        <w:tc>
          <w:tcPr>
            <w:tcW w:w="6044" w:type="dxa"/>
            <w:shd w:val="clear" w:color="auto" w:fill="auto"/>
          </w:tcPr>
          <w:p w14:paraId="51AF01B0" w14:textId="2C1299F9" w:rsidR="00A169F2" w:rsidRPr="00A25290" w:rsidRDefault="00A169F2" w:rsidP="0039665D">
            <w:pPr>
              <w:suppressAutoHyphens w:val="0"/>
              <w:spacing w:before="40" w:after="120"/>
              <w:ind w:right="113"/>
              <w:rPr>
                <w:rFonts w:eastAsia="Times"/>
              </w:rPr>
            </w:pPr>
            <w:hyperlink r:id="rId35" w:history="1">
              <w:r w:rsidRPr="00A25290">
                <w:rPr>
                  <w:color w:val="0000F7"/>
                </w:rPr>
                <w:t>https://www</w:t>
              </w:r>
              <w:r w:rsidR="00A3423F" w:rsidRPr="00A3423F">
                <w:rPr>
                  <w:color w:val="0000F7"/>
                </w:rPr>
                <w:t>.</w:t>
              </w:r>
              <w:r w:rsidRPr="00A25290">
                <w:rPr>
                  <w:color w:val="0000F7"/>
                </w:rPr>
                <w:t>gov</w:t>
              </w:r>
              <w:r w:rsidR="00A3423F" w:rsidRPr="00A3423F">
                <w:rPr>
                  <w:color w:val="0000F7"/>
                </w:rPr>
                <w:t>.</w:t>
              </w:r>
              <w:r w:rsidRPr="00A25290">
                <w:rPr>
                  <w:color w:val="0000F7"/>
                </w:rPr>
                <w:t>me/mepg</w:t>
              </w:r>
            </w:hyperlink>
          </w:p>
        </w:tc>
      </w:tr>
      <w:tr w:rsidR="00A169F2" w:rsidRPr="00A25290" w14:paraId="5D20FA87" w14:textId="77777777" w:rsidTr="0039665D">
        <w:tc>
          <w:tcPr>
            <w:tcW w:w="1554" w:type="dxa"/>
            <w:shd w:val="clear" w:color="auto" w:fill="auto"/>
          </w:tcPr>
          <w:p w14:paraId="60F976F8" w14:textId="77777777" w:rsidR="00A169F2" w:rsidRPr="00A25290" w:rsidRDefault="00A169F2" w:rsidP="0039665D">
            <w:pPr>
              <w:suppressAutoHyphens w:val="0"/>
              <w:spacing w:before="40" w:after="120"/>
              <w:ind w:right="113"/>
              <w:rPr>
                <w:rFonts w:eastAsia="Times"/>
              </w:rPr>
            </w:pPr>
            <w:r w:rsidRPr="00A25290">
              <w:rPr>
                <w:lang w:val="fr-FR"/>
              </w:rPr>
              <w:t>Pologne</w:t>
            </w:r>
          </w:p>
        </w:tc>
        <w:tc>
          <w:tcPr>
            <w:tcW w:w="6178" w:type="dxa"/>
            <w:shd w:val="clear" w:color="auto" w:fill="auto"/>
          </w:tcPr>
          <w:p w14:paraId="5D5602D3" w14:textId="490D845B" w:rsidR="00A169F2" w:rsidRPr="00A25290" w:rsidRDefault="00A169F2" w:rsidP="0039665D">
            <w:pPr>
              <w:suppressAutoHyphens w:val="0"/>
              <w:spacing w:before="40" w:after="120"/>
              <w:ind w:right="113"/>
              <w:rPr>
                <w:rFonts w:eastAsia="Times"/>
              </w:rPr>
            </w:pPr>
            <w:hyperlink r:id="rId36" w:history="1">
              <w:r w:rsidRPr="001F13D2">
                <w:rPr>
                  <w:color w:val="0000F7"/>
                </w:rPr>
                <w:t>http://bazaoos</w:t>
              </w:r>
              <w:r w:rsidR="00A3423F" w:rsidRPr="00A3423F">
                <w:rPr>
                  <w:color w:val="0000F7"/>
                </w:rPr>
                <w:t>.</w:t>
              </w:r>
              <w:r w:rsidRPr="001F13D2">
                <w:rPr>
                  <w:color w:val="0000F7"/>
                </w:rPr>
                <w:t>gdos</w:t>
              </w:r>
              <w:r w:rsidR="00A3423F" w:rsidRPr="00A3423F">
                <w:rPr>
                  <w:color w:val="0000F7"/>
                </w:rPr>
                <w:t>.</w:t>
              </w:r>
              <w:r w:rsidRPr="001F13D2">
                <w:rPr>
                  <w:color w:val="0000F7"/>
                </w:rPr>
                <w:t>gov</w:t>
              </w:r>
              <w:r w:rsidR="00A3423F" w:rsidRPr="00A3423F">
                <w:rPr>
                  <w:color w:val="0000F7"/>
                </w:rPr>
                <w:t>.</w:t>
              </w:r>
              <w:r w:rsidRPr="001F13D2">
                <w:rPr>
                  <w:color w:val="0000F7"/>
                </w:rPr>
                <w:t>pl/web/guest/home</w:t>
              </w:r>
            </w:hyperlink>
          </w:p>
        </w:tc>
        <w:tc>
          <w:tcPr>
            <w:tcW w:w="6044" w:type="dxa"/>
            <w:shd w:val="clear" w:color="auto" w:fill="auto"/>
          </w:tcPr>
          <w:p w14:paraId="47B746B9" w14:textId="7278C1C9" w:rsidR="00A169F2" w:rsidRPr="00A25290" w:rsidRDefault="00A169F2" w:rsidP="0039665D">
            <w:pPr>
              <w:suppressAutoHyphens w:val="0"/>
              <w:spacing w:before="40" w:after="120"/>
              <w:ind w:right="113"/>
              <w:rPr>
                <w:rFonts w:eastAsia="Times"/>
              </w:rPr>
            </w:pPr>
            <w:hyperlink r:id="rId37" w:history="1">
              <w:r w:rsidRPr="00A25290">
                <w:rPr>
                  <w:rStyle w:val="Lienhypertexte"/>
                </w:rPr>
                <w:t>http://bazaoos</w:t>
              </w:r>
              <w:r w:rsidR="00A3423F" w:rsidRPr="00A3423F">
                <w:rPr>
                  <w:rStyle w:val="Lienhypertexte"/>
                </w:rPr>
                <w:t>.</w:t>
              </w:r>
              <w:r w:rsidRPr="00A25290">
                <w:rPr>
                  <w:rStyle w:val="Lienhypertexte"/>
                </w:rPr>
                <w:t>gdos</w:t>
              </w:r>
              <w:r w:rsidR="00A3423F" w:rsidRPr="00A3423F">
                <w:rPr>
                  <w:rStyle w:val="Lienhypertexte"/>
                </w:rPr>
                <w:t>.</w:t>
              </w:r>
              <w:r w:rsidRPr="00A25290">
                <w:rPr>
                  <w:rStyle w:val="Lienhypertexte"/>
                </w:rPr>
                <w:t>gov</w:t>
              </w:r>
              <w:r w:rsidR="00A3423F" w:rsidRPr="00A3423F">
                <w:rPr>
                  <w:rStyle w:val="Lienhypertexte"/>
                </w:rPr>
                <w:t>.</w:t>
              </w:r>
              <w:r w:rsidRPr="00A25290">
                <w:rPr>
                  <w:rStyle w:val="Lienhypertexte"/>
                </w:rPr>
                <w:t>pl/web/guest/home</w:t>
              </w:r>
            </w:hyperlink>
          </w:p>
        </w:tc>
      </w:tr>
      <w:tr w:rsidR="00A169F2" w:rsidRPr="00A25290" w14:paraId="79160040" w14:textId="77777777" w:rsidTr="0039665D">
        <w:tc>
          <w:tcPr>
            <w:tcW w:w="1554" w:type="dxa"/>
            <w:shd w:val="clear" w:color="auto" w:fill="auto"/>
          </w:tcPr>
          <w:p w14:paraId="5537E648" w14:textId="65E5910B" w:rsidR="00A169F2" w:rsidRPr="00A25290" w:rsidRDefault="00A169F2" w:rsidP="0039665D">
            <w:pPr>
              <w:suppressAutoHyphens w:val="0"/>
              <w:spacing w:before="40" w:after="120"/>
              <w:ind w:right="113"/>
              <w:rPr>
                <w:rFonts w:eastAsia="Times"/>
              </w:rPr>
            </w:pPr>
            <w:proofErr w:type="spellStart"/>
            <w:r w:rsidRPr="00A25290">
              <w:rPr>
                <w:lang w:val="fr-FR"/>
              </w:rPr>
              <w:t>Rép</w:t>
            </w:r>
            <w:proofErr w:type="spellEnd"/>
            <w:r w:rsidR="00A3423F" w:rsidRPr="00A3423F">
              <w:rPr>
                <w:lang w:val="fr-FR"/>
              </w:rPr>
              <w:t>.</w:t>
            </w:r>
            <w:r w:rsidRPr="00A25290">
              <w:rPr>
                <w:lang w:val="fr-FR"/>
              </w:rPr>
              <w:t xml:space="preserve"> de Moldova</w:t>
            </w:r>
          </w:p>
        </w:tc>
        <w:tc>
          <w:tcPr>
            <w:tcW w:w="6178" w:type="dxa"/>
            <w:shd w:val="clear" w:color="auto" w:fill="auto"/>
          </w:tcPr>
          <w:p w14:paraId="5C8A3ECE" w14:textId="7DCB0F0A" w:rsidR="00A169F2" w:rsidRPr="001F13D2" w:rsidRDefault="00A169F2" w:rsidP="0039665D">
            <w:pPr>
              <w:suppressAutoHyphens w:val="0"/>
              <w:spacing w:before="40" w:after="120"/>
              <w:ind w:right="113"/>
              <w:rPr>
                <w:rFonts w:eastAsia="Times"/>
                <w:color w:val="0000F7"/>
              </w:rPr>
            </w:pPr>
            <w:hyperlink r:id="rId38" w:history="1">
              <w:r w:rsidRPr="001F13D2">
                <w:rPr>
                  <w:color w:val="0000F7"/>
                </w:rPr>
                <w:t>https://mediu</w:t>
              </w:r>
              <w:r w:rsidR="00A3423F" w:rsidRPr="00A3423F">
                <w:rPr>
                  <w:color w:val="0000F7"/>
                </w:rPr>
                <w:t>.</w:t>
              </w:r>
              <w:r w:rsidRPr="001F13D2">
                <w:rPr>
                  <w:color w:val="0000F7"/>
                </w:rPr>
                <w:t>gov</w:t>
              </w:r>
              <w:r w:rsidR="00A3423F" w:rsidRPr="00A3423F">
                <w:rPr>
                  <w:color w:val="0000F7"/>
                </w:rPr>
                <w:t>.</w:t>
              </w:r>
              <w:r w:rsidRPr="001F13D2">
                <w:rPr>
                  <w:color w:val="0000F7"/>
                </w:rPr>
                <w:t>md/ro/content/consultarea-proiectului-planuluiprogramului</w:t>
              </w:r>
            </w:hyperlink>
          </w:p>
          <w:p w14:paraId="3E985F32" w14:textId="24ACC462" w:rsidR="00A169F2" w:rsidRPr="00A25290" w:rsidRDefault="00A169F2" w:rsidP="0039665D">
            <w:pPr>
              <w:suppressAutoHyphens w:val="0"/>
              <w:spacing w:before="40" w:after="120"/>
              <w:ind w:right="113"/>
              <w:rPr>
                <w:rFonts w:eastAsia="Times"/>
              </w:rPr>
            </w:pPr>
            <w:hyperlink r:id="rId39" w:history="1">
              <w:r w:rsidRPr="001F13D2">
                <w:rPr>
                  <w:color w:val="0000F7"/>
                </w:rPr>
                <w:t>https://mediu</w:t>
              </w:r>
              <w:r w:rsidR="00A3423F" w:rsidRPr="00A3423F">
                <w:rPr>
                  <w:color w:val="0000F7"/>
                </w:rPr>
                <w:t>.</w:t>
              </w:r>
              <w:r w:rsidRPr="001F13D2">
                <w:rPr>
                  <w:color w:val="0000F7"/>
                </w:rPr>
                <w:t>gov</w:t>
              </w:r>
              <w:r w:rsidR="00A3423F" w:rsidRPr="00A3423F">
                <w:rPr>
                  <w:color w:val="0000F7"/>
                </w:rPr>
                <w:t>.</w:t>
              </w:r>
              <w:r w:rsidRPr="001F13D2">
                <w:rPr>
                  <w:color w:val="0000F7"/>
                </w:rPr>
                <w:t>md/ro/content/evaluarestrategic%C4%83-de-mediu-la-nivelna%C8%9Bional</w:t>
              </w:r>
            </w:hyperlink>
          </w:p>
        </w:tc>
        <w:tc>
          <w:tcPr>
            <w:tcW w:w="6044" w:type="dxa"/>
            <w:shd w:val="clear" w:color="auto" w:fill="auto"/>
          </w:tcPr>
          <w:p w14:paraId="7688CC64" w14:textId="785F5801" w:rsidR="00A169F2" w:rsidRPr="00A25290" w:rsidRDefault="00A169F2" w:rsidP="0039665D">
            <w:pPr>
              <w:suppressAutoHyphens w:val="0"/>
              <w:spacing w:before="40" w:after="120"/>
              <w:ind w:right="113"/>
              <w:rPr>
                <w:rFonts w:eastAsia="Times"/>
              </w:rPr>
            </w:pPr>
            <w:hyperlink r:id="rId40" w:history="1">
              <w:r w:rsidRPr="00A25290">
                <w:rPr>
                  <w:rStyle w:val="Lienhypertexte"/>
                </w:rPr>
                <w:t>https://mediu</w:t>
              </w:r>
              <w:r w:rsidR="00A3423F" w:rsidRPr="00A3423F">
                <w:rPr>
                  <w:rStyle w:val="Lienhypertexte"/>
                </w:rPr>
                <w:t>.</w:t>
              </w:r>
              <w:r w:rsidRPr="00A25290">
                <w:rPr>
                  <w:rStyle w:val="Lienhypertexte"/>
                </w:rPr>
                <w:t>gov</w:t>
              </w:r>
              <w:r w:rsidR="00A3423F" w:rsidRPr="00A3423F">
                <w:rPr>
                  <w:rStyle w:val="Lienhypertexte"/>
                </w:rPr>
                <w:t>.</w:t>
              </w:r>
              <w:r w:rsidRPr="00A25290">
                <w:rPr>
                  <w:rStyle w:val="Lienhypertexte"/>
                </w:rPr>
                <w:t>md/ro/content/republicamoldova-parte-afectat%C4%83</w:t>
              </w:r>
            </w:hyperlink>
          </w:p>
        </w:tc>
      </w:tr>
      <w:tr w:rsidR="00A169F2" w:rsidRPr="00A25290" w14:paraId="023F3446" w14:textId="77777777" w:rsidTr="0039665D">
        <w:tc>
          <w:tcPr>
            <w:tcW w:w="1554" w:type="dxa"/>
            <w:tcBorders>
              <w:bottom w:val="single" w:sz="12" w:space="0" w:color="auto"/>
            </w:tcBorders>
            <w:shd w:val="clear" w:color="auto" w:fill="auto"/>
          </w:tcPr>
          <w:p w14:paraId="5C14950E" w14:textId="77777777" w:rsidR="00A169F2" w:rsidRPr="00A25290" w:rsidRDefault="00A169F2" w:rsidP="0039665D">
            <w:pPr>
              <w:suppressAutoHyphens w:val="0"/>
              <w:spacing w:before="40" w:after="120"/>
              <w:ind w:right="113"/>
              <w:rPr>
                <w:rFonts w:eastAsia="Times"/>
              </w:rPr>
            </w:pPr>
            <w:r w:rsidRPr="00A25290">
              <w:rPr>
                <w:lang w:val="fr-FR"/>
              </w:rPr>
              <w:t>Tchéquie</w:t>
            </w:r>
          </w:p>
        </w:tc>
        <w:tc>
          <w:tcPr>
            <w:tcW w:w="6178" w:type="dxa"/>
            <w:tcBorders>
              <w:bottom w:val="single" w:sz="12" w:space="0" w:color="auto"/>
            </w:tcBorders>
            <w:shd w:val="clear" w:color="auto" w:fill="auto"/>
          </w:tcPr>
          <w:p w14:paraId="1CA71307" w14:textId="6840E153" w:rsidR="00A169F2" w:rsidRPr="00A25290" w:rsidRDefault="00A169F2" w:rsidP="0039665D">
            <w:pPr>
              <w:suppressAutoHyphens w:val="0"/>
              <w:spacing w:before="40" w:after="120"/>
              <w:ind w:right="113"/>
              <w:rPr>
                <w:rFonts w:eastAsia="Times"/>
              </w:rPr>
            </w:pPr>
            <w:hyperlink r:id="rId41" w:history="1">
              <w:r w:rsidRPr="001F13D2">
                <w:rPr>
                  <w:color w:val="0000F7"/>
                </w:rPr>
                <w:t>https://portal</w:t>
              </w:r>
              <w:r w:rsidR="00A3423F" w:rsidRPr="00A3423F">
                <w:rPr>
                  <w:color w:val="0000F7"/>
                </w:rPr>
                <w:t>.</w:t>
              </w:r>
              <w:r w:rsidRPr="001F13D2">
                <w:rPr>
                  <w:color w:val="0000F7"/>
                </w:rPr>
                <w:t>cenia</w:t>
              </w:r>
              <w:r w:rsidR="00A3423F" w:rsidRPr="00A3423F">
                <w:rPr>
                  <w:color w:val="0000F7"/>
                </w:rPr>
                <w:t>.</w:t>
              </w:r>
              <w:r w:rsidRPr="001F13D2">
                <w:rPr>
                  <w:color w:val="0000F7"/>
                </w:rPr>
                <w:t>cz/eiasea/view/SEA100_koncepce</w:t>
              </w:r>
            </w:hyperlink>
          </w:p>
        </w:tc>
        <w:tc>
          <w:tcPr>
            <w:tcW w:w="6044" w:type="dxa"/>
            <w:tcBorders>
              <w:bottom w:val="single" w:sz="12" w:space="0" w:color="auto"/>
            </w:tcBorders>
            <w:shd w:val="clear" w:color="auto" w:fill="auto"/>
          </w:tcPr>
          <w:p w14:paraId="5091BE52" w14:textId="79EB9EDF" w:rsidR="00A169F2" w:rsidRPr="00A25290" w:rsidRDefault="00A169F2" w:rsidP="0039665D">
            <w:pPr>
              <w:suppressAutoHyphens w:val="0"/>
              <w:spacing w:before="40" w:after="120"/>
              <w:ind w:right="113"/>
              <w:rPr>
                <w:rFonts w:eastAsia="Times"/>
              </w:rPr>
            </w:pPr>
            <w:hyperlink r:id="rId42" w:history="1">
              <w:r w:rsidRPr="001F13D2">
                <w:rPr>
                  <w:rStyle w:val="Lienhypertexte"/>
                </w:rPr>
                <w:t>https://portal</w:t>
              </w:r>
              <w:r w:rsidR="00A3423F" w:rsidRPr="00A3423F">
                <w:rPr>
                  <w:rStyle w:val="Lienhypertexte"/>
                </w:rPr>
                <w:t>.</w:t>
              </w:r>
              <w:r w:rsidRPr="001F13D2">
                <w:rPr>
                  <w:rStyle w:val="Lienhypertexte"/>
                </w:rPr>
                <w:t>cenia</w:t>
              </w:r>
              <w:r w:rsidR="00A3423F" w:rsidRPr="00A3423F">
                <w:rPr>
                  <w:rStyle w:val="Lienhypertexte"/>
                </w:rPr>
                <w:t>.</w:t>
              </w:r>
              <w:r w:rsidRPr="001F13D2">
                <w:rPr>
                  <w:rStyle w:val="Lienhypertexte"/>
                </w:rPr>
                <w:t>cz/eiasea/view/sea100_mezistatni?lang=cs</w:t>
              </w:r>
            </w:hyperlink>
          </w:p>
        </w:tc>
      </w:tr>
    </w:tbl>
    <w:p w14:paraId="464E3263" w14:textId="77777777" w:rsidR="00C43B72" w:rsidRDefault="00C43B72" w:rsidP="00A169F2">
      <w:pPr>
        <w:pStyle w:val="SingleTxtG"/>
        <w:sectPr w:rsidR="00C43B72" w:rsidSect="00A169F2">
          <w:headerReference w:type="even" r:id="rId43"/>
          <w:headerReference w:type="default" r:id="rId44"/>
          <w:footerReference w:type="even" r:id="rId45"/>
          <w:footerReference w:type="default" r:id="rId46"/>
          <w:endnotePr>
            <w:numFmt w:val="decimal"/>
          </w:endnotePr>
          <w:pgSz w:w="16838" w:h="11906" w:orient="landscape" w:code="9"/>
          <w:pgMar w:top="1134" w:right="1417" w:bottom="1134" w:left="1134" w:header="567" w:footer="567" w:gutter="0"/>
          <w:cols w:space="708"/>
          <w:docGrid w:linePitch="360"/>
        </w:sectPr>
      </w:pPr>
    </w:p>
    <w:p w14:paraId="6C34B495" w14:textId="6EA41ADC" w:rsidR="00C43B72" w:rsidRPr="00E15B31" w:rsidRDefault="00C43B72" w:rsidP="00C43B72">
      <w:pPr>
        <w:pStyle w:val="H1G"/>
        <w:rPr>
          <w:lang w:val="fr-FR"/>
        </w:rPr>
      </w:pPr>
      <w:r>
        <w:rPr>
          <w:lang w:val="fr-FR"/>
        </w:rPr>
        <w:lastRenderedPageBreak/>
        <w:tab/>
        <w:t>A</w:t>
      </w:r>
      <w:r w:rsidR="00A3423F" w:rsidRPr="00A3423F">
        <w:rPr>
          <w:lang w:val="fr-FR"/>
        </w:rPr>
        <w:t>.</w:t>
      </w:r>
      <w:r>
        <w:rPr>
          <w:lang w:val="fr-FR"/>
        </w:rPr>
        <w:tab/>
      </w:r>
      <w:r>
        <w:rPr>
          <w:lang w:val="fr-FR"/>
        </w:rPr>
        <w:tab/>
        <w:t>Informations figurant dans le rapport environnemental</w:t>
      </w:r>
    </w:p>
    <w:p w14:paraId="3D00A872" w14:textId="2429A0D0" w:rsidR="00C43B72" w:rsidRPr="00D93102" w:rsidRDefault="00C43B72" w:rsidP="00C43B72">
      <w:pPr>
        <w:pStyle w:val="SingleTxtG"/>
        <w:rPr>
          <w:lang w:val="fr-FR"/>
        </w:rPr>
      </w:pPr>
      <w:r>
        <w:rPr>
          <w:lang w:val="fr-FR"/>
        </w:rPr>
        <w:t>62</w:t>
      </w:r>
      <w:r w:rsidR="00A3423F" w:rsidRPr="00A3423F">
        <w:rPr>
          <w:lang w:val="fr-FR"/>
        </w:rPr>
        <w:t>.</w:t>
      </w:r>
      <w:r>
        <w:rPr>
          <w:lang w:val="fr-FR"/>
        </w:rPr>
        <w:tab/>
        <w:t>Treize Parties (sur 22) indiquent que les documents relatifs à l’évaluation stratégique environnementale contiennent toujours des informations concernant les effets sur la santé (question II</w:t>
      </w:r>
      <w:r w:rsidR="00A3423F" w:rsidRPr="00A3423F">
        <w:rPr>
          <w:lang w:val="fr-FR"/>
        </w:rPr>
        <w:t>.</w:t>
      </w:r>
      <w:r>
        <w:rPr>
          <w:lang w:val="fr-FR"/>
        </w:rPr>
        <w:t>1), tandis que neuf répondants (Autriche, Croatie, Danemark, Estonie, Finlande, Lettonie, Luxembourg, Norvège et Suède) déclarent que ces documents ne contiennent des informations concernant les effets sur la santé que lorsque de tels effets ont été constatés</w:t>
      </w:r>
      <w:r w:rsidR="00A3423F" w:rsidRPr="00A3423F">
        <w:rPr>
          <w:lang w:val="fr-FR"/>
        </w:rPr>
        <w:t>.</w:t>
      </w:r>
    </w:p>
    <w:p w14:paraId="5D4B020B" w14:textId="542A9C97" w:rsidR="00C43B72" w:rsidRPr="00265B89" w:rsidRDefault="00C43B72" w:rsidP="00C43B72">
      <w:pPr>
        <w:pStyle w:val="SingleTxtG"/>
        <w:rPr>
          <w:rFonts w:eastAsia="Times"/>
          <w:lang w:val="fr-FR"/>
        </w:rPr>
      </w:pPr>
      <w:r>
        <w:rPr>
          <w:lang w:val="fr-FR"/>
        </w:rPr>
        <w:t>63</w:t>
      </w:r>
      <w:r w:rsidR="00A3423F" w:rsidRPr="00A3423F">
        <w:rPr>
          <w:lang w:val="fr-FR"/>
        </w:rPr>
        <w:t>.</w:t>
      </w:r>
      <w:r>
        <w:rPr>
          <w:lang w:val="fr-FR"/>
        </w:rPr>
        <w:tab/>
        <w:t>Dans la question II</w:t>
      </w:r>
      <w:r w:rsidR="00A3423F" w:rsidRPr="00A3423F">
        <w:rPr>
          <w:lang w:val="fr-FR"/>
        </w:rPr>
        <w:t>.</w:t>
      </w:r>
      <w:r>
        <w:rPr>
          <w:lang w:val="fr-FR"/>
        </w:rPr>
        <w:t>2, il est demandé si le rapport environnemental comprend toujours des informations concernant les effets transfrontières potentiels sur l’environnement, y compris ceux touchant la santé</w:t>
      </w:r>
      <w:r w:rsidR="00A3423F" w:rsidRPr="00A3423F">
        <w:rPr>
          <w:lang w:val="fr-FR"/>
        </w:rPr>
        <w:t>.</w:t>
      </w:r>
      <w:r>
        <w:rPr>
          <w:lang w:val="fr-FR"/>
        </w:rPr>
        <w:t xml:space="preserve"> Plus de la moitié des répondants indiquent que les documents relatifs à l’évaluation stratégique environnementale contiennent de telles informations uniquement lorsque des effets transfrontières potentiels ont été constatés (13 sur 22)</w:t>
      </w:r>
      <w:r w:rsidR="00A3423F" w:rsidRPr="00A3423F">
        <w:rPr>
          <w:lang w:val="fr-FR"/>
        </w:rPr>
        <w:t>.</w:t>
      </w:r>
      <w:r>
        <w:rPr>
          <w:lang w:val="fr-FR"/>
        </w:rPr>
        <w:t xml:space="preserve"> Neuf Parties (Albanie, Arménie, Hongrie, Monténégro, Pologne, République de Moldova, Roumanie, Slovaquie et Tchéquie) déclarent que ces informations sont toujours incluses dans les documents relatifs à l’évaluation stratégique environnementale</w:t>
      </w:r>
      <w:r w:rsidR="00A3423F" w:rsidRPr="00A3423F">
        <w:rPr>
          <w:lang w:val="fr-FR"/>
        </w:rPr>
        <w:t>.</w:t>
      </w:r>
    </w:p>
    <w:p w14:paraId="219A37AA" w14:textId="6931731F" w:rsidR="00C43B72" w:rsidRPr="00E15B31" w:rsidRDefault="00C43B72" w:rsidP="00C43B72">
      <w:pPr>
        <w:pStyle w:val="SingleTxtG"/>
        <w:rPr>
          <w:rFonts w:eastAsia="Times"/>
          <w:lang w:val="fr-FR"/>
        </w:rPr>
      </w:pPr>
      <w:r>
        <w:rPr>
          <w:lang w:val="fr-FR"/>
        </w:rPr>
        <w:t>64</w:t>
      </w:r>
      <w:r w:rsidR="00A3423F" w:rsidRPr="00A3423F">
        <w:rPr>
          <w:lang w:val="fr-FR"/>
        </w:rPr>
        <w:t>.</w:t>
      </w:r>
      <w:r>
        <w:rPr>
          <w:lang w:val="fr-FR"/>
        </w:rPr>
        <w:tab/>
        <w:t>Dans la question II</w:t>
      </w:r>
      <w:r w:rsidR="00A3423F" w:rsidRPr="00A3423F">
        <w:rPr>
          <w:lang w:val="fr-FR"/>
        </w:rPr>
        <w:t>.</w:t>
      </w:r>
      <w:r>
        <w:rPr>
          <w:lang w:val="fr-FR"/>
        </w:rPr>
        <w:t>10 a), il est demandé aux Parties de décrire les procédures qu’elles appliquent pour garantir que le rapport environnemental prend dûment en compte les aspects relatifs à la santé et que les autorités responsables de la santé sont consultées, comme le prévoit l’article 3</w:t>
      </w:r>
      <w:r w:rsidR="00A3423F" w:rsidRPr="00A3423F">
        <w:rPr>
          <w:lang w:val="fr-FR"/>
        </w:rPr>
        <w:t>.</w:t>
      </w:r>
      <w:r>
        <w:rPr>
          <w:lang w:val="fr-FR"/>
        </w:rPr>
        <w:t xml:space="preserve"> La plupart des Parties (21 sur 22) décrivent les procédures pertinentes et/ou fournissent des références concernant la législation nationale</w:t>
      </w:r>
      <w:r w:rsidR="00A3423F" w:rsidRPr="00A3423F">
        <w:rPr>
          <w:lang w:val="fr-FR"/>
        </w:rPr>
        <w:t>.</w:t>
      </w:r>
      <w:r>
        <w:rPr>
          <w:lang w:val="fr-FR"/>
        </w:rPr>
        <w:t xml:space="preserve"> La Norvège indique que les autorités sanitaires sont consultées lorsque cela est nécessaire</w:t>
      </w:r>
      <w:r w:rsidR="00A3423F" w:rsidRPr="00A3423F">
        <w:rPr>
          <w:lang w:val="fr-FR"/>
        </w:rPr>
        <w:t>.</w:t>
      </w:r>
    </w:p>
    <w:p w14:paraId="34563C2A" w14:textId="76105F47" w:rsidR="00C43B72" w:rsidRPr="00053FAF" w:rsidRDefault="00C43B72" w:rsidP="00C43B72">
      <w:pPr>
        <w:pStyle w:val="H1G"/>
        <w:rPr>
          <w:rFonts w:eastAsia="Times"/>
          <w:lang w:val="fr-FR"/>
        </w:rPr>
      </w:pPr>
      <w:r>
        <w:rPr>
          <w:lang w:val="fr-FR"/>
        </w:rPr>
        <w:tab/>
        <w:t>B</w:t>
      </w:r>
      <w:r w:rsidR="00A3423F" w:rsidRPr="00A3423F">
        <w:rPr>
          <w:lang w:val="fr-FR"/>
        </w:rPr>
        <w:t>.</w:t>
      </w:r>
      <w:r>
        <w:rPr>
          <w:lang w:val="fr-FR"/>
        </w:rPr>
        <w:tab/>
      </w:r>
      <w:r>
        <w:rPr>
          <w:lang w:val="fr-FR"/>
        </w:rPr>
        <w:tab/>
        <w:t>Avantages</w:t>
      </w:r>
    </w:p>
    <w:p w14:paraId="6B4EF511" w14:textId="13DEEB85" w:rsidR="00C43B72" w:rsidRPr="00265B89" w:rsidRDefault="00C43B72" w:rsidP="00C43B72">
      <w:pPr>
        <w:pStyle w:val="SingleTxtG"/>
        <w:rPr>
          <w:rFonts w:eastAsia="Times"/>
          <w:lang w:val="fr-FR"/>
        </w:rPr>
      </w:pPr>
      <w:r>
        <w:rPr>
          <w:lang w:val="fr-FR"/>
        </w:rPr>
        <w:t>65</w:t>
      </w:r>
      <w:r w:rsidR="00A3423F" w:rsidRPr="00A3423F">
        <w:rPr>
          <w:lang w:val="fr-FR"/>
        </w:rPr>
        <w:t>.</w:t>
      </w:r>
      <w:r>
        <w:rPr>
          <w:lang w:val="fr-FR"/>
        </w:rPr>
        <w:tab/>
        <w:t>La plupart des répondants déclarent qu’une « planification plus ciblée, reposant sur des informations plus détaillées » (19 sur 21) et des « </w:t>
      </w:r>
      <w:proofErr w:type="spellStart"/>
      <w:r>
        <w:rPr>
          <w:lang w:val="fr-FR"/>
        </w:rPr>
        <w:t>bienfaits</w:t>
      </w:r>
      <w:proofErr w:type="spellEnd"/>
      <w:r>
        <w:rPr>
          <w:lang w:val="fr-FR"/>
        </w:rPr>
        <w:t xml:space="preserve"> pour l’environnement et la santé » (20 sur 21) sont les avantages de l’évaluation stratégique environnementale (question II</w:t>
      </w:r>
      <w:r w:rsidR="00A3423F" w:rsidRPr="00A3423F">
        <w:rPr>
          <w:lang w:val="fr-FR"/>
        </w:rPr>
        <w:t>.</w:t>
      </w:r>
      <w:r>
        <w:rPr>
          <w:lang w:val="fr-FR"/>
        </w:rPr>
        <w:t>7, voir fig</w:t>
      </w:r>
      <w:r w:rsidR="00A3423F" w:rsidRPr="00A3423F">
        <w:rPr>
          <w:lang w:val="fr-FR"/>
        </w:rPr>
        <w:t>.</w:t>
      </w:r>
      <w:r>
        <w:rPr>
          <w:lang w:val="fr-FR"/>
        </w:rPr>
        <w:t> XIII)</w:t>
      </w:r>
      <w:r w:rsidR="00A3423F" w:rsidRPr="00A3423F">
        <w:rPr>
          <w:lang w:val="fr-FR"/>
        </w:rPr>
        <w:t>.</w:t>
      </w:r>
      <w:r>
        <w:rPr>
          <w:lang w:val="fr-FR"/>
        </w:rPr>
        <w:t xml:space="preserve"> Plus de la moitié des répondants (14 sur 21) indiquent également, parmi les avantages, une « coordination entre différents secteurs, qui évite les doubles emplois et les incohérences » et trois répondants (Arménie, Bosnie-Herzégovine et Estonie) soulignent un « bon rapport coût-efficacité »</w:t>
      </w:r>
      <w:r w:rsidR="00A3423F" w:rsidRPr="00A3423F">
        <w:rPr>
          <w:lang w:val="fr-FR"/>
        </w:rPr>
        <w:t>.</w:t>
      </w:r>
      <w:r>
        <w:rPr>
          <w:lang w:val="fr-FR"/>
        </w:rPr>
        <w:t xml:space="preserve"> Certains répondants énumèrent d’autres avantages, notamment : l’intégration des questions environnementales dans les plans et programmes sectoriels ; la sensibilisation précoce du public et l’amélioration des possibilités de participation aux processus de planification ; la participation des autorités environnementales aux premiers stades du processus de planification ; et des consultations accrues entre les autorités chargées de l’environnement et de la planification</w:t>
      </w:r>
      <w:r w:rsidR="00A3423F" w:rsidRPr="00A3423F">
        <w:rPr>
          <w:lang w:val="fr-FR"/>
        </w:rPr>
        <w:t>.</w:t>
      </w:r>
    </w:p>
    <w:p w14:paraId="4F1C76E6" w14:textId="77777777" w:rsidR="00C43B72" w:rsidRPr="00814BEC" w:rsidRDefault="00C43B72" w:rsidP="00C43B72">
      <w:pPr>
        <w:pStyle w:val="Titre1"/>
        <w:rPr>
          <w:rFonts w:eastAsia="Times"/>
          <w:lang w:val="fr-FR"/>
        </w:rPr>
      </w:pPr>
      <w:r w:rsidRPr="00814BEC">
        <w:rPr>
          <w:lang w:val="fr-FR"/>
        </w:rPr>
        <w:lastRenderedPageBreak/>
        <w:t>Figure XIII</w:t>
      </w:r>
    </w:p>
    <w:p w14:paraId="120A3AC9" w14:textId="4F8B47C3" w:rsidR="00C43B72" w:rsidRPr="001F13D2" w:rsidRDefault="00C43B72" w:rsidP="00C43B72">
      <w:pPr>
        <w:pStyle w:val="Titre1"/>
        <w:spacing w:after="120"/>
        <w:ind w:right="1134"/>
        <w:rPr>
          <w:rFonts w:eastAsia="Times"/>
          <w:b/>
          <w:bCs/>
          <w:lang w:val="fr-FR"/>
        </w:rPr>
      </w:pPr>
      <w:r w:rsidRPr="001F13D2">
        <w:rPr>
          <w:b/>
          <w:bCs/>
          <w:lang w:val="fr-FR"/>
        </w:rPr>
        <w:t>Réponses à la question II</w:t>
      </w:r>
      <w:r w:rsidR="00A3423F" w:rsidRPr="00A3423F">
        <w:rPr>
          <w:b/>
          <w:bCs/>
          <w:lang w:val="fr-FR"/>
        </w:rPr>
        <w:t>.</w:t>
      </w:r>
      <w:r w:rsidRPr="001F13D2">
        <w:rPr>
          <w:b/>
          <w:bCs/>
          <w:lang w:val="fr-FR"/>
        </w:rPr>
        <w:t>7 : « Veuillez énumérer les avantages de l</w:t>
      </w:r>
      <w:r>
        <w:rPr>
          <w:b/>
          <w:bCs/>
          <w:lang w:val="fr-FR"/>
        </w:rPr>
        <w:t>’</w:t>
      </w:r>
      <w:r w:rsidRPr="001F13D2">
        <w:rPr>
          <w:b/>
          <w:bCs/>
          <w:lang w:val="fr-FR"/>
        </w:rPr>
        <w:t>évaluation stratégique environnementale que votre pays a constatés » (n=21)</w:t>
      </w:r>
    </w:p>
    <w:p w14:paraId="2D7DF3B5" w14:textId="77777777" w:rsidR="00C43B72" w:rsidRDefault="00C43B72" w:rsidP="00C43B72">
      <w:pPr>
        <w:spacing w:after="240"/>
        <w:ind w:left="1134" w:right="1134"/>
        <w:rPr>
          <w:lang w:val="fr-FR"/>
        </w:rPr>
      </w:pPr>
      <w:r w:rsidRPr="00CA2B85">
        <w:rPr>
          <w:noProof/>
          <w:lang w:val="en-US" w:eastAsia="zh-CN"/>
        </w:rPr>
        <w:drawing>
          <wp:inline distT="0" distB="0" distL="0" distR="0" wp14:anchorId="24456B5E" wp14:editId="1634C806">
            <wp:extent cx="4632706" cy="2647950"/>
            <wp:effectExtent l="0" t="0" r="15875" b="0"/>
            <wp:docPr id="64" name="Graphique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3FB338E" w14:textId="7B1CDC7F" w:rsidR="00C43B72" w:rsidRPr="00E15B31" w:rsidRDefault="00C43B72" w:rsidP="00C43B72">
      <w:pPr>
        <w:pStyle w:val="SingleTxtG"/>
        <w:keepNext/>
        <w:rPr>
          <w:rFonts w:eastAsia="Times"/>
          <w:lang w:val="fr-FR"/>
        </w:rPr>
      </w:pPr>
      <w:r>
        <w:rPr>
          <w:lang w:val="fr-FR"/>
        </w:rPr>
        <w:t>66</w:t>
      </w:r>
      <w:r w:rsidR="00A3423F" w:rsidRPr="00A3423F">
        <w:rPr>
          <w:lang w:val="fr-FR"/>
        </w:rPr>
        <w:t>.</w:t>
      </w:r>
      <w:r>
        <w:rPr>
          <w:lang w:val="fr-FR"/>
        </w:rPr>
        <w:tab/>
        <w:t>En réponse à la question II</w:t>
      </w:r>
      <w:r w:rsidR="00A3423F" w:rsidRPr="00A3423F">
        <w:rPr>
          <w:lang w:val="fr-FR"/>
        </w:rPr>
        <w:t>.</w:t>
      </w:r>
      <w:r>
        <w:rPr>
          <w:lang w:val="fr-FR"/>
        </w:rPr>
        <w:t xml:space="preserve">10 b), dix Parties donnent des exemples de l’application de l’évaluation stratégique environnementale dans les domaines/thèmes clés suivants décrits dans le plan de travail pour 2021-2023 : </w:t>
      </w:r>
    </w:p>
    <w:p w14:paraId="66F5AF64" w14:textId="77777777" w:rsidR="00C43B72" w:rsidRPr="00E15B31" w:rsidRDefault="00C43B72" w:rsidP="00C43B72">
      <w:pPr>
        <w:pStyle w:val="Bullet1G"/>
        <w:numPr>
          <w:ilvl w:val="0"/>
          <w:numId w:val="1"/>
        </w:numPr>
        <w:rPr>
          <w:rFonts w:eastAsia="Times"/>
          <w:lang w:val="fr-FR"/>
        </w:rPr>
      </w:pPr>
      <w:r>
        <w:rPr>
          <w:lang w:val="fr-FR"/>
        </w:rPr>
        <w:t>Biodiversité (Bosnie-Herzégovine, Finlande)</w:t>
      </w:r>
    </w:p>
    <w:p w14:paraId="7A56833D" w14:textId="77777777" w:rsidR="00C43B72" w:rsidRPr="00E15B31" w:rsidRDefault="00C43B72" w:rsidP="00C43B72">
      <w:pPr>
        <w:pStyle w:val="Bullet1G"/>
        <w:numPr>
          <w:ilvl w:val="0"/>
          <w:numId w:val="1"/>
        </w:numPr>
        <w:rPr>
          <w:rFonts w:eastAsia="Times"/>
          <w:lang w:val="fr-FR"/>
        </w:rPr>
      </w:pPr>
      <w:r>
        <w:rPr>
          <w:lang w:val="fr-FR"/>
        </w:rPr>
        <w:t>Économie circulaire (Finlande et Malte)</w:t>
      </w:r>
    </w:p>
    <w:p w14:paraId="63F5BB49" w14:textId="77777777" w:rsidR="00C43B72" w:rsidRPr="00265B89" w:rsidRDefault="00C43B72" w:rsidP="00C43B72">
      <w:pPr>
        <w:pStyle w:val="Bullet1G"/>
        <w:numPr>
          <w:ilvl w:val="0"/>
          <w:numId w:val="1"/>
        </w:numPr>
        <w:rPr>
          <w:rFonts w:eastAsia="Times"/>
          <w:lang w:val="fr-FR"/>
        </w:rPr>
      </w:pPr>
      <w:r>
        <w:rPr>
          <w:lang w:val="fr-FR"/>
        </w:rPr>
        <w:t xml:space="preserve">Transition énergétique (Croatie, Finlande, Monténégro et Slovaquie) </w:t>
      </w:r>
    </w:p>
    <w:p w14:paraId="651ED0BC" w14:textId="77777777" w:rsidR="00C43B72" w:rsidRPr="00265B89" w:rsidRDefault="00C43B72" w:rsidP="00C43B72">
      <w:pPr>
        <w:pStyle w:val="Bullet1G"/>
        <w:numPr>
          <w:ilvl w:val="0"/>
          <w:numId w:val="1"/>
        </w:numPr>
        <w:rPr>
          <w:rFonts w:eastAsia="Times"/>
          <w:lang w:val="fr-FR"/>
        </w:rPr>
      </w:pPr>
      <w:r>
        <w:rPr>
          <w:lang w:val="fr-FR"/>
        </w:rPr>
        <w:t xml:space="preserve">Villes intelligentes et durables (Bosnie-Herzégovine, Finlande et Slovaquie) </w:t>
      </w:r>
    </w:p>
    <w:p w14:paraId="6A3AA7BE" w14:textId="77777777" w:rsidR="00C43B72" w:rsidRPr="00265B89" w:rsidRDefault="00C43B72" w:rsidP="00C43B72">
      <w:pPr>
        <w:pStyle w:val="Bullet1G"/>
        <w:numPr>
          <w:ilvl w:val="0"/>
          <w:numId w:val="1"/>
        </w:numPr>
        <w:rPr>
          <w:rFonts w:eastAsia="Times"/>
          <w:lang w:val="fr-FR"/>
        </w:rPr>
      </w:pPr>
      <w:r>
        <w:rPr>
          <w:lang w:val="fr-FR"/>
        </w:rPr>
        <w:t>Infrastructures durables (Bosnie-Herzégovine, Croatie, Espagne et Finlande)</w:t>
      </w:r>
    </w:p>
    <w:p w14:paraId="67420FFE" w14:textId="4FE54340" w:rsidR="00C43B72" w:rsidRPr="00265B89" w:rsidRDefault="00C43B72" w:rsidP="00C43B72">
      <w:pPr>
        <w:pStyle w:val="Bullet1G"/>
        <w:numPr>
          <w:ilvl w:val="0"/>
          <w:numId w:val="1"/>
        </w:numPr>
        <w:rPr>
          <w:rFonts w:eastAsia="Times"/>
          <w:lang w:val="fr-FR"/>
        </w:rPr>
      </w:pPr>
      <w:r>
        <w:rPr>
          <w:lang w:val="fr-FR"/>
        </w:rPr>
        <w:t>Planification de l’espace marin (Danemark, Estonie et Lituanie)</w:t>
      </w:r>
      <w:r w:rsidR="00A3423F" w:rsidRPr="00A3423F">
        <w:rPr>
          <w:lang w:val="fr-FR"/>
        </w:rPr>
        <w:t>.</w:t>
      </w:r>
    </w:p>
    <w:p w14:paraId="6C6C79A8" w14:textId="119D7628" w:rsidR="00C43B72" w:rsidRPr="00E15B31" w:rsidRDefault="00C43B72" w:rsidP="00C43B72">
      <w:pPr>
        <w:pStyle w:val="SingleTxtG"/>
        <w:rPr>
          <w:rFonts w:eastAsia="Times"/>
          <w:lang w:val="fr-FR"/>
        </w:rPr>
      </w:pPr>
      <w:r>
        <w:rPr>
          <w:lang w:val="fr-FR"/>
        </w:rPr>
        <w:t>67</w:t>
      </w:r>
      <w:r w:rsidR="00A3423F" w:rsidRPr="00A3423F">
        <w:rPr>
          <w:lang w:val="fr-FR"/>
        </w:rPr>
        <w:t>.</w:t>
      </w:r>
      <w:r>
        <w:rPr>
          <w:lang w:val="fr-FR"/>
        </w:rPr>
        <w:tab/>
        <w:t>Certains répondants fournissent l’intitulé et/ou une description du plan/programme pertinent, tandis que d’autres décrivent leurs expériences sous la forme d’un exemple de bonne pratique (voir par</w:t>
      </w:r>
      <w:r w:rsidR="00A3423F" w:rsidRPr="00A3423F">
        <w:rPr>
          <w:lang w:val="fr-FR"/>
        </w:rPr>
        <w:t>.</w:t>
      </w:r>
      <w:r>
        <w:rPr>
          <w:lang w:val="fr-FR"/>
        </w:rPr>
        <w:t> 80 ci-après)</w:t>
      </w:r>
      <w:r w:rsidR="00A3423F" w:rsidRPr="00A3423F">
        <w:rPr>
          <w:lang w:val="fr-FR"/>
        </w:rPr>
        <w:t>.</w:t>
      </w:r>
    </w:p>
    <w:p w14:paraId="188421F0" w14:textId="7038D8A5" w:rsidR="00C43B72" w:rsidRPr="00265B89" w:rsidRDefault="00C43B72" w:rsidP="00C43B72">
      <w:pPr>
        <w:pStyle w:val="SingleTxtG"/>
        <w:rPr>
          <w:rFonts w:eastAsia="Times"/>
          <w:lang w:val="fr-FR"/>
        </w:rPr>
      </w:pPr>
      <w:r>
        <w:rPr>
          <w:lang w:val="fr-FR"/>
        </w:rPr>
        <w:t>68</w:t>
      </w:r>
      <w:r w:rsidR="00A3423F" w:rsidRPr="00A3423F">
        <w:rPr>
          <w:lang w:val="fr-FR"/>
        </w:rPr>
        <w:t>.</w:t>
      </w:r>
      <w:r>
        <w:rPr>
          <w:lang w:val="fr-FR"/>
        </w:rPr>
        <w:tab/>
        <w:t>La plupart des répondants indiquent que (certaines) évaluations stratégiques environnementales ont contribué à la réalisation des objectifs de développement durable dans une certaine mesure (11 sur 20) et/ou de manière significative (7 sur 20)</w:t>
      </w:r>
      <w:r w:rsidR="00A3423F" w:rsidRPr="00A3423F">
        <w:rPr>
          <w:lang w:val="fr-FR"/>
        </w:rPr>
        <w:t>.</w:t>
      </w:r>
      <w:r>
        <w:rPr>
          <w:lang w:val="fr-FR"/>
        </w:rPr>
        <w:t xml:space="preserve"> Trois répondants (Danemark, Finlande et Hongrie) indiquent qu’ils n’ont aucune preuve que l’évaluation stratégique environnementale contribue à la réalisation des objectifs de développement durable (question II</w:t>
      </w:r>
      <w:r w:rsidR="00A3423F" w:rsidRPr="00A3423F">
        <w:rPr>
          <w:lang w:val="fr-FR"/>
        </w:rPr>
        <w:t>.</w:t>
      </w:r>
      <w:r>
        <w:rPr>
          <w:lang w:val="fr-FR"/>
        </w:rPr>
        <w:t>10 c))</w:t>
      </w:r>
      <w:r w:rsidR="00A3423F" w:rsidRPr="00A3423F">
        <w:rPr>
          <w:lang w:val="fr-FR"/>
        </w:rPr>
        <w:t>.</w:t>
      </w:r>
      <w:r>
        <w:rPr>
          <w:lang w:val="fr-FR"/>
        </w:rPr>
        <w:t xml:space="preserve"> La Hongrie ne dispose pas de données à ce propos</w:t>
      </w:r>
      <w:r w:rsidR="00A3423F" w:rsidRPr="00A3423F">
        <w:rPr>
          <w:lang w:val="fr-FR"/>
        </w:rPr>
        <w:t>.</w:t>
      </w:r>
    </w:p>
    <w:p w14:paraId="2016AA10" w14:textId="4B68BF30" w:rsidR="00C43B72" w:rsidRPr="00053FAF" w:rsidRDefault="00C43B72" w:rsidP="00C43B72">
      <w:pPr>
        <w:pStyle w:val="H1G"/>
        <w:rPr>
          <w:lang w:val="fr-FR"/>
        </w:rPr>
      </w:pPr>
      <w:r>
        <w:rPr>
          <w:lang w:val="fr-FR"/>
        </w:rPr>
        <w:tab/>
        <w:t>C</w:t>
      </w:r>
      <w:r w:rsidR="00A3423F" w:rsidRPr="00A3423F">
        <w:rPr>
          <w:lang w:val="fr-FR"/>
        </w:rPr>
        <w:t>.</w:t>
      </w:r>
      <w:r>
        <w:rPr>
          <w:lang w:val="fr-FR"/>
        </w:rPr>
        <w:tab/>
      </w:r>
      <w:r>
        <w:rPr>
          <w:lang w:val="fr-FR"/>
        </w:rPr>
        <w:tab/>
        <w:t>Difficultés rencontrées</w:t>
      </w:r>
    </w:p>
    <w:p w14:paraId="2086F24B" w14:textId="11D21ED9" w:rsidR="00C43B72" w:rsidRPr="00265B89" w:rsidRDefault="00C43B72" w:rsidP="00C43B72">
      <w:pPr>
        <w:pStyle w:val="SingleTxtG"/>
        <w:keepNext/>
        <w:rPr>
          <w:rFonts w:eastAsia="Times"/>
          <w:lang w:val="fr-FR"/>
        </w:rPr>
      </w:pPr>
      <w:r>
        <w:rPr>
          <w:lang w:val="fr-FR"/>
        </w:rPr>
        <w:t>69</w:t>
      </w:r>
      <w:r w:rsidR="00A3423F" w:rsidRPr="00A3423F">
        <w:rPr>
          <w:lang w:val="fr-FR"/>
        </w:rPr>
        <w:t>.</w:t>
      </w:r>
      <w:r>
        <w:rPr>
          <w:lang w:val="fr-FR"/>
        </w:rPr>
        <w:tab/>
        <w:t>La majorité des répondants (19 sur 22) indiquent n’avoir eu aucune difficulté majeure à interpréter les termes ou les articles du Protocole (question II</w:t>
      </w:r>
      <w:r w:rsidR="00A3423F" w:rsidRPr="00A3423F">
        <w:rPr>
          <w:lang w:val="fr-FR"/>
        </w:rPr>
        <w:t>.</w:t>
      </w:r>
      <w:r>
        <w:rPr>
          <w:lang w:val="fr-FR"/>
        </w:rPr>
        <w:t>8)</w:t>
      </w:r>
      <w:r w:rsidR="00A3423F" w:rsidRPr="00A3423F">
        <w:rPr>
          <w:lang w:val="fr-FR"/>
        </w:rPr>
        <w:t>.</w:t>
      </w:r>
      <w:r>
        <w:rPr>
          <w:lang w:val="fr-FR"/>
        </w:rPr>
        <w:t xml:space="preserve"> La Slovaquie fait état de difficultés d’interprétation des termes « plan » et « programme », tandis que deux répondants décrivent des difficultés pratiques considérables, notamment en ce qui concerne les aspects suivants : </w:t>
      </w:r>
    </w:p>
    <w:p w14:paraId="7409EFD9" w14:textId="77777777" w:rsidR="00C43B72" w:rsidRPr="00E15B31" w:rsidRDefault="00C43B72" w:rsidP="00C43B72">
      <w:pPr>
        <w:pStyle w:val="Bullet1G"/>
        <w:numPr>
          <w:ilvl w:val="0"/>
          <w:numId w:val="1"/>
        </w:numPr>
        <w:rPr>
          <w:rFonts w:eastAsia="Times"/>
          <w:lang w:val="fr-FR"/>
        </w:rPr>
      </w:pPr>
      <w:r>
        <w:rPr>
          <w:lang w:val="fr-FR"/>
        </w:rPr>
        <w:t>Détermination du contenu et du niveau de détail du rapport environnemental (Autriche) ;</w:t>
      </w:r>
    </w:p>
    <w:p w14:paraId="3C435869" w14:textId="77777777" w:rsidR="00C43B72" w:rsidRPr="00E15B31" w:rsidRDefault="00C43B72" w:rsidP="00C43B72">
      <w:pPr>
        <w:pStyle w:val="Bullet1G"/>
        <w:numPr>
          <w:ilvl w:val="0"/>
          <w:numId w:val="1"/>
        </w:numPr>
        <w:rPr>
          <w:rFonts w:eastAsia="Times"/>
          <w:lang w:val="fr-FR"/>
        </w:rPr>
      </w:pPr>
      <w:r>
        <w:rPr>
          <w:lang w:val="fr-FR"/>
        </w:rPr>
        <w:t>Détermination de solutions de remplacement raisonnables et du calendrier de l’évaluation stratégique environnementale (Autriche) ;</w:t>
      </w:r>
    </w:p>
    <w:p w14:paraId="7EA3824B" w14:textId="77777777" w:rsidR="00C43B72" w:rsidRPr="00E15B31" w:rsidRDefault="00C43B72" w:rsidP="00C43B72">
      <w:pPr>
        <w:pStyle w:val="Bullet1G"/>
        <w:numPr>
          <w:ilvl w:val="0"/>
          <w:numId w:val="1"/>
        </w:numPr>
        <w:rPr>
          <w:rFonts w:eastAsia="Times"/>
          <w:lang w:val="fr-FR"/>
        </w:rPr>
      </w:pPr>
      <w:r>
        <w:rPr>
          <w:lang w:val="fr-FR"/>
        </w:rPr>
        <w:lastRenderedPageBreak/>
        <w:t>Coordination entre les entités et au sein de l’administration publique (Bosnie</w:t>
      </w:r>
      <w:r>
        <w:rPr>
          <w:lang w:val="fr-FR"/>
        </w:rPr>
        <w:noBreakHyphen/>
        <w:t>Herzégovine) ;</w:t>
      </w:r>
    </w:p>
    <w:p w14:paraId="61CA6264" w14:textId="34EF2097" w:rsidR="00C43B72" w:rsidRPr="00E15B31" w:rsidRDefault="00C43B72" w:rsidP="00C43B72">
      <w:pPr>
        <w:pStyle w:val="Bullet1G"/>
        <w:numPr>
          <w:ilvl w:val="0"/>
          <w:numId w:val="1"/>
        </w:numPr>
        <w:rPr>
          <w:rFonts w:eastAsia="Times"/>
          <w:lang w:val="fr-FR"/>
        </w:rPr>
      </w:pPr>
      <w:r>
        <w:rPr>
          <w:lang w:val="fr-FR"/>
        </w:rPr>
        <w:t>Temps nécessaire à la communication avec les autorités responsables des affaires étrangères dans les procédures transfrontalières (Bosnie-Herzégovine)</w:t>
      </w:r>
      <w:r w:rsidR="00A3423F" w:rsidRPr="00A3423F">
        <w:rPr>
          <w:lang w:val="fr-FR"/>
        </w:rPr>
        <w:t>.</w:t>
      </w:r>
    </w:p>
    <w:p w14:paraId="2C2D8CF1" w14:textId="31DFC98C" w:rsidR="00C43B72" w:rsidRPr="00265B89" w:rsidRDefault="00C43B72" w:rsidP="00C43B72">
      <w:pPr>
        <w:pStyle w:val="SingleTxtG"/>
        <w:rPr>
          <w:rFonts w:eastAsia="Times"/>
          <w:lang w:val="fr-FR"/>
        </w:rPr>
      </w:pPr>
      <w:r>
        <w:rPr>
          <w:lang w:val="fr-FR"/>
        </w:rPr>
        <w:t>70</w:t>
      </w:r>
      <w:r w:rsidR="00A3423F" w:rsidRPr="00A3423F">
        <w:rPr>
          <w:lang w:val="fr-FR"/>
        </w:rPr>
        <w:t>.</w:t>
      </w:r>
      <w:r>
        <w:rPr>
          <w:lang w:val="fr-FR"/>
        </w:rPr>
        <w:tab/>
        <w:t>En réponse à la question II</w:t>
      </w:r>
      <w:r w:rsidR="00A3423F" w:rsidRPr="00A3423F">
        <w:rPr>
          <w:lang w:val="fr-FR"/>
        </w:rPr>
        <w:t>.</w:t>
      </w:r>
      <w:r>
        <w:rPr>
          <w:lang w:val="fr-FR"/>
        </w:rPr>
        <w:t>9, certains répondants indiquent que la meilleure façon de surmonter les problèmes est la coopération entre les autorités concernées et les Parties (Estonie)</w:t>
      </w:r>
      <w:r w:rsidR="00A3423F" w:rsidRPr="00A3423F">
        <w:rPr>
          <w:lang w:val="fr-FR"/>
        </w:rPr>
        <w:t>.</w:t>
      </w:r>
      <w:r>
        <w:rPr>
          <w:lang w:val="fr-FR"/>
        </w:rPr>
        <w:t xml:space="preserve"> Les répondants ont également cité d’autres moyens de remédier aux difficultés, tels que l’élaboration de directives, la publication d’un recueil d’exemples d’évaluation stratégique environnementale ou de fiches d’information, l’échange d’informations entre les autorités et le partage de données d’expérience (Autriche et Estonie)</w:t>
      </w:r>
      <w:r w:rsidR="00A3423F" w:rsidRPr="00A3423F">
        <w:rPr>
          <w:lang w:val="fr-FR"/>
        </w:rPr>
        <w:t>.</w:t>
      </w:r>
    </w:p>
    <w:p w14:paraId="6A84C1A1" w14:textId="50B91415" w:rsidR="00C43B72" w:rsidRPr="00053FAF" w:rsidRDefault="00C43B72" w:rsidP="00C43B72">
      <w:pPr>
        <w:pStyle w:val="H1G"/>
        <w:rPr>
          <w:rFonts w:eastAsia="Times"/>
          <w:lang w:val="fr-FR"/>
        </w:rPr>
      </w:pPr>
      <w:r>
        <w:rPr>
          <w:lang w:val="fr-FR"/>
        </w:rPr>
        <w:tab/>
        <w:t>D</w:t>
      </w:r>
      <w:r w:rsidR="00A3423F" w:rsidRPr="00A3423F">
        <w:rPr>
          <w:lang w:val="fr-FR"/>
        </w:rPr>
        <w:t>.</w:t>
      </w:r>
      <w:r>
        <w:rPr>
          <w:lang w:val="fr-FR"/>
        </w:rPr>
        <w:tab/>
      </w:r>
      <w:r>
        <w:rPr>
          <w:lang w:val="fr-FR"/>
        </w:rPr>
        <w:tab/>
        <w:t>Suivi</w:t>
      </w:r>
    </w:p>
    <w:p w14:paraId="020533A8" w14:textId="44FC83D3" w:rsidR="00C43B72" w:rsidRPr="00265B89" w:rsidRDefault="00C43B72" w:rsidP="00C43B72">
      <w:pPr>
        <w:pStyle w:val="SingleTxtG"/>
        <w:rPr>
          <w:rFonts w:eastAsia="Times"/>
          <w:lang w:val="fr-FR"/>
        </w:rPr>
      </w:pPr>
      <w:r>
        <w:rPr>
          <w:lang w:val="fr-FR"/>
        </w:rPr>
        <w:t>71</w:t>
      </w:r>
      <w:r w:rsidR="00A3423F" w:rsidRPr="00A3423F">
        <w:rPr>
          <w:lang w:val="fr-FR"/>
        </w:rPr>
        <w:t>.</w:t>
      </w:r>
      <w:r>
        <w:rPr>
          <w:lang w:val="fr-FR"/>
        </w:rPr>
        <w:tab/>
        <w:t>Douze Parties (sur 22) ont effectué un suivi conformément à l’article 12 (question II</w:t>
      </w:r>
      <w:r w:rsidR="00A3423F" w:rsidRPr="00A3423F">
        <w:rPr>
          <w:lang w:val="fr-FR"/>
        </w:rPr>
        <w:t>.</w:t>
      </w:r>
      <w:r>
        <w:rPr>
          <w:lang w:val="fr-FR"/>
        </w:rPr>
        <w:t>11) et certaines Parties fournissent des exemples de bonnes pratiques (par exemple, Estonie et Roumanie)</w:t>
      </w:r>
      <w:r w:rsidR="00A3423F" w:rsidRPr="00A3423F">
        <w:rPr>
          <w:lang w:val="fr-FR"/>
        </w:rPr>
        <w:t>.</w:t>
      </w:r>
      <w:r>
        <w:rPr>
          <w:lang w:val="fr-FR"/>
        </w:rPr>
        <w:t xml:space="preserve"> Les pratiques et les méthodes de suivi utilisées sont différentes</w:t>
      </w:r>
      <w:r w:rsidR="00A3423F" w:rsidRPr="00A3423F">
        <w:rPr>
          <w:lang w:val="fr-FR"/>
        </w:rPr>
        <w:t>.</w:t>
      </w:r>
      <w:r>
        <w:rPr>
          <w:lang w:val="fr-FR"/>
        </w:rPr>
        <w:t xml:space="preserve"> Par exemple, en Pologne, les effets de l’exécution du plan/programme peuvent être contrôlés par l’inspection régionale de la protection de l’environnement dans le cadre d’une surveillance systématique ou sous forme de contrôles effectués sur des projets</w:t>
      </w:r>
      <w:r w:rsidR="00A3423F" w:rsidRPr="00A3423F">
        <w:rPr>
          <w:lang w:val="fr-FR"/>
        </w:rPr>
        <w:t>.</w:t>
      </w:r>
      <w:r>
        <w:rPr>
          <w:lang w:val="fr-FR"/>
        </w:rPr>
        <w:t xml:space="preserve"> En Finlande, le suivi des effets sur l’environnement est généralement effectué dans le cadre du suivi plus étendu de l’exécution du plan ou du programme et peut également coïncider avec la révision régulière du plan ou du programme</w:t>
      </w:r>
      <w:r w:rsidR="00A3423F" w:rsidRPr="00A3423F">
        <w:rPr>
          <w:lang w:val="fr-FR"/>
        </w:rPr>
        <w:t>.</w:t>
      </w:r>
      <w:r>
        <w:rPr>
          <w:lang w:val="fr-FR"/>
        </w:rPr>
        <w:t xml:space="preserve"> Certains répondants utilisent des indicateurs (Espagne et Estonie)</w:t>
      </w:r>
      <w:r w:rsidR="00A3423F" w:rsidRPr="00A3423F">
        <w:rPr>
          <w:lang w:val="fr-FR"/>
        </w:rPr>
        <w:t>.</w:t>
      </w:r>
      <w:r>
        <w:rPr>
          <w:lang w:val="fr-FR"/>
        </w:rPr>
        <w:t xml:space="preserve"> Neuf répondants n’ont pas effectué de suivi et trois d’entre eux ont déclaré qu’ils ne disposaient d’aucune information sur cette question</w:t>
      </w:r>
      <w:r w:rsidR="00A3423F" w:rsidRPr="00A3423F">
        <w:rPr>
          <w:lang w:val="fr-FR"/>
        </w:rPr>
        <w:t>.</w:t>
      </w:r>
    </w:p>
    <w:p w14:paraId="1C9B524E" w14:textId="6643CB3D" w:rsidR="00C43B72" w:rsidRPr="00E15B31" w:rsidRDefault="00C43B72" w:rsidP="00C43B72">
      <w:pPr>
        <w:pStyle w:val="H1G"/>
        <w:rPr>
          <w:lang w:val="fr-FR"/>
        </w:rPr>
      </w:pPr>
      <w:r>
        <w:rPr>
          <w:lang w:val="fr-FR"/>
        </w:rPr>
        <w:tab/>
        <w:t>E</w:t>
      </w:r>
      <w:r w:rsidR="00A3423F" w:rsidRPr="00A3423F">
        <w:rPr>
          <w:lang w:val="fr-FR"/>
        </w:rPr>
        <w:t>.</w:t>
      </w:r>
      <w:r>
        <w:rPr>
          <w:lang w:val="fr-FR"/>
        </w:rPr>
        <w:tab/>
      </w:r>
      <w:r>
        <w:rPr>
          <w:lang w:val="fr-FR"/>
        </w:rPr>
        <w:tab/>
        <w:t>Pratiques en matière de traduction</w:t>
      </w:r>
    </w:p>
    <w:p w14:paraId="0DB13C81" w14:textId="2CF99BA5" w:rsidR="00C43B72" w:rsidRPr="00265B89" w:rsidRDefault="00C43B72" w:rsidP="00C43B72">
      <w:pPr>
        <w:pStyle w:val="SingleTxtG"/>
        <w:rPr>
          <w:lang w:val="fr-FR"/>
        </w:rPr>
      </w:pPr>
      <w:r>
        <w:rPr>
          <w:lang w:val="fr-FR"/>
        </w:rPr>
        <w:t>72</w:t>
      </w:r>
      <w:r w:rsidR="00A3423F" w:rsidRPr="00A3423F">
        <w:rPr>
          <w:lang w:val="fr-FR"/>
        </w:rPr>
        <w:t>.</w:t>
      </w:r>
      <w:r>
        <w:rPr>
          <w:lang w:val="fr-FR"/>
        </w:rPr>
        <w:tab/>
        <w:t>En ce qui concerne les difficultés rencontrées dans le cadre des procédures transfrontières, plus de la moitié des Parties (13 sur 22) n’ont pas rencontré de problèmes substantiels de traduction et d’interprétation (question II</w:t>
      </w:r>
      <w:r w:rsidR="00A3423F" w:rsidRPr="00A3423F">
        <w:rPr>
          <w:lang w:val="fr-FR"/>
        </w:rPr>
        <w:t>.</w:t>
      </w:r>
      <w:r>
        <w:rPr>
          <w:lang w:val="fr-FR"/>
        </w:rPr>
        <w:t>12 a) i))</w:t>
      </w:r>
      <w:r w:rsidR="00A3423F" w:rsidRPr="00A3423F">
        <w:rPr>
          <w:lang w:val="fr-FR"/>
        </w:rPr>
        <w:t>.</w:t>
      </w:r>
      <w:r>
        <w:rPr>
          <w:lang w:val="fr-FR"/>
        </w:rPr>
        <w:t xml:space="preserve"> Plusieurs Parties (9) fournissent des exemples concrets de leur expérience et/ou de leurs difficultés, notamment : le manque de temps et de ressources pour la traduction des documents ; des problèmes relatifs à la qualité des traductions ; le fait que seuls des résumés ou certaines parties des documents aient été traduits et non la totalité ; la nécessité de traduire les documents dans plusieurs langues ; et la traduction des documents en anglais et non dans la langue officielle d’une Partie touchée</w:t>
      </w:r>
      <w:r w:rsidR="00A3423F" w:rsidRPr="00A3423F">
        <w:rPr>
          <w:lang w:val="fr-FR"/>
        </w:rPr>
        <w:t>.</w:t>
      </w:r>
      <w:r>
        <w:rPr>
          <w:lang w:val="fr-FR"/>
        </w:rPr>
        <w:t xml:space="preserve"> Comme exemples d’expériences ou de solutions positives, les répondants indiquent qu’il est important que les points de contact de la Partie touchée et de la Partie d’origine coopèrent dès le début du processus (Finlande) ; que l’obligation de traduire les documents dans une langue officielle soit mentionnée dans la réponse à la notification, (Hongrie) ; et que les informations qui doivent être traduites par la Partie d’origine soient précisées (Pologne)</w:t>
      </w:r>
      <w:r w:rsidR="00A3423F" w:rsidRPr="00A3423F">
        <w:rPr>
          <w:lang w:val="fr-FR"/>
        </w:rPr>
        <w:t>.</w:t>
      </w:r>
    </w:p>
    <w:p w14:paraId="636AD3E3" w14:textId="3FE3A9CC" w:rsidR="00C43B72" w:rsidRPr="00265B89" w:rsidRDefault="00C43B72" w:rsidP="00C43B72">
      <w:pPr>
        <w:pStyle w:val="SingleTxtG"/>
        <w:rPr>
          <w:rFonts w:eastAsia="Times"/>
          <w:lang w:val="fr-FR"/>
        </w:rPr>
      </w:pPr>
      <w:bookmarkStart w:id="18" w:name="_Hlk18267288"/>
      <w:r>
        <w:rPr>
          <w:lang w:val="fr-FR"/>
        </w:rPr>
        <w:t>73</w:t>
      </w:r>
      <w:r w:rsidR="00A3423F" w:rsidRPr="00A3423F">
        <w:rPr>
          <w:lang w:val="fr-FR"/>
        </w:rPr>
        <w:t>.</w:t>
      </w:r>
      <w:r>
        <w:rPr>
          <w:lang w:val="fr-FR"/>
        </w:rPr>
        <w:tab/>
        <w:t>Plusieurs Parties (Autriche, Croatie, Finlande, Hongrie, Roumanie et Slovaquie) traduisent généralement l’intégralité du plan/programme et du rapport environnemental (question II</w:t>
      </w:r>
      <w:r w:rsidR="00A3423F" w:rsidRPr="00A3423F">
        <w:rPr>
          <w:lang w:val="fr-FR"/>
        </w:rPr>
        <w:t>.</w:t>
      </w:r>
      <w:r>
        <w:rPr>
          <w:lang w:val="fr-FR"/>
        </w:rPr>
        <w:t>12 b))</w:t>
      </w:r>
      <w:r w:rsidR="00A3423F" w:rsidRPr="00A3423F">
        <w:rPr>
          <w:lang w:val="fr-FR"/>
        </w:rPr>
        <w:t>.</w:t>
      </w:r>
      <w:r>
        <w:rPr>
          <w:lang w:val="fr-FR"/>
        </w:rPr>
        <w:t xml:space="preserve"> D’autres ne font traduire qu’une partie du plan ou du programme (ou sa description), les parties du rapport environnemental relatives aux effets transfrontières et/ou le résumé non technique</w:t>
      </w:r>
      <w:r w:rsidR="00A3423F" w:rsidRPr="00A3423F">
        <w:rPr>
          <w:lang w:val="fr-FR"/>
        </w:rPr>
        <w:t>.</w:t>
      </w:r>
      <w:r>
        <w:rPr>
          <w:lang w:val="fr-FR"/>
        </w:rPr>
        <w:t xml:space="preserve"> Certaines Parties établissent les documents en anglais, mais les Parties touchées demandent souvent qu’ils soient traduits dans leur(s) langue(s) nationale(s)</w:t>
      </w:r>
      <w:r w:rsidR="00A3423F" w:rsidRPr="00A3423F">
        <w:rPr>
          <w:lang w:val="fr-FR"/>
        </w:rPr>
        <w:t>.</w:t>
      </w:r>
      <w:bookmarkEnd w:id="18"/>
    </w:p>
    <w:p w14:paraId="144FA00E" w14:textId="3F9D349D" w:rsidR="00C43B72" w:rsidRPr="00E15B31" w:rsidRDefault="00C43B72" w:rsidP="00C43B72">
      <w:pPr>
        <w:pStyle w:val="H1G"/>
        <w:rPr>
          <w:lang w:val="fr-FR"/>
        </w:rPr>
      </w:pPr>
      <w:r>
        <w:rPr>
          <w:lang w:val="fr-FR"/>
        </w:rPr>
        <w:tab/>
        <w:t>F</w:t>
      </w:r>
      <w:r w:rsidR="00A3423F" w:rsidRPr="00A3423F">
        <w:rPr>
          <w:lang w:val="fr-FR"/>
        </w:rPr>
        <w:t>.</w:t>
      </w:r>
      <w:r>
        <w:rPr>
          <w:lang w:val="fr-FR"/>
        </w:rPr>
        <w:tab/>
      </w:r>
      <w:r>
        <w:rPr>
          <w:lang w:val="fr-FR"/>
        </w:rPr>
        <w:tab/>
        <w:t>Participation du public dans un contexte transfrontière</w:t>
      </w:r>
    </w:p>
    <w:p w14:paraId="4DBC04D7" w14:textId="03F3B0FA" w:rsidR="00C43B72" w:rsidRPr="00265B89" w:rsidRDefault="00C43B72" w:rsidP="00C43B72">
      <w:pPr>
        <w:pStyle w:val="SingleTxtG"/>
        <w:rPr>
          <w:rFonts w:eastAsia="Times"/>
          <w:lang w:val="fr-FR"/>
        </w:rPr>
      </w:pPr>
      <w:bookmarkStart w:id="19" w:name="_Hlk18267383"/>
      <w:r>
        <w:rPr>
          <w:lang w:val="fr-FR"/>
        </w:rPr>
        <w:t>74</w:t>
      </w:r>
      <w:r w:rsidR="00A3423F" w:rsidRPr="00A3423F">
        <w:rPr>
          <w:lang w:val="fr-FR"/>
        </w:rPr>
        <w:t>.</w:t>
      </w:r>
      <w:r>
        <w:rPr>
          <w:lang w:val="fr-FR"/>
        </w:rPr>
        <w:tab/>
        <w:t>La majorité des répondants (18) indiquent qu’ils ont mis sur pied des procédures transfrontières de participation du public en application de l’article 10</w:t>
      </w:r>
      <w:r w:rsidR="00A3423F" w:rsidRPr="00A3423F">
        <w:rPr>
          <w:lang w:val="fr-FR"/>
        </w:rPr>
        <w:t>.</w:t>
      </w:r>
      <w:r>
        <w:rPr>
          <w:lang w:val="fr-FR"/>
        </w:rPr>
        <w:t>4 (question II</w:t>
      </w:r>
      <w:r w:rsidR="00A3423F" w:rsidRPr="00A3423F">
        <w:rPr>
          <w:lang w:val="fr-FR"/>
        </w:rPr>
        <w:t>.</w:t>
      </w:r>
      <w:r>
        <w:rPr>
          <w:lang w:val="fr-FR"/>
        </w:rPr>
        <w:t>12 c)), en vertu duquel ils sont tenus de garantir la participation du public concerné et des autorités de la ou des Partie(s) touchée(s)</w:t>
      </w:r>
      <w:r w:rsidR="00A3423F" w:rsidRPr="00A3423F">
        <w:rPr>
          <w:lang w:val="fr-FR"/>
        </w:rPr>
        <w:t>.</w:t>
      </w:r>
      <w:r>
        <w:rPr>
          <w:lang w:val="fr-FR"/>
        </w:rPr>
        <w:t xml:space="preserve"> Certains répondants font savoir qu’ils adhèrent au principe selon lequel le public et les autorités de la Partie touchée devraient avoir, en premier lieu, les mêmes possibilités de participation que le public et les autorités de la Partie d’origine </w:t>
      </w:r>
      <w:r>
        <w:rPr>
          <w:lang w:val="fr-FR"/>
        </w:rPr>
        <w:lastRenderedPageBreak/>
        <w:t>(Autriche, Estonie et Pologne, par exemple) et, en second lieu, des possibilités de participation qui respectent toute disposition juridique nationale applicable</w:t>
      </w:r>
      <w:r w:rsidR="00A3423F" w:rsidRPr="00A3423F">
        <w:rPr>
          <w:lang w:val="fr-FR"/>
        </w:rPr>
        <w:t>.</w:t>
      </w:r>
      <w:r>
        <w:rPr>
          <w:lang w:val="fr-FR"/>
        </w:rPr>
        <w:t xml:space="preserve"> Les moyens les plus couramment utilisés par les répondants pour appliquer ce principe lorsqu’ils agissent en tant que Partie touchée sont notamment les suivants : informer le public et donner accès à l’information via les </w:t>
      </w:r>
      <w:proofErr w:type="spellStart"/>
      <w:r>
        <w:rPr>
          <w:lang w:val="fr-FR"/>
        </w:rPr>
        <w:t>médias</w:t>
      </w:r>
      <w:proofErr w:type="spellEnd"/>
      <w:r>
        <w:rPr>
          <w:lang w:val="fr-FR"/>
        </w:rPr>
        <w:t xml:space="preserve"> électroniques et/ou la presse écrite ; transmettre les renseignements aux autorités responsables de l’environnement et de la santé et mener des consultations avec elles ; et transmettre à la Partie d’origine les observations reçues de la part du public et des autorités</w:t>
      </w:r>
      <w:r w:rsidR="00A3423F" w:rsidRPr="00A3423F">
        <w:rPr>
          <w:lang w:val="fr-FR"/>
        </w:rPr>
        <w:t>.</w:t>
      </w:r>
      <w:r>
        <w:rPr>
          <w:lang w:val="fr-FR"/>
        </w:rPr>
        <w:t xml:space="preserve"> Certaines Parties peuvent également organiser des auditions publiques sur le territoire de la Partie touchée (par exemple, Danemark et Lettonie)</w:t>
      </w:r>
      <w:r w:rsidR="00A3423F" w:rsidRPr="00A3423F">
        <w:rPr>
          <w:lang w:val="fr-FR"/>
        </w:rPr>
        <w:t>.</w:t>
      </w:r>
    </w:p>
    <w:bookmarkEnd w:id="19"/>
    <w:p w14:paraId="41127815" w14:textId="5CE4B6C2" w:rsidR="00C43B72" w:rsidRPr="00E15B31" w:rsidRDefault="00C43B72" w:rsidP="00C43B72">
      <w:pPr>
        <w:pStyle w:val="SingleTxtG"/>
        <w:rPr>
          <w:rFonts w:eastAsia="Times"/>
          <w:lang w:val="fr-FR"/>
        </w:rPr>
      </w:pPr>
      <w:r>
        <w:rPr>
          <w:lang w:val="fr-FR"/>
        </w:rPr>
        <w:t>75</w:t>
      </w:r>
      <w:r w:rsidR="00A3423F" w:rsidRPr="00A3423F">
        <w:rPr>
          <w:lang w:val="fr-FR"/>
        </w:rPr>
        <w:t>.</w:t>
      </w:r>
      <w:r>
        <w:rPr>
          <w:lang w:val="fr-FR"/>
        </w:rPr>
        <w:tab/>
        <w:t>En réponse à la question II</w:t>
      </w:r>
      <w:r w:rsidR="00A3423F" w:rsidRPr="00A3423F">
        <w:rPr>
          <w:lang w:val="fr-FR"/>
        </w:rPr>
        <w:t>.</w:t>
      </w:r>
      <w:r>
        <w:rPr>
          <w:lang w:val="fr-FR"/>
        </w:rPr>
        <w:t>12 d), neuf répondants ont fait part de leur perception positive de la participation effective du public</w:t>
      </w:r>
      <w:r w:rsidR="00A3423F" w:rsidRPr="00A3423F">
        <w:rPr>
          <w:lang w:val="fr-FR"/>
        </w:rPr>
        <w:t>.</w:t>
      </w:r>
      <w:r>
        <w:rPr>
          <w:lang w:val="fr-FR"/>
        </w:rPr>
        <w:t xml:space="preserve"> Toutefois, les Parties indiquent que, dans de nombreux cas, l’intérêt du public pour les plans et/ou les programmes est plus faible que pour les projets, bien que le public soit plus actif lorsqu’un projet de plan/programme fixe le cadre d’une activité controversée</w:t>
      </w:r>
      <w:r w:rsidR="00A3423F" w:rsidRPr="00A3423F">
        <w:rPr>
          <w:lang w:val="fr-FR"/>
        </w:rPr>
        <w:t>.</w:t>
      </w:r>
      <w:r>
        <w:rPr>
          <w:lang w:val="fr-FR"/>
        </w:rPr>
        <w:t xml:space="preserve"> </w:t>
      </w:r>
    </w:p>
    <w:p w14:paraId="7C959E82" w14:textId="5DA2148B" w:rsidR="00C43B72" w:rsidRPr="00265B89" w:rsidRDefault="00C43B72" w:rsidP="00C43B72">
      <w:pPr>
        <w:pStyle w:val="SingleTxtG"/>
        <w:rPr>
          <w:rFonts w:eastAsia="Times"/>
          <w:color w:val="000000"/>
          <w:lang w:val="fr-FR"/>
        </w:rPr>
      </w:pPr>
      <w:r>
        <w:rPr>
          <w:lang w:val="fr-FR"/>
        </w:rPr>
        <w:t>76</w:t>
      </w:r>
      <w:r w:rsidR="00A3423F" w:rsidRPr="00A3423F">
        <w:rPr>
          <w:lang w:val="fr-FR"/>
        </w:rPr>
        <w:t>.</w:t>
      </w:r>
      <w:r>
        <w:rPr>
          <w:lang w:val="fr-FR"/>
        </w:rPr>
        <w:tab/>
        <w:t>Neuf répondants ont fait part de leur expérience en ce qui concerne l’organisation de procédures transfrontières d’évaluation stratégique environnementale dans le cadre de plans et de programmes communs transfrontières (Croatie, Danemark, Espagne, Hongrie, Lettonie, Pologne, Roumanie, Slovaquie et Tchéquie) (question II</w:t>
      </w:r>
      <w:r w:rsidR="00A3423F" w:rsidRPr="00A3423F">
        <w:rPr>
          <w:lang w:val="fr-FR"/>
        </w:rPr>
        <w:t>.</w:t>
      </w:r>
      <w:r>
        <w:rPr>
          <w:lang w:val="fr-FR"/>
        </w:rPr>
        <w:t>12 e))</w:t>
      </w:r>
      <w:r w:rsidR="00A3423F" w:rsidRPr="00A3423F">
        <w:rPr>
          <w:lang w:val="fr-FR"/>
        </w:rPr>
        <w:t>.</w:t>
      </w:r>
    </w:p>
    <w:p w14:paraId="12EEDC1D" w14:textId="11DBC023" w:rsidR="00C43B72" w:rsidRPr="00053FAF" w:rsidRDefault="00C43B72" w:rsidP="00C43B72">
      <w:pPr>
        <w:pStyle w:val="H1G"/>
        <w:rPr>
          <w:lang w:val="fr-FR"/>
        </w:rPr>
      </w:pPr>
      <w:r>
        <w:rPr>
          <w:lang w:val="fr-FR"/>
        </w:rPr>
        <w:tab/>
        <w:t>G</w:t>
      </w:r>
      <w:r w:rsidR="00A3423F" w:rsidRPr="00A3423F">
        <w:rPr>
          <w:lang w:val="fr-FR"/>
        </w:rPr>
        <w:t>.</w:t>
      </w:r>
      <w:r>
        <w:rPr>
          <w:lang w:val="fr-FR"/>
        </w:rPr>
        <w:tab/>
      </w:r>
      <w:r>
        <w:rPr>
          <w:lang w:val="fr-FR"/>
        </w:rPr>
        <w:tab/>
        <w:t>Études de cas</w:t>
      </w:r>
    </w:p>
    <w:p w14:paraId="707EF3D0" w14:textId="2F5FF54B" w:rsidR="00C43B72" w:rsidRPr="00265B89" w:rsidRDefault="00C43B72" w:rsidP="00C43B72">
      <w:pPr>
        <w:pStyle w:val="SingleTxtG"/>
        <w:rPr>
          <w:rFonts w:eastAsia="Times"/>
          <w:i/>
          <w:iCs/>
          <w:color w:val="000000"/>
          <w:lang w:val="fr-FR"/>
        </w:rPr>
      </w:pPr>
      <w:r>
        <w:rPr>
          <w:lang w:val="fr-FR"/>
        </w:rPr>
        <w:t>77</w:t>
      </w:r>
      <w:r w:rsidR="00A3423F" w:rsidRPr="00A3423F">
        <w:rPr>
          <w:lang w:val="fr-FR"/>
        </w:rPr>
        <w:t>.</w:t>
      </w:r>
      <w:r>
        <w:rPr>
          <w:lang w:val="fr-FR"/>
        </w:rPr>
        <w:tab/>
        <w:t>Dix répondants se fondent sur l’annexe III pour donner des exemples de ce qu’ils considèrent comme des bonnes pratiques de mise en œuvre de l’évaluation stratégique environnementale au niveau national (Albanie, Arménie, Croatie, Malte et Pologne) et/ou dans un contexte transfrontière (Danemark, Espagne, Estonie, Monténégro et Roumanie)</w:t>
      </w:r>
      <w:r w:rsidR="00A3423F" w:rsidRPr="00A3423F">
        <w:rPr>
          <w:lang w:val="fr-FR"/>
        </w:rPr>
        <w:t>.</w:t>
      </w:r>
      <w:r>
        <w:rPr>
          <w:lang w:val="fr-FR"/>
        </w:rPr>
        <w:t xml:space="preserve"> La plupart des répondants décrivent une procédure nationale d’évaluation stratégique environnementale dans les secteurs suivants : tourisme (Albanie), aménagement des villes et du territoire (Arménie), développement régional (Croatie), gestion des déchets (Malte) et gestion de l’eau (Pologne)</w:t>
      </w:r>
      <w:r w:rsidR="00A3423F" w:rsidRPr="00A3423F">
        <w:rPr>
          <w:lang w:val="fr-FR"/>
        </w:rPr>
        <w:t>.</w:t>
      </w:r>
      <w:r>
        <w:rPr>
          <w:lang w:val="fr-FR"/>
        </w:rPr>
        <w:t xml:space="preserve"> Le Monténégro décrit les procédures nationales et transfrontières dans les secteurs de l’énergie et de l’aménagement des villes et du territoire, tandis que l’Estonie et la Roumanie partagent leurs expériences de consultations transfrontières pour un plan de planification de l’espace marin et le secteur de l’énergie, respectivement</w:t>
      </w:r>
      <w:r w:rsidR="00A3423F" w:rsidRPr="00A3423F">
        <w:rPr>
          <w:lang w:val="fr-FR"/>
        </w:rPr>
        <w:t>.</w:t>
      </w:r>
      <w:r>
        <w:rPr>
          <w:lang w:val="fr-FR"/>
        </w:rPr>
        <w:t xml:space="preserve"> Certains répondants soulignent des éléments précis qu’ils considèrent comme des bonnes pratiques, tels que l’utilisation d’outils électroniques pour la participation du public (plan de planification de l’espace marin, Danemark) et les accords bilatéraux (plans de gestion des risques hydrologiques et des inondations, Espagne)</w:t>
      </w:r>
      <w:r w:rsidR="00A3423F" w:rsidRPr="00A3423F">
        <w:rPr>
          <w:lang w:val="fr-FR"/>
        </w:rPr>
        <w:t>.</w:t>
      </w:r>
    </w:p>
    <w:p w14:paraId="515C6401" w14:textId="576DC3F6" w:rsidR="00C43B72" w:rsidRPr="00E15B31" w:rsidRDefault="00C43B72" w:rsidP="00C43B72">
      <w:pPr>
        <w:pStyle w:val="H1G"/>
        <w:rPr>
          <w:lang w:val="fr-FR"/>
        </w:rPr>
      </w:pPr>
      <w:r>
        <w:rPr>
          <w:lang w:val="fr-FR"/>
        </w:rPr>
        <w:tab/>
        <w:t>H</w:t>
      </w:r>
      <w:r w:rsidR="00A3423F" w:rsidRPr="00A3423F">
        <w:rPr>
          <w:lang w:val="fr-FR"/>
        </w:rPr>
        <w:t>.</w:t>
      </w:r>
      <w:r>
        <w:rPr>
          <w:lang w:val="fr-FR"/>
        </w:rPr>
        <w:tab/>
      </w:r>
      <w:r>
        <w:rPr>
          <w:lang w:val="fr-FR"/>
        </w:rPr>
        <w:tab/>
        <w:t>Expérience en matière d’orientation et de conseils</w:t>
      </w:r>
      <w:bookmarkStart w:id="20" w:name="_Toc14170027"/>
      <w:bookmarkEnd w:id="20"/>
    </w:p>
    <w:p w14:paraId="60755480" w14:textId="0A2F35BD" w:rsidR="00C43B72" w:rsidRPr="00E15B31" w:rsidRDefault="00C43B72" w:rsidP="00C43B72">
      <w:pPr>
        <w:pStyle w:val="SingleTxtG"/>
        <w:rPr>
          <w:rFonts w:eastAsia="Times"/>
          <w:lang w:val="fr-FR"/>
        </w:rPr>
      </w:pPr>
      <w:r>
        <w:rPr>
          <w:lang w:val="fr-FR"/>
        </w:rPr>
        <w:t>78</w:t>
      </w:r>
      <w:r w:rsidR="00A3423F" w:rsidRPr="00A3423F">
        <w:rPr>
          <w:lang w:val="fr-FR"/>
        </w:rPr>
        <w:t>.</w:t>
      </w:r>
      <w:r>
        <w:rPr>
          <w:lang w:val="fr-FR"/>
        </w:rPr>
        <w:tab/>
        <w:t xml:space="preserve">Treize répondants ont utilisé les </w:t>
      </w:r>
      <w:r>
        <w:rPr>
          <w:i/>
          <w:iCs/>
          <w:lang w:val="fr-FR"/>
        </w:rPr>
        <w:t>Recommandations sur les bonnes pratiques relatives à la participation du public aux évaluations stratégiques environnementales</w:t>
      </w:r>
      <w:r w:rsidRPr="006846DA">
        <w:rPr>
          <w:rStyle w:val="Appelnotedebasdep"/>
        </w:rPr>
        <w:footnoteReference w:id="7"/>
      </w:r>
      <w:r>
        <w:rPr>
          <w:lang w:val="fr-FR"/>
        </w:rPr>
        <w:t xml:space="preserve"> (question II</w:t>
      </w:r>
      <w:r w:rsidR="00A3423F" w:rsidRPr="00A3423F">
        <w:rPr>
          <w:lang w:val="fr-FR"/>
        </w:rPr>
        <w:t>.</w:t>
      </w:r>
      <w:r>
        <w:rPr>
          <w:lang w:val="fr-FR"/>
        </w:rPr>
        <w:t>13)</w:t>
      </w:r>
      <w:r w:rsidR="00A3423F" w:rsidRPr="00A3423F">
        <w:rPr>
          <w:lang w:val="fr-FR"/>
        </w:rPr>
        <w:t>.</w:t>
      </w:r>
      <w:r>
        <w:rPr>
          <w:lang w:val="fr-FR"/>
        </w:rPr>
        <w:t xml:space="preserve"> Cinq répondants indiquent qu’ils n’ont pas utilisé ces orientations parce qu’ils ignoraient leur existence</w:t>
      </w:r>
      <w:r w:rsidR="00A3423F" w:rsidRPr="00A3423F">
        <w:rPr>
          <w:lang w:val="fr-FR"/>
        </w:rPr>
        <w:t>.</w:t>
      </w:r>
      <w:r>
        <w:rPr>
          <w:lang w:val="fr-FR"/>
        </w:rPr>
        <w:t xml:space="preserve"> Certaines Parties déclarent utiliser des directives nationales (Finlande) ou les directives et recommandations de la Commission européenne (Luxembourg)</w:t>
      </w:r>
      <w:r w:rsidR="00A3423F" w:rsidRPr="00A3423F">
        <w:rPr>
          <w:lang w:val="fr-FR"/>
        </w:rPr>
        <w:t>.</w:t>
      </w:r>
    </w:p>
    <w:p w14:paraId="1037A00C" w14:textId="17EB9601" w:rsidR="00C43B72" w:rsidRPr="00E15B31" w:rsidRDefault="00C43B72" w:rsidP="00C43B72">
      <w:pPr>
        <w:pStyle w:val="SingleTxtG"/>
        <w:rPr>
          <w:rFonts w:eastAsia="Times"/>
          <w:lang w:val="fr-FR"/>
        </w:rPr>
      </w:pPr>
      <w:r>
        <w:rPr>
          <w:lang w:val="fr-FR"/>
        </w:rPr>
        <w:t>79</w:t>
      </w:r>
      <w:r w:rsidR="00A3423F" w:rsidRPr="00A3423F">
        <w:rPr>
          <w:lang w:val="fr-FR"/>
        </w:rPr>
        <w:t>.</w:t>
      </w:r>
      <w:r>
        <w:rPr>
          <w:lang w:val="fr-FR"/>
        </w:rPr>
        <w:tab/>
        <w:t xml:space="preserve">Quatorze répondants ont utilisé le </w:t>
      </w:r>
      <w:r>
        <w:rPr>
          <w:i/>
          <w:iCs/>
          <w:lang w:val="fr-FR"/>
        </w:rPr>
        <w:t xml:space="preserve">Resource Manual to Support Application of the Protocol on Strategic </w:t>
      </w:r>
      <w:proofErr w:type="spellStart"/>
      <w:r>
        <w:rPr>
          <w:i/>
          <w:iCs/>
          <w:lang w:val="fr-FR"/>
        </w:rPr>
        <w:t>Environmental</w:t>
      </w:r>
      <w:proofErr w:type="spellEnd"/>
      <w:r>
        <w:rPr>
          <w:i/>
          <w:iCs/>
          <w:lang w:val="fr-FR"/>
        </w:rPr>
        <w:t xml:space="preserve"> </w:t>
      </w:r>
      <w:proofErr w:type="spellStart"/>
      <w:r>
        <w:rPr>
          <w:i/>
          <w:iCs/>
          <w:lang w:val="fr-FR"/>
        </w:rPr>
        <w:t>Assessment</w:t>
      </w:r>
      <w:proofErr w:type="spellEnd"/>
      <w:r w:rsidRPr="006846DA">
        <w:rPr>
          <w:rStyle w:val="Appelnotedebasdep"/>
        </w:rPr>
        <w:footnoteReference w:id="8"/>
      </w:r>
      <w:r>
        <w:rPr>
          <w:i/>
          <w:iCs/>
          <w:lang w:val="fr-FR"/>
        </w:rPr>
        <w:t xml:space="preserve"> </w:t>
      </w:r>
      <w:r w:rsidRPr="006E7A7E">
        <w:rPr>
          <w:lang w:val="fr-FR"/>
        </w:rPr>
        <w:t>(</w:t>
      </w:r>
      <w:r>
        <w:rPr>
          <w:lang w:val="fr-FR"/>
        </w:rPr>
        <w:t>manuel de ressources à l’appui de l’application du Protocole relatif à l’évaluation stratégique environnementale), tandis que six répondants déclarent ne pas avoir connaissance de ce manuel</w:t>
      </w:r>
      <w:r w:rsidR="00A3423F" w:rsidRPr="00A3423F">
        <w:rPr>
          <w:lang w:val="fr-FR"/>
        </w:rPr>
        <w:t>.</w:t>
      </w:r>
      <w:r>
        <w:rPr>
          <w:lang w:val="fr-FR"/>
        </w:rPr>
        <w:t xml:space="preserve"> La Pologne note que les questions liées à la traduction et à la participation du public sont expliquées très clairement et que, dans ces domaines, le manuel est très utile, mais elle recommande d’y inclure des informations plus complètes sur le suivi</w:t>
      </w:r>
      <w:r w:rsidR="00A3423F" w:rsidRPr="00A3423F">
        <w:rPr>
          <w:lang w:val="fr-FR"/>
        </w:rPr>
        <w:t>.</w:t>
      </w:r>
    </w:p>
    <w:p w14:paraId="4103B544" w14:textId="7A7EF9D6" w:rsidR="00C43B72" w:rsidRPr="00E15B31" w:rsidRDefault="00C43B72" w:rsidP="00C43B72">
      <w:pPr>
        <w:pStyle w:val="H1G"/>
        <w:rPr>
          <w:lang w:val="fr-FR"/>
        </w:rPr>
      </w:pPr>
      <w:r>
        <w:rPr>
          <w:lang w:val="fr-FR"/>
        </w:rPr>
        <w:lastRenderedPageBreak/>
        <w:tab/>
        <w:t>I</w:t>
      </w:r>
      <w:r w:rsidR="00A3423F" w:rsidRPr="00A3423F">
        <w:rPr>
          <w:lang w:val="fr-FR"/>
        </w:rPr>
        <w:t>.</w:t>
      </w:r>
      <w:r>
        <w:rPr>
          <w:lang w:val="fr-FR"/>
        </w:rPr>
        <w:tab/>
      </w:r>
      <w:r>
        <w:rPr>
          <w:lang w:val="fr-FR"/>
        </w:rPr>
        <w:tab/>
        <w:t>Contributions au financement de l’exécution des plans de travail</w:t>
      </w:r>
    </w:p>
    <w:p w14:paraId="464DC16D" w14:textId="0C4C396A" w:rsidR="00C43B72" w:rsidRPr="00E15B31" w:rsidRDefault="00C43B72" w:rsidP="00C43B72">
      <w:pPr>
        <w:pStyle w:val="SingleTxtG"/>
        <w:rPr>
          <w:rFonts w:eastAsia="Times"/>
          <w:i/>
          <w:iCs/>
          <w:lang w:val="fr-FR"/>
        </w:rPr>
      </w:pPr>
      <w:r>
        <w:rPr>
          <w:lang w:val="fr-FR"/>
        </w:rPr>
        <w:t>80</w:t>
      </w:r>
      <w:r w:rsidR="00A3423F" w:rsidRPr="00A3423F">
        <w:rPr>
          <w:lang w:val="fr-FR"/>
        </w:rPr>
        <w:t>.</w:t>
      </w:r>
      <w:r>
        <w:rPr>
          <w:lang w:val="fr-FR"/>
        </w:rPr>
        <w:tab/>
        <w:t>Pour des informations sur les contributions au financement de l’exécution des plans de travail, voir le septième examen de l’application de la Convention sur l’évaluation de l’impact sur l’environnement dans un contexte transfrontière (ECE/MP</w:t>
      </w:r>
      <w:r w:rsidR="00A3423F" w:rsidRPr="00A3423F">
        <w:rPr>
          <w:lang w:val="fr-FR"/>
        </w:rPr>
        <w:t>.</w:t>
      </w:r>
      <w:r>
        <w:rPr>
          <w:lang w:val="fr-FR"/>
        </w:rPr>
        <w:t>EIA/WG</w:t>
      </w:r>
      <w:r w:rsidR="00A3423F" w:rsidRPr="00A3423F">
        <w:rPr>
          <w:lang w:val="fr-FR"/>
        </w:rPr>
        <w:t>.</w:t>
      </w:r>
      <w:r>
        <w:rPr>
          <w:lang w:val="fr-FR"/>
        </w:rPr>
        <w:t>2/2022/3, par</w:t>
      </w:r>
      <w:r w:rsidR="00A3423F" w:rsidRPr="00A3423F">
        <w:rPr>
          <w:lang w:val="fr-FR"/>
        </w:rPr>
        <w:t>.</w:t>
      </w:r>
      <w:r>
        <w:rPr>
          <w:lang w:val="fr-FR"/>
        </w:rPr>
        <w:t> 82 et 83)</w:t>
      </w:r>
      <w:r w:rsidR="00A3423F" w:rsidRPr="00A3423F">
        <w:rPr>
          <w:lang w:val="fr-FR"/>
        </w:rPr>
        <w:t>.</w:t>
      </w:r>
    </w:p>
    <w:p w14:paraId="300256A1" w14:textId="2783B884" w:rsidR="00C43B72" w:rsidRPr="00E15B31" w:rsidRDefault="00C43B72" w:rsidP="00C43B72">
      <w:pPr>
        <w:pStyle w:val="HChG"/>
        <w:rPr>
          <w:lang w:val="fr-FR"/>
        </w:rPr>
      </w:pPr>
      <w:r>
        <w:rPr>
          <w:lang w:val="fr-FR"/>
        </w:rPr>
        <w:tab/>
        <w:t>IV</w:t>
      </w:r>
      <w:r w:rsidR="00A3423F" w:rsidRPr="00A3423F">
        <w:rPr>
          <w:lang w:val="fr-FR"/>
        </w:rPr>
        <w:t>.</w:t>
      </w:r>
      <w:r>
        <w:rPr>
          <w:lang w:val="fr-FR"/>
        </w:rPr>
        <w:tab/>
      </w:r>
      <w:r>
        <w:rPr>
          <w:lang w:val="fr-FR"/>
        </w:rPr>
        <w:tab/>
        <w:t>Conclusions</w:t>
      </w:r>
    </w:p>
    <w:p w14:paraId="64C224C5" w14:textId="4D02EA3D" w:rsidR="00C43B72" w:rsidRPr="00E15B31" w:rsidRDefault="00C43B72" w:rsidP="00C43B72">
      <w:pPr>
        <w:pStyle w:val="SingleTxtG"/>
        <w:keepNext/>
        <w:rPr>
          <w:rFonts w:eastAsia="Times"/>
          <w:lang w:val="fr-FR"/>
        </w:rPr>
      </w:pPr>
      <w:r>
        <w:rPr>
          <w:lang w:val="fr-FR"/>
        </w:rPr>
        <w:t>81</w:t>
      </w:r>
      <w:r w:rsidR="00A3423F" w:rsidRPr="00A3423F">
        <w:rPr>
          <w:lang w:val="fr-FR"/>
        </w:rPr>
        <w:t>.</w:t>
      </w:r>
      <w:r>
        <w:rPr>
          <w:lang w:val="fr-FR"/>
        </w:rPr>
        <w:tab/>
        <w:t>L’analyse des rapports nationaux sur l’application du Protocole par les Parties au cours de la période 2019-2021 confirme la plupart des conclusions formulées lors du troisième examen de l’application du Protocole relatif à l’évaluation stratégique environnementale (2016-2018)</w:t>
      </w:r>
      <w:r w:rsidRPr="006846DA">
        <w:rPr>
          <w:rStyle w:val="Appelnotedebasdep"/>
        </w:rPr>
        <w:footnoteReference w:id="9"/>
      </w:r>
      <w:r>
        <w:rPr>
          <w:lang w:val="fr-FR"/>
        </w:rPr>
        <w:t xml:space="preserve"> et ces conclusions devraient être répétées par la Réunion des Parties au Protocole à sa cinquième session (Genève, 12-15 décembre 2023)</w:t>
      </w:r>
      <w:r w:rsidRPr="006846DA">
        <w:rPr>
          <w:rStyle w:val="Appelnotedebasdep"/>
        </w:rPr>
        <w:footnoteReference w:id="10"/>
      </w:r>
      <w:r w:rsidR="00A3423F" w:rsidRPr="00A3423F">
        <w:rPr>
          <w:lang w:val="fr-FR"/>
        </w:rPr>
        <w:t>.</w:t>
      </w:r>
      <w:r>
        <w:rPr>
          <w:lang w:val="fr-FR"/>
        </w:rPr>
        <w:t xml:space="preserve"> Les principales conclusions complémentaires tirées du quatrième examen sont les suivantes :</w:t>
      </w:r>
      <w:bookmarkStart w:id="21" w:name="_Hlk18410911"/>
    </w:p>
    <w:bookmarkEnd w:id="21"/>
    <w:p w14:paraId="070981F2" w14:textId="3BEC2B87" w:rsidR="00C43B72" w:rsidRPr="00265B89" w:rsidRDefault="00C43B72" w:rsidP="00C43B72">
      <w:pPr>
        <w:pStyle w:val="SingleTxtG"/>
        <w:ind w:firstLine="567"/>
        <w:rPr>
          <w:lang w:val="fr-FR"/>
        </w:rPr>
      </w:pPr>
      <w:r>
        <w:rPr>
          <w:lang w:val="fr-FR"/>
        </w:rPr>
        <w:t>a)</w:t>
      </w:r>
      <w:r>
        <w:rPr>
          <w:lang w:val="fr-FR"/>
        </w:rPr>
        <w:tab/>
        <w:t>Seule la moitié environ des Parties ont soumis leurs réponses dans les délais et un nombre croissant de Parties n’ont pas renvoyé leur questionnaire rempli dans les deux mois qui ont suivi la date limite de soumission (au moment de la rédaction du présent rapport, 22 Parties avaient renvoyé le questionnaire dûment rempli, par rapport à 30 lors de l’examen précédent)</w:t>
      </w:r>
      <w:r w:rsidR="00A3423F" w:rsidRPr="00A3423F">
        <w:rPr>
          <w:lang w:val="fr-FR"/>
        </w:rPr>
        <w:t>.</w:t>
      </w:r>
      <w:r>
        <w:rPr>
          <w:lang w:val="fr-FR"/>
        </w:rPr>
        <w:t xml:space="preserve"> Le fait que les Parties ne se soient pas acquittées de leur obligation de faire rapport (en application de l’article 14</w:t>
      </w:r>
      <w:r w:rsidR="00A3423F" w:rsidRPr="00A3423F">
        <w:rPr>
          <w:lang w:val="fr-FR"/>
        </w:rPr>
        <w:t>.</w:t>
      </w:r>
      <w:r>
        <w:rPr>
          <w:lang w:val="fr-FR"/>
        </w:rPr>
        <w:t xml:space="preserve">7) en temps voulu a compliqué le processus d’examen ; </w:t>
      </w:r>
    </w:p>
    <w:p w14:paraId="12CAD55E" w14:textId="77777777" w:rsidR="00C43B72" w:rsidRPr="00265B89" w:rsidRDefault="00C43B72" w:rsidP="00C43B72">
      <w:pPr>
        <w:pStyle w:val="SingleTxtG"/>
        <w:ind w:firstLine="567"/>
        <w:rPr>
          <w:lang w:val="fr-FR"/>
        </w:rPr>
      </w:pPr>
      <w:r>
        <w:rPr>
          <w:lang w:val="fr-FR"/>
        </w:rPr>
        <w:t>b)</w:t>
      </w:r>
      <w:r>
        <w:rPr>
          <w:lang w:val="fr-FR"/>
        </w:rPr>
        <w:tab/>
        <w:t>L’absence de registre central ou d’une base de données regroupant les procédures nationales d’évaluation stratégique environnementale dans de nombreuses Parties a compliqué et rendu imprécises les informations relatives au nombre de procédures appliquées pendant la période sur laquelle l’enquête portait ;</w:t>
      </w:r>
    </w:p>
    <w:p w14:paraId="0A683053" w14:textId="5D350CD0" w:rsidR="00C43B72" w:rsidRPr="00265B89" w:rsidRDefault="00C43B72" w:rsidP="00C43B72">
      <w:pPr>
        <w:pStyle w:val="SingleTxtG"/>
        <w:ind w:firstLine="567"/>
        <w:rPr>
          <w:lang w:val="fr-FR"/>
        </w:rPr>
      </w:pPr>
      <w:r>
        <w:rPr>
          <w:lang w:val="fr-FR"/>
        </w:rPr>
        <w:t>c)</w:t>
      </w:r>
      <w:r>
        <w:rPr>
          <w:lang w:val="fr-FR"/>
        </w:rPr>
        <w:tab/>
        <w:t>Les Parties ont décrit un large éventail de pratiques et d’expériences concernant l’application du Protocole, et les informations recueillies pourraient être utilisées pour élaborer des documents destinés à renforcer l’application</w:t>
      </w:r>
      <w:r w:rsidR="00A3423F" w:rsidRPr="00A3423F">
        <w:rPr>
          <w:lang w:val="fr-FR"/>
        </w:rPr>
        <w:t>.</w:t>
      </w:r>
      <w:r>
        <w:rPr>
          <w:lang w:val="fr-FR"/>
        </w:rPr>
        <w:t xml:space="preserve"> Dix parties fournissent des exemples de ce qu’elles considèrent comme de bonnes pratiques en matière d’application ;</w:t>
      </w:r>
    </w:p>
    <w:p w14:paraId="5A1283F8" w14:textId="537C4E7F" w:rsidR="00C43B72" w:rsidRPr="00265B89" w:rsidRDefault="00C43B72" w:rsidP="00C43B72">
      <w:pPr>
        <w:pStyle w:val="SingleTxtG"/>
        <w:ind w:firstLine="567"/>
        <w:rPr>
          <w:lang w:val="fr-FR"/>
        </w:rPr>
      </w:pPr>
      <w:r>
        <w:rPr>
          <w:lang w:val="fr-FR"/>
        </w:rPr>
        <w:t>d)</w:t>
      </w:r>
      <w:r>
        <w:rPr>
          <w:lang w:val="fr-FR"/>
        </w:rPr>
        <w:tab/>
        <w:t>Certaines Parties se sont familiarisées avec les technologies électroniques utilisées pour mener à distance des activités de consultation et de collaboration pendant la pandémie de coronavirus (COVID-19)</w:t>
      </w:r>
      <w:r w:rsidR="00A3423F" w:rsidRPr="00A3423F">
        <w:rPr>
          <w:lang w:val="fr-FR"/>
        </w:rPr>
        <w:t>.</w:t>
      </w:r>
      <w:r>
        <w:rPr>
          <w:lang w:val="fr-FR"/>
        </w:rPr>
        <w:t xml:space="preserve"> En mettant à profit les enseignements tirés de l’utilisation des technologies de communication à distance et les bonnes pratiques en la matière, il serait possible de promouvoir des pratiques de consultation et de participation efficaces et efficientes ;</w:t>
      </w:r>
    </w:p>
    <w:p w14:paraId="135D9431" w14:textId="2F04F2EF" w:rsidR="00C43B72" w:rsidRPr="00E15B31" w:rsidRDefault="00C43B72" w:rsidP="00C43B72">
      <w:pPr>
        <w:pStyle w:val="SingleTxtG"/>
        <w:ind w:firstLine="567"/>
        <w:rPr>
          <w:lang w:val="fr-FR"/>
        </w:rPr>
      </w:pPr>
      <w:r>
        <w:rPr>
          <w:lang w:val="fr-FR"/>
        </w:rPr>
        <w:t>e)</w:t>
      </w:r>
      <w:r>
        <w:rPr>
          <w:lang w:val="fr-FR"/>
        </w:rPr>
        <w:tab/>
        <w:t>La diversité des méthodes de suivi utilisées pour appliquer les dispositions de l’article 12 du Protocole entraîne des différences en ce qui concerne la portée du suivi, sa durée et l’utilisation d’indicateurs</w:t>
      </w:r>
      <w:r w:rsidR="00A3423F" w:rsidRPr="00A3423F">
        <w:rPr>
          <w:lang w:val="fr-FR"/>
        </w:rPr>
        <w:t>.</w:t>
      </w:r>
      <w:r>
        <w:rPr>
          <w:lang w:val="fr-FR"/>
        </w:rPr>
        <w:t xml:space="preserve"> Il est recommandé, d’une part, de veiller à ce que la collecte de données sur les bonnes pratiques et le partage de ces données se poursuivent et, d’autre part, d’élaborer des recommandations relatives aux bonnes pratiques</w:t>
      </w:r>
      <w:r w:rsidR="00A3423F" w:rsidRPr="00A3423F">
        <w:rPr>
          <w:lang w:val="fr-FR"/>
        </w:rPr>
        <w:t>.</w:t>
      </w:r>
    </w:p>
    <w:p w14:paraId="4C032DAE" w14:textId="15395B12" w:rsidR="00D902EB" w:rsidRDefault="00A3423F" w:rsidP="00C43B72">
      <w:pPr>
        <w:pStyle w:val="SingleTxtG"/>
      </w:pPr>
      <w:r>
        <w:rPr>
          <w:lang w:val="fr-FR"/>
        </w:rPr>
        <w:tab/>
      </w:r>
      <w:r w:rsidR="00C43B72">
        <w:rPr>
          <w:lang w:val="fr-FR"/>
        </w:rPr>
        <w:t>f)</w:t>
      </w:r>
      <w:r w:rsidR="00C43B72">
        <w:rPr>
          <w:lang w:val="fr-FR"/>
        </w:rPr>
        <w:tab/>
        <w:t xml:space="preserve">Un certain nombre de Parties utilisent le </w:t>
      </w:r>
      <w:r w:rsidR="00C43B72">
        <w:rPr>
          <w:i/>
          <w:iCs/>
          <w:lang w:val="fr-FR"/>
        </w:rPr>
        <w:t xml:space="preserve">Resource Manual to Support Application of the UNECE Protocol on Strategic </w:t>
      </w:r>
      <w:proofErr w:type="spellStart"/>
      <w:r w:rsidR="00C43B72">
        <w:rPr>
          <w:i/>
          <w:iCs/>
          <w:lang w:val="fr-FR"/>
        </w:rPr>
        <w:t>Environmental</w:t>
      </w:r>
      <w:proofErr w:type="spellEnd"/>
      <w:r w:rsidR="00C43B72">
        <w:rPr>
          <w:i/>
          <w:iCs/>
          <w:lang w:val="fr-FR"/>
        </w:rPr>
        <w:t xml:space="preserve"> </w:t>
      </w:r>
      <w:proofErr w:type="spellStart"/>
      <w:r w:rsidR="00C43B72">
        <w:rPr>
          <w:i/>
          <w:iCs/>
          <w:lang w:val="fr-FR"/>
        </w:rPr>
        <w:t>Assessment</w:t>
      </w:r>
      <w:proofErr w:type="spellEnd"/>
      <w:r w:rsidR="00C43B72">
        <w:rPr>
          <w:lang w:val="fr-FR"/>
        </w:rPr>
        <w:t xml:space="preserve"> (manuel pratique destiné à appuyer l’application du Protocole relatif à l’évaluation stratégique environnementale) et les </w:t>
      </w:r>
      <w:r w:rsidR="00C43B72">
        <w:rPr>
          <w:i/>
          <w:iCs/>
          <w:lang w:val="fr-FR"/>
        </w:rPr>
        <w:t>Recommandations sur les bonnes pratiques relatives à la participation du public aux évaluations stratégiques environnementales</w:t>
      </w:r>
      <w:r w:rsidR="00C43B72">
        <w:rPr>
          <w:lang w:val="fr-FR"/>
        </w:rPr>
        <w:t>, mais plusieurs Parties ont indiqué qu’elles n’utilisaient pas ces documents car elles en ignoraient l’existence</w:t>
      </w:r>
      <w:r w:rsidRPr="00A3423F">
        <w:rPr>
          <w:lang w:val="fr-FR"/>
        </w:rPr>
        <w:t>.</w:t>
      </w:r>
      <w:r w:rsidR="00C43B72">
        <w:rPr>
          <w:lang w:val="fr-FR"/>
        </w:rPr>
        <w:t xml:space="preserve"> Il convient de continuer d’améliorer la diffusion des documents d’orientation et d’en promouvoir l’utilisation</w:t>
      </w:r>
      <w:r w:rsidRPr="00A3423F">
        <w:rPr>
          <w:lang w:val="fr-FR"/>
        </w:rPr>
        <w:t>.</w:t>
      </w:r>
    </w:p>
    <w:p w14:paraId="4A533E2A" w14:textId="3CC89DB1" w:rsidR="00C43B72" w:rsidRPr="00C43B72" w:rsidRDefault="00C43B72" w:rsidP="00C43B72">
      <w:pPr>
        <w:pStyle w:val="SingleTxtG"/>
        <w:spacing w:before="240" w:after="0"/>
        <w:jc w:val="center"/>
        <w:rPr>
          <w:u w:val="single"/>
        </w:rPr>
      </w:pPr>
      <w:r>
        <w:rPr>
          <w:u w:val="single"/>
        </w:rPr>
        <w:tab/>
      </w:r>
      <w:r>
        <w:rPr>
          <w:u w:val="single"/>
        </w:rPr>
        <w:tab/>
      </w:r>
      <w:r>
        <w:rPr>
          <w:u w:val="single"/>
        </w:rPr>
        <w:tab/>
      </w:r>
    </w:p>
    <w:sectPr w:rsidR="00C43B72" w:rsidRPr="00C43B72" w:rsidSect="00C43B72">
      <w:headerReference w:type="even" r:id="rId48"/>
      <w:headerReference w:type="default" r:id="rId49"/>
      <w:footerReference w:type="even" r:id="rId50"/>
      <w:footerReference w:type="default" r:id="rId51"/>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C735" w14:textId="77777777" w:rsidR="00381873" w:rsidRDefault="00381873" w:rsidP="00F95C08">
      <w:pPr>
        <w:spacing w:line="240" w:lineRule="auto"/>
      </w:pPr>
    </w:p>
  </w:endnote>
  <w:endnote w:type="continuationSeparator" w:id="0">
    <w:p w14:paraId="3BFA3AB3" w14:textId="77777777" w:rsidR="00381873" w:rsidRPr="00AC3823" w:rsidRDefault="00381873" w:rsidP="00AC3823">
      <w:pPr>
        <w:pStyle w:val="Pieddepage"/>
      </w:pPr>
    </w:p>
  </w:endnote>
  <w:endnote w:type="continuationNotice" w:id="1">
    <w:p w14:paraId="772A6B9A" w14:textId="77777777" w:rsidR="00381873" w:rsidRDefault="003818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A31" w14:textId="3645F801" w:rsidR="00D902EB" w:rsidRPr="00D902EB" w:rsidRDefault="00D902EB" w:rsidP="00D902EB">
    <w:pPr>
      <w:pStyle w:val="Pieddepage"/>
      <w:tabs>
        <w:tab w:val="right" w:pos="9638"/>
      </w:tabs>
    </w:pPr>
    <w:r w:rsidRPr="00D902EB">
      <w:rPr>
        <w:b/>
        <w:sz w:val="18"/>
      </w:rPr>
      <w:fldChar w:fldCharType="begin"/>
    </w:r>
    <w:r w:rsidRPr="00D902EB">
      <w:rPr>
        <w:b/>
        <w:sz w:val="18"/>
      </w:rPr>
      <w:instrText xml:space="preserve"> PAGE  \* MERGEFORMAT </w:instrText>
    </w:r>
    <w:r w:rsidRPr="00D902EB">
      <w:rPr>
        <w:b/>
        <w:sz w:val="18"/>
      </w:rPr>
      <w:fldChar w:fldCharType="separate"/>
    </w:r>
    <w:r w:rsidRPr="00D902EB">
      <w:rPr>
        <w:b/>
        <w:noProof/>
        <w:sz w:val="18"/>
      </w:rPr>
      <w:t>2</w:t>
    </w:r>
    <w:r w:rsidRPr="00D902EB">
      <w:rPr>
        <w:b/>
        <w:sz w:val="18"/>
      </w:rPr>
      <w:fldChar w:fldCharType="end"/>
    </w:r>
    <w:r>
      <w:rPr>
        <w:b/>
        <w:sz w:val="18"/>
      </w:rPr>
      <w:tab/>
    </w:r>
    <w:r>
      <w:t>GE.23-18291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A1B5" w14:textId="12D342D1" w:rsidR="00D902EB" w:rsidRPr="00D902EB" w:rsidRDefault="00D902EB" w:rsidP="00D902EB">
    <w:pPr>
      <w:pStyle w:val="Pieddepage"/>
      <w:tabs>
        <w:tab w:val="right" w:pos="9638"/>
      </w:tabs>
      <w:rPr>
        <w:b/>
        <w:sz w:val="18"/>
      </w:rPr>
    </w:pPr>
    <w:r>
      <w:t>GE.23-18291</w:t>
    </w:r>
    <w:r>
      <w:tab/>
    </w:r>
    <w:r w:rsidRPr="00D902EB">
      <w:rPr>
        <w:b/>
        <w:sz w:val="18"/>
      </w:rPr>
      <w:fldChar w:fldCharType="begin"/>
    </w:r>
    <w:r w:rsidRPr="00D902EB">
      <w:rPr>
        <w:b/>
        <w:sz w:val="18"/>
      </w:rPr>
      <w:instrText xml:space="preserve"> PAGE  \* MERGEFORMAT </w:instrText>
    </w:r>
    <w:r w:rsidRPr="00D902EB">
      <w:rPr>
        <w:b/>
        <w:sz w:val="18"/>
      </w:rPr>
      <w:fldChar w:fldCharType="separate"/>
    </w:r>
    <w:r w:rsidRPr="00D902EB">
      <w:rPr>
        <w:b/>
        <w:noProof/>
        <w:sz w:val="18"/>
      </w:rPr>
      <w:t>3</w:t>
    </w:r>
    <w:r w:rsidRPr="00D902E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D2E" w14:textId="64CC510C" w:rsidR="00A14420" w:rsidRPr="00D902EB" w:rsidRDefault="00D902EB" w:rsidP="00D902EB">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705045C9" wp14:editId="57FAFEE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23-18291  (F)</w:t>
    </w:r>
    <w:r>
      <w:rPr>
        <w:noProof/>
        <w:sz w:val="20"/>
      </w:rPr>
      <w:drawing>
        <wp:anchor distT="0" distB="0" distL="114300" distR="114300" simplePos="0" relativeHeight="251660288" behindDoc="0" locked="0" layoutInCell="1" allowOverlap="1" wp14:anchorId="6E732CCA" wp14:editId="73479853">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201023    231023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8C12" w14:textId="3238CBCC" w:rsidR="00A169F2" w:rsidRPr="00A169F2" w:rsidRDefault="00A169F2" w:rsidP="00A169F2">
    <w:pPr>
      <w:pStyle w:val="Pieddepage"/>
    </w:pPr>
    <w:r>
      <w:rPr>
        <w:noProof/>
      </w:rPr>
      <mc:AlternateContent>
        <mc:Choice Requires="wps">
          <w:drawing>
            <wp:anchor distT="0" distB="0" distL="114300" distR="114300" simplePos="0" relativeHeight="251664384" behindDoc="0" locked="0" layoutInCell="1" allowOverlap="1" wp14:anchorId="47EF172B" wp14:editId="1BE38C61">
              <wp:simplePos x="0" y="0"/>
              <wp:positionH relativeFrom="margin">
                <wp:posOffset>-431800</wp:posOffset>
              </wp:positionH>
              <wp:positionV relativeFrom="margin">
                <wp:posOffset>0</wp:posOffset>
              </wp:positionV>
              <wp:extent cx="215900" cy="612013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96BC687" w14:textId="77777777" w:rsidR="00A169F2" w:rsidRPr="00D902EB" w:rsidRDefault="00A169F2" w:rsidP="00A169F2">
                          <w:pPr>
                            <w:pStyle w:val="Pieddepage"/>
                            <w:tabs>
                              <w:tab w:val="right" w:pos="9638"/>
                            </w:tabs>
                          </w:pPr>
                          <w:r w:rsidRPr="00D902EB">
                            <w:rPr>
                              <w:b/>
                              <w:sz w:val="18"/>
                            </w:rPr>
                            <w:fldChar w:fldCharType="begin"/>
                          </w:r>
                          <w:r w:rsidRPr="00D902EB">
                            <w:rPr>
                              <w:b/>
                              <w:sz w:val="18"/>
                            </w:rPr>
                            <w:instrText xml:space="preserve"> PAGE  \* MERGEFORMAT </w:instrText>
                          </w:r>
                          <w:r w:rsidRPr="00D902EB">
                            <w:rPr>
                              <w:b/>
                              <w:sz w:val="18"/>
                            </w:rPr>
                            <w:fldChar w:fldCharType="separate"/>
                          </w:r>
                          <w:r>
                            <w:rPr>
                              <w:b/>
                              <w:sz w:val="18"/>
                            </w:rPr>
                            <w:t>22</w:t>
                          </w:r>
                          <w:r w:rsidRPr="00D902EB">
                            <w:rPr>
                              <w:b/>
                              <w:sz w:val="18"/>
                            </w:rPr>
                            <w:fldChar w:fldCharType="end"/>
                          </w:r>
                          <w:r>
                            <w:rPr>
                              <w:b/>
                              <w:sz w:val="18"/>
                            </w:rPr>
                            <w:tab/>
                          </w:r>
                          <w:r>
                            <w:t>GE.23-18291</w:t>
                          </w:r>
                        </w:p>
                        <w:p w14:paraId="7AFD34D0" w14:textId="77777777" w:rsidR="00A169F2" w:rsidRDefault="00A169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7EF172B" id="_x0000_t202" coordsize="21600,21600" o:spt="202" path="m,l,21600r21600,l21600,xe">
              <v:stroke joinstyle="miter"/>
              <v:path gradientshapeok="t" o:connecttype="rect"/>
            </v:shapetype>
            <v:shape id="Zone de texte 9" o:spid="_x0000_s1058"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96BC687" w14:textId="77777777" w:rsidR="00A169F2" w:rsidRPr="00D902EB" w:rsidRDefault="00A169F2" w:rsidP="00A169F2">
                    <w:pPr>
                      <w:pStyle w:val="Pieddepage"/>
                      <w:tabs>
                        <w:tab w:val="right" w:pos="9638"/>
                      </w:tabs>
                    </w:pPr>
                    <w:r w:rsidRPr="00D902EB">
                      <w:rPr>
                        <w:b/>
                        <w:sz w:val="18"/>
                      </w:rPr>
                      <w:fldChar w:fldCharType="begin"/>
                    </w:r>
                    <w:r w:rsidRPr="00D902EB">
                      <w:rPr>
                        <w:b/>
                        <w:sz w:val="18"/>
                      </w:rPr>
                      <w:instrText xml:space="preserve"> PAGE  \* MERGEFORMAT </w:instrText>
                    </w:r>
                    <w:r w:rsidRPr="00D902EB">
                      <w:rPr>
                        <w:b/>
                        <w:sz w:val="18"/>
                      </w:rPr>
                      <w:fldChar w:fldCharType="separate"/>
                    </w:r>
                    <w:r>
                      <w:rPr>
                        <w:b/>
                        <w:sz w:val="18"/>
                      </w:rPr>
                      <w:t>22</w:t>
                    </w:r>
                    <w:r w:rsidRPr="00D902EB">
                      <w:rPr>
                        <w:b/>
                        <w:sz w:val="18"/>
                      </w:rPr>
                      <w:fldChar w:fldCharType="end"/>
                    </w:r>
                    <w:r>
                      <w:rPr>
                        <w:b/>
                        <w:sz w:val="18"/>
                      </w:rPr>
                      <w:tab/>
                    </w:r>
                    <w:r>
                      <w:t>GE.23-18291</w:t>
                    </w:r>
                  </w:p>
                  <w:p w14:paraId="7AFD34D0" w14:textId="77777777" w:rsidR="00A169F2" w:rsidRDefault="00A169F2"/>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3443" w14:textId="5D878378" w:rsidR="00A169F2" w:rsidRPr="00A169F2" w:rsidRDefault="00A169F2" w:rsidP="00A169F2">
    <w:pPr>
      <w:pStyle w:val="Pieddepage"/>
    </w:pPr>
    <w:r>
      <w:rPr>
        <w:noProof/>
      </w:rPr>
      <mc:AlternateContent>
        <mc:Choice Requires="wps">
          <w:drawing>
            <wp:anchor distT="0" distB="0" distL="114300" distR="114300" simplePos="0" relativeHeight="251662336" behindDoc="0" locked="0" layoutInCell="1" allowOverlap="1" wp14:anchorId="32CB6BC2" wp14:editId="58963C0A">
              <wp:simplePos x="0" y="0"/>
              <wp:positionH relativeFrom="margin">
                <wp:posOffset>-431800</wp:posOffset>
              </wp:positionH>
              <wp:positionV relativeFrom="margin">
                <wp:posOffset>0</wp:posOffset>
              </wp:positionV>
              <wp:extent cx="215900" cy="612013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6093F35" w14:textId="77777777" w:rsidR="00A169F2" w:rsidRPr="00D902EB" w:rsidRDefault="00A169F2" w:rsidP="00A169F2">
                          <w:pPr>
                            <w:pStyle w:val="Pieddepage"/>
                            <w:tabs>
                              <w:tab w:val="right" w:pos="9638"/>
                            </w:tabs>
                            <w:rPr>
                              <w:b/>
                              <w:sz w:val="18"/>
                            </w:rPr>
                          </w:pPr>
                          <w:r>
                            <w:t>GE.23-18291</w:t>
                          </w:r>
                          <w:r>
                            <w:tab/>
                          </w:r>
                          <w:r w:rsidRPr="00D902EB">
                            <w:rPr>
                              <w:b/>
                              <w:sz w:val="18"/>
                            </w:rPr>
                            <w:fldChar w:fldCharType="begin"/>
                          </w:r>
                          <w:r w:rsidRPr="00D902EB">
                            <w:rPr>
                              <w:b/>
                              <w:sz w:val="18"/>
                            </w:rPr>
                            <w:instrText xml:space="preserve"> PAGE  \* MERGEFORMAT </w:instrText>
                          </w:r>
                          <w:r w:rsidRPr="00D902EB">
                            <w:rPr>
                              <w:b/>
                              <w:sz w:val="18"/>
                            </w:rPr>
                            <w:fldChar w:fldCharType="separate"/>
                          </w:r>
                          <w:r>
                            <w:rPr>
                              <w:b/>
                              <w:sz w:val="18"/>
                            </w:rPr>
                            <w:t>21</w:t>
                          </w:r>
                          <w:r w:rsidRPr="00D902EB">
                            <w:rPr>
                              <w:b/>
                              <w:sz w:val="18"/>
                            </w:rPr>
                            <w:fldChar w:fldCharType="end"/>
                          </w:r>
                        </w:p>
                        <w:p w14:paraId="36AB3FF2" w14:textId="77777777" w:rsidR="00A169F2" w:rsidRDefault="00A169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2CB6BC2" id="_x0000_t202" coordsize="21600,21600" o:spt="202" path="m,l,21600r21600,l21600,xe">
              <v:stroke joinstyle="miter"/>
              <v:path gradientshapeok="t" o:connecttype="rect"/>
            </v:shapetype>
            <v:shape id="Zone de texte 7" o:spid="_x0000_s105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26093F35" w14:textId="77777777" w:rsidR="00A169F2" w:rsidRPr="00D902EB" w:rsidRDefault="00A169F2" w:rsidP="00A169F2">
                    <w:pPr>
                      <w:pStyle w:val="Pieddepage"/>
                      <w:tabs>
                        <w:tab w:val="right" w:pos="9638"/>
                      </w:tabs>
                      <w:rPr>
                        <w:b/>
                        <w:sz w:val="18"/>
                      </w:rPr>
                    </w:pPr>
                    <w:r>
                      <w:t>GE.23-18291</w:t>
                    </w:r>
                    <w:r>
                      <w:tab/>
                    </w:r>
                    <w:r w:rsidRPr="00D902EB">
                      <w:rPr>
                        <w:b/>
                        <w:sz w:val="18"/>
                      </w:rPr>
                      <w:fldChar w:fldCharType="begin"/>
                    </w:r>
                    <w:r w:rsidRPr="00D902EB">
                      <w:rPr>
                        <w:b/>
                        <w:sz w:val="18"/>
                      </w:rPr>
                      <w:instrText xml:space="preserve"> PAGE  \* MERGEFORMAT </w:instrText>
                    </w:r>
                    <w:r w:rsidRPr="00D902EB">
                      <w:rPr>
                        <w:b/>
                        <w:sz w:val="18"/>
                      </w:rPr>
                      <w:fldChar w:fldCharType="separate"/>
                    </w:r>
                    <w:r>
                      <w:rPr>
                        <w:b/>
                        <w:sz w:val="18"/>
                      </w:rPr>
                      <w:t>21</w:t>
                    </w:r>
                    <w:r w:rsidRPr="00D902EB">
                      <w:rPr>
                        <w:b/>
                        <w:sz w:val="18"/>
                      </w:rPr>
                      <w:fldChar w:fldCharType="end"/>
                    </w:r>
                  </w:p>
                  <w:p w14:paraId="36AB3FF2" w14:textId="77777777" w:rsidR="00A169F2" w:rsidRDefault="00A169F2"/>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31A6" w14:textId="28EBFFC3" w:rsidR="00C43B72" w:rsidRPr="00C43B72" w:rsidRDefault="00C43B72" w:rsidP="00C43B72">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26</w:t>
    </w:r>
    <w:r>
      <w:rPr>
        <w:b/>
        <w:sz w:val="18"/>
      </w:rPr>
      <w:fldChar w:fldCharType="end"/>
    </w:r>
    <w:r>
      <w:rPr>
        <w:b/>
        <w:sz w:val="18"/>
      </w:rPr>
      <w:tab/>
    </w:r>
    <w:r w:rsidRPr="00C43B72">
      <w:t>GE.</w:t>
    </w:r>
    <w:r w:rsidRPr="00C43B72">
      <w:t>23</w:t>
    </w:r>
    <w:r w:rsidRPr="00C43B72">
      <w:t>-</w:t>
    </w:r>
    <w:r w:rsidRPr="00C43B72">
      <w:t>18291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66E0" w14:textId="1D2A0C46" w:rsidR="00C43B72" w:rsidRPr="00C43B72" w:rsidRDefault="00C43B72" w:rsidP="00C43B72">
    <w:pPr>
      <w:pStyle w:val="Pieddepage"/>
      <w:tabs>
        <w:tab w:val="right" w:pos="9638"/>
      </w:tabs>
      <w:rPr>
        <w:b/>
        <w:sz w:val="18"/>
      </w:rPr>
    </w:pPr>
    <w:r>
      <w:t>GE.</w:t>
    </w:r>
    <w:r w:rsidRPr="00C43B72">
      <w:t>23</w:t>
    </w:r>
    <w:r>
      <w:t>-</w:t>
    </w:r>
    <w:r w:rsidRPr="00C43B72">
      <w:t>18291</w:t>
    </w:r>
    <w:r>
      <w:tab/>
    </w:r>
    <w:r>
      <w:rPr>
        <w:b/>
        <w:sz w:val="18"/>
      </w:rPr>
      <w:fldChar w:fldCharType="begin"/>
    </w:r>
    <w:r>
      <w:rPr>
        <w:b/>
        <w:sz w:val="18"/>
      </w:rPr>
      <w:instrText xml:space="preserve"> PAGE  \* MERGEFORMAT </w:instrText>
    </w:r>
    <w:r>
      <w:rPr>
        <w:b/>
        <w:sz w:val="18"/>
      </w:rPr>
      <w:fldChar w:fldCharType="separate"/>
    </w:r>
    <w:r>
      <w:rPr>
        <w:b/>
        <w:noProof/>
        <w:sz w:val="18"/>
      </w:rPr>
      <w:t>25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AA59" w14:textId="77777777" w:rsidR="00381873" w:rsidRPr="00AC3823" w:rsidRDefault="00381873" w:rsidP="00AC3823">
      <w:pPr>
        <w:pStyle w:val="Pieddepage"/>
        <w:tabs>
          <w:tab w:val="right" w:pos="2155"/>
        </w:tabs>
        <w:spacing w:after="80" w:line="240" w:lineRule="atLeast"/>
        <w:ind w:left="680"/>
        <w:rPr>
          <w:u w:val="single"/>
        </w:rPr>
      </w:pPr>
      <w:r>
        <w:rPr>
          <w:u w:val="single"/>
        </w:rPr>
        <w:tab/>
      </w:r>
    </w:p>
  </w:footnote>
  <w:footnote w:type="continuationSeparator" w:id="0">
    <w:p w14:paraId="31FBE089" w14:textId="77777777" w:rsidR="00381873" w:rsidRPr="00AC3823" w:rsidRDefault="00381873" w:rsidP="00AC3823">
      <w:pPr>
        <w:pStyle w:val="Pieddepage"/>
        <w:tabs>
          <w:tab w:val="right" w:pos="2155"/>
        </w:tabs>
        <w:spacing w:after="80" w:line="240" w:lineRule="atLeast"/>
        <w:ind w:left="680"/>
        <w:rPr>
          <w:u w:val="single"/>
        </w:rPr>
      </w:pPr>
      <w:r>
        <w:rPr>
          <w:u w:val="single"/>
        </w:rPr>
        <w:tab/>
      </w:r>
    </w:p>
  </w:footnote>
  <w:footnote w:type="continuationNotice" w:id="1">
    <w:p w14:paraId="3991A01A" w14:textId="77777777" w:rsidR="00381873" w:rsidRPr="00AC3823" w:rsidRDefault="00381873">
      <w:pPr>
        <w:spacing w:line="240" w:lineRule="auto"/>
        <w:rPr>
          <w:sz w:val="2"/>
          <w:szCs w:val="2"/>
        </w:rPr>
      </w:pPr>
    </w:p>
  </w:footnote>
  <w:footnote w:id="2">
    <w:p w14:paraId="238C6ABF" w14:textId="18AFD653" w:rsidR="00D902EB" w:rsidRPr="00E15B31" w:rsidRDefault="00D902EB" w:rsidP="00D902EB">
      <w:pPr>
        <w:pStyle w:val="Notedebasdepage"/>
        <w:rPr>
          <w:lang w:val="fr-FR"/>
        </w:rPr>
      </w:pPr>
      <w:r>
        <w:rPr>
          <w:vertAlign w:val="superscript"/>
          <w:lang w:val="fr-FR"/>
        </w:rPr>
        <w:tab/>
      </w:r>
      <w:r w:rsidRPr="006846DA">
        <w:rPr>
          <w:rStyle w:val="Appelnotedebasdep"/>
        </w:rPr>
        <w:footnoteRef/>
      </w:r>
      <w:r>
        <w:rPr>
          <w:lang w:val="fr-FR"/>
        </w:rPr>
        <w:t xml:space="preserve"> </w:t>
      </w:r>
      <w:r>
        <w:rPr>
          <w:lang w:val="fr-FR"/>
        </w:rPr>
        <w:tab/>
        <w:t xml:space="preserve">Voir </w:t>
      </w:r>
      <w:hyperlink r:id="rId1" w:history="1">
        <w:r w:rsidRPr="002A3CFF">
          <w:rPr>
            <w:rStyle w:val="Lienhypertexte"/>
            <w:lang w:val="fr-FR"/>
          </w:rPr>
          <w:t>www</w:t>
        </w:r>
        <w:r w:rsidR="00A3423F" w:rsidRPr="00A3423F">
          <w:rPr>
            <w:rStyle w:val="Lienhypertexte"/>
            <w:lang w:val="fr-FR"/>
          </w:rPr>
          <w:t>.</w:t>
        </w:r>
        <w:r w:rsidRPr="002A3CFF">
          <w:rPr>
            <w:rStyle w:val="Lienhypertexte"/>
            <w:lang w:val="fr-FR"/>
          </w:rPr>
          <w:t>unece</w:t>
        </w:r>
        <w:r w:rsidR="00A3423F" w:rsidRPr="00A3423F">
          <w:rPr>
            <w:rStyle w:val="Lienhypertexte"/>
            <w:lang w:val="fr-FR"/>
          </w:rPr>
          <w:t>.</w:t>
        </w:r>
        <w:r w:rsidRPr="002A3CFF">
          <w:rPr>
            <w:rStyle w:val="Lienhypertexte"/>
            <w:lang w:val="fr-FR"/>
          </w:rPr>
          <w:t>org/environment-policy/environmental-assessment/review-implementation-2019-protocol</w:t>
        </w:r>
      </w:hyperlink>
      <w:r w:rsidR="00A3423F" w:rsidRPr="00A3423F">
        <w:rPr>
          <w:lang w:val="fr-FR"/>
        </w:rPr>
        <w:t>.</w:t>
      </w:r>
    </w:p>
  </w:footnote>
  <w:footnote w:id="3">
    <w:p w14:paraId="5CE7EA4A" w14:textId="0E6387BD" w:rsidR="00D902EB" w:rsidRPr="00E15B31" w:rsidRDefault="00D902EB" w:rsidP="00D902EB">
      <w:pPr>
        <w:pStyle w:val="Notedebasdepage"/>
        <w:rPr>
          <w:lang w:val="fr-FR"/>
        </w:rPr>
      </w:pPr>
      <w:r>
        <w:rPr>
          <w:vertAlign w:val="superscript"/>
          <w:lang w:val="fr-FR"/>
        </w:rPr>
        <w:tab/>
      </w:r>
      <w:r w:rsidRPr="006846DA">
        <w:rPr>
          <w:rStyle w:val="Appelnotedebasdep"/>
        </w:rPr>
        <w:footnoteRef/>
      </w:r>
      <w:r>
        <w:rPr>
          <w:lang w:val="fr-FR"/>
        </w:rPr>
        <w:tab/>
        <w:t>Les questionnaires vierges (en anglais, français et russe) et les questionnaires remplis sont disponibles sur le site Web consacré au Protocole</w:t>
      </w:r>
      <w:r w:rsidR="00A3423F" w:rsidRPr="00A3423F">
        <w:rPr>
          <w:lang w:val="fr-FR"/>
        </w:rPr>
        <w:t>.</w:t>
      </w:r>
      <w:r>
        <w:rPr>
          <w:lang w:val="fr-FR"/>
        </w:rPr>
        <w:t xml:space="preserve"> Voir </w:t>
      </w:r>
      <w:hyperlink r:id="rId2" w:history="1">
        <w:r w:rsidR="00C43B72" w:rsidRPr="002C5AF8">
          <w:rPr>
            <w:rStyle w:val="Lienhypertexte"/>
            <w:lang w:val="fr-FR"/>
          </w:rPr>
          <w:t>www</w:t>
        </w:r>
        <w:r w:rsidR="00A3423F" w:rsidRPr="00A3423F">
          <w:rPr>
            <w:rStyle w:val="Lienhypertexte"/>
            <w:lang w:val="fr-FR"/>
          </w:rPr>
          <w:t>.</w:t>
        </w:r>
        <w:r w:rsidR="00C43B72" w:rsidRPr="002C5AF8">
          <w:rPr>
            <w:rStyle w:val="Lienhypertexte"/>
            <w:lang w:val="fr-FR"/>
          </w:rPr>
          <w:t>unece</w:t>
        </w:r>
        <w:r w:rsidR="00A3423F" w:rsidRPr="00A3423F">
          <w:rPr>
            <w:rStyle w:val="Lienhypertexte"/>
            <w:lang w:val="fr-FR"/>
          </w:rPr>
          <w:t>.</w:t>
        </w:r>
        <w:r w:rsidR="00C43B72" w:rsidRPr="002C5AF8">
          <w:rPr>
            <w:rStyle w:val="Lienhypertexte"/>
            <w:lang w:val="fr-FR"/>
          </w:rPr>
          <w:t>org/env/eia/implementation/review_</w:t>
        </w:r>
        <w:r w:rsidR="00C43B72" w:rsidRPr="002C5AF8">
          <w:rPr>
            <w:rStyle w:val="Lienhypertexte"/>
            <w:lang w:val="fr-FR"/>
          </w:rPr>
          <w:t xml:space="preserve"> </w:t>
        </w:r>
        <w:r w:rsidR="00C43B72" w:rsidRPr="002C5AF8">
          <w:rPr>
            <w:rStyle w:val="Lienhypertexte"/>
            <w:lang w:val="fr-FR"/>
          </w:rPr>
          <w:t>implementation</w:t>
        </w:r>
        <w:r w:rsidR="00A3423F" w:rsidRPr="00A3423F">
          <w:rPr>
            <w:rStyle w:val="Lienhypertexte"/>
            <w:lang w:val="fr-FR"/>
          </w:rPr>
          <w:t>.</w:t>
        </w:r>
        <w:r w:rsidR="00C43B72" w:rsidRPr="002C5AF8">
          <w:rPr>
            <w:rStyle w:val="Lienhypertexte"/>
            <w:lang w:val="fr-FR"/>
          </w:rPr>
          <w:t>html</w:t>
        </w:r>
      </w:hyperlink>
      <w:r w:rsidR="00A3423F" w:rsidRPr="00A3423F">
        <w:rPr>
          <w:lang w:val="fr-FR"/>
        </w:rPr>
        <w:t>.</w:t>
      </w:r>
      <w:r>
        <w:rPr>
          <w:lang w:val="fr-FR"/>
        </w:rPr>
        <w:t xml:space="preserve"> </w:t>
      </w:r>
    </w:p>
  </w:footnote>
  <w:footnote w:id="4">
    <w:p w14:paraId="48140EF8" w14:textId="102BB7B3" w:rsidR="00D902EB" w:rsidRPr="00E15B31" w:rsidRDefault="00D902EB" w:rsidP="00D902EB">
      <w:pPr>
        <w:pStyle w:val="Notedebasdepage"/>
        <w:rPr>
          <w:lang w:val="fr-FR"/>
        </w:rPr>
      </w:pPr>
      <w:r>
        <w:rPr>
          <w:lang w:val="fr-FR"/>
        </w:rPr>
        <w:tab/>
      </w:r>
      <w:r w:rsidRPr="006846DA">
        <w:rPr>
          <w:rStyle w:val="Appelnotedebasdep"/>
        </w:rPr>
        <w:footnoteRef/>
      </w:r>
      <w:r>
        <w:rPr>
          <w:lang w:val="fr-FR"/>
        </w:rPr>
        <w:t xml:space="preserve"> </w:t>
      </w:r>
      <w:r>
        <w:rPr>
          <w:lang w:val="fr-FR"/>
        </w:rPr>
        <w:tab/>
        <w:t>Par conséquent, les informations fournies par l’Union européenne ne sont pas comptabilisées dans le nombre total de réponses</w:t>
      </w:r>
      <w:r w:rsidR="00A3423F" w:rsidRPr="00A3423F">
        <w:rPr>
          <w:lang w:val="fr-FR"/>
        </w:rPr>
        <w:t>.</w:t>
      </w:r>
    </w:p>
  </w:footnote>
  <w:footnote w:id="5">
    <w:p w14:paraId="448F2420" w14:textId="5742B05E" w:rsidR="00D902EB" w:rsidRPr="00E15B31" w:rsidRDefault="00D902EB" w:rsidP="00D902EB">
      <w:pPr>
        <w:pStyle w:val="Notedebasdepage"/>
        <w:rPr>
          <w:lang w:val="fr-FR"/>
        </w:rPr>
      </w:pPr>
      <w:r>
        <w:rPr>
          <w:lang w:val="fr-FR"/>
        </w:rPr>
        <w:tab/>
      </w:r>
      <w:r w:rsidRPr="006846DA">
        <w:rPr>
          <w:rStyle w:val="Appelnotedebasdep"/>
        </w:rPr>
        <w:footnoteRef/>
      </w:r>
      <w:r>
        <w:rPr>
          <w:lang w:val="fr-FR"/>
        </w:rPr>
        <w:tab/>
        <w:t xml:space="preserve">Voir </w:t>
      </w:r>
      <w:hyperlink r:id="rId3" w:history="1">
        <w:r w:rsidRPr="001F2ABA">
          <w:rPr>
            <w:rStyle w:val="Lienhypertexte"/>
            <w:lang w:val="fr-FR"/>
          </w:rPr>
          <w:t>https://eur-lex</w:t>
        </w:r>
        <w:r w:rsidR="00A3423F" w:rsidRPr="00A3423F">
          <w:rPr>
            <w:rStyle w:val="Lienhypertexte"/>
            <w:lang w:val="fr-FR"/>
          </w:rPr>
          <w:t>.</w:t>
        </w:r>
        <w:r w:rsidRPr="001F2ABA">
          <w:rPr>
            <w:rStyle w:val="Lienhypertexte"/>
            <w:lang w:val="fr-FR"/>
          </w:rPr>
          <w:t>europa</w:t>
        </w:r>
        <w:r w:rsidR="00A3423F" w:rsidRPr="00A3423F">
          <w:rPr>
            <w:rStyle w:val="Lienhypertexte"/>
            <w:lang w:val="fr-FR"/>
          </w:rPr>
          <w:t>.</w:t>
        </w:r>
        <w:r w:rsidRPr="001F2ABA">
          <w:rPr>
            <w:rStyle w:val="Lienhypertexte"/>
            <w:lang w:val="fr-FR"/>
          </w:rPr>
          <w:t>eu/legal-content/EN/ALL/?uri=CELEX:32001L0042Directive 2001/42/EU</w:t>
        </w:r>
      </w:hyperlink>
      <w:r w:rsidR="00A3423F" w:rsidRPr="00A3423F">
        <w:rPr>
          <w:lang w:val="fr-FR"/>
        </w:rPr>
        <w:t>.</w:t>
      </w:r>
    </w:p>
  </w:footnote>
  <w:footnote w:id="6">
    <w:p w14:paraId="4269A5E8" w14:textId="76D3F1A6" w:rsidR="00D902EB" w:rsidRPr="00265B89" w:rsidRDefault="00D902EB" w:rsidP="00D902EB">
      <w:pPr>
        <w:pStyle w:val="Notedebasdepage"/>
        <w:rPr>
          <w:lang w:val="fr-FR"/>
        </w:rPr>
      </w:pPr>
      <w:r>
        <w:rPr>
          <w:lang w:val="fr-FR"/>
        </w:rPr>
        <w:tab/>
      </w:r>
      <w:r w:rsidRPr="006846DA">
        <w:rPr>
          <w:rStyle w:val="Appelnotedebasdep"/>
        </w:rPr>
        <w:footnoteRef/>
      </w:r>
      <w:r>
        <w:rPr>
          <w:lang w:val="fr-FR"/>
        </w:rPr>
        <w:tab/>
        <w:t>On trouvera sur le site Web de la Convention (</w:t>
      </w:r>
      <w:hyperlink r:id="rId4" w:history="1">
        <w:r w:rsidRPr="00671B28">
          <w:rPr>
            <w:rStyle w:val="Lienhypertexte"/>
            <w:lang w:val="fr-FR"/>
          </w:rPr>
          <w:t>www</w:t>
        </w:r>
        <w:r w:rsidR="00A3423F" w:rsidRPr="00A3423F">
          <w:rPr>
            <w:rStyle w:val="Lienhypertexte"/>
            <w:lang w:val="fr-FR"/>
          </w:rPr>
          <w:t>.</w:t>
        </w:r>
        <w:r w:rsidRPr="00671B28">
          <w:rPr>
            <w:rStyle w:val="Lienhypertexte"/>
            <w:lang w:val="fr-FR"/>
          </w:rPr>
          <w:t>unece</w:t>
        </w:r>
        <w:r w:rsidR="00A3423F" w:rsidRPr="00A3423F">
          <w:rPr>
            <w:rStyle w:val="Lienhypertexte"/>
            <w:lang w:val="fr-FR"/>
          </w:rPr>
          <w:t>.</w:t>
        </w:r>
        <w:r w:rsidRPr="00671B28">
          <w:rPr>
            <w:rStyle w:val="Lienhypertexte"/>
            <w:lang w:val="fr-FR"/>
          </w:rPr>
          <w:t>org/env/eia/contacts</w:t>
        </w:r>
        <w:r w:rsidR="00A3423F" w:rsidRPr="00A3423F">
          <w:rPr>
            <w:rStyle w:val="Lienhypertexte"/>
            <w:lang w:val="fr-FR"/>
          </w:rPr>
          <w:t>.</w:t>
        </w:r>
        <w:r w:rsidRPr="00671B28">
          <w:rPr>
            <w:rStyle w:val="Lienhypertexte"/>
            <w:lang w:val="fr-FR"/>
          </w:rPr>
          <w:t>html</w:t>
        </w:r>
      </w:hyperlink>
      <w:r>
        <w:rPr>
          <w:lang w:val="fr-FR"/>
        </w:rPr>
        <w:t>) la liste des points de contact nationaux auxquels adresser les notifications, conformément à la décision I/2 de la Réunion des Parties (</w:t>
      </w:r>
      <w:hyperlink r:id="rId5" w:history="1">
        <w:r w:rsidRPr="00033F5B">
          <w:rPr>
            <w:rStyle w:val="Lienhypertexte"/>
            <w:lang w:val="fr-FR"/>
          </w:rPr>
          <w:t>ECE/MP</w:t>
        </w:r>
        <w:r w:rsidR="00A3423F" w:rsidRPr="00A3423F">
          <w:rPr>
            <w:rStyle w:val="Lienhypertexte"/>
            <w:lang w:val="fr-FR"/>
          </w:rPr>
          <w:t>.</w:t>
        </w:r>
        <w:r w:rsidRPr="00033F5B">
          <w:rPr>
            <w:rStyle w:val="Lienhypertexte"/>
            <w:lang w:val="fr-FR"/>
          </w:rPr>
          <w:t>EIA/SEA/2</w:t>
        </w:r>
      </w:hyperlink>
      <w:r>
        <w:rPr>
          <w:lang w:val="fr-FR"/>
        </w:rPr>
        <w:t>) ; cette liste est actualisée par le secrétariat sur la base des renseignements communiqués par les pays</w:t>
      </w:r>
      <w:r w:rsidR="00A3423F" w:rsidRPr="00A3423F">
        <w:rPr>
          <w:lang w:val="fr-FR"/>
        </w:rPr>
        <w:t>.</w:t>
      </w:r>
    </w:p>
  </w:footnote>
  <w:footnote w:id="7">
    <w:p w14:paraId="01EA3D9D" w14:textId="48101846" w:rsidR="00C43B72" w:rsidRPr="00265B89" w:rsidRDefault="00C43B72" w:rsidP="00C43B72">
      <w:pPr>
        <w:pStyle w:val="Notedebasdepage"/>
        <w:rPr>
          <w:lang w:val="fr-FR"/>
        </w:rPr>
      </w:pPr>
      <w:r>
        <w:rPr>
          <w:lang w:val="fr-FR"/>
        </w:rPr>
        <w:tab/>
      </w:r>
      <w:r w:rsidRPr="006846DA">
        <w:rPr>
          <w:rStyle w:val="Appelnotedebasdep"/>
        </w:rPr>
        <w:footnoteRef/>
      </w:r>
      <w:r>
        <w:rPr>
          <w:lang w:val="fr-FR"/>
        </w:rPr>
        <w:tab/>
        <w:t>Publication des Nations Unies, numéro de vente: E</w:t>
      </w:r>
      <w:r w:rsidR="00A3423F" w:rsidRPr="00A3423F">
        <w:rPr>
          <w:lang w:val="fr-FR"/>
        </w:rPr>
        <w:t>.</w:t>
      </w:r>
      <w:r>
        <w:rPr>
          <w:lang w:val="fr-FR"/>
        </w:rPr>
        <w:t>15</w:t>
      </w:r>
      <w:r w:rsidR="00A3423F" w:rsidRPr="00A3423F">
        <w:rPr>
          <w:lang w:val="fr-FR"/>
        </w:rPr>
        <w:t>.</w:t>
      </w:r>
      <w:r>
        <w:rPr>
          <w:lang w:val="fr-FR"/>
        </w:rPr>
        <w:t>II</w:t>
      </w:r>
      <w:r w:rsidR="00A3423F" w:rsidRPr="00A3423F">
        <w:rPr>
          <w:lang w:val="fr-FR"/>
        </w:rPr>
        <w:t>.</w:t>
      </w:r>
      <w:r>
        <w:rPr>
          <w:lang w:val="fr-FR"/>
        </w:rPr>
        <w:t>E</w:t>
      </w:r>
      <w:r w:rsidR="00A3423F" w:rsidRPr="00A3423F">
        <w:rPr>
          <w:lang w:val="fr-FR"/>
        </w:rPr>
        <w:t>.</w:t>
      </w:r>
      <w:r>
        <w:rPr>
          <w:lang w:val="fr-FR"/>
        </w:rPr>
        <w:t>7</w:t>
      </w:r>
      <w:r w:rsidR="00A3423F" w:rsidRPr="00A3423F">
        <w:rPr>
          <w:lang w:val="fr-FR"/>
        </w:rPr>
        <w:t>.</w:t>
      </w:r>
      <w:r>
        <w:rPr>
          <w:lang w:val="fr-FR"/>
        </w:rPr>
        <w:t xml:space="preserve"> </w:t>
      </w:r>
    </w:p>
  </w:footnote>
  <w:footnote w:id="8">
    <w:p w14:paraId="124A62B1" w14:textId="1B17ACCD" w:rsidR="00C43B72" w:rsidRPr="00E15B31" w:rsidRDefault="00C43B72" w:rsidP="00C43B72">
      <w:pPr>
        <w:pStyle w:val="Notedebasdepage"/>
        <w:rPr>
          <w:lang w:val="fr-FR"/>
        </w:rPr>
      </w:pPr>
      <w:r w:rsidRPr="00DB1F40">
        <w:rPr>
          <w:lang w:val="fr-FR"/>
        </w:rPr>
        <w:tab/>
      </w:r>
      <w:r w:rsidRPr="006846DA">
        <w:rPr>
          <w:rStyle w:val="Appelnotedebasdep"/>
        </w:rPr>
        <w:footnoteRef/>
      </w:r>
      <w:r>
        <w:rPr>
          <w:lang w:val="fr-FR"/>
        </w:rPr>
        <w:tab/>
        <w:t xml:space="preserve">Publication des Nations Unies, </w:t>
      </w:r>
      <w:hyperlink r:id="rId6" w:history="1">
        <w:r w:rsidRPr="00775609">
          <w:rPr>
            <w:rStyle w:val="Lienhypertexte"/>
            <w:lang w:val="fr-FR"/>
          </w:rPr>
          <w:t>ECE/MP</w:t>
        </w:r>
        <w:r w:rsidR="00A3423F" w:rsidRPr="00A3423F">
          <w:rPr>
            <w:rStyle w:val="Lienhypertexte"/>
            <w:lang w:val="fr-FR"/>
          </w:rPr>
          <w:t>.</w:t>
        </w:r>
        <w:r w:rsidRPr="00775609">
          <w:rPr>
            <w:rStyle w:val="Lienhypertexte"/>
            <w:lang w:val="fr-FR"/>
          </w:rPr>
          <w:t>EIA/17</w:t>
        </w:r>
      </w:hyperlink>
      <w:r w:rsidR="00A3423F" w:rsidRPr="00A3423F">
        <w:rPr>
          <w:lang w:val="fr-FR"/>
        </w:rPr>
        <w:t>.</w:t>
      </w:r>
    </w:p>
  </w:footnote>
  <w:footnote w:id="9">
    <w:p w14:paraId="4AB8CBB0" w14:textId="3F7BE165" w:rsidR="00C43B72" w:rsidRPr="00E15B31" w:rsidRDefault="00C43B72" w:rsidP="00C43B72">
      <w:pPr>
        <w:pStyle w:val="Notedebasdepage"/>
        <w:rPr>
          <w:lang w:val="fr-FR"/>
        </w:rPr>
      </w:pPr>
      <w:r>
        <w:rPr>
          <w:lang w:val="fr-FR"/>
        </w:rPr>
        <w:tab/>
      </w:r>
      <w:r w:rsidRPr="006846DA">
        <w:rPr>
          <w:rStyle w:val="Appelnotedebasdep"/>
        </w:rPr>
        <w:footnoteRef/>
      </w:r>
      <w:r>
        <w:rPr>
          <w:lang w:val="fr-FR"/>
        </w:rPr>
        <w:tab/>
        <w:t xml:space="preserve">Publication des Nations Unies, </w:t>
      </w:r>
      <w:hyperlink r:id="rId7" w:history="1">
        <w:r w:rsidRPr="00462918">
          <w:rPr>
            <w:rStyle w:val="Lienhypertexte"/>
            <w:lang w:val="fr-FR"/>
          </w:rPr>
          <w:t>ECE/MP</w:t>
        </w:r>
        <w:r w:rsidR="00A3423F" w:rsidRPr="00A3423F">
          <w:rPr>
            <w:rStyle w:val="Lienhypertexte"/>
            <w:lang w:val="fr-FR"/>
          </w:rPr>
          <w:t>.</w:t>
        </w:r>
        <w:r w:rsidRPr="00462918">
          <w:rPr>
            <w:rStyle w:val="Lienhypertexte"/>
            <w:lang w:val="fr-FR"/>
          </w:rPr>
          <w:t>EIA/SEA/14</w:t>
        </w:r>
      </w:hyperlink>
      <w:r>
        <w:rPr>
          <w:lang w:val="fr-FR"/>
        </w:rPr>
        <w:t>, par</w:t>
      </w:r>
      <w:r w:rsidR="00A3423F" w:rsidRPr="00A3423F">
        <w:rPr>
          <w:lang w:val="fr-FR"/>
        </w:rPr>
        <w:t>.</w:t>
      </w:r>
      <w:r>
        <w:rPr>
          <w:lang w:val="fr-FR"/>
        </w:rPr>
        <w:t> 84 a), b), d) et e) et 85 a) et b)</w:t>
      </w:r>
      <w:r w:rsidR="00A3423F" w:rsidRPr="00A3423F">
        <w:rPr>
          <w:lang w:val="fr-FR"/>
        </w:rPr>
        <w:t>.</w:t>
      </w:r>
    </w:p>
  </w:footnote>
  <w:footnote w:id="10">
    <w:p w14:paraId="2E6AEFF0" w14:textId="66EF10A1" w:rsidR="00C43B72" w:rsidRPr="00E15B31" w:rsidRDefault="00C43B72" w:rsidP="00C43B72">
      <w:pPr>
        <w:pStyle w:val="Notedebasdepage"/>
        <w:rPr>
          <w:lang w:val="fr-FR"/>
        </w:rPr>
      </w:pPr>
      <w:r w:rsidRPr="00DB1F40">
        <w:rPr>
          <w:lang w:val="fr-FR"/>
        </w:rPr>
        <w:tab/>
      </w:r>
      <w:r w:rsidRPr="006846DA">
        <w:rPr>
          <w:rStyle w:val="Appelnotedebasdep"/>
        </w:rPr>
        <w:footnoteRef/>
      </w:r>
      <w:r>
        <w:rPr>
          <w:lang w:val="fr-FR"/>
        </w:rPr>
        <w:t xml:space="preserve"> </w:t>
      </w:r>
      <w:r>
        <w:rPr>
          <w:lang w:val="fr-FR"/>
        </w:rPr>
        <w:tab/>
        <w:t>Décision V/5 relative à l’examen de l’application du Protocole et à l’établissement de rapports correspondants (</w:t>
      </w:r>
      <w:hyperlink r:id="rId8" w:history="1">
        <w:r w:rsidRPr="00A3423F">
          <w:rPr>
            <w:rStyle w:val="Lienhypertexte"/>
          </w:rPr>
          <w:t>ECE/MP</w:t>
        </w:r>
        <w:r w:rsidR="00A3423F" w:rsidRPr="00A3423F">
          <w:rPr>
            <w:rStyle w:val="Lienhypertexte"/>
          </w:rPr>
          <w:t>.</w:t>
        </w:r>
        <w:r w:rsidRPr="00A3423F">
          <w:rPr>
            <w:rStyle w:val="Lienhypertexte"/>
          </w:rPr>
          <w:t>EIA/SEA/2023/8</w:t>
        </w:r>
      </w:hyperlink>
      <w:r>
        <w:rPr>
          <w:lang w:val="fr-FR"/>
        </w:rPr>
        <w:t>)</w:t>
      </w:r>
      <w:r w:rsidR="00A3423F" w:rsidRPr="00A3423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C9B4" w14:textId="06DF185B" w:rsidR="00D902EB" w:rsidRPr="00D902EB" w:rsidRDefault="00D902EB">
    <w:pPr>
      <w:pStyle w:val="En-tte"/>
    </w:pPr>
    <w:fldSimple w:instr=" TITLE  \* MERGEFORMAT ">
      <w:r w:rsidR="004A68F2">
        <w:t>ECE/MP.EIA/SEA/2023/9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9642" w14:textId="5F6F42E5" w:rsidR="00D902EB" w:rsidRPr="00D902EB" w:rsidRDefault="00D902EB" w:rsidP="00D902EB">
    <w:pPr>
      <w:pStyle w:val="En-tte"/>
      <w:jc w:val="right"/>
    </w:pPr>
    <w:fldSimple w:instr=" TITLE  \* MERGEFORMAT ">
      <w:r w:rsidR="004A68F2">
        <w:t>ECE/MP.EIA/SEA/2023/9</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E9DA" w14:textId="140D3694" w:rsidR="00A169F2" w:rsidRPr="00A169F2" w:rsidRDefault="00A169F2" w:rsidP="00A169F2">
    <w:r>
      <w:rPr>
        <w:noProof/>
      </w:rPr>
      <mc:AlternateContent>
        <mc:Choice Requires="wps">
          <w:drawing>
            <wp:anchor distT="0" distB="0" distL="114300" distR="114300" simplePos="0" relativeHeight="251663360" behindDoc="0" locked="0" layoutInCell="1" allowOverlap="1" wp14:anchorId="59F37640" wp14:editId="5D9C06BF">
              <wp:simplePos x="0" y="0"/>
              <wp:positionH relativeFrom="page">
                <wp:posOffset>9935845</wp:posOffset>
              </wp:positionH>
              <wp:positionV relativeFrom="margin">
                <wp:posOffset>0</wp:posOffset>
              </wp:positionV>
              <wp:extent cx="215900" cy="612013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3758817" w14:textId="18903FB0" w:rsidR="00A169F2" w:rsidRPr="00D902EB" w:rsidRDefault="00A169F2" w:rsidP="00A169F2">
                          <w:pPr>
                            <w:pStyle w:val="En-tte"/>
                          </w:pPr>
                          <w:r>
                            <w:fldChar w:fldCharType="begin"/>
                          </w:r>
                          <w:r>
                            <w:instrText xml:space="preserve"> TITLE  \* MERGEFORMAT </w:instrText>
                          </w:r>
                          <w:r>
                            <w:fldChar w:fldCharType="separate"/>
                          </w:r>
                          <w:r w:rsidR="004A68F2">
                            <w:t>ECE/MP.EIA/SEA/2023/9</w:t>
                          </w:r>
                          <w:r>
                            <w:fldChar w:fldCharType="end"/>
                          </w:r>
                        </w:p>
                        <w:p w14:paraId="0FAB8F8F" w14:textId="77777777" w:rsidR="00A169F2" w:rsidRDefault="00A169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9F37640" id="_x0000_t202" coordsize="21600,21600" o:spt="202" path="m,l,21600r21600,l21600,xe">
              <v:stroke joinstyle="miter"/>
              <v:path gradientshapeok="t" o:connecttype="rect"/>
            </v:shapetype>
            <v:shape id="Zone de texte 8" o:spid="_x0000_s1056"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8EQA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tLQhebJ57ssXwlCh323eWt2NQEZws+PIKjdiIKaETC&#10;Ay1KI+XCweKsQvfjb+fRv+Bx5ayl9iy4/34EJznTXw3pH3t5NNxo7EfDHJs1EiczGj4rkkkPXNCj&#10;qRw2LzQ5q5iFrsAIqqTglK0316EfEpo8IVer5EQdayFszc6KsVOiOE/dCzg7KBhI+3scGxfyN0L2&#10;vlE9g6tjQFUnlS8sDnRTtyedhsmM4/TrPnld/h/Ln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ZqofBEACAACH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43758817" w14:textId="18903FB0" w:rsidR="00A169F2" w:rsidRPr="00D902EB" w:rsidRDefault="00A169F2" w:rsidP="00A169F2">
                    <w:pPr>
                      <w:pStyle w:val="En-tte"/>
                    </w:pPr>
                    <w:r>
                      <w:fldChar w:fldCharType="begin"/>
                    </w:r>
                    <w:r>
                      <w:instrText xml:space="preserve"> TITLE  \* MERGEFORMAT </w:instrText>
                    </w:r>
                    <w:r>
                      <w:fldChar w:fldCharType="separate"/>
                    </w:r>
                    <w:r w:rsidR="004A68F2">
                      <w:t>ECE/MP.EIA/SEA/2023/9</w:t>
                    </w:r>
                    <w:r>
                      <w:fldChar w:fldCharType="end"/>
                    </w:r>
                  </w:p>
                  <w:p w14:paraId="0FAB8F8F" w14:textId="77777777" w:rsidR="00A169F2" w:rsidRDefault="00A169F2"/>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E50F" w14:textId="6ED3F6F1" w:rsidR="00A169F2" w:rsidRPr="00A169F2" w:rsidRDefault="00A169F2" w:rsidP="00A169F2">
    <w:r>
      <w:rPr>
        <w:noProof/>
      </w:rPr>
      <mc:AlternateContent>
        <mc:Choice Requires="wps">
          <w:drawing>
            <wp:anchor distT="0" distB="0" distL="114300" distR="114300" simplePos="0" relativeHeight="251661312" behindDoc="0" locked="0" layoutInCell="1" allowOverlap="1" wp14:anchorId="54B56892" wp14:editId="765DCF29">
              <wp:simplePos x="0" y="0"/>
              <wp:positionH relativeFrom="page">
                <wp:posOffset>9935845</wp:posOffset>
              </wp:positionH>
              <wp:positionV relativeFrom="margin">
                <wp:posOffset>0</wp:posOffset>
              </wp:positionV>
              <wp:extent cx="215900" cy="612013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7DB517C" w14:textId="40CC2B2F" w:rsidR="00A169F2" w:rsidRPr="00D902EB" w:rsidRDefault="00A169F2" w:rsidP="00A169F2">
                          <w:pPr>
                            <w:pStyle w:val="En-tte"/>
                            <w:jc w:val="right"/>
                          </w:pPr>
                          <w:r>
                            <w:fldChar w:fldCharType="begin"/>
                          </w:r>
                          <w:r>
                            <w:instrText xml:space="preserve"> TITLE  \* MERGEFORMAT </w:instrText>
                          </w:r>
                          <w:r>
                            <w:fldChar w:fldCharType="separate"/>
                          </w:r>
                          <w:r w:rsidR="004A68F2">
                            <w:t>ECE/MP.EIA/SEA/2023/9</w:t>
                          </w:r>
                          <w:r>
                            <w:fldChar w:fldCharType="end"/>
                          </w:r>
                        </w:p>
                        <w:p w14:paraId="205DF002" w14:textId="77777777" w:rsidR="00A169F2" w:rsidRDefault="00A169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4B56892" id="_x0000_t202" coordsize="21600,21600" o:spt="202" path="m,l,21600r21600,l21600,xe">
              <v:stroke joinstyle="miter"/>
              <v:path gradientshapeok="t" o:connecttype="rect"/>
            </v:shapetype>
            <v:shape id="Zone de texte 4" o:spid="_x0000_s105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27DB517C" w14:textId="40CC2B2F" w:rsidR="00A169F2" w:rsidRPr="00D902EB" w:rsidRDefault="00A169F2" w:rsidP="00A169F2">
                    <w:pPr>
                      <w:pStyle w:val="En-tte"/>
                      <w:jc w:val="right"/>
                    </w:pPr>
                    <w:r>
                      <w:fldChar w:fldCharType="begin"/>
                    </w:r>
                    <w:r>
                      <w:instrText xml:space="preserve"> TITLE  \* MERGEFORMAT </w:instrText>
                    </w:r>
                    <w:r>
                      <w:fldChar w:fldCharType="separate"/>
                    </w:r>
                    <w:r w:rsidR="004A68F2">
                      <w:t>ECE/MP.EIA/SEA/2023/9</w:t>
                    </w:r>
                    <w:r>
                      <w:fldChar w:fldCharType="end"/>
                    </w:r>
                  </w:p>
                  <w:p w14:paraId="205DF002" w14:textId="77777777" w:rsidR="00A169F2" w:rsidRDefault="00A169F2"/>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7685" w14:textId="4EEBEFF2" w:rsidR="00C43B72" w:rsidRPr="00C43B72" w:rsidRDefault="00C43B72" w:rsidP="00C43B72">
    <w:pPr>
      <w:pStyle w:val="En-tte"/>
    </w:pPr>
    <w:fldSimple w:instr=" TITLE  \* MERGEFORMAT ">
      <w:r w:rsidR="004A68F2">
        <w:t>ECE/MP.EIA/SEA/2023/9</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453C" w14:textId="3C715FC3" w:rsidR="00C43B72" w:rsidRPr="00C43B72" w:rsidRDefault="00C43B72" w:rsidP="00C43B72">
    <w:pPr>
      <w:pStyle w:val="En-tte"/>
      <w:jc w:val="right"/>
    </w:pPr>
    <w:fldSimple w:instr=" TITLE  \* MERGEFORMAT ">
      <w:r w:rsidR="004A68F2">
        <w:t>ECE/MP.EIA/SEA/2023/9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F215E8"/>
    <w:multiLevelType w:val="hybridMultilevel"/>
    <w:tmpl w:val="438CBD16"/>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3" w15:restartNumberingAfterBreak="0">
    <w:nsid w:val="1A5B482B"/>
    <w:multiLevelType w:val="hybridMultilevel"/>
    <w:tmpl w:val="780840A2"/>
    <w:lvl w:ilvl="0" w:tplc="D918F152">
      <w:start w:val="60"/>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74BB6F27"/>
    <w:multiLevelType w:val="hybridMultilevel"/>
    <w:tmpl w:val="0F6052C6"/>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26428530">
    <w:abstractNumId w:val="21"/>
  </w:num>
  <w:num w:numId="2" w16cid:durableId="1361778020">
    <w:abstractNumId w:val="19"/>
  </w:num>
  <w:num w:numId="3" w16cid:durableId="1602685396">
    <w:abstractNumId w:val="11"/>
  </w:num>
  <w:num w:numId="4" w16cid:durableId="1405450924">
    <w:abstractNumId w:val="8"/>
  </w:num>
  <w:num w:numId="5" w16cid:durableId="1854303337">
    <w:abstractNumId w:val="3"/>
  </w:num>
  <w:num w:numId="6" w16cid:durableId="821965088">
    <w:abstractNumId w:val="2"/>
  </w:num>
  <w:num w:numId="7" w16cid:durableId="387649071">
    <w:abstractNumId w:val="1"/>
  </w:num>
  <w:num w:numId="8" w16cid:durableId="2042240270">
    <w:abstractNumId w:val="0"/>
  </w:num>
  <w:num w:numId="9" w16cid:durableId="384529197">
    <w:abstractNumId w:val="9"/>
  </w:num>
  <w:num w:numId="10" w16cid:durableId="694310021">
    <w:abstractNumId w:val="7"/>
  </w:num>
  <w:num w:numId="11" w16cid:durableId="976568206">
    <w:abstractNumId w:val="6"/>
  </w:num>
  <w:num w:numId="12" w16cid:durableId="1524053091">
    <w:abstractNumId w:val="5"/>
  </w:num>
  <w:num w:numId="13" w16cid:durableId="1717201224">
    <w:abstractNumId w:val="4"/>
  </w:num>
  <w:num w:numId="14" w16cid:durableId="154494763">
    <w:abstractNumId w:val="21"/>
  </w:num>
  <w:num w:numId="15" w16cid:durableId="1159417233">
    <w:abstractNumId w:val="19"/>
  </w:num>
  <w:num w:numId="16" w16cid:durableId="1798182544">
    <w:abstractNumId w:val="11"/>
  </w:num>
  <w:num w:numId="17" w16cid:durableId="776680051">
    <w:abstractNumId w:val="17"/>
  </w:num>
  <w:num w:numId="18" w16cid:durableId="723022928">
    <w:abstractNumId w:val="16"/>
  </w:num>
  <w:num w:numId="19" w16cid:durableId="2108500997">
    <w:abstractNumId w:val="10"/>
  </w:num>
  <w:num w:numId="20" w16cid:durableId="1761830711">
    <w:abstractNumId w:val="14"/>
  </w:num>
  <w:num w:numId="21" w16cid:durableId="1798835614">
    <w:abstractNumId w:val="18"/>
  </w:num>
  <w:num w:numId="22" w16cid:durableId="702094436">
    <w:abstractNumId w:val="15"/>
  </w:num>
  <w:num w:numId="23" w16cid:durableId="1652711947">
    <w:abstractNumId w:val="20"/>
  </w:num>
  <w:num w:numId="24" w16cid:durableId="131138362">
    <w:abstractNumId w:val="23"/>
  </w:num>
  <w:num w:numId="25" w16cid:durableId="1968198829">
    <w:abstractNumId w:val="13"/>
  </w:num>
  <w:num w:numId="26" w16cid:durableId="664821998">
    <w:abstractNumId w:val="12"/>
  </w:num>
  <w:num w:numId="27" w16cid:durableId="1288584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73"/>
    <w:rsid w:val="00017F94"/>
    <w:rsid w:val="00023842"/>
    <w:rsid w:val="00031189"/>
    <w:rsid w:val="000334F9"/>
    <w:rsid w:val="0007796D"/>
    <w:rsid w:val="000B7790"/>
    <w:rsid w:val="00111F2F"/>
    <w:rsid w:val="0014365E"/>
    <w:rsid w:val="00176178"/>
    <w:rsid w:val="001F525A"/>
    <w:rsid w:val="00223272"/>
    <w:rsid w:val="0024779E"/>
    <w:rsid w:val="002832AC"/>
    <w:rsid w:val="002B40F9"/>
    <w:rsid w:val="002D7C93"/>
    <w:rsid w:val="002E481D"/>
    <w:rsid w:val="00381873"/>
    <w:rsid w:val="00441C3B"/>
    <w:rsid w:val="00446FE5"/>
    <w:rsid w:val="00452396"/>
    <w:rsid w:val="004A68F2"/>
    <w:rsid w:val="004D1C08"/>
    <w:rsid w:val="004E468C"/>
    <w:rsid w:val="005505B7"/>
    <w:rsid w:val="00573BE5"/>
    <w:rsid w:val="00586ED3"/>
    <w:rsid w:val="00596AA9"/>
    <w:rsid w:val="005D6D16"/>
    <w:rsid w:val="005F26E5"/>
    <w:rsid w:val="006C0E3B"/>
    <w:rsid w:val="0071218D"/>
    <w:rsid w:val="0071601D"/>
    <w:rsid w:val="007A5FC4"/>
    <w:rsid w:val="007A62E6"/>
    <w:rsid w:val="0080684C"/>
    <w:rsid w:val="00847E55"/>
    <w:rsid w:val="00871C75"/>
    <w:rsid w:val="008776DC"/>
    <w:rsid w:val="008D6B3F"/>
    <w:rsid w:val="0090540F"/>
    <w:rsid w:val="009705C8"/>
    <w:rsid w:val="009C1CF4"/>
    <w:rsid w:val="00A14420"/>
    <w:rsid w:val="00A169F2"/>
    <w:rsid w:val="00A30353"/>
    <w:rsid w:val="00A3423F"/>
    <w:rsid w:val="00AC3823"/>
    <w:rsid w:val="00AE323C"/>
    <w:rsid w:val="00B00181"/>
    <w:rsid w:val="00B00B0D"/>
    <w:rsid w:val="00B61815"/>
    <w:rsid w:val="00B765F7"/>
    <w:rsid w:val="00BA0CA9"/>
    <w:rsid w:val="00C02897"/>
    <w:rsid w:val="00C43B72"/>
    <w:rsid w:val="00C554CE"/>
    <w:rsid w:val="00CE26D2"/>
    <w:rsid w:val="00D3439C"/>
    <w:rsid w:val="00D503D3"/>
    <w:rsid w:val="00D902EB"/>
    <w:rsid w:val="00DB1831"/>
    <w:rsid w:val="00DD3BFD"/>
    <w:rsid w:val="00DF5712"/>
    <w:rsid w:val="00DF6678"/>
    <w:rsid w:val="00E96BD6"/>
    <w:rsid w:val="00ED5F56"/>
    <w:rsid w:val="00EE22F9"/>
    <w:rsid w:val="00EF2E22"/>
    <w:rsid w:val="00F274A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34A0"/>
  <w15:docId w15:val="{A91D567B-9A63-4095-AE09-AD04F1E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paragraph" w:styleId="Rvision">
    <w:name w:val="Revision"/>
    <w:hidden/>
    <w:uiPriority w:val="99"/>
    <w:semiHidden/>
    <w:rsid w:val="00D902EB"/>
    <w:pPr>
      <w:spacing w:after="0" w:line="240" w:lineRule="auto"/>
    </w:pPr>
    <w:rPr>
      <w:rFonts w:ascii="Times New Roman" w:hAnsi="Times New Roman" w:cs="Times New Roman"/>
      <w:sz w:val="20"/>
      <w:szCs w:val="20"/>
      <w:lang w:val="en-GB" w:eastAsia="fr-FR"/>
    </w:rPr>
  </w:style>
  <w:style w:type="character" w:customStyle="1" w:styleId="SingleTxtGChar">
    <w:name w:val="_ Single Txt_G Char"/>
    <w:link w:val="SingleTxtG"/>
    <w:rsid w:val="00D902EB"/>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D902EB"/>
    <w:rPr>
      <w:color w:val="605E5C"/>
      <w:shd w:val="clear" w:color="auto" w:fill="E1DFDD"/>
    </w:rPr>
  </w:style>
  <w:style w:type="character" w:styleId="Marquedecommentaire">
    <w:name w:val="annotation reference"/>
    <w:basedOn w:val="Policepardfaut"/>
    <w:uiPriority w:val="99"/>
    <w:semiHidden/>
    <w:unhideWhenUsed/>
    <w:rsid w:val="00D902EB"/>
    <w:rPr>
      <w:sz w:val="16"/>
      <w:szCs w:val="16"/>
    </w:rPr>
  </w:style>
  <w:style w:type="paragraph" w:styleId="Commentaire">
    <w:name w:val="annotation text"/>
    <w:basedOn w:val="Normal"/>
    <w:link w:val="CommentaireCar"/>
    <w:uiPriority w:val="99"/>
    <w:unhideWhenUsed/>
    <w:rsid w:val="00D902EB"/>
    <w:pPr>
      <w:spacing w:line="240" w:lineRule="auto"/>
    </w:pPr>
  </w:style>
  <w:style w:type="character" w:customStyle="1" w:styleId="CommentaireCar">
    <w:name w:val="Commentaire Car"/>
    <w:basedOn w:val="Policepardfaut"/>
    <w:link w:val="Commentaire"/>
    <w:uiPriority w:val="99"/>
    <w:rsid w:val="00D902EB"/>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D902EB"/>
    <w:rPr>
      <w:b/>
      <w:bCs/>
    </w:rPr>
  </w:style>
  <w:style w:type="character" w:customStyle="1" w:styleId="ObjetducommentaireCar">
    <w:name w:val="Objet du commentaire Car"/>
    <w:basedOn w:val="CommentaireCar"/>
    <w:link w:val="Objetducommentaire"/>
    <w:uiPriority w:val="99"/>
    <w:semiHidden/>
    <w:rsid w:val="00D902EB"/>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mingor.gov.hr/oministarstvu-1065/djelokrug-rada/uprava-zaprocjenu-utjecaja-na-okolis-i-odrzivogospodarenje-otpadom-1271/procjenautjecaja-na-okolis-puo-spuo/strateskaprocjena-utjecaja-na-okolis-spuo-4015/4015" TargetMode="External"/><Relationship Id="rId39" Type="http://schemas.openxmlformats.org/officeDocument/2006/relationships/hyperlink" Target="https://mediu.gov.md/ro/content/evaluarestrategic%C4%83-de-mediu-la-nivelna%C8%9Bional" TargetMode="External"/><Relationship Id="rId21" Type="http://schemas.openxmlformats.org/officeDocument/2006/relationships/header" Target="header2.xml"/><Relationship Id="rId34" Type="http://schemas.openxmlformats.org/officeDocument/2006/relationships/hyperlink" Target="https://epa.org.me/obavjestenja-sea/" TargetMode="External"/><Relationship Id="rId42" Type="http://schemas.openxmlformats.org/officeDocument/2006/relationships/hyperlink" Target="https://portal.cenia.cz/eiasea/view/sea100_mezistatni?lang=cs" TargetMode="External"/><Relationship Id="rId47" Type="http://schemas.openxmlformats.org/officeDocument/2006/relationships/chart" Target="charts/chart13.xml"/><Relationship Id="rId50" Type="http://schemas.openxmlformats.org/officeDocument/2006/relationships/footer" Target="footer6.xml"/><Relationship Id="rId55" Type="http://schemas.openxmlformats.org/officeDocument/2006/relationships/customXml" Target="../customXml/item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hart" Target="charts/chart9.xml"/><Relationship Id="rId29" Type="http://schemas.openxmlformats.org/officeDocument/2006/relationships/hyperlink" Target="https://sede.miteco.gob.es/portal/site/seMITECO/navSabiaPlanes" TargetMode="External"/><Relationship Id="rId11" Type="http://schemas.openxmlformats.org/officeDocument/2006/relationships/chart" Target="charts/chart4.xml"/><Relationship Id="rId24" Type="http://schemas.openxmlformats.org/officeDocument/2006/relationships/footer" Target="footer3.xml"/><Relationship Id="rId32" Type="http://schemas.openxmlformats.org/officeDocument/2006/relationships/hyperlink" Target="https://environment.gov.mt/en/sea/Pages/plansProgrammes.aspx" TargetMode="External"/><Relationship Id="rId37" Type="http://schemas.openxmlformats.org/officeDocument/2006/relationships/hyperlink" Target="http://bazaoos.gdos.gov.pl/web/guest/home" TargetMode="External"/><Relationship Id="rId40" Type="http://schemas.openxmlformats.org/officeDocument/2006/relationships/hyperlink" Target="https://mediu.gov.md/ro/content/republicamoldova-parte-afectat%C4%83" TargetMode="Externa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www.vpvb.gov.lv/lv/jaunumi"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hyperlink" Target="https://mst.dk/service/annoncering/espoo/" TargetMode="External"/><Relationship Id="rId30" Type="http://schemas.openxmlformats.org/officeDocument/2006/relationships/hyperlink" Target="https://www.vpvb.gov.lv/lv/darbibasjomas-strategiskais-ietekmes-uz-vidinovertejums" TargetMode="External"/><Relationship Id="rId35" Type="http://schemas.openxmlformats.org/officeDocument/2006/relationships/hyperlink" Target="https://www.gov.me/mepg"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chart" Target="charts/chart1.xm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mingor.gov.hr/oministarstvu-1065/djelokrug-rada/upravaza-procjenu-utjecaja-na-okolis-i-odrzivogospodarenje-otpadom-1271/procjenautjecaja-na-okolis-puo-spuo/strateskaprocjena-utjecaja-na-okolis-spuo4015/4015" TargetMode="External"/><Relationship Id="rId33" Type="http://schemas.openxmlformats.org/officeDocument/2006/relationships/hyperlink" Target="https://environment.gov.mt/en/sea/Pages/plansProgrammes.aspx" TargetMode="External"/><Relationship Id="rId38" Type="http://schemas.openxmlformats.org/officeDocument/2006/relationships/hyperlink" Target="https://mediu.gov.md/ro/content/consultarea-proiectului-planuluiprogramului" TargetMode="External"/><Relationship Id="rId46" Type="http://schemas.openxmlformats.org/officeDocument/2006/relationships/footer" Target="footer5.xml"/><Relationship Id="rId20" Type="http://schemas.openxmlformats.org/officeDocument/2006/relationships/header" Target="header1.xml"/><Relationship Id="rId41" Type="http://schemas.openxmlformats.org/officeDocument/2006/relationships/hyperlink" Target="https://portal.cenia.cz/eiasea/view/SEA100_koncepce"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8.xml"/><Relationship Id="rId23" Type="http://schemas.openxmlformats.org/officeDocument/2006/relationships/footer" Target="footer2.xml"/><Relationship Id="rId28" Type="http://schemas.openxmlformats.org/officeDocument/2006/relationships/hyperlink" Target="https://sede.miteco.gob.es//portal/site/seMITECO/navSabiaPlanes" TargetMode="External"/><Relationship Id="rId36" Type="http://schemas.openxmlformats.org/officeDocument/2006/relationships/hyperlink" Target="http://bazaoos.gdos.gov.pl/web/guest/home" TargetMode="External"/><Relationship Id="rId49"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fr/ECE/MP.EIA/SEA/2023/8" TargetMode="External"/><Relationship Id="rId3" Type="http://schemas.openxmlformats.org/officeDocument/2006/relationships/hyperlink" Target="https://eur-lex.europa.eu/legal-content/EN/ALL/?uri=CELEX:32001L0042Directive%202001/42/EU" TargetMode="External"/><Relationship Id="rId7" Type="http://schemas.openxmlformats.org/officeDocument/2006/relationships/hyperlink" Target="https://undocs.org/fr/ECE/MP.EIA/SEA/14" TargetMode="External"/><Relationship Id="rId2" Type="http://schemas.openxmlformats.org/officeDocument/2006/relationships/hyperlink" Target="http://www.unece.org/env/eia/implementation/review_%20implementation.html" TargetMode="External"/><Relationship Id="rId1" Type="http://schemas.openxmlformats.org/officeDocument/2006/relationships/hyperlink" Target="http://www.unece.org/environment-policy/environmental-assessment/review-implementation-2019-protocol" TargetMode="External"/><Relationship Id="rId6" Type="http://schemas.openxmlformats.org/officeDocument/2006/relationships/hyperlink" Target="https://undocs.org/fr/ECE/MP.EIA/17" TargetMode="External"/><Relationship Id="rId5" Type="http://schemas.openxmlformats.org/officeDocument/2006/relationships/hyperlink" Target="https://undocs.org/fr/ECE/MP.EIA/SEA/2" TargetMode="External"/><Relationship Id="rId4" Type="http://schemas.openxmlformats.org/officeDocument/2006/relationships/hyperlink" Target="http://www.unece.org/env/eia/contac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prstGeom prst="rect">
                <a:avLst/>
              </a:prstGeom>
              <a:solidFill>
                <a:schemeClr val="accent1"/>
              </a:solidFill>
              <a:ln w="19050">
                <a:solidFill>
                  <a:schemeClr val="lt1"/>
                </a:solidFill>
                <a:miter/>
              </a:ln>
              <a:effectLst/>
            </c:spPr>
            <c:extLst>
              <c:ext xmlns:c16="http://schemas.microsoft.com/office/drawing/2014/chart" uri="{C3380CC4-5D6E-409C-BE32-E72D297353CC}">
                <c16:uniqueId val="{00000001-8A97-46B8-95C3-B464B7F304F1}"/>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8A97-46B8-95C3-B464B7F304F1}"/>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8A97-46B8-95C3-B464B7F304F1}"/>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8A97-46B8-95C3-B464B7F304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Аркуш1!$A$2:$A$5</c:f>
              <c:strCache>
                <c:ptCount val="4"/>
                <c:pt idx="0">
                  <c:v>a) Au cas par cas</c:v>
                </c:pt>
                <c:pt idx="1">
                  <c:v>b) En précisant le type de plan ou de programme </c:v>
                </c:pt>
                <c:pt idx="2">
                  <c:v>c) En associant les options a) et b) </c:v>
                </c:pt>
                <c:pt idx="3">
                  <c:v>d) Autre</c:v>
                </c:pt>
              </c:strCache>
            </c:strRef>
          </c:cat>
          <c:val>
            <c:numRef>
              <c:f>Аркуш1!$B$2:$B$5</c:f>
              <c:numCache>
                <c:formatCode>General</c:formatCode>
                <c:ptCount val="4"/>
                <c:pt idx="0">
                  <c:v>11</c:v>
                </c:pt>
                <c:pt idx="1">
                  <c:v>2</c:v>
                </c:pt>
                <c:pt idx="2">
                  <c:v>12</c:v>
                </c:pt>
                <c:pt idx="3">
                  <c:v>0</c:v>
                </c:pt>
              </c:numCache>
            </c:numRef>
          </c:val>
          <c:extLst>
            <c:ext xmlns:c16="http://schemas.microsoft.com/office/drawing/2014/chart" uri="{C3380CC4-5D6E-409C-BE32-E72D297353CC}">
              <c16:uniqueId val="{00000008-8A97-46B8-95C3-B464B7F304F1}"/>
            </c:ext>
          </c:extLst>
        </c:ser>
        <c:dLbls>
          <c:dLblPos val="bestFit"/>
          <c:showLegendKey val="0"/>
          <c:showVal val="1"/>
          <c:showCatName val="0"/>
          <c:showSerName val="0"/>
          <c:showPercent val="0"/>
          <c:showBubbleSize val="0"/>
          <c:showLeaderLines val="1"/>
        </c:dLbls>
        <c:firstSliceAng val="0"/>
      </c:pieChart>
      <c:spPr>
        <a:prstGeom prst="rect">
          <a:avLst/>
        </a:prstGeom>
        <a:noFill/>
        <a:ln>
          <a:noFill/>
        </a:ln>
        <a:effectLst/>
      </c:spPr>
    </c:plotArea>
    <c:legend>
      <c:legendPos val="l"/>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Аркуш1!$A$2:$A$6</c:f>
              <c:strCache>
                <c:ptCount val="5"/>
                <c:pt idx="0">
                  <c:v>a) Suivant la législation nationale de la Partie d'origine</c:v>
                </c:pt>
                <c:pt idx="1">
                  <c:v>b) Suivant la législation nationale de la Partie touchée</c:v>
                </c:pt>
                <c:pt idx="2">
                  <c:v>c) Au cas par cas</c:v>
                </c:pt>
                <c:pt idx="3">
                  <c:v>d) Conformément aux accords (bilatéraux, par exemple) existants</c:v>
                </c:pt>
                <c:pt idx="4">
                  <c:v>e) Autre</c:v>
                </c:pt>
              </c:strCache>
            </c:strRef>
          </c:cat>
          <c:val>
            <c:numRef>
              <c:f>Аркуш1!$B$2:$B$6</c:f>
              <c:numCache>
                <c:formatCode>General</c:formatCode>
                <c:ptCount val="5"/>
                <c:pt idx="0">
                  <c:v>12</c:v>
                </c:pt>
                <c:pt idx="1">
                  <c:v>5</c:v>
                </c:pt>
                <c:pt idx="2">
                  <c:v>10</c:v>
                </c:pt>
                <c:pt idx="3">
                  <c:v>4</c:v>
                </c:pt>
                <c:pt idx="4">
                  <c:v>1</c:v>
                </c:pt>
              </c:numCache>
            </c:numRef>
          </c:val>
          <c:extLst>
            <c:ext xmlns:c16="http://schemas.microsoft.com/office/drawing/2014/chart" uri="{C3380CC4-5D6E-409C-BE32-E72D297353CC}">
              <c16:uniqueId val="{00000000-6E01-4D22-9666-E5B1A358F69E}"/>
            </c:ext>
          </c:extLst>
        </c:ser>
        <c:dLbls>
          <c:showLegendKey val="0"/>
          <c:showVal val="0"/>
          <c:showCatName val="0"/>
          <c:showSerName val="0"/>
          <c:showPercent val="0"/>
          <c:showBubbleSize val="0"/>
        </c:dLbls>
        <c:gapWidth val="182"/>
        <c:axId val="614093583"/>
        <c:axId val="393090383"/>
      </c:barChart>
      <c:valAx>
        <c:axId val="393090383"/>
        <c:scaling>
          <c:orientation val="minMax"/>
        </c:scaling>
        <c:delete val="0"/>
        <c:axPos val="t"/>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614093583"/>
        <c:crosses val="autoZero"/>
        <c:crossBetween val="between"/>
      </c:valAx>
      <c:catAx>
        <c:axId val="614093583"/>
        <c:scaling>
          <c:orientation val="maxMin"/>
        </c:scaling>
        <c:delete val="0"/>
        <c:axPos val="l"/>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393090383"/>
        <c:crosses val="autoZero"/>
        <c:auto val="1"/>
        <c:lblAlgn val="ctr"/>
        <c:lblOffset val="100"/>
        <c:noMultiLvlLbl val="0"/>
      </c:cat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Ряд 1</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6FEA-4414-BB7E-0768F79DC983}"/>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6FEA-4414-BB7E-0768F79DC983}"/>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6FEA-4414-BB7E-0768F79DC9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Аркуш1!$A$2:$A$4</c:f>
              <c:strCache>
                <c:ptCount val="3"/>
                <c:pt idx="0">
                  <c:v>a) Plan ou programme</c:v>
                </c:pt>
                <c:pt idx="1">
                  <c:v>b) Déclaration résumant comment les considérations environnementales, y compris celles relatives à la santé, ont été intégrées dans le plan ou le programme et la manière dont les observations reçues ont été prises en compte</c:v>
                </c:pt>
                <c:pt idx="2">
                  <c:v>c) Explication des raisons pour lesquelles le plan ou programme a été adopté à la lumière des solutions de remplacement raisonnables</c:v>
                </c:pt>
              </c:strCache>
            </c:strRef>
          </c:cat>
          <c:val>
            <c:numRef>
              <c:f>Аркуш1!$B$2:$B$4</c:f>
              <c:numCache>
                <c:formatCode>General</c:formatCode>
                <c:ptCount val="3"/>
                <c:pt idx="0">
                  <c:v>19</c:v>
                </c:pt>
                <c:pt idx="1">
                  <c:v>21</c:v>
                </c:pt>
                <c:pt idx="2">
                  <c:v>22</c:v>
                </c:pt>
              </c:numCache>
            </c:numRef>
          </c:val>
          <c:extLst>
            <c:ext xmlns:c16="http://schemas.microsoft.com/office/drawing/2014/chart" uri="{C3380CC4-5D6E-409C-BE32-E72D297353CC}">
              <c16:uniqueId val="{00000006-6FEA-4414-BB7E-0768F79DC983}"/>
            </c:ext>
          </c:extLst>
        </c:ser>
        <c:dLbls>
          <c:dLblPos val="bestFit"/>
          <c:showLegendKey val="0"/>
          <c:showVal val="1"/>
          <c:showCatName val="0"/>
          <c:showSerName val="0"/>
          <c:showPercent val="0"/>
          <c:showBubbleSize val="0"/>
          <c:showLeaderLines val="1"/>
        </c:dLbls>
        <c:firstSliceAng val="0"/>
      </c:pieChart>
      <c:spPr>
        <a:prstGeom prst="rect">
          <a:avLst/>
        </a:prstGeom>
        <a:noFill/>
        <a:ln>
          <a:noFill/>
        </a:ln>
        <a:effectLst/>
      </c:spPr>
    </c:plotArea>
    <c:legend>
      <c:legendPos val="l"/>
      <c:legendEntry>
        <c:idx val="1"/>
        <c:txPr>
          <a:bodyPr rot="0" spcFirstLastPara="1" vertOverflow="ellipsis" vert="horz" wrap="square" anchor="ctr" anchorCtr="1"/>
          <a:lstStyle/>
          <a:p>
            <a:pPr>
              <a:defRPr sz="900" b="0" i="0" u="none" strike="noStrike" spc="-40" baseline="0">
                <a:solidFill>
                  <a:schemeClr val="tx1">
                    <a:lumMod val="65000"/>
                    <a:lumOff val="35000"/>
                  </a:schemeClr>
                </a:solidFill>
                <a:latin typeface="+mn-lt"/>
                <a:ea typeface="+mn-ea"/>
                <a:cs typeface="+mn-cs"/>
              </a:defRPr>
            </a:pPr>
            <a:endParaRPr lang="en-US"/>
          </a:p>
        </c:txPr>
      </c:legendEntry>
      <c:layout>
        <c:manualLayout>
          <c:xMode val="edge"/>
          <c:yMode val="edge"/>
          <c:x val="1.6506189821182942E-2"/>
          <c:y val="3.8528173133872801E-2"/>
          <c:w val="0.4296192962124577"/>
          <c:h val="0.94140235239399872"/>
        </c:manualLayout>
      </c:layout>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224887070747415"/>
          <c:y val="0.11605883796899488"/>
          <c:w val="0.46879979276065475"/>
          <c:h val="0.83118336826601713"/>
        </c:manualLayout>
      </c:layout>
      <c:barChart>
        <c:barDir val="bar"/>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Аркуш1!$A$2:$A$5</c:f>
              <c:strCache>
                <c:ptCount val="4"/>
                <c:pt idx="0">
                  <c:v>a) En passant par le point de contact</c:v>
                </c:pt>
                <c:pt idx="1">
                  <c:v>b) En informant la personne de contact désignée responsable pour l'évaluation stratégique environnementale au sein du ministère, qui applique la procédure nationale et informe ses autorités et le public</c:v>
                </c:pt>
                <c:pt idx="2">
                  <c:v>c) En informant toutes les autorités qui participent à l'évaluation et en les laissant tenir leur public informé</c:v>
                </c:pt>
                <c:pt idx="3">
                  <c:v>d) Autre</c:v>
                </c:pt>
              </c:strCache>
            </c:strRef>
          </c:cat>
          <c:val>
            <c:numRef>
              <c:f>Аркуш1!$B$2:$B$5</c:f>
              <c:numCache>
                <c:formatCode>General</c:formatCode>
                <c:ptCount val="4"/>
                <c:pt idx="0">
                  <c:v>20</c:v>
                </c:pt>
                <c:pt idx="1">
                  <c:v>11</c:v>
                </c:pt>
                <c:pt idx="2">
                  <c:v>2</c:v>
                </c:pt>
                <c:pt idx="3">
                  <c:v>0</c:v>
                </c:pt>
              </c:numCache>
            </c:numRef>
          </c:val>
          <c:extLst>
            <c:ext xmlns:c16="http://schemas.microsoft.com/office/drawing/2014/chart" uri="{C3380CC4-5D6E-409C-BE32-E72D297353CC}">
              <c16:uniqueId val="{00000000-B0D8-478F-BC95-7B39211A2104}"/>
            </c:ext>
          </c:extLst>
        </c:ser>
        <c:dLbls>
          <c:showLegendKey val="0"/>
          <c:showVal val="0"/>
          <c:showCatName val="0"/>
          <c:showSerName val="0"/>
          <c:showPercent val="0"/>
          <c:showBubbleSize val="0"/>
        </c:dLbls>
        <c:gapWidth val="182"/>
        <c:axId val="389636031"/>
        <c:axId val="481200863"/>
      </c:barChart>
      <c:catAx>
        <c:axId val="389636031"/>
        <c:scaling>
          <c:orientation val="maxMin"/>
        </c:scaling>
        <c:delete val="0"/>
        <c:axPos val="l"/>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0" vert="horz"/>
          <a:lstStyle/>
          <a:p>
            <a:pPr>
              <a:defRPr sz="820" baseline="0"/>
            </a:pPr>
            <a:endParaRPr lang="en-US"/>
          </a:p>
        </c:txPr>
        <c:crossAx val="481200863"/>
        <c:crosses val="autoZero"/>
        <c:auto val="1"/>
        <c:lblAlgn val="ctr"/>
        <c:lblOffset val="100"/>
        <c:noMultiLvlLbl val="0"/>
      </c:catAx>
      <c:valAx>
        <c:axId val="481200863"/>
        <c:scaling>
          <c:orientation val="minMax"/>
        </c:scaling>
        <c:delete val="0"/>
        <c:axPos val="t"/>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vert="horz"/>
          <a:lstStyle/>
          <a:p>
            <a:pPr>
              <a:defRPr/>
            </a:pPr>
            <a:endParaRPr lang="en-US"/>
          </a:p>
        </c:txPr>
        <c:crossAx val="389636031"/>
        <c:crosses val="autoZero"/>
        <c:crossBetween val="between"/>
      </c:valAx>
      <c:spPr>
        <a:prstGeom prst="rect">
          <a:avLst/>
        </a:prstGeom>
        <a:noFill/>
        <a:ln w="25400">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sz="800" baseline="0"/>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Аркуш1!$A$2:$A$6</c:f>
              <c:strCache>
                <c:ptCount val="5"/>
                <c:pt idx="0">
                  <c:v>a) Bon rapport coût-efficacité</c:v>
                </c:pt>
                <c:pt idx="1">
                  <c:v>b) Planification plus ciblée reposant sur des informations plus détaillées</c:v>
                </c:pt>
                <c:pt idx="2">
                  <c:v>c) Coordination entre différents secteurs qui évite les doubles emplois et les incohérences</c:v>
                </c:pt>
                <c:pt idx="3">
                  <c:v>d) Bienfaits pour l'environnement et la santé</c:v>
                </c:pt>
                <c:pt idx="4">
                  <c:v>e) Autre</c:v>
                </c:pt>
              </c:strCache>
            </c:strRef>
          </c:cat>
          <c:val>
            <c:numRef>
              <c:f>Аркуш1!$B$2:$B$6</c:f>
              <c:numCache>
                <c:formatCode>General</c:formatCode>
                <c:ptCount val="5"/>
                <c:pt idx="0">
                  <c:v>3</c:v>
                </c:pt>
                <c:pt idx="1">
                  <c:v>19</c:v>
                </c:pt>
                <c:pt idx="2">
                  <c:v>14</c:v>
                </c:pt>
                <c:pt idx="3">
                  <c:v>20</c:v>
                </c:pt>
                <c:pt idx="4">
                  <c:v>3</c:v>
                </c:pt>
              </c:numCache>
            </c:numRef>
          </c:val>
          <c:extLst>
            <c:ext xmlns:c16="http://schemas.microsoft.com/office/drawing/2014/chart" uri="{C3380CC4-5D6E-409C-BE32-E72D297353CC}">
              <c16:uniqueId val="{00000000-F90A-4E8E-9E7C-CDF81309D200}"/>
            </c:ext>
          </c:extLst>
        </c:ser>
        <c:dLbls>
          <c:showLegendKey val="0"/>
          <c:showVal val="0"/>
          <c:showCatName val="0"/>
          <c:showSerName val="0"/>
          <c:showPercent val="0"/>
          <c:showBubbleSize val="0"/>
        </c:dLbls>
        <c:gapWidth val="182"/>
        <c:axId val="389636031"/>
        <c:axId val="481200863"/>
      </c:barChart>
      <c:catAx>
        <c:axId val="389636031"/>
        <c:scaling>
          <c:orientation val="maxMin"/>
        </c:scaling>
        <c:delete val="0"/>
        <c:axPos val="l"/>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481200863"/>
        <c:crosses val="autoZero"/>
        <c:auto val="1"/>
        <c:lblAlgn val="ctr"/>
        <c:lblOffset val="100"/>
        <c:noMultiLvlLbl val="0"/>
      </c:catAx>
      <c:valAx>
        <c:axId val="481200863"/>
        <c:scaling>
          <c:orientation val="minMax"/>
        </c:scaling>
        <c:delete val="0"/>
        <c:axPos val="t"/>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389636031"/>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C251-449D-B32C-339F3E732612}"/>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C251-449D-B32C-339F3E732612}"/>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C251-449D-B32C-339F3E732612}"/>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C251-449D-B32C-339F3E7326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Аркуш1!$A$2:$A$5</c:f>
              <c:strCache>
                <c:ptCount val="4"/>
                <c:pt idx="0">
                  <c:v>a) En envoyant des observations écrites aux autorités compétentes</c:v>
                </c:pt>
                <c:pt idx="1">
                  <c:v>b) En remplissant un questionnaire  </c:v>
                </c:pt>
                <c:pt idx="2">
                  <c:v>c) En participant à une audition publique </c:v>
                </c:pt>
                <c:pt idx="3">
                  <c:v>d) Autre</c:v>
                </c:pt>
              </c:strCache>
            </c:strRef>
          </c:cat>
          <c:val>
            <c:numRef>
              <c:f>Аркуш1!$B$2:$B$5</c:f>
              <c:numCache>
                <c:formatCode>General</c:formatCode>
                <c:ptCount val="4"/>
                <c:pt idx="0">
                  <c:v>11</c:v>
                </c:pt>
                <c:pt idx="1">
                  <c:v>0</c:v>
                </c:pt>
                <c:pt idx="2">
                  <c:v>6</c:v>
                </c:pt>
                <c:pt idx="3">
                  <c:v>4</c:v>
                </c:pt>
              </c:numCache>
            </c:numRef>
          </c:val>
          <c:extLst>
            <c:ext xmlns:c16="http://schemas.microsoft.com/office/drawing/2014/chart" uri="{C3380CC4-5D6E-409C-BE32-E72D297353CC}">
              <c16:uniqueId val="{00000008-C251-449D-B32C-339F3E732612}"/>
            </c:ext>
          </c:extLst>
        </c:ser>
        <c:dLbls>
          <c:dLblPos val="bestFit"/>
          <c:showLegendKey val="0"/>
          <c:showVal val="1"/>
          <c:showCatName val="0"/>
          <c:showSerName val="0"/>
          <c:showPercent val="0"/>
          <c:showBubbleSize val="0"/>
          <c:showLeaderLines val="1"/>
        </c:dLbls>
        <c:firstSliceAng val="0"/>
      </c:pieChart>
      <c:spPr>
        <a:prstGeom prst="rect">
          <a:avLst/>
        </a:prstGeom>
        <a:noFill/>
        <a:ln>
          <a:noFill/>
        </a:ln>
        <a:effectLst/>
      </c:spPr>
    </c:plotArea>
    <c:legend>
      <c:legendPos val="l"/>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BC13-41BE-9013-9394EEA1E44A}"/>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BC13-41BE-9013-9394EEA1E44A}"/>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BC13-41BE-9013-9394EEA1E44A}"/>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BC13-41BE-9013-9394EEA1E4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Аркуш1!$A$2:$A$5</c:f>
              <c:strCache>
                <c:ptCount val="4"/>
                <c:pt idx="0">
                  <c:v>a) En envoyant des observations écrites aux autorités compétentes</c:v>
                </c:pt>
                <c:pt idx="1">
                  <c:v>b) En remplissant un questionnaire</c:v>
                </c:pt>
                <c:pt idx="2">
                  <c:v>c) En participant à une audition publique</c:v>
                </c:pt>
                <c:pt idx="3">
                  <c:v>d) Autre</c:v>
                </c:pt>
              </c:strCache>
            </c:strRef>
          </c:cat>
          <c:val>
            <c:numRef>
              <c:f>Аркуш1!$B$2:$B$5</c:f>
              <c:numCache>
                <c:formatCode>General</c:formatCode>
                <c:ptCount val="4"/>
                <c:pt idx="0">
                  <c:v>15</c:v>
                </c:pt>
                <c:pt idx="1">
                  <c:v>1</c:v>
                </c:pt>
                <c:pt idx="2">
                  <c:v>9</c:v>
                </c:pt>
                <c:pt idx="3">
                  <c:v>0</c:v>
                </c:pt>
              </c:numCache>
            </c:numRef>
          </c:val>
          <c:extLst>
            <c:ext xmlns:c16="http://schemas.microsoft.com/office/drawing/2014/chart" uri="{C3380CC4-5D6E-409C-BE32-E72D297353CC}">
              <c16:uniqueId val="{00000008-BC13-41BE-9013-9394EEA1E44A}"/>
            </c:ext>
          </c:extLst>
        </c:ser>
        <c:dLbls>
          <c:dLblPos val="bestFit"/>
          <c:showLegendKey val="0"/>
          <c:showVal val="1"/>
          <c:showCatName val="0"/>
          <c:showSerName val="0"/>
          <c:showPercent val="0"/>
          <c:showBubbleSize val="0"/>
          <c:showLeaderLines val="1"/>
        </c:dLbls>
        <c:firstSliceAng val="0"/>
      </c:pieChart>
      <c:spPr>
        <a:prstGeom prst="rect">
          <a:avLst/>
        </a:prstGeom>
        <a:noFill/>
        <a:ln>
          <a:noFill/>
        </a:ln>
        <a:effectLst/>
      </c:spPr>
    </c:plotArea>
    <c:legend>
      <c:legendPos val="l"/>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prstGeom prst="rect">
                <a:avLst/>
              </a:prstGeom>
              <a:solidFill>
                <a:schemeClr val="accent1"/>
              </a:solidFill>
              <a:ln w="19050">
                <a:solidFill>
                  <a:schemeClr val="lt1"/>
                </a:solidFill>
              </a:ln>
              <a:effectLst/>
            </c:spPr>
            <c:extLst>
              <c:ext xmlns:c16="http://schemas.microsoft.com/office/drawing/2014/chart" uri="{C3380CC4-5D6E-409C-BE32-E72D297353CC}">
                <c16:uniqueId val="{00000001-5691-476F-A9B2-07F723006900}"/>
              </c:ext>
            </c:extLst>
          </c:dPt>
          <c:dPt>
            <c:idx val="1"/>
            <c:bubble3D val="0"/>
            <c:spPr>
              <a:prstGeom prst="rect">
                <a:avLst/>
              </a:prstGeom>
              <a:solidFill>
                <a:schemeClr val="accent2"/>
              </a:solidFill>
              <a:ln w="19050">
                <a:solidFill>
                  <a:schemeClr val="lt1"/>
                </a:solidFill>
              </a:ln>
              <a:effectLst/>
            </c:spPr>
            <c:extLst>
              <c:ext xmlns:c16="http://schemas.microsoft.com/office/drawing/2014/chart" uri="{C3380CC4-5D6E-409C-BE32-E72D297353CC}">
                <c16:uniqueId val="{00000003-5691-476F-A9B2-07F723006900}"/>
              </c:ext>
            </c:extLst>
          </c:dPt>
          <c:dPt>
            <c:idx val="2"/>
            <c:bubble3D val="0"/>
            <c:spPr>
              <a:prstGeom prst="rect">
                <a:avLst/>
              </a:prstGeom>
              <a:solidFill>
                <a:schemeClr val="accent3"/>
              </a:solidFill>
              <a:ln w="19050">
                <a:solidFill>
                  <a:schemeClr val="lt1"/>
                </a:solidFill>
              </a:ln>
              <a:effectLst/>
            </c:spPr>
            <c:extLst>
              <c:ext xmlns:c16="http://schemas.microsoft.com/office/drawing/2014/chart" uri="{C3380CC4-5D6E-409C-BE32-E72D297353CC}">
                <c16:uniqueId val="{00000005-5691-476F-A9B2-07F723006900}"/>
              </c:ext>
            </c:extLst>
          </c:dPt>
          <c:dPt>
            <c:idx val="3"/>
            <c:bubble3D val="0"/>
            <c:spPr>
              <a:prstGeom prst="rect">
                <a:avLst/>
              </a:prstGeom>
              <a:solidFill>
                <a:schemeClr val="accent4"/>
              </a:solidFill>
              <a:ln w="19050">
                <a:solidFill>
                  <a:schemeClr val="lt1"/>
                </a:solidFill>
              </a:ln>
              <a:effectLst/>
            </c:spPr>
            <c:extLst>
              <c:ext xmlns:c16="http://schemas.microsoft.com/office/drawing/2014/chart" uri="{C3380CC4-5D6E-409C-BE32-E72D297353CC}">
                <c16:uniqueId val="{00000007-5691-476F-A9B2-07F7230069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prstGeom prst="rect">
                  <a:avLst/>
                </a:prstGeom>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Аркуш1!$A$2:$A$5</c:f>
              <c:strCache>
                <c:ptCount val="4"/>
                <c:pt idx="0">
                  <c:v>a) Au cas par cas</c:v>
                </c:pt>
                <c:pt idx="1">
                  <c:v>b) Comme le définit la législation nationale</c:v>
                </c:pt>
                <c:pt idx="2">
                  <c:v>c) En associant les options a) et b)</c:v>
                </c:pt>
                <c:pt idx="3">
                  <c:v>d) Autre</c:v>
                </c:pt>
              </c:strCache>
            </c:strRef>
          </c:cat>
          <c:val>
            <c:numRef>
              <c:f>Аркуш1!$B$2:$B$5</c:f>
              <c:numCache>
                <c:formatCode>General</c:formatCode>
                <c:ptCount val="4"/>
                <c:pt idx="0">
                  <c:v>17</c:v>
                </c:pt>
                <c:pt idx="1">
                  <c:v>3</c:v>
                </c:pt>
                <c:pt idx="2">
                  <c:v>5</c:v>
                </c:pt>
                <c:pt idx="3">
                  <c:v>0</c:v>
                </c:pt>
              </c:numCache>
            </c:numRef>
          </c:val>
          <c:extLst>
            <c:ext xmlns:c16="http://schemas.microsoft.com/office/drawing/2014/chart" uri="{C3380CC4-5D6E-409C-BE32-E72D297353CC}">
              <c16:uniqueId val="{00000008-5691-476F-A9B2-07F723006900}"/>
            </c:ext>
          </c:extLst>
        </c:ser>
        <c:dLbls>
          <c:showLegendKey val="0"/>
          <c:showVal val="0"/>
          <c:showCatName val="0"/>
          <c:showSerName val="0"/>
          <c:showPercent val="0"/>
          <c:showBubbleSize val="0"/>
          <c:showLeaderLines val="1"/>
        </c:dLbls>
        <c:firstSliceAng val="0"/>
      </c:pieChart>
      <c:spPr>
        <a:prstGeom prst="rect">
          <a:avLst/>
        </a:prstGeom>
        <a:noFill/>
        <a:ln>
          <a:noFill/>
        </a:ln>
        <a:effectLst/>
      </c:spPr>
    </c:plotArea>
    <c:legend>
      <c:legendPos val="l"/>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rstGeom prst="rect">
              <a:avLst/>
            </a:prstGeom>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Аркуш1!$A$2:$A$5</c:f>
              <c:strCache>
                <c:ptCount val="4"/>
                <c:pt idx="0">
                  <c:v>a) Les autorités compétentes vérifient les données et s'assurent qu’elles contiennent au moins toutes les informations spécifiées à l’annexe IV avant de les rendre publiques</c:v>
                </c:pt>
                <c:pt idx="1">
                  <c:v>b) À l'aide de listes de vérification de la qualité</c:v>
                </c:pt>
                <c:pt idx="2">
                  <c:v>c) Il n'existe pas de procédure ni de mécanisme particulier</c:v>
                </c:pt>
                <c:pt idx="3">
                  <c:v>d) Autre</c:v>
                </c:pt>
              </c:strCache>
            </c:strRef>
          </c:cat>
          <c:val>
            <c:numRef>
              <c:f>Аркуш1!$B$2:$B$5</c:f>
              <c:numCache>
                <c:formatCode>General</c:formatCode>
                <c:ptCount val="4"/>
                <c:pt idx="0">
                  <c:v>17</c:v>
                </c:pt>
                <c:pt idx="1">
                  <c:v>2</c:v>
                </c:pt>
                <c:pt idx="2">
                  <c:v>3</c:v>
                </c:pt>
                <c:pt idx="3">
                  <c:v>10</c:v>
                </c:pt>
              </c:numCache>
            </c:numRef>
          </c:val>
          <c:extLst>
            <c:ext xmlns:c16="http://schemas.microsoft.com/office/drawing/2014/chart" uri="{C3380CC4-5D6E-409C-BE32-E72D297353CC}">
              <c16:uniqueId val="{00000000-6A93-40C4-9CD2-54443F6B6FB1}"/>
            </c:ext>
          </c:extLst>
        </c:ser>
        <c:ser>
          <c:idx val="1"/>
          <c:order val="1"/>
          <c:tx>
            <c:strRef>
              <c:f>Аркуш1!$C$1</c:f>
              <c:strCache>
                <c:ptCount val="1"/>
                <c:pt idx="0">
                  <c:v>Ряд 2</c:v>
                </c:pt>
              </c:strCache>
            </c:strRef>
          </c:tx>
          <c:spPr>
            <a:prstGeom prst="rect">
              <a:avLst/>
            </a:prstGeom>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Аркуш1!$A$2:$A$5</c:f>
              <c:strCache>
                <c:ptCount val="4"/>
                <c:pt idx="0">
                  <c:v>a) Les autorités compétentes vérifient les données et s'assurent qu’elles contiennent au moins toutes les informations spécifiées à l’annexe IV avant de les rendre publiques</c:v>
                </c:pt>
                <c:pt idx="1">
                  <c:v>b) À l'aide de listes de vérification de la qualité</c:v>
                </c:pt>
                <c:pt idx="2">
                  <c:v>c) Il n'existe pas de procédure ni de mécanisme particulier</c:v>
                </c:pt>
                <c:pt idx="3">
                  <c:v>d) Autre</c:v>
                </c:pt>
              </c:strCache>
            </c:strRef>
          </c:cat>
          <c:val>
            <c:numRef>
              <c:f>Аркуш1!$C$2:$C$5</c:f>
              <c:numCache>
                <c:formatCode>General</c:formatCode>
                <c:ptCount val="4"/>
              </c:numCache>
            </c:numRef>
          </c:val>
          <c:extLst>
            <c:ext xmlns:c16="http://schemas.microsoft.com/office/drawing/2014/chart" uri="{C3380CC4-5D6E-409C-BE32-E72D297353CC}">
              <c16:uniqueId val="{00000001-6A93-40C4-9CD2-54443F6B6FB1}"/>
            </c:ext>
          </c:extLst>
        </c:ser>
        <c:ser>
          <c:idx val="2"/>
          <c:order val="2"/>
          <c:tx>
            <c:strRef>
              <c:f>Аркуш1!$D$1</c:f>
              <c:strCache>
                <c:ptCount val="1"/>
                <c:pt idx="0">
                  <c:v>Ряд 3</c:v>
                </c:pt>
              </c:strCache>
            </c:strRef>
          </c:tx>
          <c:spPr>
            <a:prstGeom prst="rect">
              <a:avLst/>
            </a:prstGeom>
            <a:pattFill prst="narVert">
              <a:fgClr>
                <a:schemeClr val="accent3"/>
              </a:fgClr>
              <a:bgClr>
                <a:schemeClr val="accent3">
                  <a:lumMod val="20000"/>
                  <a:lumOff val="80000"/>
                </a:schemeClr>
              </a:bgClr>
            </a:pattFill>
            <a:ln>
              <a:noFill/>
            </a:ln>
            <a:effectLst>
              <a:innerShdw blurRad="114300">
                <a:schemeClr val="accent3"/>
              </a:innerShdw>
            </a:effectLst>
          </c:spPr>
          <c:invertIfNegative val="0"/>
          <c:cat>
            <c:strRef>
              <c:f>Аркуш1!$A$2:$A$5</c:f>
              <c:strCache>
                <c:ptCount val="4"/>
                <c:pt idx="0">
                  <c:v>a) Les autorités compétentes vérifient les données et s'assurent qu’elles contiennent au moins toutes les informations spécifiées à l’annexe IV avant de les rendre publiques</c:v>
                </c:pt>
                <c:pt idx="1">
                  <c:v>b) À l'aide de listes de vérification de la qualité</c:v>
                </c:pt>
                <c:pt idx="2">
                  <c:v>c) Il n'existe pas de procédure ni de mécanisme particulier</c:v>
                </c:pt>
                <c:pt idx="3">
                  <c:v>d) Autre</c:v>
                </c:pt>
              </c:strCache>
            </c:strRef>
          </c:cat>
          <c:val>
            <c:numRef>
              <c:f>Аркуш1!$D$2:$D$5</c:f>
              <c:numCache>
                <c:formatCode>General</c:formatCode>
                <c:ptCount val="4"/>
              </c:numCache>
            </c:numRef>
          </c:val>
          <c:extLst>
            <c:ext xmlns:c16="http://schemas.microsoft.com/office/drawing/2014/chart" uri="{C3380CC4-5D6E-409C-BE32-E72D297353CC}">
              <c16:uniqueId val="{00000002-6A93-40C4-9CD2-54443F6B6FB1}"/>
            </c:ext>
          </c:extLst>
        </c:ser>
        <c:dLbls>
          <c:showLegendKey val="0"/>
          <c:showVal val="0"/>
          <c:showCatName val="0"/>
          <c:showSerName val="0"/>
          <c:showPercent val="0"/>
          <c:showBubbleSize val="0"/>
        </c:dLbls>
        <c:gapWidth val="227"/>
        <c:overlap val="-48"/>
        <c:axId val="1768144399"/>
        <c:axId val="1844947327"/>
      </c:barChart>
      <c:catAx>
        <c:axId val="1768144399"/>
        <c:scaling>
          <c:orientation val="maxMin"/>
        </c:scaling>
        <c:delete val="0"/>
        <c:axPos val="l"/>
        <c:numFmt formatCode="General" sourceLinked="1"/>
        <c:majorTickMark val="none"/>
        <c:minorTickMark val="none"/>
        <c:tickLblPos val="nextTo"/>
        <c:spPr>
          <a:prstGeom prst="rect">
            <a:avLst/>
          </a:prstGeom>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844947327"/>
        <c:crosses val="autoZero"/>
        <c:auto val="1"/>
        <c:lblAlgn val="ctr"/>
        <c:lblOffset val="100"/>
        <c:noMultiLvlLbl val="0"/>
      </c:catAx>
      <c:valAx>
        <c:axId val="1844947327"/>
        <c:scaling>
          <c:orientation val="minMax"/>
        </c:scaling>
        <c:delete val="0"/>
        <c:axPos val="t"/>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68144399"/>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Аркуш1!$A$2:$A$5</c:f>
              <c:strCache>
                <c:ptCount val="4"/>
                <c:pt idx="0">
                  <c:v>a) Par la publication d'avis au public </c:v>
                </c:pt>
                <c:pt idx="1">
                  <c:v>b) Par des médias électroniques</c:v>
                </c:pt>
                <c:pt idx="2">
                  <c:v>c) En mettant des exemplaires à la disposition du public dans des bureaux publics</c:v>
                </c:pt>
                <c:pt idx="3">
                  <c:v>c) Par d'autres moyens</c:v>
                </c:pt>
              </c:strCache>
            </c:strRef>
          </c:cat>
          <c:val>
            <c:numRef>
              <c:f>Аркуш1!$B$2:$B$5</c:f>
              <c:numCache>
                <c:formatCode>General</c:formatCode>
                <c:ptCount val="4"/>
                <c:pt idx="0">
                  <c:v>22</c:v>
                </c:pt>
                <c:pt idx="1">
                  <c:v>23</c:v>
                </c:pt>
                <c:pt idx="2">
                  <c:v>14</c:v>
                </c:pt>
                <c:pt idx="3">
                  <c:v>2</c:v>
                </c:pt>
              </c:numCache>
            </c:numRef>
          </c:val>
          <c:extLst>
            <c:ext xmlns:c16="http://schemas.microsoft.com/office/drawing/2014/chart" uri="{C3380CC4-5D6E-409C-BE32-E72D297353CC}">
              <c16:uniqueId val="{00000000-6EE4-4514-BE5F-F67EBC5F2A4B}"/>
            </c:ext>
          </c:extLst>
        </c:ser>
        <c:dLbls>
          <c:showLegendKey val="0"/>
          <c:showVal val="0"/>
          <c:showCatName val="0"/>
          <c:showSerName val="0"/>
          <c:showPercent val="0"/>
          <c:showBubbleSize val="0"/>
        </c:dLbls>
        <c:gapWidth val="182"/>
        <c:axId val="1919174639"/>
        <c:axId val="1844950655"/>
      </c:barChart>
      <c:catAx>
        <c:axId val="1919174639"/>
        <c:scaling>
          <c:orientation val="maxMin"/>
        </c:scaling>
        <c:delete val="0"/>
        <c:axPos val="l"/>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844950655"/>
        <c:crosses val="autoZero"/>
        <c:auto val="1"/>
        <c:lblAlgn val="ctr"/>
        <c:lblOffset val="100"/>
        <c:noMultiLvlLbl val="0"/>
      </c:catAx>
      <c:valAx>
        <c:axId val="1844950655"/>
        <c:scaling>
          <c:orientation val="minMax"/>
        </c:scaling>
        <c:delete val="0"/>
        <c:axPos val="t"/>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919174639"/>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Аркуш1!$A$2:$A$5</c:f>
              <c:strCache>
                <c:ptCount val="4"/>
                <c:pt idx="0">
                  <c:v>a) En fonction de la localisation géographique des plans et programmes</c:v>
                </c:pt>
                <c:pt idx="1">
                  <c:v>b) En fonction des effets environnementaux (importance, ampleur, accumulation, etc.) des plans et programmes</c:v>
                </c:pt>
                <c:pt idx="2">
                  <c:v>c) En mettant les informations à la disposition de tous les membres du public et en laissant le public concerné se manifester </c:v>
                </c:pt>
                <c:pt idx="3">
                  <c:v>d) Par d'autres moyens</c:v>
                </c:pt>
              </c:strCache>
            </c:strRef>
          </c:cat>
          <c:val>
            <c:numRef>
              <c:f>Аркуш1!$B$2:$B$5</c:f>
              <c:numCache>
                <c:formatCode>General</c:formatCode>
                <c:ptCount val="4"/>
                <c:pt idx="0">
                  <c:v>21</c:v>
                </c:pt>
                <c:pt idx="1">
                  <c:v>15</c:v>
                </c:pt>
                <c:pt idx="2">
                  <c:v>22</c:v>
                </c:pt>
                <c:pt idx="3">
                  <c:v>1</c:v>
                </c:pt>
              </c:numCache>
            </c:numRef>
          </c:val>
          <c:extLst>
            <c:ext xmlns:c16="http://schemas.microsoft.com/office/drawing/2014/chart" uri="{C3380CC4-5D6E-409C-BE32-E72D297353CC}">
              <c16:uniqueId val="{00000000-726C-4414-9DD8-D4833E36E9F4}"/>
            </c:ext>
          </c:extLst>
        </c:ser>
        <c:dLbls>
          <c:showLegendKey val="0"/>
          <c:showVal val="0"/>
          <c:showCatName val="0"/>
          <c:showSerName val="0"/>
          <c:showPercent val="0"/>
          <c:showBubbleSize val="0"/>
        </c:dLbls>
        <c:gapWidth val="219"/>
        <c:overlap val="-27"/>
        <c:axId val="1764065951"/>
        <c:axId val="1774660703"/>
      </c:barChart>
      <c:catAx>
        <c:axId val="1764065951"/>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74660703"/>
        <c:crosses val="autoZero"/>
        <c:auto val="1"/>
        <c:lblAlgn val="ctr"/>
        <c:lblOffset val="100"/>
        <c:noMultiLvlLbl val="0"/>
      </c:catAx>
      <c:valAx>
        <c:axId val="1774660703"/>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64065951"/>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Аркуш1!$A$2:$A$6</c:f>
              <c:strCache>
                <c:ptCount val="4"/>
                <c:pt idx="0">
                  <c:v>a) En envoyant des observations à l'autorité ou au point de contact compétent</c:v>
                </c:pt>
                <c:pt idx="1">
                  <c:v>b) En remplissant un questionnaire</c:v>
                </c:pt>
                <c:pt idx="2">
                  <c:v>c) En participant à une audition publique</c:v>
                </c:pt>
                <c:pt idx="3">
                  <c:v>d) Autre</c:v>
                </c:pt>
              </c:strCache>
            </c:strRef>
          </c:cat>
          <c:val>
            <c:numRef>
              <c:f>Аркуш1!$B$2:$B$6</c:f>
              <c:numCache>
                <c:formatCode>General</c:formatCode>
                <c:ptCount val="5"/>
                <c:pt idx="0">
                  <c:v>24</c:v>
                </c:pt>
                <c:pt idx="1">
                  <c:v>3</c:v>
                </c:pt>
                <c:pt idx="2">
                  <c:v>19</c:v>
                </c:pt>
                <c:pt idx="3">
                  <c:v>3</c:v>
                </c:pt>
              </c:numCache>
            </c:numRef>
          </c:val>
          <c:extLst>
            <c:ext xmlns:c16="http://schemas.microsoft.com/office/drawing/2014/chart" uri="{C3380CC4-5D6E-409C-BE32-E72D297353CC}">
              <c16:uniqueId val="{00000000-74A1-4AA5-870E-723950BA129D}"/>
            </c:ext>
          </c:extLst>
        </c:ser>
        <c:dLbls>
          <c:showLegendKey val="0"/>
          <c:showVal val="0"/>
          <c:showCatName val="0"/>
          <c:showSerName val="0"/>
          <c:showPercent val="0"/>
          <c:showBubbleSize val="0"/>
        </c:dLbls>
        <c:gapWidth val="219"/>
        <c:overlap val="-27"/>
        <c:axId val="1759376031"/>
        <c:axId val="1876969711"/>
      </c:barChart>
      <c:catAx>
        <c:axId val="1759376031"/>
        <c:scaling>
          <c:orientation val="minMax"/>
        </c:scaling>
        <c:delete val="0"/>
        <c:axPos val="b"/>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876969711"/>
        <c:crosses val="autoZero"/>
        <c:auto val="1"/>
        <c:lblAlgn val="ctr"/>
        <c:lblOffset val="100"/>
        <c:noMultiLvlLbl val="0"/>
      </c:catAx>
      <c:valAx>
        <c:axId val="1876969711"/>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759376031"/>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Аркуш1!$A$2:$A$5</c:f>
              <c:strCache>
                <c:ptCount val="4"/>
                <c:pt idx="0">
                  <c:v>a) En envoyant des observations</c:v>
                </c:pt>
                <c:pt idx="1">
                  <c:v>b) En remplissant un questionnaire</c:v>
                </c:pt>
                <c:pt idx="2">
                  <c:v>c) Lors d'une réunion</c:v>
                </c:pt>
                <c:pt idx="3">
                  <c:v>d) Par d'autres moyens</c:v>
                </c:pt>
              </c:strCache>
            </c:strRef>
          </c:cat>
          <c:val>
            <c:numRef>
              <c:f>Аркуш1!$B$2:$B$5</c:f>
              <c:numCache>
                <c:formatCode>General</c:formatCode>
                <c:ptCount val="4"/>
                <c:pt idx="0">
                  <c:v>0</c:v>
                </c:pt>
                <c:pt idx="1">
                  <c:v>0</c:v>
                </c:pt>
                <c:pt idx="2">
                  <c:v>14</c:v>
                </c:pt>
                <c:pt idx="3">
                  <c:v>0</c:v>
                </c:pt>
              </c:numCache>
            </c:numRef>
          </c:val>
          <c:extLst>
            <c:ext xmlns:c16="http://schemas.microsoft.com/office/drawing/2014/chart" uri="{C3380CC4-5D6E-409C-BE32-E72D297353CC}">
              <c16:uniqueId val="{00000000-2ED0-4D84-85AF-CE5235C2E339}"/>
            </c:ext>
          </c:extLst>
        </c:ser>
        <c:dLbls>
          <c:showLegendKey val="0"/>
          <c:showVal val="0"/>
          <c:showCatName val="0"/>
          <c:showSerName val="0"/>
          <c:showPercent val="0"/>
          <c:showBubbleSize val="0"/>
        </c:dLbls>
        <c:gapWidth val="182"/>
        <c:axId val="1294004544"/>
        <c:axId val="1021634256"/>
      </c:barChart>
      <c:catAx>
        <c:axId val="1294004544"/>
        <c:scaling>
          <c:orientation val="maxMin"/>
        </c:scaling>
        <c:delete val="0"/>
        <c:axPos val="l"/>
        <c:numFmt formatCode="General" sourceLinked="1"/>
        <c:majorTickMark val="none"/>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021634256"/>
        <c:crosses val="autoZero"/>
        <c:auto val="1"/>
        <c:lblAlgn val="ctr"/>
        <c:lblOffset val="100"/>
        <c:noMultiLvlLbl val="0"/>
      </c:catAx>
      <c:valAx>
        <c:axId val="1021634256"/>
        <c:scaling>
          <c:orientation val="minMax"/>
        </c:scaling>
        <c:delete val="0"/>
        <c:axPos val="t"/>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en-US"/>
          </a:p>
        </c:txPr>
        <c:crossAx val="1294004544"/>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DD01E-8F2F-49B6-8867-FF0A4254B390}"/>
</file>

<file path=customXml/itemProps2.xml><?xml version="1.0" encoding="utf-8"?>
<ds:datastoreItem xmlns:ds="http://schemas.openxmlformats.org/officeDocument/2006/customXml" ds:itemID="{581796F4-18AB-4267-8F14-35EAA13067DD}"/>
</file>

<file path=docProps/app.xml><?xml version="1.0" encoding="utf-8"?>
<Properties xmlns="http://schemas.openxmlformats.org/officeDocument/2006/extended-properties" xmlns:vt="http://schemas.openxmlformats.org/officeDocument/2006/docPropsVTypes">
  <Template>ECE_MP.dotm</Template>
  <TotalTime>1</TotalTime>
  <Pages>29</Pages>
  <Words>8932</Words>
  <Characters>61637</Characters>
  <Application>Microsoft Office Word</Application>
  <DocSecurity>0</DocSecurity>
  <Lines>6848</Lines>
  <Paragraphs>2940</Paragraphs>
  <ScaleCrop>false</ScaleCrop>
  <HeadingPairs>
    <vt:vector size="2" baseType="variant">
      <vt:variant>
        <vt:lpstr>Titre</vt:lpstr>
      </vt:variant>
      <vt:variant>
        <vt:i4>1</vt:i4>
      </vt:variant>
    </vt:vector>
  </HeadingPairs>
  <TitlesOfParts>
    <vt:vector size="1" baseType="lpstr">
      <vt:lpstr>ECE/MP.EIA/SEA/2023/9</vt:lpstr>
    </vt:vector>
  </TitlesOfParts>
  <Company>DCM</Company>
  <LinksUpToDate>false</LinksUpToDate>
  <CharactersWithSpaces>67629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ECE/MP.EIA/SEA/2023/9</dc:title>
  <dc:subject/>
  <dc:creator>Maud DARICHE</dc:creator>
  <cp:keywords/>
  <cp:lastModifiedBy>Maud Dariche</cp:lastModifiedBy>
  <cp:revision>3</cp:revision>
  <cp:lastPrinted>2023-10-23T07:29:00Z</cp:lastPrinted>
  <dcterms:created xsi:type="dcterms:W3CDTF">2023-10-23T07:29:00Z</dcterms:created>
  <dcterms:modified xsi:type="dcterms:W3CDTF">2023-10-23T07:36:00Z</dcterms:modified>
</cp:coreProperties>
</file>