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116BE75" w14:textId="77777777" w:rsidTr="00B20551">
        <w:trPr>
          <w:cantSplit/>
          <w:trHeight w:hRule="exact" w:val="851"/>
        </w:trPr>
        <w:tc>
          <w:tcPr>
            <w:tcW w:w="1276" w:type="dxa"/>
            <w:tcBorders>
              <w:bottom w:val="single" w:sz="4" w:space="0" w:color="auto"/>
            </w:tcBorders>
            <w:vAlign w:val="bottom"/>
          </w:tcPr>
          <w:p w14:paraId="280A2574" w14:textId="77777777" w:rsidR="009E6CB7" w:rsidRDefault="009E6CB7" w:rsidP="00B20551">
            <w:pPr>
              <w:spacing w:after="80"/>
            </w:pPr>
          </w:p>
        </w:tc>
        <w:tc>
          <w:tcPr>
            <w:tcW w:w="2268" w:type="dxa"/>
            <w:tcBorders>
              <w:bottom w:val="single" w:sz="4" w:space="0" w:color="auto"/>
            </w:tcBorders>
            <w:vAlign w:val="bottom"/>
          </w:tcPr>
          <w:p w14:paraId="284B9CD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CDE6A8" w14:textId="07037152" w:rsidR="009E6CB7" w:rsidRPr="00D47EEA" w:rsidRDefault="007B6E6F" w:rsidP="007B6E6F">
            <w:pPr>
              <w:jc w:val="right"/>
            </w:pPr>
            <w:r w:rsidRPr="007B6E6F">
              <w:rPr>
                <w:sz w:val="40"/>
              </w:rPr>
              <w:t>ECE</w:t>
            </w:r>
            <w:r>
              <w:t>/MP.EIA/2023/7</w:t>
            </w:r>
          </w:p>
        </w:tc>
      </w:tr>
      <w:tr w:rsidR="009E6CB7" w14:paraId="22551BF5" w14:textId="77777777" w:rsidTr="00B20551">
        <w:trPr>
          <w:cantSplit/>
          <w:trHeight w:hRule="exact" w:val="2835"/>
        </w:trPr>
        <w:tc>
          <w:tcPr>
            <w:tcW w:w="1276" w:type="dxa"/>
            <w:tcBorders>
              <w:top w:val="single" w:sz="4" w:space="0" w:color="auto"/>
              <w:bottom w:val="single" w:sz="12" w:space="0" w:color="auto"/>
            </w:tcBorders>
          </w:tcPr>
          <w:p w14:paraId="5095590F" w14:textId="77777777" w:rsidR="009E6CB7" w:rsidRDefault="00686A48" w:rsidP="00B20551">
            <w:pPr>
              <w:spacing w:before="120"/>
            </w:pPr>
            <w:r>
              <w:rPr>
                <w:noProof/>
                <w:lang w:val="fr-CH" w:eastAsia="fr-CH"/>
              </w:rPr>
              <w:drawing>
                <wp:inline distT="0" distB="0" distL="0" distR="0" wp14:anchorId="42A0DD8F" wp14:editId="306099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86640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CDAB91B" w14:textId="77777777" w:rsidR="009E6CB7" w:rsidRDefault="007B6E6F" w:rsidP="007B6E6F">
            <w:pPr>
              <w:spacing w:before="240" w:line="240" w:lineRule="exact"/>
            </w:pPr>
            <w:r>
              <w:t>Distr.: General</w:t>
            </w:r>
          </w:p>
          <w:p w14:paraId="07626904" w14:textId="77777777" w:rsidR="007B6E6F" w:rsidRDefault="007B6E6F" w:rsidP="007B6E6F">
            <w:pPr>
              <w:spacing w:line="240" w:lineRule="exact"/>
            </w:pPr>
            <w:r>
              <w:t>2 October 2023</w:t>
            </w:r>
          </w:p>
          <w:p w14:paraId="35584F24" w14:textId="77777777" w:rsidR="007B6E6F" w:rsidRDefault="007B6E6F" w:rsidP="007B6E6F">
            <w:pPr>
              <w:spacing w:line="240" w:lineRule="exact"/>
            </w:pPr>
          </w:p>
          <w:p w14:paraId="1AB81046" w14:textId="17E0DAC4" w:rsidR="007B6E6F" w:rsidRDefault="007B6E6F" w:rsidP="007B6E6F">
            <w:pPr>
              <w:spacing w:line="240" w:lineRule="exact"/>
            </w:pPr>
            <w:r>
              <w:t>Original: English</w:t>
            </w:r>
          </w:p>
        </w:tc>
      </w:tr>
    </w:tbl>
    <w:p w14:paraId="35137055" w14:textId="77777777" w:rsidR="007B6E6F" w:rsidRPr="00594F24" w:rsidRDefault="007B6E6F" w:rsidP="0094684F">
      <w:pPr>
        <w:spacing w:before="120"/>
        <w:rPr>
          <w:b/>
          <w:color w:val="000000"/>
          <w:sz w:val="28"/>
          <w:szCs w:val="28"/>
        </w:rPr>
      </w:pPr>
      <w:r w:rsidRPr="00594F24">
        <w:rPr>
          <w:b/>
          <w:color w:val="000000"/>
          <w:sz w:val="28"/>
          <w:szCs w:val="28"/>
        </w:rPr>
        <w:t>Economic Commission for Europe</w:t>
      </w:r>
    </w:p>
    <w:p w14:paraId="45C944D8" w14:textId="77777777" w:rsidR="007B6E6F" w:rsidRPr="00594F24" w:rsidRDefault="007B6E6F"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5562F5BF" w14:textId="360C11D6" w:rsidR="007B6E6F" w:rsidRPr="00594F24" w:rsidRDefault="001B597A" w:rsidP="0094684F">
      <w:pPr>
        <w:spacing w:before="120"/>
        <w:rPr>
          <w:b/>
          <w:color w:val="000000"/>
        </w:rPr>
      </w:pPr>
      <w:r>
        <w:rPr>
          <w:b/>
          <w:color w:val="000000"/>
        </w:rPr>
        <w:t>Ninth</w:t>
      </w:r>
      <w:r w:rsidR="007B6E6F">
        <w:rPr>
          <w:b/>
          <w:color w:val="000000"/>
        </w:rPr>
        <w:t xml:space="preserve"> </w:t>
      </w:r>
      <w:r w:rsidR="007B6E6F" w:rsidRPr="00594F24">
        <w:rPr>
          <w:b/>
          <w:color w:val="000000"/>
        </w:rPr>
        <w:t>session</w:t>
      </w:r>
    </w:p>
    <w:p w14:paraId="507A9413" w14:textId="77777777" w:rsidR="007B6E6F" w:rsidRPr="00594F24" w:rsidRDefault="007B6E6F"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098F8821" w14:textId="64F3896D" w:rsidR="007B6E6F" w:rsidRPr="00594F24" w:rsidRDefault="001B597A" w:rsidP="0094684F">
      <w:pPr>
        <w:autoSpaceDE w:val="0"/>
        <w:autoSpaceDN w:val="0"/>
        <w:adjustRightInd w:val="0"/>
        <w:spacing w:before="120"/>
        <w:rPr>
          <w:b/>
          <w:color w:val="000000"/>
        </w:rPr>
      </w:pPr>
      <w:r>
        <w:rPr>
          <w:b/>
          <w:color w:val="000000"/>
        </w:rPr>
        <w:t>Fifth</w:t>
      </w:r>
      <w:r w:rsidR="007B6E6F">
        <w:rPr>
          <w:b/>
          <w:color w:val="000000"/>
        </w:rPr>
        <w:t xml:space="preserve"> </w:t>
      </w:r>
      <w:r w:rsidR="007B6E6F" w:rsidRPr="00594F24">
        <w:rPr>
          <w:b/>
          <w:color w:val="000000"/>
        </w:rPr>
        <w:t>session</w:t>
      </w:r>
    </w:p>
    <w:p w14:paraId="2089E225" w14:textId="77777777" w:rsidR="001B597A" w:rsidRPr="00D565F0" w:rsidRDefault="001B597A" w:rsidP="001B597A">
      <w:pPr>
        <w:spacing w:before="100" w:line="240" w:lineRule="auto"/>
      </w:pPr>
      <w:r>
        <w:t>Geneva</w:t>
      </w:r>
      <w:r w:rsidRPr="00D565F0">
        <w:t xml:space="preserve">, </w:t>
      </w:r>
      <w:r>
        <w:t>12–</w:t>
      </w:r>
      <w:r w:rsidRPr="00D565F0">
        <w:t>1</w:t>
      </w:r>
      <w:r>
        <w:t>5</w:t>
      </w:r>
      <w:r w:rsidRPr="00D565F0">
        <w:t xml:space="preserve"> December 202</w:t>
      </w:r>
      <w:r>
        <w:t>3</w:t>
      </w:r>
    </w:p>
    <w:p w14:paraId="64B57743" w14:textId="77777777" w:rsidR="001B597A" w:rsidRDefault="001B597A" w:rsidP="001B597A">
      <w:pPr>
        <w:autoSpaceDE w:val="0"/>
        <w:autoSpaceDN w:val="0"/>
        <w:adjustRightInd w:val="0"/>
      </w:pPr>
      <w:r w:rsidRPr="00594F24">
        <w:t>Item</w:t>
      </w:r>
      <w:r>
        <w:t xml:space="preserve">s 3 (b) and 8 (b) </w:t>
      </w:r>
      <w:r w:rsidRPr="00594F24">
        <w:t xml:space="preserve">of </w:t>
      </w:r>
      <w:r>
        <w:t xml:space="preserve">the </w:t>
      </w:r>
      <w:r w:rsidRPr="00594F24">
        <w:t>provisional agenda</w:t>
      </w:r>
    </w:p>
    <w:p w14:paraId="2E97621B" w14:textId="77777777" w:rsidR="001B597A" w:rsidRDefault="001B597A" w:rsidP="00AF4224">
      <w:pPr>
        <w:autoSpaceDE w:val="0"/>
        <w:autoSpaceDN w:val="0"/>
        <w:adjustRightInd w:val="0"/>
        <w:spacing w:before="120"/>
        <w:rPr>
          <w:b/>
          <w:bCs/>
        </w:rPr>
      </w:pPr>
      <w:r>
        <w:rPr>
          <w:b/>
          <w:bCs/>
        </w:rPr>
        <w:t>Outstanding issues: draft decisions by the Meeting</w:t>
      </w:r>
    </w:p>
    <w:p w14:paraId="009B7251" w14:textId="77777777" w:rsidR="001B597A" w:rsidRDefault="001B597A" w:rsidP="001B597A">
      <w:pPr>
        <w:autoSpaceDE w:val="0"/>
        <w:autoSpaceDN w:val="0"/>
        <w:adjustRightInd w:val="0"/>
        <w:rPr>
          <w:b/>
          <w:bCs/>
        </w:rPr>
      </w:pPr>
      <w:r>
        <w:rPr>
          <w:b/>
          <w:bCs/>
        </w:rPr>
        <w:t>of the Parties to the Convention</w:t>
      </w:r>
    </w:p>
    <w:p w14:paraId="6B0DB3AC" w14:textId="77777777" w:rsidR="001B597A" w:rsidRDefault="001B597A" w:rsidP="00AF4224">
      <w:pPr>
        <w:autoSpaceDE w:val="0"/>
        <w:autoSpaceDN w:val="0"/>
        <w:adjustRightInd w:val="0"/>
        <w:spacing w:before="120"/>
        <w:rPr>
          <w:b/>
          <w:bCs/>
        </w:rPr>
      </w:pPr>
      <w:r>
        <w:rPr>
          <w:b/>
          <w:bCs/>
        </w:rPr>
        <w:t>Adoption of decisions: decisions to be taken</w:t>
      </w:r>
    </w:p>
    <w:p w14:paraId="07B2B138" w14:textId="77777777" w:rsidR="001B597A" w:rsidRPr="00AF6AB8" w:rsidRDefault="001B597A" w:rsidP="001B597A">
      <w:pPr>
        <w:autoSpaceDE w:val="0"/>
        <w:autoSpaceDN w:val="0"/>
        <w:adjustRightInd w:val="0"/>
        <w:rPr>
          <w:b/>
          <w:bCs/>
        </w:rPr>
      </w:pPr>
      <w:r>
        <w:rPr>
          <w:b/>
          <w:bCs/>
        </w:rPr>
        <w:t>by the Meeting of the Parties to the Convention</w:t>
      </w:r>
    </w:p>
    <w:p w14:paraId="7E6C1D06" w14:textId="09313E5D" w:rsidR="001B597A" w:rsidRPr="00483E86" w:rsidRDefault="001B597A" w:rsidP="00AF4224">
      <w:pPr>
        <w:pStyle w:val="HChG"/>
        <w:rPr>
          <w:lang w:eastAsia="en-US"/>
        </w:rPr>
      </w:pPr>
      <w:r>
        <w:rPr>
          <w:lang w:eastAsia="en-US"/>
        </w:rPr>
        <w:tab/>
      </w:r>
      <w:r>
        <w:rPr>
          <w:lang w:eastAsia="en-US"/>
        </w:rPr>
        <w:tab/>
        <w:t>D</w:t>
      </w:r>
      <w:r w:rsidRPr="00483E86">
        <w:rPr>
          <w:lang w:eastAsia="en-US"/>
        </w:rPr>
        <w:t>raft decisions</w:t>
      </w:r>
      <w:r>
        <w:rPr>
          <w:lang w:eastAsia="en-US"/>
        </w:rPr>
        <w:t xml:space="preserve"> </w:t>
      </w:r>
      <w:r w:rsidRPr="00483E86">
        <w:rPr>
          <w:lang w:eastAsia="en-US"/>
        </w:rPr>
        <w:t>on compliance with the Convention</w:t>
      </w:r>
    </w:p>
    <w:p w14:paraId="7097616A" w14:textId="14A26B1D" w:rsidR="00995079" w:rsidRDefault="001B597A" w:rsidP="00AF4224">
      <w:pPr>
        <w:pStyle w:val="H1G"/>
        <w:rPr>
          <w:lang w:eastAsia="en-US"/>
        </w:rPr>
      </w:pPr>
      <w:r w:rsidRPr="00483E86">
        <w:rPr>
          <w:lang w:eastAsia="en-US"/>
        </w:rPr>
        <w:tab/>
      </w:r>
      <w:r w:rsidRPr="00483E86">
        <w:rPr>
          <w:lang w:eastAsia="en-US"/>
        </w:rPr>
        <w:tab/>
        <w:t>Pr</w:t>
      </w:r>
      <w:r>
        <w:rPr>
          <w:lang w:eastAsia="en-US"/>
        </w:rPr>
        <w:t>oposals</w:t>
      </w:r>
      <w:r w:rsidRPr="00483E86">
        <w:rPr>
          <w:lang w:eastAsia="en-US"/>
        </w:rPr>
        <w:t xml:space="preserve">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F4224" w14:paraId="629EC2C1" w14:textId="77777777" w:rsidTr="006E5E26">
        <w:trPr>
          <w:jc w:val="center"/>
        </w:trPr>
        <w:tc>
          <w:tcPr>
            <w:tcW w:w="9637" w:type="dxa"/>
            <w:shd w:val="clear" w:color="auto" w:fill="auto"/>
          </w:tcPr>
          <w:p w14:paraId="75EEBB92" w14:textId="77777777" w:rsidR="00AF4224" w:rsidRPr="00C6263E" w:rsidRDefault="00AF4224" w:rsidP="006E5E26">
            <w:pPr>
              <w:spacing w:before="240" w:after="120"/>
              <w:ind w:left="255"/>
              <w:rPr>
                <w:i/>
                <w:sz w:val="24"/>
              </w:rPr>
            </w:pPr>
            <w:r w:rsidRPr="00C6263E">
              <w:rPr>
                <w:i/>
                <w:sz w:val="24"/>
              </w:rPr>
              <w:t>Summary</w:t>
            </w:r>
          </w:p>
        </w:tc>
      </w:tr>
      <w:tr w:rsidR="00AF4224" w14:paraId="0F063F1C" w14:textId="77777777" w:rsidTr="006E5E26">
        <w:trPr>
          <w:jc w:val="center"/>
        </w:trPr>
        <w:tc>
          <w:tcPr>
            <w:tcW w:w="9637" w:type="dxa"/>
            <w:shd w:val="clear" w:color="auto" w:fill="auto"/>
          </w:tcPr>
          <w:p w14:paraId="784328E0" w14:textId="27A28072" w:rsidR="007873C9" w:rsidRDefault="007873C9" w:rsidP="007873C9">
            <w:pPr>
              <w:pStyle w:val="SingleTxtG"/>
            </w:pPr>
            <w:r>
              <w:tab/>
            </w:r>
            <w:r w:rsidRPr="009A3684">
              <w:t>Th</w:t>
            </w:r>
            <w:r>
              <w:t>e present</w:t>
            </w:r>
            <w:r w:rsidRPr="009A3684">
              <w:t xml:space="preserve"> </w:t>
            </w:r>
            <w:r>
              <w:t xml:space="preserve">document contains a compilation of </w:t>
            </w:r>
            <w:r w:rsidRPr="00171550">
              <w:t>draft decision</w:t>
            </w:r>
            <w:r>
              <w:t>s</w:t>
            </w:r>
            <w:r w:rsidRPr="00171550">
              <w:t xml:space="preserve"> </w:t>
            </w:r>
            <w:r>
              <w:t xml:space="preserve">on compliance with the Convention on Environmental Impact Assessment in a Transboundary Context, finalized by the Implementation Committee under the Convention and its Protocol on Strategic Environmental Assessment at its fifty-seventh session (Geneva, 29 August–1 September 2023) considering comments made by delegations at the twelfth meeting of </w:t>
            </w:r>
            <w:r w:rsidRPr="005458EB">
              <w:t xml:space="preserve">the Working Group on </w:t>
            </w:r>
            <w:r>
              <w:t>Environmental Impact Assessment</w:t>
            </w:r>
            <w:r w:rsidRPr="005458EB">
              <w:t xml:space="preserve"> and </w:t>
            </w:r>
            <w:r>
              <w:t xml:space="preserve">Strategic Environmental Assessment (Geneva, 13–15 June 2023). </w:t>
            </w:r>
          </w:p>
          <w:p w14:paraId="7FA2438C" w14:textId="20266E22" w:rsidR="00AF4224" w:rsidRDefault="007873C9" w:rsidP="007873C9">
            <w:pPr>
              <w:pStyle w:val="SingleTxtG"/>
            </w:pPr>
            <w:r>
              <w:tab/>
              <w:t>The Meeting of the Parties to the Convention is expected to review the draft decisions and agree on their adoption.</w:t>
            </w:r>
          </w:p>
        </w:tc>
      </w:tr>
      <w:tr w:rsidR="00AF4224" w14:paraId="5ABFE4D7" w14:textId="77777777" w:rsidTr="006E5E26">
        <w:trPr>
          <w:jc w:val="center"/>
        </w:trPr>
        <w:tc>
          <w:tcPr>
            <w:tcW w:w="9637" w:type="dxa"/>
            <w:shd w:val="clear" w:color="auto" w:fill="auto"/>
          </w:tcPr>
          <w:p w14:paraId="7DAFC25A" w14:textId="77777777" w:rsidR="00AF4224" w:rsidRDefault="00AF4224" w:rsidP="006E5E26"/>
        </w:tc>
      </w:tr>
    </w:tbl>
    <w:p w14:paraId="707C91B5" w14:textId="4483AF8D" w:rsidR="007873C9" w:rsidRDefault="007873C9" w:rsidP="00AF4224">
      <w:pPr>
        <w:rPr>
          <w:lang w:eastAsia="en-US"/>
        </w:rPr>
      </w:pPr>
      <w:r>
        <w:rPr>
          <w:lang w:eastAsia="en-US"/>
        </w:rPr>
        <w:br w:type="page"/>
      </w:r>
    </w:p>
    <w:p w14:paraId="2DD2F2F3" w14:textId="73F72BA1" w:rsidR="00AE348E" w:rsidRPr="00396E60" w:rsidRDefault="00D65D4A" w:rsidP="00375007">
      <w:pPr>
        <w:pStyle w:val="HChG"/>
        <w:rPr>
          <w:lang w:eastAsia="en-US"/>
        </w:rPr>
      </w:pPr>
      <w:r>
        <w:rPr>
          <w:lang w:eastAsia="en-US"/>
        </w:rPr>
        <w:lastRenderedPageBreak/>
        <w:tab/>
      </w:r>
      <w:r w:rsidR="00AE348E" w:rsidRPr="00396E60">
        <w:rPr>
          <w:lang w:eastAsia="en-US"/>
        </w:rPr>
        <w:t>1.</w:t>
      </w:r>
      <w:r w:rsidR="00AE348E" w:rsidRPr="00396E60">
        <w:rPr>
          <w:lang w:eastAsia="en-US"/>
        </w:rPr>
        <w:tab/>
        <w:t xml:space="preserve">Decision IX/4d </w:t>
      </w:r>
      <w:r w:rsidR="00AE348E" w:rsidRPr="00C27C8F">
        <w:rPr>
          <w:lang w:eastAsia="en-US"/>
        </w:rPr>
        <w:t xml:space="preserve">on </w:t>
      </w:r>
      <w:r w:rsidR="00AE348E" w:rsidRPr="00375007">
        <w:t>compliance</w:t>
      </w:r>
      <w:r w:rsidR="00AE348E" w:rsidRPr="00C27C8F">
        <w:rPr>
          <w:lang w:eastAsia="en-US"/>
        </w:rPr>
        <w:t xml:space="preserve"> by </w:t>
      </w:r>
      <w:r w:rsidR="00AE348E">
        <w:rPr>
          <w:lang w:eastAsia="en-US"/>
        </w:rPr>
        <w:t>Azerbaijan with its obligations</w:t>
      </w:r>
      <w:r w:rsidR="00AE348E" w:rsidRPr="00396E60">
        <w:rPr>
          <w:lang w:eastAsia="en-US"/>
        </w:rPr>
        <w:t xml:space="preserve"> </w:t>
      </w:r>
      <w:r w:rsidR="00AE348E" w:rsidRPr="00C27C8F">
        <w:rPr>
          <w:lang w:eastAsia="en-US"/>
        </w:rPr>
        <w:t>under the Convention in respect of its national legislation</w:t>
      </w:r>
    </w:p>
    <w:p w14:paraId="10BF2DBF" w14:textId="77777777" w:rsidR="00AE348E" w:rsidRPr="007A4E13" w:rsidRDefault="00AE348E" w:rsidP="00D65D4A">
      <w:pPr>
        <w:pStyle w:val="SingleTxtG"/>
        <w:ind w:firstLine="567"/>
      </w:pPr>
      <w:r w:rsidRPr="00D65D4A">
        <w:rPr>
          <w:i/>
          <w:iCs/>
        </w:rPr>
        <w:t>The Meeting of the Parties to the Convention</w:t>
      </w:r>
      <w:r w:rsidRPr="007A4E13">
        <w:t xml:space="preserve">, </w:t>
      </w:r>
    </w:p>
    <w:p w14:paraId="114AA738" w14:textId="77777777" w:rsidR="00AE348E" w:rsidRPr="007A4E13" w:rsidRDefault="00AE348E" w:rsidP="00D65D4A">
      <w:pPr>
        <w:pStyle w:val="SingleTxtG"/>
        <w:ind w:firstLine="567"/>
      </w:pPr>
      <w:r w:rsidRPr="52C93E0C">
        <w:rPr>
          <w:i/>
          <w:iCs/>
        </w:rPr>
        <w:t>Recalling</w:t>
      </w:r>
      <w:r>
        <w:t xml:space="preserve"> articles 11 (2) and 14 bis of the Convention on Environmental Impact Assessment in a Transboundary Context, </w:t>
      </w:r>
    </w:p>
    <w:p w14:paraId="77FDD6F9" w14:textId="77777777" w:rsidR="00AE348E" w:rsidRPr="007A4E13" w:rsidRDefault="00AE348E" w:rsidP="00D65D4A">
      <w:pPr>
        <w:pStyle w:val="SingleTxtG"/>
        <w:ind w:firstLine="567"/>
        <w:rPr>
          <w:bCs/>
        </w:rPr>
      </w:pPr>
      <w:proofErr w:type="gramStart"/>
      <w:r w:rsidRPr="007A4E13">
        <w:rPr>
          <w:bCs/>
          <w:i/>
        </w:rPr>
        <w:t>Recalling also</w:t>
      </w:r>
      <w:proofErr w:type="gramEnd"/>
      <w:r w:rsidRPr="007A4E13">
        <w:rPr>
          <w:bCs/>
        </w:rPr>
        <w:t xml:space="preserve"> its decisions V/4, paragraphs 31 and 32,</w:t>
      </w:r>
      <w:r w:rsidRPr="007A4E13">
        <w:rPr>
          <w:bCs/>
          <w:sz w:val="18"/>
          <w:vertAlign w:val="superscript"/>
        </w:rPr>
        <w:footnoteReference w:id="2"/>
      </w:r>
      <w:r w:rsidRPr="007A4E13">
        <w:rPr>
          <w:bCs/>
        </w:rPr>
        <w:t xml:space="preserve"> VI/2, paragraphs 38–44,</w:t>
      </w:r>
      <w:r w:rsidRPr="007A4E13">
        <w:rPr>
          <w:bCs/>
          <w:sz w:val="18"/>
          <w:vertAlign w:val="superscript"/>
        </w:rPr>
        <w:footnoteReference w:id="3"/>
      </w:r>
      <w:r w:rsidRPr="007A4E13">
        <w:rPr>
          <w:bCs/>
        </w:rPr>
        <w:t xml:space="preserve"> IS/1c</w:t>
      </w:r>
      <w:r w:rsidRPr="007A4E13">
        <w:rPr>
          <w:bCs/>
          <w:sz w:val="18"/>
          <w:vertAlign w:val="superscript"/>
        </w:rPr>
        <w:footnoteReference w:id="4"/>
      </w:r>
      <w:r w:rsidRPr="007A4E13">
        <w:rPr>
          <w:bCs/>
        </w:rPr>
        <w:t xml:space="preserve"> and VIII/4b</w:t>
      </w:r>
      <w:r w:rsidRPr="007A4E13">
        <w:rPr>
          <w:bCs/>
          <w:sz w:val="18"/>
          <w:vertAlign w:val="superscript"/>
        </w:rPr>
        <w:footnoteReference w:id="5"/>
      </w:r>
      <w:r w:rsidRPr="007A4E13">
        <w:rPr>
          <w:bCs/>
        </w:rPr>
        <w:t xml:space="preserve"> </w:t>
      </w:r>
      <w:r>
        <w:rPr>
          <w:bCs/>
        </w:rPr>
        <w:t>on</w:t>
      </w:r>
      <w:r w:rsidRPr="007A4E13">
        <w:rPr>
          <w:bCs/>
        </w:rPr>
        <w:t xml:space="preserve"> compliance by Azerbaijan </w:t>
      </w:r>
      <w:r>
        <w:rPr>
          <w:bCs/>
        </w:rPr>
        <w:t>with its obligations under the Convention in respect of</w:t>
      </w:r>
      <w:r w:rsidRPr="007A4E13">
        <w:rPr>
          <w:bCs/>
        </w:rPr>
        <w:t xml:space="preserve"> its national legislation,</w:t>
      </w:r>
    </w:p>
    <w:p w14:paraId="602D012C" w14:textId="77777777" w:rsidR="00AE348E" w:rsidRPr="007A4E13" w:rsidRDefault="00AE348E" w:rsidP="00D65D4A">
      <w:pPr>
        <w:pStyle w:val="SingleTxtG"/>
        <w:ind w:firstLine="567"/>
        <w:rPr>
          <w:bCs/>
        </w:rPr>
      </w:pPr>
      <w:r w:rsidRPr="007A4E13">
        <w:rPr>
          <w:bCs/>
          <w:i/>
          <w:iCs/>
        </w:rPr>
        <w:t>Recalling</w:t>
      </w:r>
      <w:r w:rsidRPr="007A4E13">
        <w:rPr>
          <w:bCs/>
        </w:rPr>
        <w:t xml:space="preserve"> </w:t>
      </w:r>
      <w:r w:rsidRPr="007A4E13">
        <w:rPr>
          <w:bCs/>
          <w:i/>
          <w:iCs/>
        </w:rPr>
        <w:t xml:space="preserve">further </w:t>
      </w:r>
      <w:r w:rsidRPr="007A4E13">
        <w:rPr>
          <w:bCs/>
        </w:rPr>
        <w:t>its decision IX/4</w:t>
      </w:r>
      <w:r w:rsidRPr="007A4E13">
        <w:rPr>
          <w:bCs/>
          <w:sz w:val="18"/>
          <w:vertAlign w:val="superscript"/>
        </w:rPr>
        <w:footnoteReference w:id="6"/>
      </w:r>
      <w:r w:rsidRPr="007A4E13">
        <w:rPr>
          <w:bCs/>
        </w:rPr>
        <w:t xml:space="preserve"> on general issues of compliance with the Convention adopted at </w:t>
      </w:r>
      <w:r>
        <w:rPr>
          <w:bCs/>
        </w:rPr>
        <w:t>its</w:t>
      </w:r>
      <w:r w:rsidRPr="007A4E13">
        <w:rPr>
          <w:bCs/>
        </w:rPr>
        <w:t xml:space="preserve"> ninth session</w:t>
      </w:r>
      <w:r>
        <w:rPr>
          <w:bCs/>
        </w:rPr>
        <w:t xml:space="preserve"> (Geneva, 12–15 December 2023)</w:t>
      </w:r>
      <w:r w:rsidRPr="007A4E13">
        <w:rPr>
          <w:bCs/>
        </w:rPr>
        <w:t>,</w:t>
      </w:r>
    </w:p>
    <w:p w14:paraId="3992D26C" w14:textId="77777777" w:rsidR="00AE348E" w:rsidRPr="007A4E13" w:rsidRDefault="00AE348E" w:rsidP="00D65D4A">
      <w:pPr>
        <w:pStyle w:val="SingleTxtG"/>
        <w:ind w:firstLine="567"/>
      </w:pPr>
      <w:r w:rsidRPr="007A4E13">
        <w:rPr>
          <w:i/>
        </w:rPr>
        <w:t>Having considered</w:t>
      </w:r>
      <w:r w:rsidRPr="007A4E13">
        <w:t xml:space="preserve"> the report on the activities of the Implementation Committee to the Meeting of the Parties to the Convention at its ninth session, in particular the section concerning the steps taken by Azerbaijan further to decisions IS/1c and VIII/4b,</w:t>
      </w:r>
      <w:r>
        <w:rPr>
          <w:rStyle w:val="FootnoteReference"/>
          <w:bCs/>
        </w:rPr>
        <w:footnoteReference w:id="7"/>
      </w:r>
    </w:p>
    <w:p w14:paraId="509F401E" w14:textId="77777777" w:rsidR="00AE348E" w:rsidRPr="007A4E13" w:rsidRDefault="00AE348E" w:rsidP="00D65D4A">
      <w:pPr>
        <w:pStyle w:val="SingleTxtG"/>
        <w:ind w:firstLine="567"/>
      </w:pPr>
      <w:r w:rsidRPr="007A4E13">
        <w:rPr>
          <w:i/>
        </w:rPr>
        <w:t>Acknowledging</w:t>
      </w:r>
      <w:r w:rsidRPr="007A4E13">
        <w:t xml:space="preserve"> the technical assistance provided by the secretariat to the Government of Azerbaijan to assist the country in bringing its legislation into line with the provisions of the Convention and the Protocol on Strategic Environmental Assessment, further to paragraph 44 of decision VI/2,</w:t>
      </w:r>
    </w:p>
    <w:p w14:paraId="086B924C" w14:textId="77777777" w:rsidR="00AE348E" w:rsidRPr="007A4E13" w:rsidRDefault="00AE348E" w:rsidP="00D65D4A">
      <w:pPr>
        <w:pStyle w:val="SingleTxtG"/>
        <w:ind w:firstLine="567"/>
        <w:rPr>
          <w:i/>
        </w:rPr>
      </w:pPr>
      <w:r w:rsidRPr="007A4E13">
        <w:rPr>
          <w:iCs/>
        </w:rPr>
        <w:t>1.</w:t>
      </w:r>
      <w:r w:rsidRPr="007A4E13">
        <w:rPr>
          <w:iCs/>
        </w:rPr>
        <w:tab/>
      </w:r>
      <w:r w:rsidRPr="007A4E13">
        <w:rPr>
          <w:i/>
        </w:rPr>
        <w:t xml:space="preserve">Appreciates </w:t>
      </w:r>
      <w:r w:rsidRPr="007A4E13">
        <w:rPr>
          <w:iCs/>
        </w:rPr>
        <w:t>the regular, albeit occasionally delayed, progress reports on the steps taken by the Government of Azerbaijan further to decision VIII/4b since the eighth session of the Meeting of the Parties (Vilnius, (online), 8–11 December 2020);</w:t>
      </w:r>
    </w:p>
    <w:p w14:paraId="21D82775" w14:textId="77777777" w:rsidR="00AE348E" w:rsidRPr="007A4E13" w:rsidRDefault="00AE348E" w:rsidP="00D65D4A">
      <w:pPr>
        <w:pStyle w:val="SingleTxtG"/>
        <w:ind w:firstLine="567"/>
        <w:rPr>
          <w:iCs/>
        </w:rPr>
      </w:pPr>
      <w:r w:rsidRPr="007A4E13">
        <w:rPr>
          <w:iCs/>
        </w:rPr>
        <w:t>2.</w:t>
      </w:r>
      <w:r w:rsidRPr="007A4E13">
        <w:rPr>
          <w:iCs/>
        </w:rPr>
        <w:tab/>
      </w:r>
      <w:r w:rsidRPr="007A4E13">
        <w:rPr>
          <w:i/>
        </w:rPr>
        <w:t>Recognizes</w:t>
      </w:r>
      <w:r w:rsidRPr="007A4E13">
        <w:rPr>
          <w:iCs/>
        </w:rPr>
        <w:t xml:space="preserve"> that, further to the technical assistance provided to it by the secretariat, the Government of Azerbaijan has taken steps to align its national legislation also with the Protocol</w:t>
      </w:r>
      <w:r>
        <w:rPr>
          <w:iCs/>
        </w:rPr>
        <w:t>,</w:t>
      </w:r>
      <w:r w:rsidRPr="007A4E13">
        <w:rPr>
          <w:iCs/>
        </w:rPr>
        <w:t xml:space="preserve"> and encourages Azerbaijan to ratify that treaty;</w:t>
      </w:r>
    </w:p>
    <w:p w14:paraId="7C6E6FAB" w14:textId="3FB1DE86" w:rsidR="00AE348E" w:rsidRPr="007A4E13" w:rsidRDefault="00AE348E" w:rsidP="00D65D4A">
      <w:pPr>
        <w:pStyle w:val="SingleTxtG"/>
        <w:ind w:firstLine="567"/>
        <w:rPr>
          <w:iCs/>
        </w:rPr>
      </w:pPr>
      <w:r w:rsidRPr="007A4E13">
        <w:rPr>
          <w:iCs/>
        </w:rPr>
        <w:t>3.</w:t>
      </w:r>
      <w:r w:rsidRPr="007A4E13">
        <w:rPr>
          <w:iCs/>
        </w:rPr>
        <w:tab/>
      </w:r>
      <w:r w:rsidRPr="007A4E13">
        <w:rPr>
          <w:i/>
        </w:rPr>
        <w:t>Welcomes</w:t>
      </w:r>
      <w:r w:rsidRPr="007A4E13">
        <w:rPr>
          <w:iCs/>
        </w:rPr>
        <w:t xml:space="preserve"> the information from the Government of Azerbaijan that</w:t>
      </w:r>
      <w:r>
        <w:rPr>
          <w:iCs/>
        </w:rPr>
        <w:t>,</w:t>
      </w:r>
      <w:r w:rsidRPr="007A4E13">
        <w:rPr>
          <w:iCs/>
        </w:rPr>
        <w:t xml:space="preserve"> since the adoption of the Law on Environmental Impact Assessment on 12 June 2018</w:t>
      </w:r>
      <w:r>
        <w:rPr>
          <w:iCs/>
        </w:rPr>
        <w:t>,</w:t>
      </w:r>
      <w:r w:rsidRPr="007A4E13">
        <w:rPr>
          <w:iCs/>
        </w:rPr>
        <w:t xml:space="preserve"> it has adopted six pieces of secondary legislation for the implementation of the Convention and the Protocol, </w:t>
      </w:r>
      <w:r>
        <w:rPr>
          <w:iCs/>
        </w:rPr>
        <w:t xml:space="preserve">with </w:t>
      </w:r>
      <w:r w:rsidRPr="007A4E13">
        <w:rPr>
          <w:iCs/>
        </w:rPr>
        <w:t xml:space="preserve">the final two </w:t>
      </w:r>
      <w:r>
        <w:rPr>
          <w:iCs/>
        </w:rPr>
        <w:t>pieces of such legislation being adopted</w:t>
      </w:r>
      <w:r w:rsidRPr="007A4E13">
        <w:rPr>
          <w:iCs/>
        </w:rPr>
        <w:t xml:space="preserve"> in September 2022;</w:t>
      </w:r>
      <w:r w:rsidRPr="007A4E13">
        <w:rPr>
          <w:iCs/>
          <w:sz w:val="18"/>
          <w:vertAlign w:val="superscript"/>
        </w:rPr>
        <w:footnoteReference w:id="8"/>
      </w:r>
      <w:r w:rsidRPr="007A4E13">
        <w:rPr>
          <w:iCs/>
        </w:rPr>
        <w:t xml:space="preserve"> </w:t>
      </w:r>
    </w:p>
    <w:p w14:paraId="33BEEDDB" w14:textId="77777777" w:rsidR="00AE348E" w:rsidRPr="007A4E13" w:rsidRDefault="00AE348E" w:rsidP="00D65D4A">
      <w:pPr>
        <w:pStyle w:val="SingleTxtG"/>
        <w:ind w:firstLine="567"/>
      </w:pPr>
      <w:r w:rsidRPr="007A4E13">
        <w:t>4.</w:t>
      </w:r>
      <w:r w:rsidRPr="007A4E13">
        <w:tab/>
      </w:r>
      <w:r>
        <w:rPr>
          <w:i/>
        </w:rPr>
        <w:t>Also w</w:t>
      </w:r>
      <w:r w:rsidRPr="007A4E13">
        <w:rPr>
          <w:i/>
        </w:rPr>
        <w:t>elcomes</w:t>
      </w:r>
      <w:r w:rsidRPr="007A4E13">
        <w:t xml:space="preserve"> the provision of the English translation</w:t>
      </w:r>
      <w:r>
        <w:t>s</w:t>
      </w:r>
      <w:r w:rsidRPr="007A4E13">
        <w:t xml:space="preserve"> of two pieces of secondary legislation, further to paragraph 8 of decision VIII/4b, prepared with the support of the European Union for Environment programme, but regrets that not all translations of the </w:t>
      </w:r>
      <w:r>
        <w:t xml:space="preserve">pieces of </w:t>
      </w:r>
      <w:r w:rsidRPr="007A4E13">
        <w:t>secondary legislation regarding the Convention have been provided;</w:t>
      </w:r>
      <w:r w:rsidRPr="007A4E13" w:rsidDel="00753AB5">
        <w:t xml:space="preserve"> </w:t>
      </w:r>
    </w:p>
    <w:p w14:paraId="3EB7B26A" w14:textId="77777777" w:rsidR="00AE348E" w:rsidRPr="007A4E13" w:rsidRDefault="00AE348E" w:rsidP="00D65D4A">
      <w:pPr>
        <w:pStyle w:val="SingleTxtG"/>
        <w:ind w:firstLine="567"/>
      </w:pPr>
      <w:r w:rsidRPr="007A4E13">
        <w:t>5.</w:t>
      </w:r>
      <w:r w:rsidRPr="007A4E13">
        <w:tab/>
      </w:r>
      <w:r w:rsidRPr="007A4E13">
        <w:rPr>
          <w:i/>
          <w:iCs/>
        </w:rPr>
        <w:t xml:space="preserve">Notes </w:t>
      </w:r>
      <w:r w:rsidRPr="007A4E13">
        <w:t xml:space="preserve">with concern, based on the Committee’s analysis of the Law </w:t>
      </w:r>
      <w:r w:rsidRPr="007A4E13">
        <w:rPr>
          <w:iCs/>
        </w:rPr>
        <w:t xml:space="preserve">on Environmental Impact Assessment </w:t>
      </w:r>
      <w:r w:rsidRPr="007A4E13">
        <w:t xml:space="preserve">and the </w:t>
      </w:r>
      <w:r>
        <w:t xml:space="preserve">above-mentioned final two </w:t>
      </w:r>
      <w:r w:rsidRPr="007A4E13">
        <w:t>pieces of secondary legislation</w:t>
      </w:r>
      <w:r w:rsidRPr="007A4E13">
        <w:rPr>
          <w:i/>
          <w:iCs/>
        </w:rPr>
        <w:t>,</w:t>
      </w:r>
      <w:r w:rsidRPr="007A4E13">
        <w:t xml:space="preserve"> that the legislation adopted by Azerbaijan to implement the Convention is not fully compliant </w:t>
      </w:r>
      <w:r>
        <w:t>there</w:t>
      </w:r>
      <w:r w:rsidRPr="007A4E13">
        <w:t>with but contain</w:t>
      </w:r>
      <w:r>
        <w:t>s,</w:t>
      </w:r>
      <w:r w:rsidRPr="007A4E13">
        <w:t xml:space="preserve"> in particular</w:t>
      </w:r>
      <w:r>
        <w:t>,</w:t>
      </w:r>
      <w:r w:rsidRPr="007A4E13">
        <w:t xml:space="preserve"> the following deficiencies: </w:t>
      </w:r>
    </w:p>
    <w:p w14:paraId="28446DC4" w14:textId="77777777" w:rsidR="00AE348E" w:rsidRPr="007A4E13" w:rsidRDefault="00AE348E" w:rsidP="00D65D4A">
      <w:pPr>
        <w:pStyle w:val="SingleTxtG"/>
        <w:ind w:firstLine="567"/>
        <w:rPr>
          <w:color w:val="000000" w:themeColor="text1"/>
        </w:rPr>
      </w:pPr>
      <w:r w:rsidRPr="007A4E13">
        <w:rPr>
          <w:color w:val="000000" w:themeColor="text1"/>
        </w:rPr>
        <w:t>(a)</w:t>
      </w:r>
      <w:r w:rsidRPr="007A4E13">
        <w:rPr>
          <w:color w:val="000000" w:themeColor="text1"/>
        </w:rPr>
        <w:tab/>
        <w:t xml:space="preserve">The definition of </w:t>
      </w:r>
      <w:r>
        <w:rPr>
          <w:color w:val="000000" w:themeColor="text1"/>
        </w:rPr>
        <w:t>“</w:t>
      </w:r>
      <w:r w:rsidRPr="007A4E13">
        <w:rPr>
          <w:color w:val="000000" w:themeColor="text1"/>
        </w:rPr>
        <w:t>proposed activity</w:t>
      </w:r>
      <w:r>
        <w:rPr>
          <w:color w:val="000000" w:themeColor="text1"/>
        </w:rPr>
        <w:t>”</w:t>
      </w:r>
      <w:r w:rsidRPr="007A4E13">
        <w:rPr>
          <w:color w:val="000000" w:themeColor="text1"/>
        </w:rPr>
        <w:t xml:space="preserve"> is still not fully compliant with the Convention, as it does not include “any major change to an activity subject to a decision of a competent authority in accordance with an applicable national procedure”;</w:t>
      </w:r>
    </w:p>
    <w:p w14:paraId="6433C933" w14:textId="77777777" w:rsidR="00AE348E" w:rsidRPr="007A4E13" w:rsidRDefault="00AE348E" w:rsidP="00D65D4A">
      <w:pPr>
        <w:pStyle w:val="SingleTxtG"/>
        <w:ind w:firstLine="567"/>
      </w:pPr>
      <w:r w:rsidRPr="007A4E13">
        <w:lastRenderedPageBreak/>
        <w:t>(b)</w:t>
      </w:r>
      <w:r w:rsidRPr="007A4E13">
        <w:tab/>
        <w:t xml:space="preserve">The description of the content of the environmental impact assessment documentation is not fully compliant with appendix II to the Convention, lacking, </w:t>
      </w:r>
      <w:r>
        <w:t>in particular</w:t>
      </w:r>
      <w:r w:rsidRPr="007A4E13">
        <w:t>, the information required in appendix II (g) and (i);</w:t>
      </w:r>
    </w:p>
    <w:p w14:paraId="31BA90EE" w14:textId="77777777" w:rsidR="00AE348E" w:rsidRPr="007A4E13" w:rsidRDefault="00AE348E" w:rsidP="00D65D4A">
      <w:pPr>
        <w:pStyle w:val="SingleTxtG"/>
        <w:ind w:firstLine="567"/>
      </w:pPr>
      <w:r w:rsidRPr="007A4E13">
        <w:t>(c)</w:t>
      </w:r>
      <w:r w:rsidRPr="007A4E13">
        <w:tab/>
        <w:t xml:space="preserve">Regarding the decision-making process, there is no clear provision on how the outcome of the environmental impact assessment is taken into account in the final decision on the proposed activity, </w:t>
      </w:r>
      <w:r>
        <w:t>or on the communication to the affected Party of</w:t>
      </w:r>
      <w:r w:rsidRPr="007A4E13">
        <w:t xml:space="preserve"> the reasons and consideration on which </w:t>
      </w:r>
      <w:r>
        <w:t>said final</w:t>
      </w:r>
      <w:r w:rsidRPr="007A4E13">
        <w:t xml:space="preserve"> decision is based;</w:t>
      </w:r>
    </w:p>
    <w:p w14:paraId="5D56C769" w14:textId="77777777" w:rsidR="00AE348E" w:rsidRPr="007A4E13" w:rsidRDefault="00AE348E" w:rsidP="00D65D4A">
      <w:pPr>
        <w:pStyle w:val="SingleTxtG"/>
        <w:ind w:firstLine="567"/>
      </w:pPr>
      <w:r w:rsidRPr="002A1D9E">
        <w:t>6.</w:t>
      </w:r>
      <w:r w:rsidRPr="002A1D9E">
        <w:rPr>
          <w:i/>
        </w:rPr>
        <w:tab/>
      </w:r>
      <w:r w:rsidRPr="007A4E13">
        <w:rPr>
          <w:i/>
        </w:rPr>
        <w:t xml:space="preserve">Endorses </w:t>
      </w:r>
      <w:r w:rsidRPr="007A4E13">
        <w:rPr>
          <w:iCs/>
        </w:rPr>
        <w:t>the finding of the</w:t>
      </w:r>
      <w:r w:rsidRPr="007A4E13">
        <w:rPr>
          <w:i/>
        </w:rPr>
        <w:t xml:space="preserve"> </w:t>
      </w:r>
      <w:r w:rsidRPr="007A4E13">
        <w:rPr>
          <w:iCs/>
        </w:rPr>
        <w:t>Implementation Committee</w:t>
      </w:r>
      <w:r w:rsidRPr="007A4E13">
        <w:rPr>
          <w:i/>
        </w:rPr>
        <w:t xml:space="preserve"> </w:t>
      </w:r>
      <w:r>
        <w:rPr>
          <w:iCs/>
        </w:rPr>
        <w:t xml:space="preserve">to the effect </w:t>
      </w:r>
      <w:r w:rsidRPr="007A4E13">
        <w:t xml:space="preserve">that, despite </w:t>
      </w:r>
      <w:r>
        <w:t xml:space="preserve">the </w:t>
      </w:r>
      <w:r w:rsidRPr="007A4E13">
        <w:t xml:space="preserve">steps taken, the Government of Azerbaijan has not yet fulfilled the requests addressed to it in decisions IS/1c </w:t>
      </w:r>
      <w:r>
        <w:t xml:space="preserve">and </w:t>
      </w:r>
      <w:r w:rsidRPr="007A4E13">
        <w:t>VIII/4b;</w:t>
      </w:r>
      <w:r>
        <w:rPr>
          <w:rStyle w:val="FootnoteReference"/>
          <w:bCs/>
          <w:color w:val="000000" w:themeColor="text1"/>
        </w:rPr>
        <w:footnoteReference w:id="9"/>
      </w:r>
    </w:p>
    <w:p w14:paraId="652CF5E3" w14:textId="77777777" w:rsidR="00AE348E" w:rsidRPr="007A4E13" w:rsidRDefault="00AE348E" w:rsidP="00D65D4A">
      <w:pPr>
        <w:pStyle w:val="SingleTxtG"/>
        <w:ind w:firstLine="567"/>
      </w:pPr>
      <w:r w:rsidRPr="007A4E13">
        <w:t>7.</w:t>
      </w:r>
      <w:r w:rsidRPr="007A4E13">
        <w:tab/>
      </w:r>
      <w:r w:rsidRPr="007A4E13">
        <w:rPr>
          <w:i/>
          <w:iCs/>
        </w:rPr>
        <w:t xml:space="preserve">Regrets </w:t>
      </w:r>
      <w:r w:rsidRPr="007A4E13">
        <w:t>that</w:t>
      </w:r>
      <w:r>
        <w:t>,</w:t>
      </w:r>
      <w:r w:rsidRPr="007A4E13">
        <w:t xml:space="preserve"> despite over a decade of technical assistance provided </w:t>
      </w:r>
      <w:r>
        <w:t xml:space="preserve">to Azerbaijan </w:t>
      </w:r>
      <w:r w:rsidRPr="007A4E13">
        <w:t>by the secretariat</w:t>
      </w:r>
      <w:r>
        <w:rPr>
          <w:rStyle w:val="FootnoteReference"/>
          <w:bCs/>
        </w:rPr>
        <w:footnoteReference w:id="10"/>
      </w:r>
      <w:r w:rsidRPr="007A4E13">
        <w:t xml:space="preserve"> and the Implementation Committee to </w:t>
      </w:r>
      <w:r>
        <w:t>align Azerbaijani national</w:t>
      </w:r>
      <w:r w:rsidRPr="007A4E13">
        <w:t xml:space="preserve"> legislation with the Convention, and multiple decisions by the Meetings of the Parties requesting </w:t>
      </w:r>
      <w:r>
        <w:t>the country</w:t>
      </w:r>
      <w:r w:rsidRPr="007A4E13">
        <w:t xml:space="preserve"> to do so, Azerbaijan has not yet adopted fully compliant legislation; </w:t>
      </w:r>
    </w:p>
    <w:p w14:paraId="08E1F124" w14:textId="75F0B4A3" w:rsidR="00AE348E" w:rsidRPr="007A4E13" w:rsidRDefault="00AE348E" w:rsidP="00D65D4A">
      <w:pPr>
        <w:pStyle w:val="SingleTxtG"/>
        <w:ind w:firstLine="567"/>
      </w:pPr>
      <w:r w:rsidRPr="007A4E13">
        <w:t>8.</w:t>
      </w:r>
      <w:r w:rsidRPr="007A4E13">
        <w:tab/>
      </w:r>
      <w:bookmarkStart w:id="0" w:name="_Hlk34319760"/>
      <w:r w:rsidRPr="007A4E13">
        <w:rPr>
          <w:i/>
          <w:iCs/>
        </w:rPr>
        <w:t xml:space="preserve">Reaffirms </w:t>
      </w:r>
      <w:r w:rsidRPr="007A4E13">
        <w:rPr>
          <w:iCs/>
        </w:rPr>
        <w:t xml:space="preserve">its decisions IS/1c and VIII/4b, and </w:t>
      </w:r>
      <w:r w:rsidRPr="00344C88">
        <w:rPr>
          <w:iCs/>
        </w:rPr>
        <w:t>requests</w:t>
      </w:r>
      <w:bookmarkEnd w:id="0"/>
      <w:r w:rsidRPr="007A4E13">
        <w:rPr>
          <w:i/>
        </w:rPr>
        <w:t xml:space="preserve"> </w:t>
      </w:r>
      <w:r w:rsidRPr="007A4E13">
        <w:t xml:space="preserve">the Government of Azerbaijan to </w:t>
      </w:r>
      <w:r>
        <w:t>amend,</w:t>
      </w:r>
      <w:r w:rsidRPr="007A4E13">
        <w:t xml:space="preserve"> </w:t>
      </w:r>
      <w:bookmarkStart w:id="1" w:name="_Hlk34319793"/>
      <w:r w:rsidRPr="007A4E13">
        <w:t>as soon as possible</w:t>
      </w:r>
      <w:r>
        <w:t>,</w:t>
      </w:r>
      <w:r w:rsidRPr="007A4E13">
        <w:t xml:space="preserve"> </w:t>
      </w:r>
      <w:bookmarkEnd w:id="1"/>
      <w:r w:rsidRPr="007A4E13">
        <w:t xml:space="preserve">the Law </w:t>
      </w:r>
      <w:r w:rsidRPr="007A4E13">
        <w:rPr>
          <w:iCs/>
        </w:rPr>
        <w:t>on Environmental Impact Assessment</w:t>
      </w:r>
      <w:r w:rsidRPr="007A4E13">
        <w:t xml:space="preserve"> and the relevant secondary legislation in accordance with paragraph 5 (a)–(c) above and the previous recommendations of the international consultants to the secretariat</w:t>
      </w:r>
      <w:r>
        <w:t>,</w:t>
      </w:r>
      <w:r>
        <w:rPr>
          <w:rStyle w:val="FootnoteReference"/>
          <w:bCs/>
        </w:rPr>
        <w:footnoteReference w:id="11"/>
      </w:r>
      <w:r w:rsidR="00E365DB">
        <w:t xml:space="preserve"> </w:t>
      </w:r>
      <w:r w:rsidRPr="007A4E13">
        <w:t>with a view to ensuring full compliance of its legislative framework with the Convention;</w:t>
      </w:r>
    </w:p>
    <w:p w14:paraId="5EECA63A" w14:textId="77777777" w:rsidR="00AE348E" w:rsidRPr="007A4E13" w:rsidRDefault="00AE348E" w:rsidP="00D65D4A">
      <w:pPr>
        <w:pStyle w:val="SingleTxtG"/>
        <w:ind w:firstLine="567"/>
      </w:pPr>
      <w:r w:rsidRPr="007A4E13">
        <w:t>9.</w:t>
      </w:r>
      <w:r w:rsidRPr="007A4E13">
        <w:tab/>
      </w:r>
      <w:r w:rsidRPr="007A4E13">
        <w:rPr>
          <w:i/>
          <w:iCs/>
        </w:rPr>
        <w:t>Requests</w:t>
      </w:r>
      <w:r w:rsidRPr="007A4E13">
        <w:t xml:space="preserve"> the Government of Azerbaijan to provide the Implementation Committee with the text</w:t>
      </w:r>
      <w:r>
        <w:t>s</w:t>
      </w:r>
      <w:r w:rsidRPr="007A4E13">
        <w:t xml:space="preserve"> of all relevant legislation, once adopted, together with the English translation</w:t>
      </w:r>
      <w:r>
        <w:t>s</w:t>
      </w:r>
      <w:r w:rsidRPr="007A4E13">
        <w:t xml:space="preserve"> thereof;</w:t>
      </w:r>
    </w:p>
    <w:p w14:paraId="0AF27CFB" w14:textId="37B1E918" w:rsidR="00AF4224" w:rsidRDefault="00AE348E" w:rsidP="00D65D4A">
      <w:pPr>
        <w:pStyle w:val="SingleTxtG"/>
        <w:ind w:firstLine="567"/>
      </w:pPr>
      <w:r w:rsidRPr="007A4E13">
        <w:t>10</w:t>
      </w:r>
      <w:r w:rsidRPr="007A4E13">
        <w:rPr>
          <w:i/>
          <w:iCs/>
        </w:rPr>
        <w:t>.</w:t>
      </w:r>
      <w:r w:rsidRPr="007A4E13">
        <w:rPr>
          <w:i/>
          <w:iCs/>
        </w:rPr>
        <w:tab/>
        <w:t>Requests</w:t>
      </w:r>
      <w:r w:rsidRPr="007A4E13">
        <w:t xml:space="preserve"> the Implementation Committee to evaluate the amendments to the legislation and the relevant secondary legislation, once adopted, and to report </w:t>
      </w:r>
      <w:r>
        <w:t xml:space="preserve">thereon </w:t>
      </w:r>
      <w:r w:rsidRPr="007A4E13">
        <w:t>to the Meeting of the Parties at its tenth session.</w:t>
      </w:r>
    </w:p>
    <w:p w14:paraId="3CA86D9D" w14:textId="77777777" w:rsidR="00AE348E" w:rsidRDefault="00AE348E" w:rsidP="00AE348E">
      <w:pPr>
        <w:rPr>
          <w:lang w:eastAsia="en-US"/>
        </w:rPr>
        <w:sectPr w:rsidR="00AE348E" w:rsidSect="00DE236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655" w:right="1134" w:bottom="1134" w:left="1134" w:header="851" w:footer="567" w:gutter="0"/>
          <w:cols w:space="720"/>
          <w:titlePg/>
          <w:docGrid w:linePitch="272"/>
        </w:sectPr>
      </w:pPr>
    </w:p>
    <w:p w14:paraId="2CE56916" w14:textId="2E0CA32F" w:rsidR="00C34A99" w:rsidRPr="00D334E9" w:rsidRDefault="002F2C31" w:rsidP="00876ED4">
      <w:pPr>
        <w:pStyle w:val="HChG"/>
        <w:rPr>
          <w:lang w:eastAsia="en-US"/>
        </w:rPr>
      </w:pPr>
      <w:r>
        <w:rPr>
          <w:lang w:eastAsia="en-US"/>
        </w:rPr>
        <w:lastRenderedPageBreak/>
        <w:tab/>
      </w:r>
      <w:r w:rsidR="00C34A99">
        <w:rPr>
          <w:lang w:eastAsia="en-US"/>
        </w:rPr>
        <w:t>2.</w:t>
      </w:r>
      <w:r w:rsidR="00C34A99">
        <w:rPr>
          <w:lang w:eastAsia="en-US"/>
        </w:rPr>
        <w:tab/>
      </w:r>
      <w:r w:rsidR="00C34A99" w:rsidRPr="00D334E9">
        <w:rPr>
          <w:lang w:eastAsia="en-US"/>
        </w:rPr>
        <w:t xml:space="preserve">Decision IX/4e on </w:t>
      </w:r>
      <w:r w:rsidR="00C34A99" w:rsidRPr="00876ED4">
        <w:t>compliance</w:t>
      </w:r>
      <w:r w:rsidR="00C34A99" w:rsidRPr="00D334E9">
        <w:rPr>
          <w:lang w:eastAsia="en-US"/>
        </w:rPr>
        <w:t xml:space="preserve"> by Belarus with its obligations under the Convention in respect of the Belarusian nuclear power plant in </w:t>
      </w:r>
      <w:proofErr w:type="spellStart"/>
      <w:r w:rsidR="00C34A99" w:rsidRPr="00D334E9">
        <w:rPr>
          <w:lang w:eastAsia="en-US"/>
        </w:rPr>
        <w:t>Ostrovets</w:t>
      </w:r>
      <w:proofErr w:type="spellEnd"/>
    </w:p>
    <w:p w14:paraId="77FD2CC8" w14:textId="77777777" w:rsidR="00C34A99" w:rsidRPr="0087657E" w:rsidRDefault="00C34A99" w:rsidP="002F2C31">
      <w:pPr>
        <w:pStyle w:val="SingleTxtG"/>
        <w:ind w:firstLine="567"/>
      </w:pPr>
      <w:r w:rsidRPr="002F2C31">
        <w:rPr>
          <w:i/>
          <w:iCs/>
        </w:rPr>
        <w:t>The Meeting of the Parties to the Convention</w:t>
      </w:r>
      <w:r w:rsidRPr="0087657E">
        <w:t>,</w:t>
      </w:r>
    </w:p>
    <w:p w14:paraId="46ABF2E9" w14:textId="77777777" w:rsidR="00C34A99" w:rsidRPr="00D334E9" w:rsidRDefault="00C34A99" w:rsidP="002F2C31">
      <w:pPr>
        <w:pStyle w:val="SingleTxtG"/>
        <w:ind w:firstLine="567"/>
      </w:pPr>
      <w:r w:rsidRPr="0087657E">
        <w:rPr>
          <w:i/>
          <w:iCs/>
        </w:rPr>
        <w:t>Recalling</w:t>
      </w:r>
      <w:r w:rsidRPr="00D334E9">
        <w:t xml:space="preserve"> article</w:t>
      </w:r>
      <w:r>
        <w:t>s</w:t>
      </w:r>
      <w:r w:rsidRPr="00D334E9">
        <w:t xml:space="preserve"> 11</w:t>
      </w:r>
      <w:r>
        <w:t xml:space="preserve"> (</w:t>
      </w:r>
      <w:r w:rsidRPr="00D334E9">
        <w:t>2</w:t>
      </w:r>
      <w:r>
        <w:t>)</w:t>
      </w:r>
      <w:r w:rsidRPr="00D334E9">
        <w:t xml:space="preserve"> and 14 bis of the Convention on Environmental Impact Assessment in a Transboundary Context,</w:t>
      </w:r>
    </w:p>
    <w:p w14:paraId="4D92B108" w14:textId="77777777" w:rsidR="00C34A99" w:rsidRPr="00D334E9" w:rsidRDefault="00C34A99" w:rsidP="002F2C31">
      <w:pPr>
        <w:pStyle w:val="SingleTxtG"/>
        <w:ind w:firstLine="567"/>
      </w:pPr>
      <w:proofErr w:type="gramStart"/>
      <w:r>
        <w:rPr>
          <w:i/>
          <w:iCs/>
        </w:rPr>
        <w:t>R</w:t>
      </w:r>
      <w:r w:rsidRPr="0087657E">
        <w:rPr>
          <w:i/>
          <w:iCs/>
        </w:rPr>
        <w:t>ecalling</w:t>
      </w:r>
      <w:r>
        <w:rPr>
          <w:i/>
          <w:iCs/>
        </w:rPr>
        <w:t xml:space="preserve"> also</w:t>
      </w:r>
      <w:proofErr w:type="gramEnd"/>
      <w:r w:rsidRPr="00D334E9">
        <w:t xml:space="preserve"> its decisions VI/2, paragraphs 48–64,</w:t>
      </w:r>
      <w:r w:rsidRPr="00D334E9">
        <w:rPr>
          <w:sz w:val="18"/>
          <w:vertAlign w:val="superscript"/>
        </w:rPr>
        <w:footnoteReference w:id="12"/>
      </w:r>
      <w:r w:rsidRPr="00D334E9">
        <w:t xml:space="preserve"> IS/1d</w:t>
      </w:r>
      <w:r w:rsidRPr="00D334E9">
        <w:rPr>
          <w:sz w:val="18"/>
          <w:vertAlign w:val="superscript"/>
        </w:rPr>
        <w:footnoteReference w:id="13"/>
      </w:r>
      <w:r w:rsidRPr="00D334E9">
        <w:t xml:space="preserve"> and VIII/4c</w:t>
      </w:r>
      <w:r w:rsidRPr="00D334E9">
        <w:rPr>
          <w:sz w:val="18"/>
          <w:vertAlign w:val="superscript"/>
        </w:rPr>
        <w:footnoteReference w:id="14"/>
      </w:r>
      <w:r w:rsidRPr="00D334E9">
        <w:t xml:space="preserve"> on compliance by Belarus with its obligations under the Convention in respect of the </w:t>
      </w:r>
      <w:r>
        <w:t xml:space="preserve">Belarusian </w:t>
      </w:r>
      <w:r w:rsidRPr="00D334E9">
        <w:t xml:space="preserve">nuclear power plant in </w:t>
      </w:r>
      <w:proofErr w:type="spellStart"/>
      <w:r w:rsidRPr="00D334E9">
        <w:t>Ostrovets</w:t>
      </w:r>
      <w:proofErr w:type="spellEnd"/>
      <w:r w:rsidRPr="00D334E9">
        <w:t>,</w:t>
      </w:r>
    </w:p>
    <w:p w14:paraId="0F9E5853" w14:textId="77777777" w:rsidR="00C34A99" w:rsidRPr="00D334E9" w:rsidRDefault="00C34A99" w:rsidP="002F2C31">
      <w:pPr>
        <w:pStyle w:val="SingleTxtG"/>
        <w:ind w:firstLine="567"/>
      </w:pPr>
      <w:r w:rsidRPr="006E3AF1">
        <w:rPr>
          <w:i/>
          <w:iCs/>
        </w:rPr>
        <w:t>Recalling further</w:t>
      </w:r>
      <w:r w:rsidRPr="00D334E9">
        <w:t xml:space="preserve"> its decision IX/4</w:t>
      </w:r>
      <w:r w:rsidRPr="00D334E9">
        <w:rPr>
          <w:sz w:val="18"/>
          <w:vertAlign w:val="superscript"/>
        </w:rPr>
        <w:footnoteReference w:id="15"/>
      </w:r>
      <w:r w:rsidRPr="00D334E9">
        <w:t xml:space="preserve"> on general issues of compliance with the Convention adopted at its ninth session</w:t>
      </w:r>
      <w:r>
        <w:t xml:space="preserve"> (Geneva, 12–15 December 2023)</w:t>
      </w:r>
      <w:r w:rsidRPr="00D334E9">
        <w:t>,</w:t>
      </w:r>
    </w:p>
    <w:p w14:paraId="48AF2884" w14:textId="77777777" w:rsidR="00C34A99" w:rsidRDefault="00C34A99" w:rsidP="002F2C31">
      <w:pPr>
        <w:pStyle w:val="SingleTxtG"/>
        <w:ind w:firstLine="567"/>
      </w:pPr>
      <w:r w:rsidRPr="006E3AF1">
        <w:rPr>
          <w:i/>
          <w:iCs/>
        </w:rPr>
        <w:t>Having considered</w:t>
      </w:r>
      <w:r w:rsidRPr="00D334E9">
        <w:t xml:space="preserve"> the report on the activities of the Implementation Committee to the Meeting of the Parties to the Convention at its ninth session</w:t>
      </w:r>
      <w:r w:rsidRPr="000A7154">
        <w:t>, in particular, the section concerning Belarus,</w:t>
      </w:r>
      <w:r w:rsidRPr="000A7154">
        <w:rPr>
          <w:rStyle w:val="FootnoteReference"/>
        </w:rPr>
        <w:footnoteReference w:id="16"/>
      </w:r>
    </w:p>
    <w:p w14:paraId="02B22AEC" w14:textId="77777777" w:rsidR="00C34A99" w:rsidRPr="00365D61" w:rsidRDefault="00C34A99" w:rsidP="002F2C31">
      <w:pPr>
        <w:pStyle w:val="SingleTxtG"/>
        <w:ind w:firstLine="567"/>
        <w:rPr>
          <w:i/>
          <w:iCs/>
        </w:rPr>
      </w:pPr>
      <w:r w:rsidRPr="00365D61">
        <w:t>1.</w:t>
      </w:r>
      <w:r w:rsidRPr="00365D61">
        <w:tab/>
      </w:r>
      <w:r w:rsidRPr="00365D61">
        <w:rPr>
          <w:i/>
          <w:iCs/>
        </w:rPr>
        <w:t xml:space="preserve">Reaffirms </w:t>
      </w:r>
      <w:r w:rsidRPr="00365D61">
        <w:t>its decision IS/1d</w:t>
      </w:r>
      <w:r>
        <w:t>,</w:t>
      </w:r>
      <w:r w:rsidRPr="00365D61">
        <w:t xml:space="preserve"> in</w:t>
      </w:r>
      <w:r>
        <w:t xml:space="preserve"> particular </w:t>
      </w:r>
      <w:r w:rsidRPr="00365D61">
        <w:t>paragraph 15</w:t>
      </w:r>
      <w:r>
        <w:t>, in which it is stated</w:t>
      </w:r>
      <w:r w:rsidRPr="00365D61">
        <w:t xml:space="preserve"> that Belarus failed to comply with </w:t>
      </w:r>
      <w:r>
        <w:t>articles 4 (1), 5 (a) and 6 (1)</w:t>
      </w:r>
      <w:r w:rsidRPr="00365D61">
        <w:t xml:space="preserve"> of the Convention</w:t>
      </w:r>
      <w:r>
        <w:t>,</w:t>
      </w:r>
      <w:r w:rsidRPr="00365D61">
        <w:t xml:space="preserve"> and paragraph 16</w:t>
      </w:r>
      <w:r>
        <w:t xml:space="preserve">, in which Belarus is </w:t>
      </w:r>
      <w:r w:rsidRPr="00365D61">
        <w:t>urge</w:t>
      </w:r>
      <w:r>
        <w:t>d</w:t>
      </w:r>
      <w:r w:rsidRPr="00365D61">
        <w:t xml:space="preserve"> to</w:t>
      </w:r>
      <w:r>
        <w:t xml:space="preserve"> ensure that, in the context of any future decision-making regarding any planned activity that falls under the Convention, </w:t>
      </w:r>
      <w:r w:rsidRPr="00365D61">
        <w:t>the Convention</w:t>
      </w:r>
      <w:r>
        <w:t xml:space="preserve"> is applied</w:t>
      </w:r>
      <w:r w:rsidRPr="00365D61">
        <w:t xml:space="preserve"> </w:t>
      </w:r>
      <w:r>
        <w:t>ensuring that the environmental impact assessment documentation contains</w:t>
      </w:r>
      <w:r w:rsidRPr="00365D61">
        <w:t xml:space="preserve"> a proper evaluation of reasonable alternatives</w:t>
      </w:r>
      <w:r w:rsidRPr="000A7154">
        <w:t>;</w:t>
      </w:r>
    </w:p>
    <w:p w14:paraId="0825407B" w14:textId="77777777" w:rsidR="00C34A99" w:rsidRPr="00365D61" w:rsidRDefault="00C34A99" w:rsidP="002F2C31">
      <w:pPr>
        <w:pStyle w:val="SingleTxtG"/>
        <w:ind w:firstLine="567"/>
      </w:pPr>
      <w:r w:rsidRPr="00365D61">
        <w:t>2.</w:t>
      </w:r>
      <w:r w:rsidRPr="00365D61">
        <w:tab/>
      </w:r>
      <w:r w:rsidRPr="00365D61">
        <w:rPr>
          <w:i/>
          <w:iCs/>
        </w:rPr>
        <w:t>Expresses</w:t>
      </w:r>
      <w:r w:rsidRPr="00365D61">
        <w:t xml:space="preserve"> appreciation for the </w:t>
      </w:r>
      <w:r>
        <w:t>submission</w:t>
      </w:r>
      <w:r w:rsidRPr="00365D61">
        <w:t xml:space="preserve"> by</w:t>
      </w:r>
      <w:r>
        <w:t xml:space="preserve"> the Government of</w:t>
      </w:r>
      <w:r w:rsidRPr="00365D61">
        <w:t xml:space="preserve"> Belarus and </w:t>
      </w:r>
      <w:r>
        <w:t xml:space="preserve">the Government of </w:t>
      </w:r>
      <w:r w:rsidRPr="00365D61">
        <w:t xml:space="preserve">Lithuania of their annual reports, further to paragraph 5 of decision VIII/4c; </w:t>
      </w:r>
    </w:p>
    <w:p w14:paraId="182770A0" w14:textId="77777777" w:rsidR="00C34A99" w:rsidRPr="00365D61" w:rsidRDefault="00C34A99" w:rsidP="002F2C31">
      <w:pPr>
        <w:pStyle w:val="SingleTxtG"/>
        <w:ind w:firstLine="567"/>
        <w:rPr>
          <w:rFonts w:eastAsia="SimSun"/>
        </w:rPr>
      </w:pPr>
      <w:r w:rsidRPr="00365D61">
        <w:t>3.</w:t>
      </w:r>
      <w:r w:rsidRPr="00365D61">
        <w:tab/>
      </w:r>
      <w:r w:rsidRPr="00365D61">
        <w:rPr>
          <w:i/>
          <w:iCs/>
        </w:rPr>
        <w:t>Recalls</w:t>
      </w:r>
      <w:r w:rsidRPr="00365D61">
        <w:rPr>
          <w:rFonts w:eastAsia="DengXian Light"/>
          <w:lang w:eastAsia="en-US"/>
        </w:rPr>
        <w:t xml:space="preserve"> </w:t>
      </w:r>
      <w:r w:rsidRPr="00365D61">
        <w:t>that, by the ninth session of the Meeting of the Parties, both Parties were encouraged to</w:t>
      </w:r>
      <w:r>
        <w:t>:</w:t>
      </w:r>
      <w:r w:rsidRPr="00365D61">
        <w:t xml:space="preserve"> </w:t>
      </w:r>
      <w:r w:rsidRPr="00365D61">
        <w:rPr>
          <w:rFonts w:eastAsia="SimSun"/>
        </w:rPr>
        <w:t xml:space="preserve">conclude a bilateral agreement for the implementation of the Convention further to article 8 </w:t>
      </w:r>
      <w:r>
        <w:rPr>
          <w:rFonts w:eastAsia="SimSun"/>
        </w:rPr>
        <w:t>there</w:t>
      </w:r>
      <w:r w:rsidRPr="00365D61">
        <w:rPr>
          <w:rFonts w:eastAsia="SimSun"/>
        </w:rPr>
        <w:t>of</w:t>
      </w:r>
      <w:r>
        <w:rPr>
          <w:rFonts w:eastAsia="SimSun"/>
        </w:rPr>
        <w:t>;</w:t>
      </w:r>
      <w:r w:rsidRPr="00365D61">
        <w:rPr>
          <w:rFonts w:eastAsia="SimSun"/>
        </w:rPr>
        <w:t xml:space="preserve"> carry out a post-project analysis</w:t>
      </w:r>
      <w:r>
        <w:rPr>
          <w:rFonts w:eastAsia="SimSun"/>
        </w:rPr>
        <w:t>;</w:t>
      </w:r>
      <w:r w:rsidRPr="00365D61">
        <w:rPr>
          <w:rFonts w:eastAsia="SimSun"/>
        </w:rPr>
        <w:t xml:space="preserve"> and</w:t>
      </w:r>
      <w:r>
        <w:rPr>
          <w:rFonts w:eastAsia="SimSun"/>
        </w:rPr>
        <w:t>,</w:t>
      </w:r>
      <w:r w:rsidRPr="00365D61">
        <w:rPr>
          <w:rFonts w:eastAsia="SimSun"/>
        </w:rPr>
        <w:t xml:space="preserve"> continue bilateral expert consultations on issues of disagreement;</w:t>
      </w:r>
      <w:r>
        <w:rPr>
          <w:rStyle w:val="FootnoteReference"/>
          <w:rFonts w:eastAsia="SimSun"/>
        </w:rPr>
        <w:footnoteReference w:id="17"/>
      </w:r>
    </w:p>
    <w:p w14:paraId="3C186E9A" w14:textId="77777777" w:rsidR="00C34A99" w:rsidRPr="00365D61" w:rsidRDefault="00C34A99" w:rsidP="002F2C31">
      <w:pPr>
        <w:pStyle w:val="SingleTxtG"/>
        <w:ind w:firstLine="567"/>
      </w:pPr>
      <w:r w:rsidRPr="00365D61">
        <w:t>4.</w:t>
      </w:r>
      <w:r w:rsidRPr="00365D61">
        <w:tab/>
      </w:r>
      <w:r w:rsidRPr="00365D61">
        <w:rPr>
          <w:i/>
          <w:iCs/>
        </w:rPr>
        <w:t>Encourages</w:t>
      </w:r>
      <w:r w:rsidRPr="00365D61">
        <w:t xml:space="preserve"> both Parties to carry out a post-project analysis</w:t>
      </w:r>
      <w:r>
        <w:t>,</w:t>
      </w:r>
      <w:r w:rsidRPr="00365D61">
        <w:t xml:space="preserve"> and to define the procedures for such</w:t>
      </w:r>
      <w:r>
        <w:t xml:space="preserve"> an</w:t>
      </w:r>
      <w:r w:rsidRPr="00365D61">
        <w:t xml:space="preserve"> analysis, in particular for ensuring sufficient public participation in the framework of the </w:t>
      </w:r>
      <w:r>
        <w:t>draft B</w:t>
      </w:r>
      <w:r w:rsidRPr="00365D61">
        <w:t xml:space="preserve">ilateral Agreement on Implementation of the </w:t>
      </w:r>
      <w:r>
        <w:t xml:space="preserve">Espoo </w:t>
      </w:r>
      <w:r w:rsidRPr="00365D61">
        <w:t xml:space="preserve">Convention between Lithuania and Belarus, while </w:t>
      </w:r>
      <w:r w:rsidRPr="000A7154">
        <w:t>acknowledging</w:t>
      </w:r>
      <w:r w:rsidRPr="00365D61">
        <w:t xml:space="preserve"> that there is no </w:t>
      </w:r>
      <w:r>
        <w:t>longer a</w:t>
      </w:r>
      <w:r w:rsidRPr="00365D61">
        <w:t xml:space="preserve"> need to establish a joint bilateral body, as foreseen in decision VIII/4c</w:t>
      </w:r>
      <w:r>
        <w:t>,</w:t>
      </w:r>
      <w:r w:rsidRPr="00365D61">
        <w:t xml:space="preserve"> paragraph 4 (b)</w:t>
      </w:r>
      <w:r>
        <w:t>;</w:t>
      </w:r>
    </w:p>
    <w:p w14:paraId="1057D54A" w14:textId="77777777" w:rsidR="00C34A99" w:rsidRPr="00D334E9" w:rsidRDefault="00C34A99" w:rsidP="002F2C31">
      <w:pPr>
        <w:pStyle w:val="SingleTxtG"/>
        <w:ind w:firstLine="567"/>
      </w:pPr>
      <w:r>
        <w:t>5</w:t>
      </w:r>
      <w:r w:rsidRPr="00D334E9">
        <w:t>.</w:t>
      </w:r>
      <w:r w:rsidRPr="00D334E9">
        <w:tab/>
      </w:r>
      <w:r w:rsidRPr="006E3AF1">
        <w:rPr>
          <w:i/>
          <w:iCs/>
        </w:rPr>
        <w:t>Acknowledges</w:t>
      </w:r>
      <w:r w:rsidRPr="00D334E9">
        <w:t xml:space="preserve"> that, during the intersessional period, Belarus and Lithuania held one bilateral expert meeting with the aim of discussing remaining differences</w:t>
      </w:r>
      <w:r>
        <w:t>,</w:t>
      </w:r>
      <w:r w:rsidRPr="00D334E9">
        <w:t xml:space="preserve"> and to make progress in accordance with decision VIII/4c</w:t>
      </w:r>
      <w:r>
        <w:t>;</w:t>
      </w:r>
      <w:r w:rsidRPr="00D334E9">
        <w:t xml:space="preserve"> noting, however</w:t>
      </w:r>
      <w:r>
        <w:t>,</w:t>
      </w:r>
      <w:r w:rsidRPr="00D334E9">
        <w:t xml:space="preserve"> that </w:t>
      </w:r>
      <w:r>
        <w:t xml:space="preserve">the outcomes of </w:t>
      </w:r>
      <w:r w:rsidRPr="00D334E9">
        <w:t xml:space="preserve">said </w:t>
      </w:r>
      <w:r>
        <w:t xml:space="preserve">bilateral expert </w:t>
      </w:r>
      <w:r w:rsidRPr="00D334E9">
        <w:t>meeting ha</w:t>
      </w:r>
      <w:r>
        <w:t>ve</w:t>
      </w:r>
      <w:r w:rsidRPr="00D334E9">
        <w:t xml:space="preserve"> still not been </w:t>
      </w:r>
      <w:r w:rsidRPr="00365D61">
        <w:t xml:space="preserve">fully </w:t>
      </w:r>
      <w:r w:rsidRPr="00D334E9">
        <w:t xml:space="preserve">agreed </w:t>
      </w:r>
      <w:r>
        <w:t xml:space="preserve">on </w:t>
      </w:r>
      <w:r w:rsidRPr="00D334E9">
        <w:t xml:space="preserve">at the current time, and considering that, irrespective of the </w:t>
      </w:r>
      <w:r>
        <w:t xml:space="preserve">coronavirus disease (COVID-19) </w:t>
      </w:r>
      <w:r w:rsidRPr="00D334E9">
        <w:t xml:space="preserve">pandemic, the Parties </w:t>
      </w:r>
      <w:r>
        <w:t xml:space="preserve">have </w:t>
      </w:r>
      <w:r w:rsidRPr="00D334E9">
        <w:t>had ample opportunit</w:t>
      </w:r>
      <w:r>
        <w:t>y</w:t>
      </w:r>
      <w:r w:rsidRPr="00D334E9">
        <w:t xml:space="preserve"> to hold </w:t>
      </w:r>
      <w:r>
        <w:t>fur</w:t>
      </w:r>
      <w:r w:rsidRPr="00D334E9">
        <w:t>ther online meetings;</w:t>
      </w:r>
    </w:p>
    <w:p w14:paraId="149E30AE" w14:textId="77777777" w:rsidR="00C34A99" w:rsidRPr="00D334E9" w:rsidRDefault="00C34A99" w:rsidP="002F2C31">
      <w:pPr>
        <w:pStyle w:val="SingleTxtG"/>
        <w:ind w:firstLine="567"/>
      </w:pPr>
      <w:r>
        <w:t>6</w:t>
      </w:r>
      <w:r w:rsidRPr="00D334E9">
        <w:t>.</w:t>
      </w:r>
      <w:r w:rsidRPr="00D334E9">
        <w:tab/>
      </w:r>
      <w:r w:rsidRPr="006E3AF1">
        <w:rPr>
          <w:i/>
          <w:iCs/>
        </w:rPr>
        <w:t>Notes</w:t>
      </w:r>
      <w:r w:rsidRPr="00D334E9">
        <w:t xml:space="preserve"> that the Implementation Committee conducted informal online consultations with the two Parties during its fifty-fourth session </w:t>
      </w:r>
      <w:r>
        <w:t>(Geneva, 4–7 October 2022),</w:t>
      </w:r>
      <w:r>
        <w:rPr>
          <w:rStyle w:val="FootnoteReference"/>
        </w:rPr>
        <w:footnoteReference w:id="18"/>
      </w:r>
      <w:r>
        <w:t xml:space="preserve"> </w:t>
      </w:r>
      <w:r w:rsidRPr="00D334E9">
        <w:t xml:space="preserve">and expresses appreciation for the comments submitted by both </w:t>
      </w:r>
      <w:r>
        <w:t>Parties</w:t>
      </w:r>
      <w:r w:rsidRPr="00D334E9">
        <w:t xml:space="preserve"> following </w:t>
      </w:r>
      <w:r>
        <w:t>said</w:t>
      </w:r>
      <w:r w:rsidRPr="00D334E9">
        <w:t xml:space="preserve"> consultations, which indicated some willingness to continue </w:t>
      </w:r>
      <w:r>
        <w:t>wi</w:t>
      </w:r>
      <w:r w:rsidRPr="00D334E9">
        <w:t>th cooperation;</w:t>
      </w:r>
    </w:p>
    <w:p w14:paraId="13BE50EA" w14:textId="77777777" w:rsidR="00C34A99" w:rsidRPr="00D334E9" w:rsidRDefault="00C34A99" w:rsidP="002F2C31">
      <w:pPr>
        <w:pStyle w:val="SingleTxtG"/>
        <w:ind w:firstLine="567"/>
      </w:pPr>
      <w:r>
        <w:lastRenderedPageBreak/>
        <w:t>7</w:t>
      </w:r>
      <w:r w:rsidRPr="00D334E9">
        <w:t>.</w:t>
      </w:r>
      <w:r w:rsidRPr="00D334E9">
        <w:tab/>
      </w:r>
      <w:r w:rsidRPr="006E3AF1">
        <w:rPr>
          <w:i/>
          <w:iCs/>
        </w:rPr>
        <w:t>Expresses</w:t>
      </w:r>
      <w:r w:rsidRPr="00D334E9">
        <w:t xml:space="preserve"> regret, however, at the lack of progress by the Parties concerned since 2014 in </w:t>
      </w:r>
      <w:r>
        <w:t>tak</w:t>
      </w:r>
      <w:r w:rsidRPr="00D334E9">
        <w:t>ing</w:t>
      </w:r>
      <w:r>
        <w:t xml:space="preserve"> </w:t>
      </w:r>
      <w:r w:rsidRPr="00D334E9">
        <w:t xml:space="preserve">the </w:t>
      </w:r>
      <w:r>
        <w:t>step</w:t>
      </w:r>
      <w:r w:rsidRPr="00D334E9">
        <w:t>s set out in para</w:t>
      </w:r>
      <w:r>
        <w:t>graph</w:t>
      </w:r>
      <w:r w:rsidRPr="00D334E9">
        <w:t xml:space="preserve"> </w:t>
      </w:r>
      <w:r>
        <w:t>3</w:t>
      </w:r>
      <w:r w:rsidRPr="00D334E9">
        <w:t xml:space="preserve"> above;</w:t>
      </w:r>
    </w:p>
    <w:p w14:paraId="0732E259" w14:textId="77777777" w:rsidR="00C34A99" w:rsidRPr="00D334E9" w:rsidRDefault="00C34A99" w:rsidP="002F2C31">
      <w:pPr>
        <w:pStyle w:val="SingleTxtG"/>
        <w:ind w:firstLine="567"/>
      </w:pPr>
      <w:r>
        <w:t>8</w:t>
      </w:r>
      <w:r w:rsidRPr="00D334E9">
        <w:t>.</w:t>
      </w:r>
      <w:r w:rsidRPr="00D334E9">
        <w:tab/>
      </w:r>
      <w:r w:rsidRPr="006E3AF1">
        <w:rPr>
          <w:i/>
          <w:iCs/>
        </w:rPr>
        <w:t>Urges</w:t>
      </w:r>
      <w:r w:rsidRPr="00D334E9">
        <w:t xml:space="preserve"> both Parties to </w:t>
      </w:r>
      <w:r>
        <w:t xml:space="preserve">take </w:t>
      </w:r>
      <w:r w:rsidRPr="00D334E9">
        <w:t xml:space="preserve">the </w:t>
      </w:r>
      <w:r>
        <w:t>step</w:t>
      </w:r>
      <w:r w:rsidRPr="00D334E9">
        <w:t xml:space="preserve">s </w:t>
      </w:r>
      <w:r>
        <w:t xml:space="preserve">set out </w:t>
      </w:r>
      <w:r w:rsidRPr="00D334E9">
        <w:t>in para</w:t>
      </w:r>
      <w:r>
        <w:t>graph</w:t>
      </w:r>
      <w:r w:rsidRPr="00D334E9">
        <w:t xml:space="preserve"> </w:t>
      </w:r>
      <w:r>
        <w:t>3</w:t>
      </w:r>
      <w:r w:rsidRPr="00D334E9">
        <w:t xml:space="preserve"> above, at the latest by the tenth session of the Meeting of the Parties;</w:t>
      </w:r>
    </w:p>
    <w:p w14:paraId="462232CB" w14:textId="77777777" w:rsidR="00C34A99" w:rsidRPr="00D334E9" w:rsidRDefault="00C34A99" w:rsidP="002F2C31">
      <w:pPr>
        <w:pStyle w:val="SingleTxtG"/>
        <w:ind w:firstLine="567"/>
        <w:rPr>
          <w:rFonts w:eastAsia="DengXian Light"/>
          <w:lang w:eastAsia="en-US"/>
        </w:rPr>
      </w:pPr>
      <w:r>
        <w:rPr>
          <w:rFonts w:eastAsia="DengXian Light"/>
          <w:lang w:eastAsia="en-US"/>
        </w:rPr>
        <w:t>9</w:t>
      </w:r>
      <w:r w:rsidRPr="00D334E9">
        <w:rPr>
          <w:rFonts w:eastAsia="DengXian Light"/>
          <w:lang w:eastAsia="en-US"/>
        </w:rPr>
        <w:t>.</w:t>
      </w:r>
      <w:r w:rsidRPr="00D334E9">
        <w:rPr>
          <w:rFonts w:eastAsia="DengXian Light"/>
          <w:lang w:eastAsia="en-US"/>
        </w:rPr>
        <w:tab/>
      </w:r>
      <w:r w:rsidRPr="006E3AF1">
        <w:rPr>
          <w:i/>
          <w:iCs/>
        </w:rPr>
        <w:t>Requests</w:t>
      </w:r>
      <w:r w:rsidRPr="00D334E9">
        <w:t xml:space="preserve"> the Government of Belarus and </w:t>
      </w:r>
      <w:r>
        <w:t xml:space="preserve">the Government of </w:t>
      </w:r>
      <w:r w:rsidRPr="00D334E9">
        <w:t xml:space="preserve">Lithuania to continue </w:t>
      </w:r>
      <w:r>
        <w:t xml:space="preserve">to </w:t>
      </w:r>
      <w:r w:rsidRPr="00D334E9">
        <w:t>report to the Implementation Committee on the progress made</w:t>
      </w:r>
      <w:r w:rsidRPr="00D334E9">
        <w:rPr>
          <w:rFonts w:eastAsia="DengXian Light"/>
          <w:lang w:eastAsia="en-US"/>
        </w:rPr>
        <w:t xml:space="preserve"> by the end of each year.</w:t>
      </w:r>
    </w:p>
    <w:p w14:paraId="0A0C340E" w14:textId="77777777" w:rsidR="00C34A99" w:rsidRDefault="00C34A99" w:rsidP="00AE348E">
      <w:pPr>
        <w:rPr>
          <w:lang w:eastAsia="en-US"/>
        </w:rPr>
        <w:sectPr w:rsidR="00C34A99" w:rsidSect="007B6E6F">
          <w:footerReference w:type="default" r:id="rId18"/>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pPr>
    </w:p>
    <w:p w14:paraId="64F5642C" w14:textId="31221602" w:rsidR="000D0F1C" w:rsidRDefault="007566E7" w:rsidP="007566E7">
      <w:pPr>
        <w:pStyle w:val="HChG"/>
      </w:pPr>
      <w:r>
        <w:lastRenderedPageBreak/>
        <w:tab/>
      </w:r>
      <w:r w:rsidR="000D0F1C">
        <w:t>3.</w:t>
      </w:r>
      <w:r w:rsidR="000D0F1C">
        <w:tab/>
      </w:r>
      <w:r w:rsidR="000D0F1C" w:rsidRPr="007566E7">
        <w:t>Decision</w:t>
      </w:r>
      <w:r w:rsidR="000D0F1C" w:rsidRPr="003947C5">
        <w:t xml:space="preserve"> </w:t>
      </w:r>
      <w:r w:rsidR="000D0F1C">
        <w:t>IX</w:t>
      </w:r>
      <w:r w:rsidR="000D0F1C" w:rsidRPr="003947C5">
        <w:t>/4</w:t>
      </w:r>
      <w:r w:rsidR="000D0F1C">
        <w:t xml:space="preserve">f </w:t>
      </w:r>
      <w:r w:rsidR="000D0F1C" w:rsidRPr="003947C5">
        <w:t xml:space="preserve">on compliance by </w:t>
      </w:r>
      <w:r w:rsidR="000D0F1C">
        <w:t>Belarus</w:t>
      </w:r>
      <w:r w:rsidR="000D0F1C" w:rsidRPr="003947C5">
        <w:t xml:space="preserve"> with its obligations under the Convention </w:t>
      </w:r>
      <w:r w:rsidR="000D0F1C">
        <w:t>in</w:t>
      </w:r>
      <w:r w:rsidR="000D0F1C" w:rsidRPr="003947C5">
        <w:t xml:space="preserve"> respect of its national legislation</w:t>
      </w:r>
    </w:p>
    <w:p w14:paraId="3510CBD2" w14:textId="77777777" w:rsidR="000D0F1C" w:rsidRDefault="000D0F1C" w:rsidP="007566E7">
      <w:pPr>
        <w:pStyle w:val="SingleTxtG"/>
        <w:ind w:firstLine="567"/>
      </w:pPr>
      <w:r w:rsidRPr="007566E7">
        <w:rPr>
          <w:i/>
          <w:iCs/>
        </w:rPr>
        <w:t>The Meeting of the Parties to the Convention</w:t>
      </w:r>
      <w:r>
        <w:t xml:space="preserve">, </w:t>
      </w:r>
    </w:p>
    <w:p w14:paraId="6067F6FA" w14:textId="77777777" w:rsidR="000D0F1C" w:rsidRPr="00D334E9" w:rsidRDefault="000D0F1C" w:rsidP="007566E7">
      <w:pPr>
        <w:pStyle w:val="SingleTxtG"/>
        <w:ind w:firstLine="567"/>
      </w:pPr>
      <w:r w:rsidRPr="0087657E">
        <w:rPr>
          <w:i/>
          <w:iCs/>
        </w:rPr>
        <w:t>Recalling</w:t>
      </w:r>
      <w:r w:rsidRPr="00D334E9">
        <w:t xml:space="preserve"> article</w:t>
      </w:r>
      <w:r>
        <w:t>s</w:t>
      </w:r>
      <w:r w:rsidRPr="00D334E9">
        <w:t xml:space="preserve"> 11</w:t>
      </w:r>
      <w:r>
        <w:t xml:space="preserve"> (</w:t>
      </w:r>
      <w:r w:rsidRPr="00D334E9">
        <w:t>2</w:t>
      </w:r>
      <w:r>
        <w:t>)</w:t>
      </w:r>
      <w:r w:rsidRPr="00D334E9">
        <w:t xml:space="preserve"> and 14 bis of the Convention on Environmental Impact Assessment in a Transboundary Context,</w:t>
      </w:r>
    </w:p>
    <w:p w14:paraId="0F7ABDCC" w14:textId="77777777" w:rsidR="000D0F1C" w:rsidRDefault="000D0F1C" w:rsidP="007566E7">
      <w:pPr>
        <w:pStyle w:val="SingleTxtG"/>
        <w:ind w:firstLine="567"/>
      </w:pPr>
      <w:proofErr w:type="gramStart"/>
      <w:r>
        <w:rPr>
          <w:i/>
          <w:iCs/>
        </w:rPr>
        <w:t>Recalling</w:t>
      </w:r>
      <w:r>
        <w:t xml:space="preserve"> </w:t>
      </w:r>
      <w:r>
        <w:rPr>
          <w:i/>
          <w:iCs/>
        </w:rPr>
        <w:t>also</w:t>
      </w:r>
      <w:proofErr w:type="gramEnd"/>
      <w:r w:rsidRPr="007F276B">
        <w:rPr>
          <w:i/>
          <w:iCs/>
        </w:rPr>
        <w:t xml:space="preserve"> </w:t>
      </w:r>
      <w:r>
        <w:t>its decision IX/4</w:t>
      </w:r>
      <w:r>
        <w:rPr>
          <w:rStyle w:val="FootnoteReference"/>
        </w:rPr>
        <w:footnoteReference w:id="19"/>
      </w:r>
      <w:r>
        <w:t xml:space="preserve"> on general issues of compliance with the Convention adopted at its ninth session (Geneva, 12–15 December 2023),</w:t>
      </w:r>
    </w:p>
    <w:p w14:paraId="72D000F1" w14:textId="77777777" w:rsidR="000D0F1C" w:rsidRDefault="000D0F1C" w:rsidP="007566E7">
      <w:pPr>
        <w:pStyle w:val="SingleTxtG"/>
        <w:ind w:firstLine="567"/>
      </w:pPr>
      <w:r>
        <w:rPr>
          <w:i/>
        </w:rPr>
        <w:t>Having considered</w:t>
      </w:r>
      <w:r>
        <w:t xml:space="preserve"> the report on the activities of the Implementation Committee to the Meeting of the Parties to the Convention at its ninth session, </w:t>
      </w:r>
      <w:r w:rsidRPr="00EE478E">
        <w:t>in particular, the section concerning</w:t>
      </w:r>
      <w:r>
        <w:t xml:space="preserve"> Belarus,</w:t>
      </w:r>
      <w:r>
        <w:rPr>
          <w:rStyle w:val="FootnoteReference"/>
        </w:rPr>
        <w:footnoteReference w:id="20"/>
      </w:r>
    </w:p>
    <w:p w14:paraId="30C1027B" w14:textId="77777777" w:rsidR="000D0F1C" w:rsidRPr="007566E7" w:rsidRDefault="000D0F1C" w:rsidP="007566E7">
      <w:pPr>
        <w:pStyle w:val="SingleTxtG"/>
        <w:ind w:firstLine="567"/>
      </w:pPr>
      <w:r>
        <w:rPr>
          <w:i/>
        </w:rPr>
        <w:t>Acknowledging</w:t>
      </w:r>
      <w:r>
        <w:t xml:space="preserve"> </w:t>
      </w:r>
      <w:r w:rsidRPr="007566E7">
        <w:t xml:space="preserve">the technical assistance provided by the secretariat to the Government of Belarus </w:t>
      </w:r>
      <w:r w:rsidRPr="00A553BF">
        <w:t xml:space="preserve">for the past 10 years, with European Union funding, </w:t>
      </w:r>
      <w:r w:rsidRPr="007566E7">
        <w:t xml:space="preserve">to bring its legislation into line with the provisions of the Convention and the Protocol on Strategic Environmental Assessment, </w:t>
      </w:r>
    </w:p>
    <w:p w14:paraId="7788F5EE" w14:textId="77777777" w:rsidR="000D0F1C" w:rsidRDefault="000D0F1C" w:rsidP="007566E7">
      <w:pPr>
        <w:pStyle w:val="SingleTxtG"/>
        <w:ind w:firstLine="567"/>
        <w:rPr>
          <w:rFonts w:eastAsia="SimSun"/>
        </w:rPr>
      </w:pPr>
      <w:r>
        <w:rPr>
          <w:i/>
        </w:rPr>
        <w:t xml:space="preserve">Noting </w:t>
      </w:r>
      <w:r w:rsidRPr="00A553BF">
        <w:rPr>
          <w:rFonts w:eastAsia="SimSun"/>
        </w:rPr>
        <w:t>th</w:t>
      </w:r>
      <w:r>
        <w:rPr>
          <w:rFonts w:eastAsia="SimSun"/>
        </w:rPr>
        <w:t xml:space="preserve">at the Implementation Committee conducted </w:t>
      </w:r>
      <w:r w:rsidRPr="00A553BF">
        <w:rPr>
          <w:rFonts w:eastAsia="SimSun"/>
        </w:rPr>
        <w:t xml:space="preserve">informal </w:t>
      </w:r>
      <w:r>
        <w:rPr>
          <w:rFonts w:eastAsia="SimSun"/>
        </w:rPr>
        <w:t xml:space="preserve">online </w:t>
      </w:r>
      <w:r w:rsidRPr="00A553BF">
        <w:rPr>
          <w:rFonts w:eastAsia="SimSun"/>
        </w:rPr>
        <w:t>consultations</w:t>
      </w:r>
      <w:r>
        <w:rPr>
          <w:rFonts w:eastAsia="SimSun"/>
        </w:rPr>
        <w:t xml:space="preserve"> with </w:t>
      </w:r>
      <w:r w:rsidRPr="00A553BF">
        <w:rPr>
          <w:rFonts w:eastAsia="SimSun"/>
        </w:rPr>
        <w:t xml:space="preserve">Belarus during </w:t>
      </w:r>
      <w:r>
        <w:rPr>
          <w:rFonts w:eastAsia="SimSun"/>
        </w:rPr>
        <w:t>its</w:t>
      </w:r>
      <w:r w:rsidRPr="00A553BF">
        <w:rPr>
          <w:rFonts w:eastAsia="SimSun"/>
        </w:rPr>
        <w:t xml:space="preserve"> fifty-fourth session</w:t>
      </w:r>
      <w:r>
        <w:rPr>
          <w:rFonts w:eastAsia="SimSun"/>
        </w:rPr>
        <w:t xml:space="preserve"> (</w:t>
      </w:r>
      <w:r>
        <w:t>Geneva, 4–7 October 2022</w:t>
      </w:r>
      <w:r>
        <w:rPr>
          <w:rFonts w:eastAsia="SimSun"/>
        </w:rPr>
        <w:t xml:space="preserve">) on </w:t>
      </w:r>
      <w:r w:rsidRPr="00FE547A">
        <w:t xml:space="preserve">the steps taken </w:t>
      </w:r>
      <w:r>
        <w:t xml:space="preserve">by Belarus </w:t>
      </w:r>
      <w:r w:rsidRPr="00FE547A">
        <w:t xml:space="preserve">to bring its environmental impact assessment legislation into compliance </w:t>
      </w:r>
      <w:r>
        <w:rPr>
          <w:rFonts w:eastAsia="SimSun"/>
        </w:rPr>
        <w:t>with the Convention,</w:t>
      </w:r>
      <w:r>
        <w:rPr>
          <w:rStyle w:val="FootnoteReference"/>
          <w:rFonts w:eastAsia="SimSun"/>
        </w:rPr>
        <w:footnoteReference w:id="21"/>
      </w:r>
    </w:p>
    <w:p w14:paraId="5C4FB614" w14:textId="77777777" w:rsidR="000D0F1C" w:rsidRPr="00871431" w:rsidRDefault="000D0F1C" w:rsidP="007566E7">
      <w:pPr>
        <w:pStyle w:val="SingleTxtG"/>
        <w:ind w:firstLine="567"/>
        <w:rPr>
          <w:lang w:val="en-AU"/>
        </w:rPr>
      </w:pPr>
      <w:r>
        <w:rPr>
          <w:iCs/>
        </w:rPr>
        <w:t>1</w:t>
      </w:r>
      <w:r>
        <w:rPr>
          <w:i/>
        </w:rPr>
        <w:t>.</w:t>
      </w:r>
      <w:r>
        <w:rPr>
          <w:i/>
        </w:rPr>
        <w:tab/>
      </w:r>
      <w:r w:rsidRPr="002A3095">
        <w:rPr>
          <w:i/>
          <w:iCs/>
          <w:lang w:val="en-AU"/>
        </w:rPr>
        <w:t xml:space="preserve">Welcomes </w:t>
      </w:r>
      <w:r w:rsidRPr="00C10245">
        <w:rPr>
          <w:lang w:val="en-AU"/>
        </w:rPr>
        <w:t xml:space="preserve">the improvement </w:t>
      </w:r>
      <w:r>
        <w:rPr>
          <w:lang w:val="en-AU"/>
        </w:rPr>
        <w:t>by</w:t>
      </w:r>
      <w:r w:rsidRPr="00C10245">
        <w:rPr>
          <w:lang w:val="en-AU"/>
        </w:rPr>
        <w:t xml:space="preserve"> </w:t>
      </w:r>
      <w:r>
        <w:rPr>
          <w:lang w:val="en-AU"/>
        </w:rPr>
        <w:t xml:space="preserve">Belarus of its </w:t>
      </w:r>
      <w:r w:rsidRPr="00C10245">
        <w:rPr>
          <w:lang w:val="en-AU"/>
        </w:rPr>
        <w:t xml:space="preserve">national legislation </w:t>
      </w:r>
      <w:r>
        <w:rPr>
          <w:lang w:val="en-AU"/>
        </w:rPr>
        <w:t xml:space="preserve">through </w:t>
      </w:r>
      <w:r w:rsidRPr="00C10245">
        <w:rPr>
          <w:lang w:val="en-AU"/>
        </w:rPr>
        <w:t xml:space="preserve">the </w:t>
      </w:r>
      <w:r>
        <w:rPr>
          <w:lang w:val="en-AU"/>
        </w:rPr>
        <w:t xml:space="preserve">adoption </w:t>
      </w:r>
      <w:r w:rsidRPr="00C10245">
        <w:rPr>
          <w:lang w:val="en-AU"/>
        </w:rPr>
        <w:t>of</w:t>
      </w:r>
      <w:r>
        <w:rPr>
          <w:lang w:val="en-AU"/>
        </w:rPr>
        <w:t xml:space="preserve"> </w:t>
      </w:r>
      <w:r w:rsidRPr="00C10245">
        <w:rPr>
          <w:lang w:val="en-AU"/>
        </w:rPr>
        <w:t>Law of the Republic of Belarus No</w:t>
      </w:r>
      <w:r w:rsidRPr="000B52E2">
        <w:rPr>
          <w:lang w:val="en-AU"/>
        </w:rPr>
        <w:t>. 296-3</w:t>
      </w:r>
      <w:r>
        <w:rPr>
          <w:lang w:val="en-AU"/>
        </w:rPr>
        <w:t>,</w:t>
      </w:r>
      <w:r w:rsidRPr="00C10245">
        <w:rPr>
          <w:lang w:val="en-AU"/>
        </w:rPr>
        <w:t xml:space="preserve"> </w:t>
      </w:r>
      <w:r>
        <w:rPr>
          <w:lang w:val="en-AU"/>
        </w:rPr>
        <w:t>of 17 July 2023, o</w:t>
      </w:r>
      <w:r w:rsidRPr="00C10245">
        <w:rPr>
          <w:lang w:val="en-AU"/>
        </w:rPr>
        <w:t xml:space="preserve">n the </w:t>
      </w:r>
      <w:r>
        <w:rPr>
          <w:lang w:val="en-AU"/>
        </w:rPr>
        <w:t>A</w:t>
      </w:r>
      <w:r w:rsidRPr="00C10245">
        <w:rPr>
          <w:lang w:val="en-AU"/>
        </w:rPr>
        <w:t xml:space="preserve">mendment of the </w:t>
      </w:r>
      <w:r>
        <w:rPr>
          <w:lang w:val="en-AU"/>
        </w:rPr>
        <w:t>L</w:t>
      </w:r>
      <w:r w:rsidRPr="00C10245">
        <w:rPr>
          <w:lang w:val="en-AU"/>
        </w:rPr>
        <w:t xml:space="preserve">aw on </w:t>
      </w:r>
      <w:r>
        <w:rPr>
          <w:lang w:val="en-AU"/>
        </w:rPr>
        <w:t>S</w:t>
      </w:r>
      <w:r w:rsidRPr="00C10245">
        <w:rPr>
          <w:lang w:val="en-AU"/>
        </w:rPr>
        <w:t xml:space="preserve">tate </w:t>
      </w:r>
      <w:r>
        <w:rPr>
          <w:lang w:val="en-AU"/>
        </w:rPr>
        <w:t>E</w:t>
      </w:r>
      <w:r w:rsidRPr="00C10245">
        <w:rPr>
          <w:lang w:val="en-AU"/>
        </w:rPr>
        <w:t xml:space="preserve">cological </w:t>
      </w:r>
      <w:r>
        <w:rPr>
          <w:lang w:val="en-AU"/>
        </w:rPr>
        <w:t>E</w:t>
      </w:r>
      <w:r w:rsidRPr="00C10245">
        <w:rPr>
          <w:lang w:val="en-AU"/>
        </w:rPr>
        <w:t xml:space="preserve">xpertise, </w:t>
      </w:r>
      <w:r>
        <w:rPr>
          <w:lang w:val="en-AU"/>
        </w:rPr>
        <w:t>S</w:t>
      </w:r>
      <w:r w:rsidRPr="00C10245">
        <w:rPr>
          <w:lang w:val="en-AU"/>
        </w:rPr>
        <w:t xml:space="preserve">trategic </w:t>
      </w:r>
      <w:r>
        <w:rPr>
          <w:lang w:val="en-AU"/>
        </w:rPr>
        <w:t>E</w:t>
      </w:r>
      <w:r w:rsidRPr="00C10245">
        <w:rPr>
          <w:lang w:val="en-AU"/>
        </w:rPr>
        <w:t xml:space="preserve">nvironmental </w:t>
      </w:r>
      <w:r>
        <w:rPr>
          <w:lang w:val="en-AU"/>
        </w:rPr>
        <w:t>A</w:t>
      </w:r>
      <w:r w:rsidRPr="00C10245">
        <w:rPr>
          <w:lang w:val="en-AU"/>
        </w:rPr>
        <w:t xml:space="preserve">ssessment and </w:t>
      </w:r>
      <w:r>
        <w:rPr>
          <w:lang w:val="en-AU"/>
        </w:rPr>
        <w:t>E</w:t>
      </w:r>
      <w:r w:rsidRPr="00C10245">
        <w:rPr>
          <w:lang w:val="en-AU"/>
        </w:rPr>
        <w:t xml:space="preserve">nvironmental </w:t>
      </w:r>
      <w:r>
        <w:rPr>
          <w:lang w:val="en-AU"/>
        </w:rPr>
        <w:t>I</w:t>
      </w:r>
      <w:r w:rsidRPr="00C10245">
        <w:rPr>
          <w:lang w:val="en-AU"/>
        </w:rPr>
        <w:t xml:space="preserve">mpact </w:t>
      </w:r>
      <w:r>
        <w:rPr>
          <w:lang w:val="en-AU"/>
        </w:rPr>
        <w:t>A</w:t>
      </w:r>
      <w:r w:rsidRPr="00C10245">
        <w:rPr>
          <w:lang w:val="en-AU"/>
        </w:rPr>
        <w:t>ssessment</w:t>
      </w:r>
      <w:r>
        <w:rPr>
          <w:lang w:val="en-AU"/>
        </w:rPr>
        <w:t xml:space="preserve">, which will enter into force on 23 January 2024, but </w:t>
      </w:r>
      <w:r w:rsidRPr="002E4CB5">
        <w:rPr>
          <w:lang w:val="en-AU"/>
        </w:rPr>
        <w:t>regret</w:t>
      </w:r>
      <w:r>
        <w:rPr>
          <w:lang w:val="en-AU"/>
        </w:rPr>
        <w:t xml:space="preserve">s </w:t>
      </w:r>
      <w:r w:rsidRPr="00C10245">
        <w:rPr>
          <w:lang w:val="en-AU"/>
        </w:rPr>
        <w:t xml:space="preserve">that not all </w:t>
      </w:r>
      <w:r>
        <w:rPr>
          <w:lang w:val="en-AU"/>
        </w:rPr>
        <w:t xml:space="preserve">the </w:t>
      </w:r>
      <w:r w:rsidRPr="00C10245">
        <w:rPr>
          <w:lang w:val="en-AU"/>
        </w:rPr>
        <w:t xml:space="preserve">deficiencies </w:t>
      </w:r>
      <w:r>
        <w:rPr>
          <w:lang w:val="en-AU"/>
        </w:rPr>
        <w:t xml:space="preserve">of the previous legislation </w:t>
      </w:r>
      <w:r w:rsidRPr="00C10245">
        <w:rPr>
          <w:lang w:val="en-AU"/>
        </w:rPr>
        <w:t>were addressed</w:t>
      </w:r>
      <w:r>
        <w:rPr>
          <w:lang w:val="en-AU"/>
        </w:rPr>
        <w:t>;</w:t>
      </w:r>
      <w:r w:rsidRPr="00871431">
        <w:rPr>
          <w:lang w:val="en-AU"/>
        </w:rPr>
        <w:t xml:space="preserve"> </w:t>
      </w:r>
    </w:p>
    <w:p w14:paraId="7908F89A" w14:textId="77777777" w:rsidR="000D0F1C" w:rsidRDefault="000D0F1C" w:rsidP="007566E7">
      <w:pPr>
        <w:pStyle w:val="SingleTxtG"/>
        <w:ind w:firstLine="567"/>
        <w:rPr>
          <w:lang w:val="en-AU"/>
        </w:rPr>
      </w:pPr>
      <w:r>
        <w:t>2.</w:t>
      </w:r>
      <w:r>
        <w:tab/>
      </w:r>
      <w:r w:rsidRPr="001606E4">
        <w:rPr>
          <w:i/>
          <w:iCs/>
          <w:lang w:val="en-AU"/>
        </w:rPr>
        <w:t>Endorses</w:t>
      </w:r>
      <w:r w:rsidRPr="00A553BF">
        <w:rPr>
          <w:lang w:val="en-AU"/>
        </w:rPr>
        <w:t xml:space="preserve"> the findings of the Implementation Committee that Belarus was in non-compliance with its obligations under article 2 (2) of the Convention </w:t>
      </w:r>
      <w:r>
        <w:rPr>
          <w:lang w:val="en-AU"/>
        </w:rPr>
        <w:t xml:space="preserve">for </w:t>
      </w:r>
      <w:r w:rsidRPr="00A553BF">
        <w:rPr>
          <w:lang w:val="en-AU"/>
        </w:rPr>
        <w:t>not having taken the necessary legal, administrative or other measures to implement the provisions of the Convention;</w:t>
      </w:r>
      <w:r>
        <w:rPr>
          <w:rStyle w:val="FootnoteReference"/>
          <w:lang w:val="en-AU"/>
        </w:rPr>
        <w:footnoteReference w:id="22"/>
      </w:r>
    </w:p>
    <w:p w14:paraId="683615E4" w14:textId="77777777" w:rsidR="000D0F1C" w:rsidRDefault="000D0F1C" w:rsidP="007566E7">
      <w:pPr>
        <w:pStyle w:val="SingleTxtG"/>
        <w:ind w:firstLine="567"/>
        <w:rPr>
          <w:lang w:val="en-AU"/>
        </w:rPr>
      </w:pPr>
      <w:r>
        <w:rPr>
          <w:lang w:val="en-AU"/>
        </w:rPr>
        <w:t>3</w:t>
      </w:r>
      <w:r w:rsidRPr="00035DCF">
        <w:rPr>
          <w:lang w:val="en-AU"/>
        </w:rPr>
        <w:t>.</w:t>
      </w:r>
      <w:r w:rsidRPr="00035DCF">
        <w:rPr>
          <w:lang w:val="en-AU"/>
        </w:rPr>
        <w:tab/>
      </w:r>
      <w:r w:rsidRPr="00035DCF">
        <w:rPr>
          <w:i/>
          <w:iCs/>
          <w:lang w:val="en-AU"/>
        </w:rPr>
        <w:t xml:space="preserve">Encourages </w:t>
      </w:r>
      <w:r w:rsidRPr="00160C12">
        <w:rPr>
          <w:lang w:val="en-AU"/>
        </w:rPr>
        <w:t>Belarus to align its legislation with appendix I</w:t>
      </w:r>
      <w:r>
        <w:rPr>
          <w:lang w:val="en-AU"/>
        </w:rPr>
        <w:t xml:space="preserve"> to the Convention</w:t>
      </w:r>
      <w:r w:rsidRPr="00160C12">
        <w:rPr>
          <w:lang w:val="en-AU"/>
        </w:rPr>
        <w:t xml:space="preserve">, as amended by the second amendment, and to ratify that amendment, </w:t>
      </w:r>
      <w:r>
        <w:rPr>
          <w:lang w:val="en-AU"/>
        </w:rPr>
        <w:t xml:space="preserve">in order to facilitate the application of the </w:t>
      </w:r>
      <w:r w:rsidRPr="00160C12">
        <w:rPr>
          <w:lang w:val="en-AU"/>
        </w:rPr>
        <w:t>Convention</w:t>
      </w:r>
      <w:r>
        <w:rPr>
          <w:lang w:val="en-AU"/>
        </w:rPr>
        <w:t xml:space="preserve"> between</w:t>
      </w:r>
      <w:r w:rsidRPr="00160C12">
        <w:rPr>
          <w:lang w:val="en-AU"/>
        </w:rPr>
        <w:t xml:space="preserve"> </w:t>
      </w:r>
      <w:proofErr w:type="gramStart"/>
      <w:r w:rsidRPr="00160C12">
        <w:rPr>
          <w:lang w:val="en-AU"/>
        </w:rPr>
        <w:t>Parties</w:t>
      </w:r>
      <w:r>
        <w:rPr>
          <w:lang w:val="en-AU"/>
        </w:rPr>
        <w:t>;</w:t>
      </w:r>
      <w:proofErr w:type="gramEnd"/>
    </w:p>
    <w:p w14:paraId="7DF2C608" w14:textId="2CB2A43D" w:rsidR="000D0F1C" w:rsidRDefault="000D0F1C" w:rsidP="007566E7">
      <w:pPr>
        <w:pStyle w:val="SingleTxtG"/>
        <w:ind w:firstLine="567"/>
        <w:rPr>
          <w:lang w:val="en-AU"/>
        </w:rPr>
      </w:pPr>
      <w:r>
        <w:rPr>
          <w:lang w:val="en-AU"/>
        </w:rPr>
        <w:t>4.</w:t>
      </w:r>
      <w:r>
        <w:rPr>
          <w:lang w:val="en-AU"/>
        </w:rPr>
        <w:tab/>
      </w:r>
      <w:r w:rsidRPr="00750908">
        <w:rPr>
          <w:i/>
          <w:iCs/>
          <w:lang w:val="en-AU"/>
        </w:rPr>
        <w:t xml:space="preserve">Requests </w:t>
      </w:r>
      <w:r w:rsidRPr="00A553BF">
        <w:rPr>
          <w:lang w:val="en-AU"/>
        </w:rPr>
        <w:t>Belarus to amend its legislation in accordance with the Committee’s findings</w:t>
      </w:r>
      <w:r>
        <w:rPr>
          <w:lang w:val="en-AU"/>
        </w:rPr>
        <w:t>,</w:t>
      </w:r>
      <w:r w:rsidRPr="00A553BF">
        <w:rPr>
          <w:lang w:val="en-AU"/>
        </w:rPr>
        <w:t xml:space="preserve"> and to adopt it to ensure full implementation of the </w:t>
      </w:r>
      <w:proofErr w:type="gramStart"/>
      <w:r w:rsidRPr="00A553BF">
        <w:rPr>
          <w:lang w:val="en-AU"/>
        </w:rPr>
        <w:t>Convention;</w:t>
      </w:r>
      <w:proofErr w:type="gramEnd"/>
      <w:r w:rsidRPr="00A553BF">
        <w:rPr>
          <w:lang w:val="en-AU"/>
        </w:rPr>
        <w:t xml:space="preserve"> </w:t>
      </w:r>
    </w:p>
    <w:p w14:paraId="1C63D328" w14:textId="6C4E044C" w:rsidR="00AE348E" w:rsidRDefault="000D0F1C" w:rsidP="007566E7">
      <w:pPr>
        <w:pStyle w:val="SingleTxtG"/>
        <w:rPr>
          <w:lang w:val="en-AU"/>
        </w:rPr>
      </w:pPr>
      <w:r>
        <w:rPr>
          <w:lang w:val="en-AU"/>
        </w:rPr>
        <w:t>5.</w:t>
      </w:r>
      <w:r>
        <w:rPr>
          <w:lang w:val="en-AU"/>
        </w:rPr>
        <w:tab/>
      </w:r>
      <w:r>
        <w:rPr>
          <w:i/>
          <w:iCs/>
          <w:lang w:val="en-AU"/>
        </w:rPr>
        <w:t>Also r</w:t>
      </w:r>
      <w:r w:rsidRPr="00486BAE">
        <w:rPr>
          <w:i/>
          <w:iCs/>
          <w:lang w:val="en-AU"/>
        </w:rPr>
        <w:t>equests</w:t>
      </w:r>
      <w:r w:rsidRPr="00A553BF">
        <w:rPr>
          <w:lang w:val="en-AU"/>
        </w:rPr>
        <w:t xml:space="preserve"> Belarus to report to the Implementation Committee</w:t>
      </w:r>
      <w:r>
        <w:rPr>
          <w:lang w:val="en-AU"/>
        </w:rPr>
        <w:t>,</w:t>
      </w:r>
      <w:r w:rsidRPr="00A553BF">
        <w:rPr>
          <w:lang w:val="en-AU"/>
        </w:rPr>
        <w:t xml:space="preserve"> by the end of 2024</w:t>
      </w:r>
      <w:r>
        <w:rPr>
          <w:lang w:val="en-AU"/>
        </w:rPr>
        <w:t>,</w:t>
      </w:r>
      <w:r w:rsidRPr="00A553BF">
        <w:rPr>
          <w:lang w:val="en-AU"/>
        </w:rPr>
        <w:t xml:space="preserve"> on the progress made.</w:t>
      </w:r>
    </w:p>
    <w:p w14:paraId="54B21497" w14:textId="77777777" w:rsidR="000D0F1C" w:rsidRDefault="000D0F1C" w:rsidP="000D0F1C">
      <w:pPr>
        <w:rPr>
          <w:lang w:eastAsia="en-US"/>
        </w:rPr>
        <w:sectPr w:rsidR="000D0F1C" w:rsidSect="007B6E6F">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pPr>
    </w:p>
    <w:p w14:paraId="3512646C" w14:textId="401D3052" w:rsidR="00EA681F" w:rsidRPr="00D334E9" w:rsidRDefault="00EA681F" w:rsidP="00EA681F">
      <w:pPr>
        <w:pStyle w:val="HChG"/>
        <w:rPr>
          <w:lang w:eastAsia="en-US"/>
        </w:rPr>
      </w:pPr>
      <w:r>
        <w:rPr>
          <w:lang w:eastAsia="en-US"/>
        </w:rPr>
        <w:lastRenderedPageBreak/>
        <w:tab/>
        <w:t>4.</w:t>
      </w:r>
      <w:r>
        <w:rPr>
          <w:lang w:eastAsia="en-US"/>
        </w:rPr>
        <w:tab/>
      </w:r>
      <w:r w:rsidRPr="00D334E9">
        <w:rPr>
          <w:lang w:eastAsia="en-US"/>
        </w:rPr>
        <w:t xml:space="preserve">Decision IX/4g on compliance by Belgium with its obligations under the Convention in respect of the lifetime extension of </w:t>
      </w:r>
      <w:r>
        <w:rPr>
          <w:lang w:eastAsia="en-US"/>
        </w:rPr>
        <w:t xml:space="preserve">unit 1 of </w:t>
      </w:r>
      <w:r w:rsidRPr="00D334E9">
        <w:rPr>
          <w:lang w:eastAsia="en-US"/>
        </w:rPr>
        <w:t>Tihange nuclear power plant</w:t>
      </w:r>
    </w:p>
    <w:p w14:paraId="1DA35DE6" w14:textId="77777777" w:rsidR="00EA681F" w:rsidRPr="00EA681F" w:rsidRDefault="00EA681F" w:rsidP="00EA681F">
      <w:pPr>
        <w:pStyle w:val="SingleTxtG"/>
        <w:ind w:firstLine="567"/>
        <w:rPr>
          <w:i/>
          <w:iCs/>
        </w:rPr>
      </w:pPr>
      <w:r w:rsidRPr="00EA681F">
        <w:rPr>
          <w:i/>
          <w:iCs/>
          <w:lang w:eastAsia="en-GB"/>
        </w:rPr>
        <w:t>The Meeting of the Parties to the Convention,</w:t>
      </w:r>
    </w:p>
    <w:p w14:paraId="1F561227" w14:textId="77777777" w:rsidR="00EA681F" w:rsidRPr="00D334E9" w:rsidRDefault="00EA681F" w:rsidP="00EA681F">
      <w:pPr>
        <w:pStyle w:val="SingleTxtG"/>
        <w:ind w:firstLine="567"/>
      </w:pPr>
      <w:r w:rsidRPr="0087657E">
        <w:rPr>
          <w:i/>
          <w:iCs/>
        </w:rPr>
        <w:t>Recalling</w:t>
      </w:r>
      <w:r w:rsidRPr="00D334E9">
        <w:t xml:space="preserve"> article</w:t>
      </w:r>
      <w:r>
        <w:t>s</w:t>
      </w:r>
      <w:r w:rsidRPr="00D334E9">
        <w:t xml:space="preserve"> 11</w:t>
      </w:r>
      <w:r>
        <w:t xml:space="preserve"> (</w:t>
      </w:r>
      <w:r w:rsidRPr="00D334E9">
        <w:t>2</w:t>
      </w:r>
      <w:r>
        <w:t>)</w:t>
      </w:r>
      <w:r w:rsidRPr="00D334E9">
        <w:t xml:space="preserve"> and 14 bis of the Convention on Environmental Impact Assessment in a Transboundary Context,</w:t>
      </w:r>
    </w:p>
    <w:p w14:paraId="44033497" w14:textId="77777777" w:rsidR="00EA681F" w:rsidRPr="00D334E9" w:rsidRDefault="00EA681F" w:rsidP="00EA681F">
      <w:pPr>
        <w:pStyle w:val="SingleTxtG"/>
        <w:ind w:firstLine="567"/>
        <w:rPr>
          <w:lang w:eastAsia="en-GB"/>
        </w:rPr>
      </w:pPr>
      <w:proofErr w:type="gramStart"/>
      <w:r w:rsidRPr="00B83CB8">
        <w:rPr>
          <w:i/>
          <w:iCs/>
          <w:lang w:eastAsia="en-GB"/>
        </w:rPr>
        <w:t>Recalling</w:t>
      </w:r>
      <w:r w:rsidRPr="00D334E9">
        <w:rPr>
          <w:lang w:eastAsia="en-GB"/>
        </w:rPr>
        <w:t xml:space="preserve"> </w:t>
      </w:r>
      <w:r w:rsidRPr="002E4CB5">
        <w:rPr>
          <w:i/>
          <w:iCs/>
          <w:lang w:eastAsia="en-GB"/>
        </w:rPr>
        <w:t>also</w:t>
      </w:r>
      <w:proofErr w:type="gramEnd"/>
      <w:r w:rsidRPr="00D334E9">
        <w:rPr>
          <w:lang w:eastAsia="en-GB"/>
        </w:rPr>
        <w:t xml:space="preserve"> its decision IX/4</w:t>
      </w:r>
      <w:r w:rsidRPr="00D334E9">
        <w:rPr>
          <w:sz w:val="18"/>
          <w:vertAlign w:val="superscript"/>
          <w:lang w:eastAsia="en-GB"/>
        </w:rPr>
        <w:footnoteReference w:id="23"/>
      </w:r>
      <w:r w:rsidRPr="00D334E9">
        <w:rPr>
          <w:lang w:eastAsia="en-GB"/>
        </w:rPr>
        <w:t xml:space="preserve"> on general issues of compliance with the Convention adopted at its ninth session</w:t>
      </w:r>
      <w:r>
        <w:rPr>
          <w:lang w:eastAsia="en-GB"/>
        </w:rPr>
        <w:t xml:space="preserve"> </w:t>
      </w:r>
      <w:r>
        <w:t>(Geneva, 12–15 December 2023)</w:t>
      </w:r>
      <w:r w:rsidRPr="00D334E9">
        <w:rPr>
          <w:lang w:eastAsia="en-GB"/>
        </w:rPr>
        <w:t>,</w:t>
      </w:r>
    </w:p>
    <w:p w14:paraId="4A055734" w14:textId="77777777" w:rsidR="00EA681F" w:rsidRPr="00D334E9" w:rsidRDefault="00EA681F" w:rsidP="00EA681F">
      <w:pPr>
        <w:pStyle w:val="SingleTxtG"/>
        <w:ind w:firstLine="567"/>
        <w:rPr>
          <w:lang w:eastAsia="en-GB"/>
        </w:rPr>
      </w:pPr>
      <w:r w:rsidRPr="00B83CB8">
        <w:rPr>
          <w:i/>
          <w:iCs/>
          <w:lang w:eastAsia="en-GB"/>
        </w:rPr>
        <w:t>Having considered</w:t>
      </w:r>
      <w:r w:rsidRPr="00D334E9">
        <w:rPr>
          <w:lang w:eastAsia="en-GB"/>
        </w:rPr>
        <w:t xml:space="preserve"> the findings and recommendations of the Implementation Committee </w:t>
      </w:r>
      <w:r>
        <w:rPr>
          <w:lang w:eastAsia="en-GB"/>
        </w:rPr>
        <w:t>regarding</w:t>
      </w:r>
      <w:r w:rsidRPr="00D334E9">
        <w:rPr>
          <w:lang w:eastAsia="en-GB"/>
        </w:rPr>
        <w:t xml:space="preserve"> compliance by Belgium with </w:t>
      </w:r>
      <w:r w:rsidRPr="00D334E9">
        <w:rPr>
          <w:lang w:eastAsia="en-US"/>
        </w:rPr>
        <w:t>its obligations under the Convention in respect of the lifetime extension of unit 1 of Tihange nuclear power plant</w:t>
      </w:r>
      <w:r w:rsidRPr="00D334E9">
        <w:rPr>
          <w:lang w:eastAsia="en-GB"/>
        </w:rPr>
        <w:t>,</w:t>
      </w:r>
      <w:r>
        <w:rPr>
          <w:rStyle w:val="FootnoteReference"/>
          <w:lang w:eastAsia="en-GB"/>
        </w:rPr>
        <w:footnoteReference w:id="24"/>
      </w:r>
    </w:p>
    <w:p w14:paraId="49EF3145" w14:textId="77777777" w:rsidR="00EA681F" w:rsidRPr="00D334E9" w:rsidRDefault="00EA681F" w:rsidP="00EA681F">
      <w:pPr>
        <w:pStyle w:val="SingleTxtG"/>
        <w:ind w:firstLine="567"/>
        <w:rPr>
          <w:lang w:eastAsia="en-GB"/>
        </w:rPr>
      </w:pPr>
      <w:r w:rsidRPr="00B83CB8">
        <w:rPr>
          <w:i/>
          <w:iCs/>
          <w:lang w:eastAsia="en-GB"/>
        </w:rPr>
        <w:t xml:space="preserve">Having </w:t>
      </w:r>
      <w:proofErr w:type="gramStart"/>
      <w:r w:rsidRPr="00B83CB8">
        <w:rPr>
          <w:i/>
          <w:iCs/>
          <w:lang w:eastAsia="en-GB"/>
        </w:rPr>
        <w:t>considered</w:t>
      </w:r>
      <w:r>
        <w:rPr>
          <w:i/>
          <w:iCs/>
          <w:lang w:eastAsia="en-GB"/>
        </w:rPr>
        <w:t xml:space="preserve"> also</w:t>
      </w:r>
      <w:proofErr w:type="gramEnd"/>
      <w:r w:rsidRPr="00D334E9">
        <w:rPr>
          <w:lang w:eastAsia="en-GB"/>
        </w:rPr>
        <w:t xml:space="preserve"> the report on the activities of the Implementation Committee to the Meeting of the Parties to the Convention at its ninth session, in particular, the section concerning Belgium,</w:t>
      </w:r>
      <w:r>
        <w:rPr>
          <w:rStyle w:val="FootnoteReference"/>
          <w:lang w:eastAsia="en-GB"/>
        </w:rPr>
        <w:footnoteReference w:id="25"/>
      </w:r>
    </w:p>
    <w:p w14:paraId="7841F390" w14:textId="77777777" w:rsidR="00EA681F" w:rsidRPr="00D334E9" w:rsidRDefault="00EA681F" w:rsidP="00EA681F">
      <w:pPr>
        <w:pStyle w:val="SingleTxtG"/>
        <w:ind w:firstLine="567"/>
        <w:rPr>
          <w:lang w:val="en-US" w:eastAsia="en-US"/>
        </w:rPr>
      </w:pPr>
      <w:r w:rsidRPr="00D334E9">
        <w:rPr>
          <w:lang w:val="en-US" w:eastAsia="en-US"/>
        </w:rPr>
        <w:t>1.</w:t>
      </w:r>
      <w:r w:rsidRPr="00D334E9">
        <w:rPr>
          <w:lang w:val="en-US" w:eastAsia="en-US"/>
        </w:rPr>
        <w:tab/>
      </w:r>
      <w:r w:rsidRPr="00B83CB8">
        <w:rPr>
          <w:i/>
          <w:iCs/>
          <w:lang w:eastAsia="en-GB"/>
        </w:rPr>
        <w:t>Endorses</w:t>
      </w:r>
      <w:r w:rsidRPr="00D334E9">
        <w:rPr>
          <w:lang w:val="en-US" w:eastAsia="en-US"/>
        </w:rPr>
        <w:t xml:space="preserve"> the findings of the Implementation Committee that, in accordance with the information provided to the Committee, Belgium was in non-compliance with articles 2 (3) and 3 (1) of the Convention by extending the lifetime of unit 1 of Tihange nuclear power plant and preparing the unit for long-term operation without applying the Convention;</w:t>
      </w:r>
    </w:p>
    <w:p w14:paraId="1529D0CE" w14:textId="77777777" w:rsidR="00EA681F" w:rsidRPr="00D334E9" w:rsidRDefault="00EA681F" w:rsidP="00EA681F">
      <w:pPr>
        <w:pStyle w:val="SingleTxtG"/>
        <w:ind w:firstLine="567"/>
        <w:rPr>
          <w:lang w:val="en-US" w:eastAsia="en-US"/>
        </w:rPr>
      </w:pPr>
      <w:r w:rsidRPr="00D334E9">
        <w:rPr>
          <w:lang w:val="en-US" w:eastAsia="en-US"/>
        </w:rPr>
        <w:t>2.</w:t>
      </w:r>
      <w:r w:rsidRPr="00D334E9">
        <w:rPr>
          <w:lang w:val="en-US" w:eastAsia="en-US"/>
        </w:rPr>
        <w:tab/>
      </w:r>
      <w:r w:rsidRPr="00B83CB8">
        <w:rPr>
          <w:i/>
          <w:iCs/>
          <w:lang w:eastAsia="en-GB"/>
        </w:rPr>
        <w:t xml:space="preserve">Welcomes </w:t>
      </w:r>
      <w:r w:rsidRPr="00D334E9">
        <w:rPr>
          <w:lang w:val="en-US" w:eastAsia="en-US"/>
        </w:rPr>
        <w:t>the fact that Belgium committed itself to notify</w:t>
      </w:r>
      <w:r w:rsidRPr="00D334E9" w:rsidDel="008A0AA9">
        <w:rPr>
          <w:lang w:val="en-US" w:eastAsia="en-US"/>
        </w:rPr>
        <w:t>ing</w:t>
      </w:r>
      <w:r w:rsidRPr="00D334E9">
        <w:rPr>
          <w:lang w:val="en-US" w:eastAsia="en-US"/>
        </w:rPr>
        <w:t xml:space="preserve"> </w:t>
      </w:r>
      <w:r w:rsidRPr="00D334E9">
        <w:rPr>
          <w:lang w:eastAsia="en-US"/>
        </w:rPr>
        <w:t>possibly affected Parties in accordance with article 3 (1) of the Convention ahead of any future lifetime extension of other units of Tihange nuclear power plant;</w:t>
      </w:r>
    </w:p>
    <w:p w14:paraId="003C1B1F" w14:textId="77777777" w:rsidR="00EA681F" w:rsidRPr="00D334E9" w:rsidRDefault="00EA681F" w:rsidP="00EA681F">
      <w:pPr>
        <w:pStyle w:val="SingleTxtG"/>
        <w:ind w:firstLine="567"/>
        <w:rPr>
          <w:lang w:val="en-US" w:eastAsia="en-US"/>
        </w:rPr>
      </w:pPr>
      <w:r w:rsidRPr="00D334E9">
        <w:rPr>
          <w:lang w:val="en-US" w:eastAsia="en-US"/>
        </w:rPr>
        <w:t>3.</w:t>
      </w:r>
      <w:r w:rsidRPr="00D334E9">
        <w:rPr>
          <w:lang w:val="en-US" w:eastAsia="en-US"/>
        </w:rPr>
        <w:tab/>
      </w:r>
      <w:r w:rsidRPr="00B83CB8">
        <w:rPr>
          <w:i/>
          <w:iCs/>
          <w:lang w:eastAsia="en-GB"/>
        </w:rPr>
        <w:t>Requests</w:t>
      </w:r>
      <w:r w:rsidRPr="00D334E9">
        <w:rPr>
          <w:lang w:val="en-US" w:eastAsia="en-US"/>
        </w:rPr>
        <w:t xml:space="preserve"> Belgium to ensure that the Convention is fully applied in the context of any future decision-making regarding Tihange nuclear power plant, including that:</w:t>
      </w:r>
    </w:p>
    <w:p w14:paraId="1CE93527" w14:textId="77777777" w:rsidR="00EA681F" w:rsidRPr="00D334E9" w:rsidRDefault="00EA681F" w:rsidP="00EA681F">
      <w:pPr>
        <w:pStyle w:val="SingleTxtG"/>
        <w:ind w:firstLine="567"/>
        <w:rPr>
          <w:lang w:val="en-US" w:eastAsia="en-US"/>
        </w:rPr>
      </w:pPr>
      <w:r w:rsidRPr="00D334E9">
        <w:rPr>
          <w:lang w:val="en-US" w:eastAsia="en-US"/>
        </w:rPr>
        <w:t>(a)</w:t>
      </w:r>
      <w:r w:rsidRPr="00D334E9">
        <w:rPr>
          <w:lang w:val="en-US" w:eastAsia="en-US"/>
        </w:rPr>
        <w:tab/>
        <w:t xml:space="preserve">All impacts of operational states and accidents are properly </w:t>
      </w:r>
      <w:proofErr w:type="gramStart"/>
      <w:r w:rsidRPr="00D334E9">
        <w:rPr>
          <w:lang w:val="en-US" w:eastAsia="en-US"/>
        </w:rPr>
        <w:t>taken into account</w:t>
      </w:r>
      <w:proofErr w:type="gramEnd"/>
      <w:r w:rsidRPr="00D334E9">
        <w:rPr>
          <w:lang w:val="en-US" w:eastAsia="en-US"/>
        </w:rPr>
        <w:t xml:space="preserve"> during the environmental impact assessment procedure;</w:t>
      </w:r>
    </w:p>
    <w:p w14:paraId="39A8D82F" w14:textId="77777777" w:rsidR="00EA681F" w:rsidRPr="00D334E9" w:rsidRDefault="00EA681F" w:rsidP="00EA681F">
      <w:pPr>
        <w:pStyle w:val="SingleTxtG"/>
        <w:ind w:firstLine="567"/>
        <w:rPr>
          <w:lang w:eastAsia="en-US"/>
        </w:rPr>
      </w:pPr>
      <w:r w:rsidRPr="00D334E9">
        <w:rPr>
          <w:lang w:val="en-US" w:eastAsia="en-US"/>
        </w:rPr>
        <w:t>(b)</w:t>
      </w:r>
      <w:r w:rsidRPr="00D334E9">
        <w:rPr>
          <w:lang w:val="en-US" w:eastAsia="en-US"/>
        </w:rPr>
        <w:tab/>
        <w:t xml:space="preserve">When considering whether the lifetime extension constitutes a major change, the activities implemented to prepare for long-term operation </w:t>
      </w:r>
      <w:r w:rsidRPr="00D334E9">
        <w:rPr>
          <w:lang w:eastAsia="en-US"/>
        </w:rPr>
        <w:t xml:space="preserve">prior to the last licence modification, are </w:t>
      </w:r>
      <w:proofErr w:type="gramStart"/>
      <w:r w:rsidRPr="00D334E9">
        <w:rPr>
          <w:lang w:eastAsia="en-US"/>
        </w:rPr>
        <w:t>taken into account</w:t>
      </w:r>
      <w:proofErr w:type="gramEnd"/>
      <w:r w:rsidRPr="00D334E9">
        <w:rPr>
          <w:lang w:eastAsia="en-US"/>
        </w:rPr>
        <w:t>;</w:t>
      </w:r>
    </w:p>
    <w:p w14:paraId="1D7A6216" w14:textId="77777777" w:rsidR="00EA681F" w:rsidRPr="00D334E9" w:rsidRDefault="00EA681F" w:rsidP="00EA681F">
      <w:pPr>
        <w:pStyle w:val="SingleTxtG"/>
        <w:ind w:firstLine="567"/>
        <w:rPr>
          <w:lang w:eastAsia="en-US"/>
        </w:rPr>
      </w:pPr>
      <w:r w:rsidRPr="00D334E9">
        <w:rPr>
          <w:lang w:val="en-US" w:eastAsia="en-US"/>
        </w:rPr>
        <w:t>(c)</w:t>
      </w:r>
      <w:r w:rsidRPr="00D334E9">
        <w:rPr>
          <w:lang w:val="en-US" w:eastAsia="en-US"/>
        </w:rPr>
        <w:tab/>
      </w:r>
      <w:r w:rsidRPr="00D334E9">
        <w:rPr>
          <w:lang w:eastAsia="en-US"/>
        </w:rPr>
        <w:t>Belgium notifies</w:t>
      </w:r>
      <w:r>
        <w:rPr>
          <w:lang w:eastAsia="en-US"/>
        </w:rPr>
        <w:t>,</w:t>
      </w:r>
      <w:r w:rsidRPr="00D334E9">
        <w:rPr>
          <w:lang w:eastAsia="en-US"/>
        </w:rPr>
        <w:t xml:space="preserve"> in accordance with article 3 (1) of the Convention</w:t>
      </w:r>
      <w:r>
        <w:rPr>
          <w:lang w:eastAsia="en-US"/>
        </w:rPr>
        <w:t>,</w:t>
      </w:r>
      <w:r w:rsidRPr="00D334E9">
        <w:rPr>
          <w:lang w:eastAsia="en-US"/>
        </w:rPr>
        <w:t xml:space="preserve"> any Party </w:t>
      </w:r>
      <w:r>
        <w:rPr>
          <w:lang w:eastAsia="en-US"/>
        </w:rPr>
        <w:t>that</w:t>
      </w:r>
      <w:r w:rsidRPr="00D334E9">
        <w:rPr>
          <w:lang w:eastAsia="en-US"/>
        </w:rPr>
        <w:t xml:space="preserve"> it considers may be affected, including Germany; </w:t>
      </w:r>
    </w:p>
    <w:p w14:paraId="7B11A5C1" w14:textId="77777777" w:rsidR="00EA681F" w:rsidRDefault="00EA681F" w:rsidP="00EA681F">
      <w:pPr>
        <w:pStyle w:val="SingleTxtG"/>
        <w:ind w:firstLine="567"/>
        <w:rPr>
          <w:lang w:eastAsia="en-US"/>
        </w:rPr>
      </w:pPr>
      <w:r w:rsidRPr="00D334E9">
        <w:rPr>
          <w:lang w:eastAsia="en-US"/>
        </w:rPr>
        <w:t>4.</w:t>
      </w:r>
      <w:r w:rsidRPr="00D334E9">
        <w:rPr>
          <w:lang w:eastAsia="en-US"/>
        </w:rPr>
        <w:tab/>
      </w:r>
      <w:r w:rsidRPr="002E4CB5">
        <w:rPr>
          <w:i/>
          <w:iCs/>
          <w:lang w:eastAsia="en-US"/>
        </w:rPr>
        <w:t>Recommends</w:t>
      </w:r>
      <w:r w:rsidRPr="00D334E9">
        <w:rPr>
          <w:lang w:eastAsia="en-US"/>
        </w:rPr>
        <w:t xml:space="preserve"> that Belgium follow the good practice recommendation of the Meeting of the Parties that</w:t>
      </w:r>
      <w:r>
        <w:rPr>
          <w:lang w:eastAsia="en-US"/>
        </w:rPr>
        <w:t>,</w:t>
      </w:r>
      <w:r w:rsidRPr="00D334E9">
        <w:rPr>
          <w:lang w:eastAsia="en-US"/>
        </w:rPr>
        <w:t xml:space="preserve"> given the great public concern and national interests involved when it comes to nuclear energy-related activities, a wide notification, </w:t>
      </w:r>
      <w:r>
        <w:rPr>
          <w:lang w:eastAsia="en-US"/>
        </w:rPr>
        <w:t>that is to say</w:t>
      </w:r>
      <w:r w:rsidRPr="00D334E9">
        <w:rPr>
          <w:lang w:eastAsia="en-US"/>
        </w:rPr>
        <w:t>, beyond neighbouring Parties, could prevent later misunderstandings and potential disputes.</w:t>
      </w:r>
      <w:r w:rsidRPr="00D334E9">
        <w:rPr>
          <w:sz w:val="18"/>
          <w:vertAlign w:val="superscript"/>
          <w:lang w:eastAsia="en-US"/>
        </w:rPr>
        <w:footnoteReference w:id="26"/>
      </w:r>
    </w:p>
    <w:p w14:paraId="3002A5C9" w14:textId="6BD127BB" w:rsidR="005F6446" w:rsidRDefault="00D1287E" w:rsidP="00D1287E">
      <w:pPr>
        <w:pStyle w:val="HChG"/>
        <w:rPr>
          <w:lang w:eastAsia="en-US"/>
        </w:rPr>
      </w:pPr>
      <w:r>
        <w:rPr>
          <w:lang w:eastAsia="en-US"/>
        </w:rPr>
        <w:tab/>
      </w:r>
    </w:p>
    <w:p w14:paraId="4D2F9AE5" w14:textId="77777777" w:rsidR="005F6446" w:rsidRDefault="005F6446" w:rsidP="005F6446">
      <w:pPr>
        <w:rPr>
          <w:lang w:eastAsia="en-US"/>
        </w:rPr>
        <w:sectPr w:rsidR="005F6446" w:rsidSect="00B525F4">
          <w:headerReference w:type="first" r:id="rId23"/>
          <w:footerReference w:type="first" r:id="rId24"/>
          <w:footnotePr>
            <w:numRestart w:val="eachSect"/>
          </w:footnotePr>
          <w:endnotePr>
            <w:numFmt w:val="decimal"/>
          </w:endnotePr>
          <w:pgSz w:w="11907" w:h="16840" w:code="9"/>
          <w:pgMar w:top="1418" w:right="1134" w:bottom="1134" w:left="1134" w:header="851" w:footer="567" w:gutter="0"/>
          <w:cols w:space="720"/>
          <w:titlePg/>
          <w:docGrid w:linePitch="272"/>
        </w:sectPr>
      </w:pPr>
    </w:p>
    <w:p w14:paraId="27392F14" w14:textId="6CC8D5D2" w:rsidR="005544FF" w:rsidRPr="009424DC" w:rsidRDefault="005F6446" w:rsidP="005F6446">
      <w:pPr>
        <w:pStyle w:val="HChG"/>
        <w:rPr>
          <w:lang w:eastAsia="en-US"/>
        </w:rPr>
      </w:pPr>
      <w:r>
        <w:rPr>
          <w:lang w:eastAsia="en-US"/>
        </w:rPr>
        <w:lastRenderedPageBreak/>
        <w:tab/>
      </w:r>
      <w:r w:rsidR="005544FF">
        <w:rPr>
          <w:lang w:eastAsia="en-US"/>
        </w:rPr>
        <w:t>5.</w:t>
      </w:r>
      <w:r w:rsidR="005544FF">
        <w:rPr>
          <w:lang w:eastAsia="en-US"/>
        </w:rPr>
        <w:tab/>
      </w:r>
      <w:r w:rsidR="005544FF" w:rsidRPr="009424DC">
        <w:rPr>
          <w:lang w:eastAsia="en-US"/>
        </w:rPr>
        <w:t xml:space="preserve">Decision IX/4h on compliance by Bulgaria with its obligations under the Convention </w:t>
      </w:r>
      <w:r w:rsidR="005544FF">
        <w:rPr>
          <w:lang w:eastAsia="en-US"/>
        </w:rPr>
        <w:t>in respect of</w:t>
      </w:r>
      <w:r w:rsidR="005544FF" w:rsidRPr="009424DC">
        <w:rPr>
          <w:lang w:eastAsia="en-US"/>
        </w:rPr>
        <w:t xml:space="preserve"> the lifetime extension of units 5 and 6 of Kozloduy nuclear power plant</w:t>
      </w:r>
    </w:p>
    <w:p w14:paraId="57CFEBA7" w14:textId="77777777" w:rsidR="005544FF" w:rsidRPr="009424DC" w:rsidRDefault="005544FF" w:rsidP="00D1287E">
      <w:pPr>
        <w:pStyle w:val="SingleTxtG"/>
        <w:ind w:firstLine="567"/>
      </w:pPr>
      <w:r w:rsidRPr="00D1287E">
        <w:rPr>
          <w:i/>
          <w:iCs/>
          <w:lang w:eastAsia="en-GB"/>
        </w:rPr>
        <w:t>The Meeting of the Parties to the Convention</w:t>
      </w:r>
      <w:r w:rsidRPr="009424DC">
        <w:rPr>
          <w:lang w:eastAsia="en-GB"/>
        </w:rPr>
        <w:t>,</w:t>
      </w:r>
    </w:p>
    <w:p w14:paraId="5E905A41" w14:textId="77777777" w:rsidR="005544FF" w:rsidRPr="00D334E9" w:rsidRDefault="005544FF" w:rsidP="00D1287E">
      <w:pPr>
        <w:pStyle w:val="SingleTxtG"/>
        <w:ind w:firstLine="567"/>
      </w:pPr>
      <w:r w:rsidRPr="0087657E">
        <w:rPr>
          <w:i/>
          <w:iCs/>
        </w:rPr>
        <w:t>Recalling</w:t>
      </w:r>
      <w:r w:rsidRPr="00D334E9">
        <w:t xml:space="preserve"> article</w:t>
      </w:r>
      <w:r>
        <w:t>s</w:t>
      </w:r>
      <w:r w:rsidRPr="00D334E9">
        <w:t xml:space="preserve"> 11</w:t>
      </w:r>
      <w:r>
        <w:t xml:space="preserve"> (</w:t>
      </w:r>
      <w:r w:rsidRPr="00D334E9">
        <w:t>2</w:t>
      </w:r>
      <w:r>
        <w:t>)</w:t>
      </w:r>
      <w:r w:rsidRPr="00D334E9">
        <w:t xml:space="preserve"> and 14 bis of the Convention on Environmental Impact Assessment in a Transboundary Context,</w:t>
      </w:r>
    </w:p>
    <w:p w14:paraId="62E361BA" w14:textId="77777777" w:rsidR="005544FF" w:rsidRPr="009424DC" w:rsidRDefault="005544FF" w:rsidP="00D1287E">
      <w:pPr>
        <w:pStyle w:val="SingleTxtG"/>
        <w:ind w:firstLine="567"/>
        <w:rPr>
          <w:lang w:eastAsia="en-GB"/>
        </w:rPr>
      </w:pPr>
      <w:proofErr w:type="gramStart"/>
      <w:r w:rsidRPr="009424DC">
        <w:rPr>
          <w:i/>
          <w:iCs/>
          <w:lang w:eastAsia="en-GB"/>
        </w:rPr>
        <w:t>Recalling</w:t>
      </w:r>
      <w:r w:rsidRPr="009424DC">
        <w:rPr>
          <w:lang w:eastAsia="en-GB"/>
        </w:rPr>
        <w:t xml:space="preserve"> </w:t>
      </w:r>
      <w:r w:rsidRPr="002E4CB5">
        <w:rPr>
          <w:i/>
          <w:iCs/>
          <w:lang w:eastAsia="en-GB"/>
        </w:rPr>
        <w:t>also</w:t>
      </w:r>
      <w:proofErr w:type="gramEnd"/>
      <w:r w:rsidRPr="009424DC">
        <w:rPr>
          <w:lang w:eastAsia="en-GB"/>
        </w:rPr>
        <w:t xml:space="preserve"> its decision IX/4</w:t>
      </w:r>
      <w:r w:rsidRPr="009424DC">
        <w:rPr>
          <w:sz w:val="18"/>
          <w:vertAlign w:val="superscript"/>
          <w:lang w:eastAsia="en-GB"/>
        </w:rPr>
        <w:footnoteReference w:id="27"/>
      </w:r>
      <w:r w:rsidRPr="009424DC">
        <w:rPr>
          <w:lang w:eastAsia="en-GB"/>
        </w:rPr>
        <w:t xml:space="preserve"> on general issues of compliance with the Convention adopted at its ninth session</w:t>
      </w:r>
      <w:r>
        <w:rPr>
          <w:lang w:eastAsia="en-GB"/>
        </w:rPr>
        <w:t xml:space="preserve"> (</w:t>
      </w:r>
      <w:r>
        <w:t>Geneva, 12–15 December 2023)</w:t>
      </w:r>
      <w:r w:rsidRPr="009424DC">
        <w:rPr>
          <w:lang w:eastAsia="en-GB"/>
        </w:rPr>
        <w:t>,</w:t>
      </w:r>
    </w:p>
    <w:p w14:paraId="48290EE9" w14:textId="77777777" w:rsidR="005544FF" w:rsidRPr="009424DC" w:rsidRDefault="005544FF" w:rsidP="00D1287E">
      <w:pPr>
        <w:pStyle w:val="SingleTxtG"/>
        <w:ind w:firstLine="567"/>
        <w:rPr>
          <w:lang w:eastAsia="en-GB"/>
        </w:rPr>
      </w:pPr>
      <w:r w:rsidRPr="009424DC">
        <w:rPr>
          <w:i/>
          <w:iCs/>
          <w:lang w:eastAsia="en-GB"/>
        </w:rPr>
        <w:t>Having considered</w:t>
      </w:r>
      <w:r w:rsidRPr="009424DC">
        <w:rPr>
          <w:lang w:eastAsia="en-GB"/>
        </w:rPr>
        <w:t xml:space="preserve"> the findings and recommendations of the Implementation Committee on compliance by Bulgaria with its obligations under the Convention with respect to the lifetime extension of units 5 and 6 of Kozloduy nuclear power plant, as set out in document ECE/MP.EIA/IC/2023/6,</w:t>
      </w:r>
    </w:p>
    <w:p w14:paraId="6A2DE186" w14:textId="77777777" w:rsidR="005544FF" w:rsidRPr="009424DC" w:rsidRDefault="005544FF" w:rsidP="00D1287E">
      <w:pPr>
        <w:pStyle w:val="SingleTxtG"/>
        <w:ind w:firstLine="567"/>
        <w:rPr>
          <w:lang w:eastAsia="en-GB"/>
        </w:rPr>
      </w:pPr>
      <w:r w:rsidRPr="009424DC">
        <w:rPr>
          <w:i/>
          <w:iCs/>
          <w:lang w:eastAsia="en-GB"/>
        </w:rPr>
        <w:t xml:space="preserve">Having </w:t>
      </w:r>
      <w:proofErr w:type="gramStart"/>
      <w:r w:rsidRPr="009424DC">
        <w:rPr>
          <w:i/>
          <w:iCs/>
          <w:lang w:eastAsia="en-GB"/>
        </w:rPr>
        <w:t>considered</w:t>
      </w:r>
      <w:r>
        <w:rPr>
          <w:i/>
          <w:iCs/>
          <w:lang w:eastAsia="en-GB"/>
        </w:rPr>
        <w:t xml:space="preserve"> also</w:t>
      </w:r>
      <w:proofErr w:type="gramEnd"/>
      <w:r w:rsidRPr="009424DC">
        <w:rPr>
          <w:lang w:eastAsia="en-GB"/>
        </w:rPr>
        <w:t xml:space="preserve"> the report on the activities of the Implementation Committee to the Meeting of the Parties to the Convention at its ninth session, in particular, the section concerning Bulgaria,</w:t>
      </w:r>
      <w:r>
        <w:rPr>
          <w:rStyle w:val="FootnoteReference"/>
          <w:lang w:eastAsia="en-GB"/>
        </w:rPr>
        <w:footnoteReference w:id="28"/>
      </w:r>
    </w:p>
    <w:p w14:paraId="7D31CC8F" w14:textId="77777777" w:rsidR="005544FF" w:rsidRPr="009424DC" w:rsidRDefault="005544FF" w:rsidP="00D1287E">
      <w:pPr>
        <w:pStyle w:val="SingleTxtG"/>
        <w:ind w:firstLine="567"/>
        <w:rPr>
          <w:lang w:eastAsia="en-GB"/>
        </w:rPr>
      </w:pPr>
      <w:r w:rsidRPr="009424DC">
        <w:rPr>
          <w:lang w:eastAsia="en-GB"/>
        </w:rPr>
        <w:t>1.</w:t>
      </w:r>
      <w:r w:rsidRPr="009424DC">
        <w:rPr>
          <w:lang w:eastAsia="en-GB"/>
        </w:rPr>
        <w:tab/>
      </w:r>
      <w:r w:rsidRPr="009424DC">
        <w:rPr>
          <w:i/>
          <w:iCs/>
          <w:lang w:eastAsia="en-GB"/>
        </w:rPr>
        <w:t>Expresses</w:t>
      </w:r>
      <w:r w:rsidRPr="009424DC">
        <w:rPr>
          <w:lang w:eastAsia="en-GB"/>
        </w:rPr>
        <w:t xml:space="preserve"> regret at the uncooperativeness of Bulgaria with regard to providing the Committee with the information and documentation needed for its deliberations, requiring it to repeatedly request such information and documentation;</w:t>
      </w:r>
    </w:p>
    <w:p w14:paraId="7A8185F4" w14:textId="77777777" w:rsidR="005544FF" w:rsidRPr="009424DC" w:rsidRDefault="005544FF" w:rsidP="00D1287E">
      <w:pPr>
        <w:pStyle w:val="SingleTxtG"/>
        <w:ind w:firstLine="567"/>
        <w:rPr>
          <w:lang w:eastAsia="en-GB"/>
        </w:rPr>
      </w:pPr>
      <w:r w:rsidRPr="009424DC">
        <w:rPr>
          <w:lang w:eastAsia="en-GB"/>
        </w:rPr>
        <w:t>2.</w:t>
      </w:r>
      <w:r w:rsidRPr="009424DC">
        <w:rPr>
          <w:lang w:eastAsia="en-GB"/>
        </w:rPr>
        <w:tab/>
      </w:r>
      <w:r w:rsidRPr="009424DC">
        <w:rPr>
          <w:i/>
          <w:iCs/>
          <w:lang w:eastAsia="en-GB"/>
        </w:rPr>
        <w:t>Reminds</w:t>
      </w:r>
      <w:r w:rsidRPr="009424DC">
        <w:rPr>
          <w:lang w:eastAsia="en-GB"/>
        </w:rPr>
        <w:t xml:space="preserve"> Bulgaria, that</w:t>
      </w:r>
      <w:r>
        <w:rPr>
          <w:lang w:eastAsia="en-GB"/>
        </w:rPr>
        <w:t>,</w:t>
      </w:r>
      <w:r w:rsidRPr="009424DC">
        <w:rPr>
          <w:lang w:eastAsia="en-GB"/>
        </w:rPr>
        <w:t xml:space="preserve"> as a Party</w:t>
      </w:r>
      <w:r>
        <w:rPr>
          <w:lang w:eastAsia="en-GB"/>
        </w:rPr>
        <w:t>,</w:t>
      </w:r>
      <w:r w:rsidRPr="009424DC">
        <w:rPr>
          <w:lang w:eastAsia="en-GB"/>
        </w:rPr>
        <w:t xml:space="preserve"> it has been strongly urged to facilitate the Committee’s work in good faith,</w:t>
      </w:r>
      <w:r>
        <w:rPr>
          <w:rStyle w:val="FootnoteReference"/>
          <w:lang w:eastAsia="en-GB"/>
        </w:rPr>
        <w:footnoteReference w:id="29"/>
      </w:r>
      <w:r w:rsidRPr="009424DC">
        <w:rPr>
          <w:lang w:eastAsia="en-GB"/>
        </w:rPr>
        <w:t xml:space="preserve"> and that it should act accordingly, also in line with article 26 of the Vienna Convention on the Law of Treaties;</w:t>
      </w:r>
      <w:r w:rsidRPr="009424DC">
        <w:rPr>
          <w:lang w:val="en-US" w:eastAsia="en-GB"/>
        </w:rPr>
        <w:t xml:space="preserve"> </w:t>
      </w:r>
    </w:p>
    <w:p w14:paraId="55FCD328" w14:textId="77777777" w:rsidR="005544FF" w:rsidRPr="009424DC" w:rsidRDefault="005544FF" w:rsidP="00D1287E">
      <w:pPr>
        <w:pStyle w:val="SingleTxtG"/>
        <w:ind w:firstLine="567"/>
        <w:rPr>
          <w:lang w:val="en-US" w:eastAsia="en-GB"/>
        </w:rPr>
      </w:pPr>
      <w:r w:rsidRPr="009424DC">
        <w:rPr>
          <w:lang w:val="en-US" w:eastAsia="en-GB"/>
        </w:rPr>
        <w:t>3.</w:t>
      </w:r>
      <w:r w:rsidRPr="009424DC">
        <w:rPr>
          <w:lang w:val="en-US" w:eastAsia="en-GB"/>
        </w:rPr>
        <w:tab/>
      </w:r>
      <w:r w:rsidRPr="009424DC">
        <w:rPr>
          <w:i/>
          <w:iCs/>
          <w:lang w:eastAsia="en-GB"/>
        </w:rPr>
        <w:t xml:space="preserve">Endorses </w:t>
      </w:r>
      <w:r w:rsidRPr="009424DC">
        <w:rPr>
          <w:lang w:val="en-US" w:eastAsia="en-GB"/>
        </w:rPr>
        <w:t xml:space="preserve">the findings of the Implementation Committee that, in accordance with the information provided to the Committee, Bulgaria was in non-compliance with articles 2 (3) and 3 (1) of the Convention by extending the lifetime of units 5 and 6 of Kozloduy nuclear power plant and preparing </w:t>
      </w:r>
      <w:r>
        <w:rPr>
          <w:lang w:val="en-US" w:eastAsia="en-GB"/>
        </w:rPr>
        <w:t>said</w:t>
      </w:r>
      <w:r w:rsidRPr="009424DC">
        <w:rPr>
          <w:lang w:val="en-US" w:eastAsia="en-GB"/>
        </w:rPr>
        <w:t xml:space="preserve"> units for long-term operation without applying the Convention;</w:t>
      </w:r>
    </w:p>
    <w:p w14:paraId="5F3D8690" w14:textId="77777777" w:rsidR="005544FF" w:rsidRPr="009424DC" w:rsidRDefault="005544FF" w:rsidP="00D1287E">
      <w:pPr>
        <w:pStyle w:val="SingleTxtG"/>
        <w:ind w:firstLine="567"/>
        <w:rPr>
          <w:lang w:eastAsia="en-GB"/>
        </w:rPr>
      </w:pPr>
      <w:r w:rsidRPr="009424DC">
        <w:rPr>
          <w:lang w:val="en-US" w:eastAsia="en-GB"/>
        </w:rPr>
        <w:t>4.</w:t>
      </w:r>
      <w:r w:rsidRPr="009424DC">
        <w:rPr>
          <w:lang w:val="en-US" w:eastAsia="en-GB"/>
        </w:rPr>
        <w:tab/>
      </w:r>
      <w:r w:rsidRPr="009424DC">
        <w:rPr>
          <w:i/>
          <w:iCs/>
          <w:lang w:eastAsia="en-GB"/>
        </w:rPr>
        <w:t xml:space="preserve">Welcomes </w:t>
      </w:r>
      <w:r w:rsidRPr="009424DC">
        <w:rPr>
          <w:lang w:eastAsia="en-GB"/>
        </w:rPr>
        <w:t>the fact that Bulgaria committed itself to notifying Austria, Romania and Serbia ahead of any future lifetime extension for units 5 and 6 of Kozloduy nuclear power plant</w:t>
      </w:r>
      <w:r>
        <w:rPr>
          <w:lang w:eastAsia="en-GB"/>
        </w:rPr>
        <w:t>,</w:t>
      </w:r>
      <w:r w:rsidRPr="009424DC">
        <w:rPr>
          <w:lang w:eastAsia="en-GB"/>
        </w:rPr>
        <w:t xml:space="preserve"> in accordance with article 3 (1) of the Convention</w:t>
      </w:r>
      <w:r>
        <w:rPr>
          <w:lang w:eastAsia="en-GB"/>
        </w:rPr>
        <w:t>,</w:t>
      </w:r>
      <w:r w:rsidRPr="009424DC">
        <w:rPr>
          <w:lang w:eastAsia="en-GB"/>
        </w:rPr>
        <w:t xml:space="preserve"> after the Parties had requested such notification;</w:t>
      </w:r>
    </w:p>
    <w:p w14:paraId="566024C4" w14:textId="77777777" w:rsidR="005544FF" w:rsidRPr="009424DC" w:rsidRDefault="005544FF" w:rsidP="00D1287E">
      <w:pPr>
        <w:pStyle w:val="SingleTxtG"/>
        <w:ind w:firstLine="567"/>
        <w:rPr>
          <w:lang w:eastAsia="en-GB"/>
        </w:rPr>
      </w:pPr>
      <w:r w:rsidRPr="009424DC">
        <w:rPr>
          <w:lang w:eastAsia="en-GB"/>
        </w:rPr>
        <w:t>5.</w:t>
      </w:r>
      <w:r w:rsidRPr="009424DC">
        <w:tab/>
      </w:r>
      <w:r w:rsidRPr="009424DC">
        <w:rPr>
          <w:i/>
          <w:iCs/>
          <w:lang w:eastAsia="en-GB"/>
        </w:rPr>
        <w:t>Requests</w:t>
      </w:r>
      <w:r w:rsidRPr="009424DC">
        <w:rPr>
          <w:lang w:eastAsia="en-GB"/>
        </w:rPr>
        <w:t xml:space="preserve"> Bulgaria to ensure that the Convention is fully applied in the context of any future decision-making for activities listed in appendix 1 </w:t>
      </w:r>
      <w:r>
        <w:rPr>
          <w:lang w:eastAsia="en-GB"/>
        </w:rPr>
        <w:t xml:space="preserve">thereto </w:t>
      </w:r>
      <w:r w:rsidRPr="009424DC">
        <w:rPr>
          <w:lang w:eastAsia="en-GB"/>
        </w:rPr>
        <w:t>regarding Kozloduy nuclear power plant, including ensuring that:</w:t>
      </w:r>
    </w:p>
    <w:p w14:paraId="416F66F8" w14:textId="77777777" w:rsidR="005544FF" w:rsidRPr="009424DC" w:rsidRDefault="005544FF" w:rsidP="00D1287E">
      <w:pPr>
        <w:pStyle w:val="SingleTxtG"/>
        <w:ind w:firstLine="567"/>
        <w:rPr>
          <w:lang w:eastAsia="en-GB"/>
        </w:rPr>
      </w:pPr>
      <w:r w:rsidRPr="009424DC">
        <w:rPr>
          <w:lang w:eastAsia="en-GB"/>
        </w:rPr>
        <w:t>(a)</w:t>
      </w:r>
      <w:r w:rsidRPr="009424DC">
        <w:rPr>
          <w:lang w:eastAsia="en-GB"/>
        </w:rPr>
        <w:tab/>
        <w:t>All impacts of operational states and accidents are properly taken into account during the environmental impact assessment procedure;</w:t>
      </w:r>
    </w:p>
    <w:p w14:paraId="69CE03EB" w14:textId="77777777" w:rsidR="005544FF" w:rsidRPr="009424DC" w:rsidRDefault="005544FF" w:rsidP="00D1287E">
      <w:pPr>
        <w:pStyle w:val="SingleTxtG"/>
        <w:ind w:firstLine="567"/>
        <w:rPr>
          <w:lang w:eastAsia="en-GB"/>
        </w:rPr>
      </w:pPr>
      <w:r w:rsidRPr="009424DC">
        <w:rPr>
          <w:lang w:eastAsia="en-GB"/>
        </w:rPr>
        <w:t>(b)</w:t>
      </w:r>
      <w:r w:rsidRPr="009424DC">
        <w:rPr>
          <w:lang w:eastAsia="en-GB"/>
        </w:rPr>
        <w:tab/>
        <w:t>When considering whether the lifetime extension constitutes a major change, the activities implemented to prepare for long-term operation prior to the latest licence renewals are taken into account;</w:t>
      </w:r>
    </w:p>
    <w:p w14:paraId="1F7947AF" w14:textId="77777777" w:rsidR="005544FF" w:rsidRPr="009424DC" w:rsidRDefault="005544FF" w:rsidP="00D1287E">
      <w:pPr>
        <w:pStyle w:val="SingleTxtG"/>
        <w:ind w:firstLine="567"/>
        <w:rPr>
          <w:lang w:eastAsia="en-GB"/>
        </w:rPr>
      </w:pPr>
      <w:r w:rsidRPr="009424DC">
        <w:rPr>
          <w:lang w:eastAsia="en-GB"/>
        </w:rPr>
        <w:t>(c)</w:t>
      </w:r>
      <w:r w:rsidRPr="009424DC">
        <w:tab/>
      </w:r>
      <w:r w:rsidRPr="009424DC">
        <w:rPr>
          <w:lang w:eastAsia="en-GB"/>
        </w:rPr>
        <w:t xml:space="preserve">Bulgaria notifies, in accordance with article 3 (1) of the Convention, any Party </w:t>
      </w:r>
      <w:r>
        <w:rPr>
          <w:lang w:eastAsia="en-GB"/>
        </w:rPr>
        <w:t>that</w:t>
      </w:r>
      <w:r w:rsidRPr="009424DC">
        <w:rPr>
          <w:lang w:eastAsia="en-GB"/>
        </w:rPr>
        <w:t xml:space="preserve"> it (Bulgaria) considers may be affected, including Austria, Romania and Serbia, which, in the context of the present case, have expressly considered themselves </w:t>
      </w:r>
      <w:r>
        <w:rPr>
          <w:lang w:eastAsia="en-GB"/>
        </w:rPr>
        <w:t xml:space="preserve">to be </w:t>
      </w:r>
      <w:r w:rsidRPr="009424DC">
        <w:rPr>
          <w:lang w:eastAsia="en-GB"/>
        </w:rPr>
        <w:t>potentially affected and requested to be notified;</w:t>
      </w:r>
    </w:p>
    <w:p w14:paraId="0ABFBAFA" w14:textId="77777777" w:rsidR="005544FF" w:rsidRPr="009424DC" w:rsidRDefault="005544FF" w:rsidP="00D1287E">
      <w:pPr>
        <w:pStyle w:val="SingleTxtG"/>
        <w:ind w:firstLine="567"/>
        <w:rPr>
          <w:lang w:eastAsia="en-GB"/>
        </w:rPr>
      </w:pPr>
      <w:r w:rsidRPr="009424DC">
        <w:rPr>
          <w:lang w:eastAsia="en-GB"/>
        </w:rPr>
        <w:t>6.</w:t>
      </w:r>
      <w:r w:rsidRPr="009424DC">
        <w:rPr>
          <w:lang w:eastAsia="en-GB"/>
        </w:rPr>
        <w:tab/>
      </w:r>
      <w:r w:rsidRPr="002E4CB5">
        <w:rPr>
          <w:i/>
          <w:iCs/>
          <w:lang w:eastAsia="en-GB"/>
        </w:rPr>
        <w:t>Recommends</w:t>
      </w:r>
      <w:r w:rsidRPr="009424DC">
        <w:rPr>
          <w:lang w:eastAsia="en-GB"/>
        </w:rPr>
        <w:t xml:space="preserve"> that Bulgaria follow the good practice recommendations of the Meeting of the Parties that</w:t>
      </w:r>
      <w:r>
        <w:rPr>
          <w:lang w:eastAsia="en-GB"/>
        </w:rPr>
        <w:t>,</w:t>
      </w:r>
      <w:r w:rsidRPr="009424DC">
        <w:rPr>
          <w:lang w:eastAsia="en-GB"/>
        </w:rPr>
        <w:t xml:space="preserve"> given the great public concern and national interests involved </w:t>
      </w:r>
      <w:r w:rsidRPr="009424DC">
        <w:rPr>
          <w:lang w:eastAsia="en-GB"/>
        </w:rPr>
        <w:lastRenderedPageBreak/>
        <w:t>when it comes to nuclear energy-related activities, a wide notification, that is</w:t>
      </w:r>
      <w:r>
        <w:rPr>
          <w:lang w:eastAsia="en-GB"/>
        </w:rPr>
        <w:t xml:space="preserve"> to say</w:t>
      </w:r>
      <w:r w:rsidRPr="009424DC">
        <w:rPr>
          <w:lang w:eastAsia="en-GB"/>
        </w:rPr>
        <w:t>, beyond neighbouring Parties, could prevent later misunderstandings and potential disputes.</w:t>
      </w:r>
      <w:r w:rsidRPr="009424DC">
        <w:rPr>
          <w:sz w:val="18"/>
          <w:vertAlign w:val="superscript"/>
          <w:lang w:eastAsia="en-GB"/>
        </w:rPr>
        <w:footnoteReference w:id="30"/>
      </w:r>
    </w:p>
    <w:p w14:paraId="01385C11" w14:textId="77777777" w:rsidR="000D0F1C" w:rsidRDefault="000D0F1C" w:rsidP="000D0F1C">
      <w:pPr>
        <w:rPr>
          <w:lang w:eastAsia="en-US"/>
        </w:rPr>
      </w:pPr>
    </w:p>
    <w:p w14:paraId="2C7FA829" w14:textId="77777777" w:rsidR="000642FA" w:rsidRDefault="000642FA" w:rsidP="000D0F1C">
      <w:pPr>
        <w:rPr>
          <w:lang w:eastAsia="en-US"/>
        </w:rPr>
        <w:sectPr w:rsidR="000642FA" w:rsidSect="00D327FF">
          <w:footerReference w:type="default" r:id="rId25"/>
          <w:footerReference w:type="first" r:id="rId26"/>
          <w:footnotePr>
            <w:numRestart w:val="eachSect"/>
          </w:footnotePr>
          <w:endnotePr>
            <w:numFmt w:val="decimal"/>
          </w:endnotePr>
          <w:pgSz w:w="11907" w:h="16840" w:code="9"/>
          <w:pgMar w:top="1560" w:right="1134" w:bottom="1134" w:left="1134" w:header="851" w:footer="567" w:gutter="0"/>
          <w:cols w:space="720"/>
          <w:titlePg/>
          <w:docGrid w:linePitch="272"/>
        </w:sectPr>
      </w:pPr>
    </w:p>
    <w:p w14:paraId="051DBDB7" w14:textId="1B550D56" w:rsidR="00895DCB" w:rsidRPr="00D334E9" w:rsidRDefault="00D1287E" w:rsidP="00F014A0">
      <w:pPr>
        <w:pStyle w:val="HChG"/>
        <w:spacing w:before="240"/>
        <w:rPr>
          <w:lang w:eastAsia="en-US"/>
        </w:rPr>
      </w:pPr>
      <w:r>
        <w:rPr>
          <w:lang w:eastAsia="en-US"/>
        </w:rPr>
        <w:lastRenderedPageBreak/>
        <w:tab/>
      </w:r>
      <w:r w:rsidR="00895DCB">
        <w:rPr>
          <w:lang w:eastAsia="en-US"/>
        </w:rPr>
        <w:t>6.</w:t>
      </w:r>
      <w:r w:rsidR="00895DCB">
        <w:rPr>
          <w:lang w:eastAsia="en-US"/>
        </w:rPr>
        <w:tab/>
      </w:r>
      <w:r w:rsidR="00895DCB" w:rsidRPr="00D334E9">
        <w:rPr>
          <w:lang w:eastAsia="en-US"/>
        </w:rPr>
        <w:t xml:space="preserve">Decision IX/4i on compliance by Czechia with its obligations under the Convention in respect of the lifetime extension of </w:t>
      </w:r>
      <w:r w:rsidR="00895DCB">
        <w:rPr>
          <w:lang w:eastAsia="en-US"/>
        </w:rPr>
        <w:t xml:space="preserve">four reactors of </w:t>
      </w:r>
      <w:r w:rsidR="00895DCB" w:rsidRPr="00D334E9">
        <w:rPr>
          <w:lang w:eastAsia="en-US"/>
        </w:rPr>
        <w:t>Dukovany nuclear power plant</w:t>
      </w:r>
    </w:p>
    <w:p w14:paraId="6103B805" w14:textId="77777777" w:rsidR="00895DCB" w:rsidRPr="00A77C5D" w:rsidRDefault="00895DCB" w:rsidP="00D1287E">
      <w:pPr>
        <w:pStyle w:val="SingleTxtG"/>
        <w:ind w:firstLine="567"/>
      </w:pPr>
      <w:r w:rsidRPr="00D1287E">
        <w:rPr>
          <w:i/>
          <w:iCs/>
          <w:lang w:eastAsia="en-GB"/>
        </w:rPr>
        <w:t>The Meeting of the Parties to the Convention</w:t>
      </w:r>
      <w:r w:rsidRPr="00A77C5D">
        <w:rPr>
          <w:lang w:eastAsia="en-GB"/>
        </w:rPr>
        <w:t>,</w:t>
      </w:r>
    </w:p>
    <w:p w14:paraId="66B78DE7" w14:textId="77777777" w:rsidR="00895DCB" w:rsidRPr="00D334E9" w:rsidRDefault="00895DCB" w:rsidP="00D1287E">
      <w:pPr>
        <w:pStyle w:val="SingleTxtG"/>
        <w:ind w:firstLine="567"/>
      </w:pPr>
      <w:r w:rsidRPr="0087657E">
        <w:rPr>
          <w:i/>
          <w:iCs/>
        </w:rPr>
        <w:t>Recalling</w:t>
      </w:r>
      <w:r w:rsidRPr="00D334E9">
        <w:t xml:space="preserve"> article</w:t>
      </w:r>
      <w:r>
        <w:t>s</w:t>
      </w:r>
      <w:r w:rsidRPr="00D334E9">
        <w:t xml:space="preserve"> 11</w:t>
      </w:r>
      <w:r>
        <w:t xml:space="preserve"> (</w:t>
      </w:r>
      <w:r w:rsidRPr="00D334E9">
        <w:t>2</w:t>
      </w:r>
      <w:r>
        <w:t>)</w:t>
      </w:r>
      <w:r w:rsidRPr="00D334E9">
        <w:t xml:space="preserve"> and 14 bis of the Convention on Environmental Impact Assessment in a Transboundary Context,</w:t>
      </w:r>
    </w:p>
    <w:p w14:paraId="2ACBBAF3" w14:textId="77777777" w:rsidR="00895DCB" w:rsidRPr="00D334E9" w:rsidRDefault="00895DCB" w:rsidP="00D1287E">
      <w:pPr>
        <w:pStyle w:val="SingleTxtG"/>
        <w:ind w:firstLine="567"/>
        <w:rPr>
          <w:lang w:eastAsia="en-GB"/>
        </w:rPr>
      </w:pPr>
      <w:proofErr w:type="gramStart"/>
      <w:r w:rsidRPr="00A77C5D">
        <w:rPr>
          <w:i/>
          <w:iCs/>
          <w:lang w:eastAsia="en-GB"/>
        </w:rPr>
        <w:t>Recalling</w:t>
      </w:r>
      <w:r w:rsidRPr="00D334E9">
        <w:rPr>
          <w:lang w:eastAsia="en-GB"/>
        </w:rPr>
        <w:t xml:space="preserve"> </w:t>
      </w:r>
      <w:r w:rsidRPr="00E1358D">
        <w:rPr>
          <w:i/>
          <w:iCs/>
          <w:lang w:eastAsia="en-GB"/>
        </w:rPr>
        <w:t>also</w:t>
      </w:r>
      <w:proofErr w:type="gramEnd"/>
      <w:r w:rsidRPr="00D334E9">
        <w:rPr>
          <w:lang w:eastAsia="en-GB"/>
        </w:rPr>
        <w:t xml:space="preserve"> its decision IX/4</w:t>
      </w:r>
      <w:r w:rsidRPr="00D334E9">
        <w:rPr>
          <w:sz w:val="18"/>
          <w:vertAlign w:val="superscript"/>
          <w:lang w:eastAsia="en-GB"/>
        </w:rPr>
        <w:footnoteReference w:id="31"/>
      </w:r>
      <w:r w:rsidRPr="00D334E9">
        <w:rPr>
          <w:lang w:eastAsia="en-GB"/>
        </w:rPr>
        <w:t xml:space="preserve"> on general issues of compliance with the Convention adopted at its ninth session</w:t>
      </w:r>
      <w:r>
        <w:rPr>
          <w:lang w:eastAsia="en-GB"/>
        </w:rPr>
        <w:t xml:space="preserve"> </w:t>
      </w:r>
      <w:r>
        <w:t>(Geneva, 12–15 December 2023)</w:t>
      </w:r>
      <w:r w:rsidRPr="00D334E9">
        <w:rPr>
          <w:lang w:eastAsia="en-GB"/>
        </w:rPr>
        <w:t>,</w:t>
      </w:r>
    </w:p>
    <w:p w14:paraId="64CFC28F" w14:textId="77777777" w:rsidR="00895DCB" w:rsidRPr="00D334E9" w:rsidRDefault="00895DCB" w:rsidP="00D1287E">
      <w:pPr>
        <w:pStyle w:val="SingleTxtG"/>
        <w:ind w:firstLine="567"/>
        <w:rPr>
          <w:lang w:eastAsia="en-GB"/>
        </w:rPr>
      </w:pPr>
      <w:r w:rsidRPr="00A77C5D">
        <w:rPr>
          <w:i/>
          <w:iCs/>
          <w:lang w:eastAsia="en-GB"/>
        </w:rPr>
        <w:t>Having considered</w:t>
      </w:r>
      <w:r w:rsidRPr="00D334E9">
        <w:rPr>
          <w:lang w:eastAsia="en-GB"/>
        </w:rPr>
        <w:t xml:space="preserve"> the findings and recommendations of the Implementation Committee </w:t>
      </w:r>
      <w:r>
        <w:rPr>
          <w:lang w:eastAsia="en-GB"/>
        </w:rPr>
        <w:t>regarding</w:t>
      </w:r>
      <w:r w:rsidRPr="00D334E9">
        <w:rPr>
          <w:lang w:eastAsia="en-GB"/>
        </w:rPr>
        <w:t xml:space="preserve"> compliance by Czechia with its obligations under the Convention in respect of the lifetime extension of </w:t>
      </w:r>
      <w:r w:rsidRPr="008C718A">
        <w:rPr>
          <w:rFonts w:eastAsia="SimSun"/>
        </w:rPr>
        <w:t xml:space="preserve">four reactors of </w:t>
      </w:r>
      <w:r w:rsidRPr="00D334E9">
        <w:rPr>
          <w:lang w:eastAsia="en-GB"/>
        </w:rPr>
        <w:t>Dukovany nuclear power plant,</w:t>
      </w:r>
      <w:r>
        <w:rPr>
          <w:rStyle w:val="FootnoteReference"/>
          <w:lang w:eastAsia="en-GB"/>
        </w:rPr>
        <w:footnoteReference w:id="32"/>
      </w:r>
      <w:r w:rsidRPr="00D334E9">
        <w:rPr>
          <w:lang w:eastAsia="en-GB"/>
        </w:rPr>
        <w:t xml:space="preserve"> </w:t>
      </w:r>
    </w:p>
    <w:p w14:paraId="1167D054" w14:textId="77777777" w:rsidR="00895DCB" w:rsidRPr="00D334E9" w:rsidRDefault="00895DCB" w:rsidP="00D1287E">
      <w:pPr>
        <w:pStyle w:val="SingleTxtG"/>
        <w:ind w:firstLine="567"/>
        <w:rPr>
          <w:lang w:eastAsia="en-GB"/>
        </w:rPr>
      </w:pPr>
      <w:r w:rsidRPr="00A77C5D">
        <w:rPr>
          <w:i/>
          <w:iCs/>
          <w:lang w:eastAsia="en-GB"/>
        </w:rPr>
        <w:t xml:space="preserve">Having </w:t>
      </w:r>
      <w:proofErr w:type="gramStart"/>
      <w:r w:rsidRPr="00A77C5D">
        <w:rPr>
          <w:i/>
          <w:iCs/>
          <w:lang w:eastAsia="en-GB"/>
        </w:rPr>
        <w:t>considered</w:t>
      </w:r>
      <w:r>
        <w:rPr>
          <w:i/>
          <w:iCs/>
          <w:lang w:eastAsia="en-GB"/>
        </w:rPr>
        <w:t xml:space="preserve"> also</w:t>
      </w:r>
      <w:proofErr w:type="gramEnd"/>
      <w:r w:rsidRPr="00D334E9">
        <w:rPr>
          <w:lang w:eastAsia="en-GB"/>
        </w:rPr>
        <w:t xml:space="preserve"> the report on the activities of the Implementation Committee to the Meeting of the Parties to the Convention at its ninth session, in particular, the section concerning Czechia,</w:t>
      </w:r>
      <w:r>
        <w:rPr>
          <w:rStyle w:val="FootnoteReference"/>
          <w:lang w:eastAsia="en-GB"/>
        </w:rPr>
        <w:footnoteReference w:id="33"/>
      </w:r>
    </w:p>
    <w:p w14:paraId="56AFDAF7" w14:textId="77777777" w:rsidR="00895DCB" w:rsidRPr="00D334E9" w:rsidRDefault="00895DCB" w:rsidP="00D1287E">
      <w:pPr>
        <w:pStyle w:val="SingleTxtG"/>
        <w:ind w:firstLine="567"/>
        <w:rPr>
          <w:color w:val="000000"/>
          <w:lang w:val="en-US" w:eastAsia="en-US"/>
        </w:rPr>
      </w:pPr>
      <w:r w:rsidRPr="00D334E9">
        <w:rPr>
          <w:color w:val="000000"/>
          <w:lang w:val="en-US" w:eastAsia="en-US"/>
        </w:rPr>
        <w:t>1.</w:t>
      </w:r>
      <w:r w:rsidRPr="00D334E9">
        <w:rPr>
          <w:color w:val="000000"/>
          <w:lang w:val="en-US" w:eastAsia="en-US"/>
        </w:rPr>
        <w:tab/>
      </w:r>
      <w:r w:rsidRPr="00A77C5D">
        <w:rPr>
          <w:i/>
          <w:iCs/>
          <w:lang w:eastAsia="en-GB"/>
        </w:rPr>
        <w:t>Endorses</w:t>
      </w:r>
      <w:r w:rsidRPr="00D334E9">
        <w:rPr>
          <w:color w:val="000000"/>
          <w:lang w:val="en-US" w:eastAsia="en-US"/>
        </w:rPr>
        <w:t xml:space="preserve"> the findings of the Implementation Committee that, in accordance with the </w:t>
      </w:r>
      <w:r w:rsidRPr="00D334E9">
        <w:rPr>
          <w:color w:val="000000"/>
          <w:lang w:eastAsia="en-US"/>
        </w:rPr>
        <w:t>information</w:t>
      </w:r>
      <w:r w:rsidRPr="00D334E9">
        <w:rPr>
          <w:color w:val="000000"/>
          <w:lang w:val="en-US" w:eastAsia="en-US"/>
        </w:rPr>
        <w:t xml:space="preserve"> provided to the Committee, Czechia was in non-compliance with articles 2 (3) and 3 (1) of the Convention when extending the lifetime of </w:t>
      </w:r>
      <w:r w:rsidRPr="00884F57">
        <w:rPr>
          <w:color w:val="000000"/>
          <w:lang w:val="en-US" w:eastAsia="en-US"/>
        </w:rPr>
        <w:t>units 1</w:t>
      </w:r>
      <w:r w:rsidRPr="00884F57">
        <w:t>–</w:t>
      </w:r>
      <w:r w:rsidRPr="00884F57">
        <w:rPr>
          <w:color w:val="000000"/>
          <w:lang w:val="en-US" w:eastAsia="en-US"/>
        </w:rPr>
        <w:t>4</w:t>
      </w:r>
      <w:r w:rsidRPr="00D334E9">
        <w:rPr>
          <w:color w:val="000000"/>
          <w:lang w:val="en-US" w:eastAsia="en-US"/>
        </w:rPr>
        <w:t xml:space="preserve"> of Dukovany nuclear power plant and preparing</w:t>
      </w:r>
      <w:r>
        <w:rPr>
          <w:color w:val="000000"/>
          <w:lang w:val="en-US" w:eastAsia="en-US"/>
        </w:rPr>
        <w:t xml:space="preserve"> said</w:t>
      </w:r>
      <w:r w:rsidRPr="00D334E9">
        <w:rPr>
          <w:color w:val="000000"/>
          <w:lang w:val="en-US" w:eastAsia="en-US"/>
        </w:rPr>
        <w:t xml:space="preserve"> units for long-term operation without applying the Convention;</w:t>
      </w:r>
    </w:p>
    <w:p w14:paraId="33701544" w14:textId="77777777" w:rsidR="00895DCB" w:rsidRPr="000433DC" w:rsidRDefault="00895DCB" w:rsidP="00D1287E">
      <w:pPr>
        <w:pStyle w:val="SingleTxtG"/>
        <w:ind w:firstLine="567"/>
        <w:rPr>
          <w:lang w:eastAsia="en-US"/>
        </w:rPr>
      </w:pPr>
      <w:r w:rsidRPr="000433DC">
        <w:rPr>
          <w:lang w:eastAsia="en-US"/>
        </w:rPr>
        <w:t>2.</w:t>
      </w:r>
      <w:r w:rsidRPr="000433DC">
        <w:rPr>
          <w:lang w:eastAsia="en-US"/>
        </w:rPr>
        <w:tab/>
      </w:r>
      <w:r w:rsidRPr="000433DC">
        <w:rPr>
          <w:i/>
          <w:iCs/>
          <w:lang w:val="en-US" w:eastAsia="en-US"/>
        </w:rPr>
        <w:t xml:space="preserve">Welcomes </w:t>
      </w:r>
      <w:r w:rsidRPr="000433DC">
        <w:rPr>
          <w:lang w:val="en-US" w:eastAsia="en-US"/>
        </w:rPr>
        <w:t xml:space="preserve">the fact that Czechia committed to notifying </w:t>
      </w:r>
      <w:r w:rsidRPr="000433DC">
        <w:rPr>
          <w:lang w:eastAsia="en-US"/>
        </w:rPr>
        <w:t>Austria and Germany ahead of future lifetime extensions of nuclear power plants or significant changes in the licences of the operating units of the nuclear power plants in its territory in accordance with article 3 (1) of the Convention</w:t>
      </w:r>
      <w:r>
        <w:rPr>
          <w:lang w:eastAsia="en-US"/>
        </w:rPr>
        <w:t>,</w:t>
      </w:r>
      <w:r w:rsidRPr="000433DC">
        <w:rPr>
          <w:lang w:eastAsia="en-US"/>
        </w:rPr>
        <w:t xml:space="preserve"> </w:t>
      </w:r>
      <w:r w:rsidRPr="00B93113">
        <w:rPr>
          <w:lang w:eastAsia="en-US"/>
        </w:rPr>
        <w:t>as</w:t>
      </w:r>
      <w:r w:rsidRPr="000433DC">
        <w:rPr>
          <w:lang w:eastAsia="en-US"/>
        </w:rPr>
        <w:t xml:space="preserve"> requested by both Parties;</w:t>
      </w:r>
    </w:p>
    <w:p w14:paraId="6DEC9BE1" w14:textId="77777777" w:rsidR="00895DCB" w:rsidRPr="000433DC" w:rsidRDefault="00895DCB" w:rsidP="00D1287E">
      <w:pPr>
        <w:pStyle w:val="SingleTxtG"/>
        <w:ind w:firstLine="567"/>
        <w:rPr>
          <w:lang w:eastAsia="en-US"/>
        </w:rPr>
      </w:pPr>
      <w:r w:rsidRPr="000433DC">
        <w:rPr>
          <w:lang w:eastAsia="en-US"/>
        </w:rPr>
        <w:t>3.</w:t>
      </w:r>
      <w:r w:rsidRPr="000433DC">
        <w:rPr>
          <w:lang w:eastAsia="en-US"/>
        </w:rPr>
        <w:tab/>
      </w:r>
      <w:r w:rsidRPr="000433DC">
        <w:rPr>
          <w:i/>
          <w:iCs/>
          <w:lang w:eastAsia="en-US"/>
        </w:rPr>
        <w:t xml:space="preserve">Invites </w:t>
      </w:r>
      <w:r w:rsidRPr="000433DC">
        <w:rPr>
          <w:lang w:eastAsia="en-US"/>
        </w:rPr>
        <w:t>Czechia to continue bilateral consultations and cooperation with Austria and Germany for information exchange on long-term operation</w:t>
      </w:r>
      <w:r>
        <w:rPr>
          <w:lang w:eastAsia="en-US"/>
        </w:rPr>
        <w:t xml:space="preserve">-related </w:t>
      </w:r>
      <w:r w:rsidRPr="000433DC">
        <w:rPr>
          <w:lang w:eastAsia="en-US"/>
        </w:rPr>
        <w:t>activit</w:t>
      </w:r>
      <w:r>
        <w:rPr>
          <w:lang w:eastAsia="en-US"/>
        </w:rPr>
        <w:t>ies</w:t>
      </w:r>
      <w:r w:rsidRPr="000433DC">
        <w:rPr>
          <w:lang w:eastAsia="en-US"/>
        </w:rPr>
        <w:t xml:space="preserve"> </w:t>
      </w:r>
      <w:r>
        <w:rPr>
          <w:lang w:eastAsia="en-US"/>
        </w:rPr>
        <w:t>regarding</w:t>
      </w:r>
      <w:r w:rsidRPr="000433DC">
        <w:rPr>
          <w:lang w:eastAsia="en-US"/>
        </w:rPr>
        <w:t xml:space="preserve"> the units of </w:t>
      </w:r>
      <w:proofErr w:type="spellStart"/>
      <w:r w:rsidRPr="000433DC">
        <w:rPr>
          <w:lang w:eastAsia="en-US"/>
        </w:rPr>
        <w:t>Dukovany</w:t>
      </w:r>
      <w:proofErr w:type="spellEnd"/>
      <w:r w:rsidRPr="000433DC">
        <w:rPr>
          <w:lang w:eastAsia="en-US"/>
        </w:rPr>
        <w:t xml:space="preserve"> and </w:t>
      </w:r>
      <w:proofErr w:type="spellStart"/>
      <w:r w:rsidRPr="000433DC">
        <w:rPr>
          <w:lang w:eastAsia="en-US"/>
        </w:rPr>
        <w:t>Temelin</w:t>
      </w:r>
      <w:proofErr w:type="spellEnd"/>
      <w:r w:rsidRPr="000433DC">
        <w:rPr>
          <w:lang w:eastAsia="en-US"/>
        </w:rPr>
        <w:t xml:space="preserve"> nuclear power plants</w:t>
      </w:r>
      <w:r w:rsidRPr="00E35F40">
        <w:rPr>
          <w:lang w:eastAsia="en-US"/>
        </w:rPr>
        <w:t xml:space="preserve"> </w:t>
      </w:r>
      <w:r w:rsidRPr="000433DC">
        <w:rPr>
          <w:lang w:eastAsia="en-US"/>
        </w:rPr>
        <w:t>in an appropriate way;</w:t>
      </w:r>
    </w:p>
    <w:p w14:paraId="29250033" w14:textId="77777777" w:rsidR="00895DCB" w:rsidRPr="000433DC" w:rsidRDefault="00895DCB" w:rsidP="00D1287E">
      <w:pPr>
        <w:pStyle w:val="SingleTxtG"/>
        <w:ind w:firstLine="567"/>
        <w:rPr>
          <w:lang w:eastAsia="en-US"/>
        </w:rPr>
      </w:pPr>
      <w:r w:rsidRPr="000433DC">
        <w:rPr>
          <w:lang w:eastAsia="en-US"/>
        </w:rPr>
        <w:t>4.</w:t>
      </w:r>
      <w:r w:rsidRPr="000433DC">
        <w:rPr>
          <w:lang w:eastAsia="en-US"/>
        </w:rPr>
        <w:tab/>
      </w:r>
      <w:r w:rsidRPr="000433DC">
        <w:rPr>
          <w:i/>
          <w:iCs/>
          <w:lang w:eastAsia="en-US"/>
        </w:rPr>
        <w:t xml:space="preserve">Encourages </w:t>
      </w:r>
      <w:r w:rsidRPr="000433DC">
        <w:rPr>
          <w:lang w:eastAsia="en-US"/>
        </w:rPr>
        <w:t>Czechia to prepare bilateral agreements on the application of the Convention with Austria and Germany;</w:t>
      </w:r>
    </w:p>
    <w:p w14:paraId="0B8568F1" w14:textId="77777777" w:rsidR="00895DCB" w:rsidRPr="000433DC" w:rsidRDefault="00895DCB" w:rsidP="00D1287E">
      <w:pPr>
        <w:pStyle w:val="SingleTxtG"/>
        <w:ind w:firstLine="567"/>
        <w:rPr>
          <w:lang w:val="en-US" w:eastAsia="en-US"/>
        </w:rPr>
      </w:pPr>
      <w:r w:rsidRPr="000433DC">
        <w:rPr>
          <w:lang w:val="en-US" w:eastAsia="en-US"/>
        </w:rPr>
        <w:t>5.</w:t>
      </w:r>
      <w:r w:rsidRPr="000433DC">
        <w:rPr>
          <w:lang w:val="en-US" w:eastAsia="en-US"/>
        </w:rPr>
        <w:tab/>
      </w:r>
      <w:r w:rsidRPr="000433DC">
        <w:rPr>
          <w:i/>
          <w:iCs/>
          <w:lang w:val="en-US" w:eastAsia="en-US"/>
        </w:rPr>
        <w:t xml:space="preserve">Requests </w:t>
      </w:r>
      <w:r w:rsidRPr="000433DC">
        <w:rPr>
          <w:lang w:val="en-US" w:eastAsia="en-US"/>
        </w:rPr>
        <w:t xml:space="preserve">Czechia to ensure that the Convention is fully applied in the context of any future </w:t>
      </w:r>
      <w:r w:rsidRPr="000433DC">
        <w:rPr>
          <w:lang w:eastAsia="en-US"/>
        </w:rPr>
        <w:t>decision</w:t>
      </w:r>
      <w:r w:rsidRPr="000433DC">
        <w:rPr>
          <w:lang w:val="en-US" w:eastAsia="en-US"/>
        </w:rPr>
        <w:t>-making regarding any lifetime extension activities of any Czech nuclear power plant, including that:</w:t>
      </w:r>
    </w:p>
    <w:p w14:paraId="181792CF" w14:textId="77777777" w:rsidR="00895DCB" w:rsidRPr="000433DC" w:rsidRDefault="00895DCB" w:rsidP="00D1287E">
      <w:pPr>
        <w:pStyle w:val="SingleTxtG"/>
        <w:ind w:firstLine="567"/>
        <w:rPr>
          <w:lang w:val="en-US" w:eastAsia="en-US"/>
        </w:rPr>
      </w:pPr>
      <w:r w:rsidRPr="000433DC">
        <w:rPr>
          <w:lang w:val="en-US" w:eastAsia="en-US"/>
        </w:rPr>
        <w:t>(a)</w:t>
      </w:r>
      <w:r w:rsidRPr="000433DC">
        <w:rPr>
          <w:lang w:val="en-US" w:eastAsia="en-US"/>
        </w:rPr>
        <w:tab/>
        <w:t xml:space="preserve">All impacts of operational states and accidents are properly </w:t>
      </w:r>
      <w:proofErr w:type="gramStart"/>
      <w:r w:rsidRPr="000433DC">
        <w:rPr>
          <w:lang w:val="en-US" w:eastAsia="en-US"/>
        </w:rPr>
        <w:t>taken into account</w:t>
      </w:r>
      <w:proofErr w:type="gramEnd"/>
      <w:r w:rsidRPr="000433DC">
        <w:rPr>
          <w:lang w:val="en-US" w:eastAsia="en-US"/>
        </w:rPr>
        <w:t xml:space="preserve"> during the environmental impact assessment procedure;</w:t>
      </w:r>
    </w:p>
    <w:p w14:paraId="5B67DDF3" w14:textId="77777777" w:rsidR="00895DCB" w:rsidRPr="000433DC" w:rsidRDefault="00895DCB" w:rsidP="00D1287E">
      <w:pPr>
        <w:pStyle w:val="SingleTxtG"/>
        <w:ind w:firstLine="567"/>
        <w:rPr>
          <w:lang w:eastAsia="en-US"/>
        </w:rPr>
      </w:pPr>
      <w:r w:rsidRPr="000433DC">
        <w:rPr>
          <w:lang w:val="en-US" w:eastAsia="en-US"/>
        </w:rPr>
        <w:t>(b)</w:t>
      </w:r>
      <w:r w:rsidRPr="000433DC">
        <w:rPr>
          <w:lang w:val="en-US" w:eastAsia="en-US"/>
        </w:rPr>
        <w:tab/>
        <w:t xml:space="preserve">When considering whether the lifetime extension constitutes a major change, the activities implemented to prepare for long-term operation </w:t>
      </w:r>
      <w:r w:rsidRPr="000433DC">
        <w:rPr>
          <w:lang w:eastAsia="en-US"/>
        </w:rPr>
        <w:t xml:space="preserve">prior to the last licence renewals are </w:t>
      </w:r>
      <w:proofErr w:type="gramStart"/>
      <w:r w:rsidRPr="000433DC">
        <w:rPr>
          <w:lang w:eastAsia="en-US"/>
        </w:rPr>
        <w:t>taken into account</w:t>
      </w:r>
      <w:proofErr w:type="gramEnd"/>
      <w:r w:rsidRPr="000433DC">
        <w:rPr>
          <w:lang w:eastAsia="en-US"/>
        </w:rPr>
        <w:t>;</w:t>
      </w:r>
    </w:p>
    <w:p w14:paraId="3ABA8972" w14:textId="77777777" w:rsidR="00895DCB" w:rsidRPr="000433DC" w:rsidRDefault="00895DCB" w:rsidP="00D1287E">
      <w:pPr>
        <w:pStyle w:val="SingleTxtG"/>
        <w:ind w:firstLine="567"/>
        <w:rPr>
          <w:lang w:eastAsia="en-US"/>
        </w:rPr>
      </w:pPr>
      <w:r w:rsidRPr="000433DC">
        <w:rPr>
          <w:lang w:val="en-US" w:eastAsia="en-US"/>
        </w:rPr>
        <w:t>(c)</w:t>
      </w:r>
      <w:r w:rsidRPr="000433DC">
        <w:rPr>
          <w:lang w:val="en-US" w:eastAsia="en-US"/>
        </w:rPr>
        <w:tab/>
      </w:r>
      <w:r w:rsidRPr="000433DC">
        <w:rPr>
          <w:lang w:eastAsia="en-US"/>
        </w:rPr>
        <w:t>Czechia notifies</w:t>
      </w:r>
      <w:r>
        <w:rPr>
          <w:lang w:eastAsia="en-US"/>
        </w:rPr>
        <w:t>,</w:t>
      </w:r>
      <w:r w:rsidRPr="000433DC">
        <w:rPr>
          <w:lang w:eastAsia="en-US"/>
        </w:rPr>
        <w:t xml:space="preserve"> in accordance with article 3 (1) of the Convention</w:t>
      </w:r>
      <w:r>
        <w:rPr>
          <w:lang w:eastAsia="en-US"/>
        </w:rPr>
        <w:t>,</w:t>
      </w:r>
      <w:r w:rsidRPr="000433DC">
        <w:rPr>
          <w:lang w:eastAsia="en-US"/>
        </w:rPr>
        <w:t xml:space="preserve"> any Party </w:t>
      </w:r>
      <w:r>
        <w:rPr>
          <w:lang w:eastAsia="en-US"/>
        </w:rPr>
        <w:t>that</w:t>
      </w:r>
      <w:r w:rsidRPr="000433DC">
        <w:rPr>
          <w:lang w:eastAsia="en-US"/>
        </w:rPr>
        <w:t xml:space="preserve"> it considers may be affected, including Austria and Germany;</w:t>
      </w:r>
    </w:p>
    <w:p w14:paraId="2137AFE9" w14:textId="77777777" w:rsidR="00895DCB" w:rsidRDefault="00895DCB" w:rsidP="00D1287E">
      <w:pPr>
        <w:pStyle w:val="SingleTxtG"/>
        <w:ind w:firstLine="567"/>
        <w:rPr>
          <w:lang w:eastAsia="en-US"/>
        </w:rPr>
      </w:pPr>
      <w:r w:rsidRPr="000433DC">
        <w:rPr>
          <w:lang w:val="en-US" w:eastAsia="en-US"/>
        </w:rPr>
        <w:t>6.</w:t>
      </w:r>
      <w:r w:rsidRPr="000433DC">
        <w:rPr>
          <w:lang w:val="en-US" w:eastAsia="en-US"/>
        </w:rPr>
        <w:tab/>
      </w:r>
      <w:r w:rsidRPr="000433DC">
        <w:rPr>
          <w:i/>
          <w:iCs/>
          <w:lang w:eastAsia="en-US"/>
        </w:rPr>
        <w:t>Recommends</w:t>
      </w:r>
      <w:r w:rsidRPr="000433DC">
        <w:rPr>
          <w:lang w:eastAsia="en-US"/>
        </w:rPr>
        <w:t xml:space="preserve"> that Czechia follow the good practice recommendations of the Meeting of the Parties that</w:t>
      </w:r>
      <w:r>
        <w:rPr>
          <w:lang w:eastAsia="en-US"/>
        </w:rPr>
        <w:t>,</w:t>
      </w:r>
      <w:r w:rsidRPr="000433DC">
        <w:rPr>
          <w:lang w:eastAsia="en-US"/>
        </w:rPr>
        <w:t xml:space="preserve"> given the great public concern and national interests involved when it comes to nuclear energy-related activities, a wide notification,</w:t>
      </w:r>
      <w:r>
        <w:rPr>
          <w:lang w:eastAsia="en-US"/>
        </w:rPr>
        <w:t xml:space="preserve"> that is to say</w:t>
      </w:r>
      <w:r w:rsidRPr="000433DC">
        <w:rPr>
          <w:lang w:eastAsia="en-US"/>
        </w:rPr>
        <w:t>, beyond neighbouring Parties, could prevent later misunderstandings and potential disputes;</w:t>
      </w:r>
      <w:r w:rsidRPr="000433DC">
        <w:rPr>
          <w:sz w:val="18"/>
          <w:vertAlign w:val="superscript"/>
          <w:lang w:eastAsia="en-US"/>
        </w:rPr>
        <w:footnoteReference w:id="34"/>
      </w:r>
    </w:p>
    <w:p w14:paraId="6C7ECBC4" w14:textId="6525BD70" w:rsidR="00895DCB" w:rsidRDefault="00F014A0" w:rsidP="00F014A0">
      <w:pPr>
        <w:pStyle w:val="SingleTxtG"/>
        <w:ind w:firstLine="567"/>
        <w:rPr>
          <w:lang w:eastAsia="en-US"/>
        </w:rPr>
      </w:pPr>
      <w:r w:rsidRPr="000433DC">
        <w:rPr>
          <w:lang w:val="en-US" w:eastAsia="en-US"/>
        </w:rPr>
        <w:lastRenderedPageBreak/>
        <w:t>7.</w:t>
      </w:r>
      <w:r w:rsidRPr="000433DC">
        <w:rPr>
          <w:lang w:val="en-US" w:eastAsia="en-US"/>
        </w:rPr>
        <w:tab/>
      </w:r>
      <w:r w:rsidRPr="000433DC">
        <w:rPr>
          <w:i/>
          <w:iCs/>
          <w:lang w:eastAsia="en-US"/>
        </w:rPr>
        <w:t xml:space="preserve">Welcomes </w:t>
      </w:r>
      <w:r w:rsidRPr="000433DC">
        <w:rPr>
          <w:lang w:eastAsia="en-US"/>
        </w:rPr>
        <w:t>the cooperation of Czechia in the proceedings</w:t>
      </w:r>
      <w:r>
        <w:rPr>
          <w:lang w:eastAsia="en-US"/>
        </w:rPr>
        <w:t>,</w:t>
      </w:r>
      <w:r w:rsidRPr="000433DC">
        <w:rPr>
          <w:lang w:eastAsia="en-US"/>
        </w:rPr>
        <w:t xml:space="preserve"> which facilitated the considerations of the Committee.</w:t>
      </w:r>
    </w:p>
    <w:p w14:paraId="36B3154B" w14:textId="77777777" w:rsidR="00895DCB" w:rsidRDefault="00895DCB" w:rsidP="00895DCB">
      <w:pPr>
        <w:rPr>
          <w:lang w:eastAsia="en-US"/>
        </w:rPr>
        <w:sectPr w:rsidR="00895DCB" w:rsidSect="00386537">
          <w:footerReference w:type="default" r:id="rId27"/>
          <w:headerReference w:type="first" r:id="rId28"/>
          <w:footerReference w:type="first" r:id="rId29"/>
          <w:footnotePr>
            <w:numRestart w:val="eachSect"/>
          </w:footnotePr>
          <w:endnotePr>
            <w:numFmt w:val="decimal"/>
          </w:endnotePr>
          <w:pgSz w:w="11907" w:h="16840" w:code="9"/>
          <w:pgMar w:top="1418" w:right="1134" w:bottom="1134" w:left="1134" w:header="851" w:footer="567" w:gutter="0"/>
          <w:cols w:space="720"/>
          <w:titlePg/>
          <w:docGrid w:linePitch="272"/>
        </w:sectPr>
      </w:pPr>
    </w:p>
    <w:p w14:paraId="77390EE5" w14:textId="54E7A7A4" w:rsidR="00AD3307" w:rsidRPr="000433DC" w:rsidRDefault="003E05C6" w:rsidP="003E05C6">
      <w:pPr>
        <w:pStyle w:val="HChG"/>
        <w:rPr>
          <w:lang w:eastAsia="en-US"/>
        </w:rPr>
      </w:pPr>
      <w:r>
        <w:rPr>
          <w:lang w:eastAsia="en-US"/>
        </w:rPr>
        <w:lastRenderedPageBreak/>
        <w:tab/>
      </w:r>
      <w:r w:rsidR="00AD3307">
        <w:rPr>
          <w:lang w:eastAsia="en-US"/>
        </w:rPr>
        <w:t>7.</w:t>
      </w:r>
      <w:r w:rsidR="00AD3307">
        <w:rPr>
          <w:lang w:eastAsia="en-US"/>
        </w:rPr>
        <w:tab/>
      </w:r>
      <w:r w:rsidR="00AD3307" w:rsidRPr="003E05C6">
        <w:t>Decision</w:t>
      </w:r>
      <w:r w:rsidR="00AD3307" w:rsidRPr="000433DC">
        <w:rPr>
          <w:lang w:eastAsia="en-US"/>
        </w:rPr>
        <w:t xml:space="preserve"> IX/4j on compliance by Serbia with its obligations under the Convention </w:t>
      </w:r>
      <w:r w:rsidR="00AD3307">
        <w:rPr>
          <w:lang w:eastAsia="en-US"/>
        </w:rPr>
        <w:t>in respect of</w:t>
      </w:r>
      <w:r w:rsidR="00AD3307" w:rsidRPr="000433DC">
        <w:rPr>
          <w:lang w:eastAsia="en-US"/>
        </w:rPr>
        <w:t xml:space="preserve"> several mining-related activities in </w:t>
      </w:r>
      <w:proofErr w:type="spellStart"/>
      <w:r w:rsidR="00AD3307" w:rsidRPr="000433DC">
        <w:rPr>
          <w:lang w:eastAsia="en-US"/>
        </w:rPr>
        <w:t>Karamanica</w:t>
      </w:r>
      <w:proofErr w:type="spellEnd"/>
      <w:r w:rsidR="00AD3307" w:rsidRPr="000433DC">
        <w:rPr>
          <w:lang w:eastAsia="en-US"/>
        </w:rPr>
        <w:t xml:space="preserve">, </w:t>
      </w:r>
      <w:proofErr w:type="spellStart"/>
      <w:r w:rsidR="00AD3307" w:rsidRPr="000433DC">
        <w:rPr>
          <w:lang w:eastAsia="en-US"/>
        </w:rPr>
        <w:t>Popovica</w:t>
      </w:r>
      <w:proofErr w:type="spellEnd"/>
      <w:r w:rsidR="00AD3307" w:rsidRPr="000433DC">
        <w:rPr>
          <w:lang w:eastAsia="en-US"/>
        </w:rPr>
        <w:t xml:space="preserve"> and </w:t>
      </w:r>
      <w:proofErr w:type="spellStart"/>
      <w:r w:rsidR="00AD3307" w:rsidRPr="000433DC">
        <w:rPr>
          <w:lang w:eastAsia="en-US"/>
        </w:rPr>
        <w:t>Podvirovi</w:t>
      </w:r>
      <w:proofErr w:type="spellEnd"/>
      <w:r w:rsidR="00AD3307" w:rsidRPr="000433DC">
        <w:rPr>
          <w:lang w:eastAsia="en-US"/>
        </w:rPr>
        <w:t xml:space="preserve"> and the Grot mine</w:t>
      </w:r>
    </w:p>
    <w:p w14:paraId="62FD667E" w14:textId="77777777" w:rsidR="00AD3307" w:rsidRPr="00BB6B11" w:rsidRDefault="00AD3307" w:rsidP="00AD3307">
      <w:pPr>
        <w:pStyle w:val="SingleTxtG"/>
        <w:ind w:firstLine="567"/>
        <w:rPr>
          <w:i/>
          <w:iCs/>
          <w:lang w:eastAsia="en-US"/>
        </w:rPr>
      </w:pPr>
      <w:r w:rsidRPr="00BB6B11">
        <w:rPr>
          <w:i/>
          <w:iCs/>
          <w:lang w:eastAsia="en-US"/>
        </w:rPr>
        <w:t>The Meeting of the Parties to the Convention,</w:t>
      </w:r>
    </w:p>
    <w:p w14:paraId="2E51E0FE" w14:textId="77777777" w:rsidR="00AD3307" w:rsidRPr="00D334E9" w:rsidRDefault="00AD3307" w:rsidP="00AD3307">
      <w:pPr>
        <w:pStyle w:val="SingleTxtG"/>
        <w:ind w:firstLine="567"/>
      </w:pPr>
      <w:r w:rsidRPr="0087657E">
        <w:rPr>
          <w:i/>
          <w:iCs/>
        </w:rPr>
        <w:t>Recalling</w:t>
      </w:r>
      <w:r w:rsidRPr="00D334E9">
        <w:t xml:space="preserve"> article</w:t>
      </w:r>
      <w:r>
        <w:t>s</w:t>
      </w:r>
      <w:r w:rsidRPr="00D334E9">
        <w:t xml:space="preserve"> 11</w:t>
      </w:r>
      <w:r>
        <w:t xml:space="preserve"> (</w:t>
      </w:r>
      <w:r w:rsidRPr="00D334E9">
        <w:t>2</w:t>
      </w:r>
      <w:r>
        <w:t>)</w:t>
      </w:r>
      <w:r w:rsidRPr="00D334E9">
        <w:t xml:space="preserve"> and 14 bis of the Convention on Environmental Impact Assessment in a Transboundary Context,</w:t>
      </w:r>
    </w:p>
    <w:p w14:paraId="1631355C" w14:textId="77777777" w:rsidR="00AD3307" w:rsidRPr="000433DC" w:rsidRDefault="00AD3307" w:rsidP="00AD3307">
      <w:pPr>
        <w:pStyle w:val="SingleTxtG"/>
        <w:ind w:firstLine="567"/>
        <w:rPr>
          <w:iCs/>
          <w:lang w:eastAsia="en-US"/>
        </w:rPr>
      </w:pPr>
      <w:proofErr w:type="gramStart"/>
      <w:r w:rsidRPr="000433DC">
        <w:rPr>
          <w:i/>
          <w:lang w:eastAsia="en-US"/>
        </w:rPr>
        <w:t xml:space="preserve">Recalling </w:t>
      </w:r>
      <w:r>
        <w:rPr>
          <w:i/>
          <w:lang w:eastAsia="en-US"/>
        </w:rPr>
        <w:t>also</w:t>
      </w:r>
      <w:proofErr w:type="gramEnd"/>
      <w:r w:rsidRPr="000433DC">
        <w:rPr>
          <w:iCs/>
          <w:lang w:eastAsia="en-US"/>
        </w:rPr>
        <w:t xml:space="preserve"> its decision IX/4</w:t>
      </w:r>
      <w:r w:rsidRPr="000433DC">
        <w:rPr>
          <w:iCs/>
          <w:sz w:val="18"/>
          <w:vertAlign w:val="superscript"/>
          <w:lang w:eastAsia="en-US"/>
        </w:rPr>
        <w:footnoteReference w:id="35"/>
      </w:r>
      <w:r w:rsidRPr="000433DC">
        <w:rPr>
          <w:iCs/>
          <w:lang w:eastAsia="en-US"/>
        </w:rPr>
        <w:t xml:space="preserve"> on general issues of compliance with the Convention adopted at its ninth session</w:t>
      </w:r>
      <w:r>
        <w:rPr>
          <w:iCs/>
          <w:lang w:eastAsia="en-US"/>
        </w:rPr>
        <w:t xml:space="preserve"> </w:t>
      </w:r>
      <w:r>
        <w:t>(Geneva, 12–15 December 2023)</w:t>
      </w:r>
      <w:r w:rsidRPr="000433DC">
        <w:rPr>
          <w:iCs/>
          <w:lang w:eastAsia="en-US"/>
        </w:rPr>
        <w:t>,</w:t>
      </w:r>
    </w:p>
    <w:p w14:paraId="78D8D007" w14:textId="77777777" w:rsidR="00AD3307" w:rsidRPr="000433DC" w:rsidRDefault="00AD3307" w:rsidP="00AD3307">
      <w:pPr>
        <w:pStyle w:val="SingleTxtG"/>
        <w:ind w:firstLine="567"/>
        <w:rPr>
          <w:lang w:eastAsia="en-US"/>
        </w:rPr>
      </w:pPr>
      <w:r w:rsidRPr="000433DC">
        <w:rPr>
          <w:i/>
          <w:iCs/>
          <w:lang w:eastAsia="en-US"/>
        </w:rPr>
        <w:t>Having considered</w:t>
      </w:r>
      <w:r w:rsidRPr="00E1358D">
        <w:rPr>
          <w:lang w:eastAsia="en-US"/>
        </w:rPr>
        <w:t>,</w:t>
      </w:r>
      <w:r w:rsidRPr="000433DC">
        <w:rPr>
          <w:i/>
          <w:iCs/>
          <w:lang w:eastAsia="en-US"/>
        </w:rPr>
        <w:t xml:space="preserve"> </w:t>
      </w:r>
      <w:r w:rsidRPr="000433DC">
        <w:rPr>
          <w:lang w:eastAsia="en-US"/>
        </w:rPr>
        <w:t>further to paragraph 6 of the appendix to decision III/2,</w:t>
      </w:r>
      <w:r w:rsidRPr="000433DC">
        <w:rPr>
          <w:iCs/>
          <w:sz w:val="18"/>
          <w:vertAlign w:val="superscript"/>
          <w:lang w:eastAsia="en-GB"/>
        </w:rPr>
        <w:footnoteReference w:id="36"/>
      </w:r>
      <w:r w:rsidRPr="000433DC">
        <w:rPr>
          <w:lang w:eastAsia="en-US"/>
        </w:rPr>
        <w:t xml:space="preserve"> the findings and recommendations of the Implementation Committee on compliance by Serbia with its obligations under the Convention with respect to several mining-related activities in </w:t>
      </w:r>
      <w:proofErr w:type="spellStart"/>
      <w:r w:rsidRPr="000433DC">
        <w:rPr>
          <w:lang w:eastAsia="en-US"/>
        </w:rPr>
        <w:t>Karamanica</w:t>
      </w:r>
      <w:proofErr w:type="spellEnd"/>
      <w:r w:rsidRPr="000433DC">
        <w:rPr>
          <w:lang w:eastAsia="en-US"/>
        </w:rPr>
        <w:t xml:space="preserve">, </w:t>
      </w:r>
      <w:proofErr w:type="spellStart"/>
      <w:r w:rsidRPr="000433DC">
        <w:rPr>
          <w:lang w:eastAsia="en-US"/>
        </w:rPr>
        <w:t>Popovica</w:t>
      </w:r>
      <w:proofErr w:type="spellEnd"/>
      <w:r w:rsidRPr="000433DC">
        <w:rPr>
          <w:lang w:eastAsia="en-US"/>
        </w:rPr>
        <w:t xml:space="preserve"> and </w:t>
      </w:r>
      <w:proofErr w:type="spellStart"/>
      <w:r w:rsidRPr="000433DC">
        <w:rPr>
          <w:lang w:eastAsia="en-US"/>
        </w:rPr>
        <w:t>Podvirovi</w:t>
      </w:r>
      <w:proofErr w:type="spellEnd"/>
      <w:r w:rsidRPr="000433DC">
        <w:rPr>
          <w:lang w:eastAsia="en-US"/>
        </w:rPr>
        <w:t xml:space="preserve"> and the Grot mine,</w:t>
      </w:r>
      <w:r>
        <w:rPr>
          <w:rStyle w:val="FootnoteReference"/>
          <w:lang w:eastAsia="en-US"/>
        </w:rPr>
        <w:footnoteReference w:id="37"/>
      </w:r>
      <w:r w:rsidRPr="000433DC">
        <w:rPr>
          <w:lang w:eastAsia="en-US"/>
        </w:rPr>
        <w:t xml:space="preserve"> </w:t>
      </w:r>
    </w:p>
    <w:p w14:paraId="30B192EE" w14:textId="77777777" w:rsidR="00AD3307" w:rsidRPr="000433DC" w:rsidRDefault="00AD3307" w:rsidP="00AD3307">
      <w:pPr>
        <w:pStyle w:val="SingleTxtG"/>
        <w:ind w:firstLine="567"/>
        <w:rPr>
          <w:lang w:eastAsia="en-US"/>
        </w:rPr>
      </w:pPr>
      <w:r w:rsidRPr="000433DC">
        <w:rPr>
          <w:i/>
          <w:lang w:eastAsia="en-US"/>
        </w:rPr>
        <w:t xml:space="preserve">Having </w:t>
      </w:r>
      <w:proofErr w:type="gramStart"/>
      <w:r w:rsidRPr="000433DC">
        <w:rPr>
          <w:i/>
          <w:lang w:eastAsia="en-US"/>
        </w:rPr>
        <w:t>considered</w:t>
      </w:r>
      <w:r>
        <w:rPr>
          <w:i/>
          <w:lang w:eastAsia="en-US"/>
        </w:rPr>
        <w:t xml:space="preserve"> also</w:t>
      </w:r>
      <w:proofErr w:type="gramEnd"/>
      <w:r w:rsidRPr="000433DC">
        <w:rPr>
          <w:lang w:eastAsia="en-US"/>
        </w:rPr>
        <w:t xml:space="preserve"> the report on the activities of the Implementation Committee to the Meeting of the Parties to the Convention at its ninth session, in particular, the section concerning Serbia,</w:t>
      </w:r>
      <w:r>
        <w:rPr>
          <w:rStyle w:val="FootnoteReference"/>
          <w:lang w:eastAsia="en-US"/>
        </w:rPr>
        <w:footnoteReference w:id="38"/>
      </w:r>
    </w:p>
    <w:p w14:paraId="275E8E01" w14:textId="77777777" w:rsidR="00AD3307" w:rsidRPr="000433DC" w:rsidRDefault="00AD3307" w:rsidP="00AD3307">
      <w:pPr>
        <w:pStyle w:val="SingleTxtG"/>
        <w:ind w:firstLine="567"/>
        <w:rPr>
          <w:lang w:val="en-US" w:eastAsia="en-US"/>
        </w:rPr>
      </w:pPr>
      <w:r w:rsidRPr="000433DC">
        <w:rPr>
          <w:lang w:eastAsia="en-US"/>
        </w:rPr>
        <w:t>1.</w:t>
      </w:r>
      <w:r w:rsidRPr="000433DC">
        <w:rPr>
          <w:lang w:eastAsia="en-US"/>
        </w:rPr>
        <w:tab/>
      </w:r>
      <w:r w:rsidRPr="000433DC">
        <w:rPr>
          <w:i/>
          <w:iCs/>
          <w:lang w:val="en-US" w:eastAsia="en-US"/>
        </w:rPr>
        <w:t>Endorses</w:t>
      </w:r>
      <w:r w:rsidRPr="000433DC">
        <w:rPr>
          <w:lang w:val="en-US" w:eastAsia="en-US"/>
        </w:rPr>
        <w:t xml:space="preserve"> the findings of the Implementation Committee that, in accordance with the information provided to the Committee:</w:t>
      </w:r>
    </w:p>
    <w:p w14:paraId="717A7229" w14:textId="77777777" w:rsidR="00AD3307" w:rsidRPr="000433DC" w:rsidRDefault="00AD3307" w:rsidP="00AD3307">
      <w:pPr>
        <w:pStyle w:val="SingleTxtG"/>
        <w:ind w:firstLine="567"/>
        <w:rPr>
          <w:lang w:eastAsia="en-US"/>
        </w:rPr>
      </w:pPr>
      <w:r w:rsidRPr="000433DC">
        <w:rPr>
          <w:lang w:eastAsia="en-US"/>
        </w:rPr>
        <w:t>(a)</w:t>
      </w:r>
      <w:r w:rsidRPr="000433DC">
        <w:rPr>
          <w:lang w:eastAsia="en-US"/>
        </w:rPr>
        <w:tab/>
        <w:t>Serbia complied with:</w:t>
      </w:r>
    </w:p>
    <w:p w14:paraId="017A78C6" w14:textId="77777777" w:rsidR="00AD3307" w:rsidRPr="000433DC" w:rsidRDefault="00AD3307" w:rsidP="00AD3307">
      <w:pPr>
        <w:pStyle w:val="SingleTxtG"/>
        <w:ind w:left="1701"/>
        <w:rPr>
          <w:lang w:eastAsia="en-US"/>
        </w:rPr>
      </w:pPr>
      <w:r w:rsidRPr="000433DC">
        <w:rPr>
          <w:lang w:eastAsia="en-US"/>
        </w:rPr>
        <w:t>(i)</w:t>
      </w:r>
      <w:r w:rsidRPr="000433DC">
        <w:rPr>
          <w:lang w:eastAsia="en-US"/>
        </w:rPr>
        <w:tab/>
        <w:t xml:space="preserve">Articles 2 (4) and 3 (1) of the Convention concerning the </w:t>
      </w:r>
      <w:proofErr w:type="spellStart"/>
      <w:r w:rsidRPr="000433DC">
        <w:rPr>
          <w:lang w:eastAsia="en-US"/>
        </w:rPr>
        <w:t>Karamanica</w:t>
      </w:r>
      <w:proofErr w:type="spellEnd"/>
      <w:r w:rsidRPr="000433DC">
        <w:rPr>
          <w:lang w:eastAsia="en-US"/>
        </w:rPr>
        <w:t xml:space="preserve"> pilot facility and the expansion of the exploitation of the </w:t>
      </w:r>
      <w:proofErr w:type="spellStart"/>
      <w:r w:rsidRPr="000433DC">
        <w:rPr>
          <w:lang w:eastAsia="en-US"/>
        </w:rPr>
        <w:t>Podvirovi</w:t>
      </w:r>
      <w:proofErr w:type="spellEnd"/>
      <w:r w:rsidRPr="000433DC">
        <w:rPr>
          <w:lang w:eastAsia="en-US"/>
        </w:rPr>
        <w:t xml:space="preserve"> and </w:t>
      </w:r>
      <w:proofErr w:type="spellStart"/>
      <w:r w:rsidRPr="000433DC">
        <w:rPr>
          <w:lang w:eastAsia="en-US"/>
        </w:rPr>
        <w:t>Popovica</w:t>
      </w:r>
      <w:proofErr w:type="spellEnd"/>
      <w:r w:rsidRPr="000433DC">
        <w:rPr>
          <w:lang w:eastAsia="en-US"/>
        </w:rPr>
        <w:t xml:space="preserve"> mining sites by notifying Bulgaria about the proposed activity at the Grot mine in 2009; </w:t>
      </w:r>
    </w:p>
    <w:p w14:paraId="5277EA5E" w14:textId="77777777" w:rsidR="00AD3307" w:rsidRPr="000433DC" w:rsidRDefault="00AD3307" w:rsidP="00AD3307">
      <w:pPr>
        <w:pStyle w:val="SingleTxtG"/>
        <w:ind w:left="1701"/>
        <w:rPr>
          <w:lang w:eastAsia="en-US"/>
        </w:rPr>
      </w:pPr>
      <w:r w:rsidRPr="000433DC">
        <w:rPr>
          <w:lang w:eastAsia="en-US"/>
        </w:rPr>
        <w:t>(ii)</w:t>
      </w:r>
      <w:r w:rsidRPr="000433DC">
        <w:rPr>
          <w:lang w:eastAsia="en-US"/>
        </w:rPr>
        <w:tab/>
        <w:t xml:space="preserve">Article 3 (2) of the Convention with regard to the </w:t>
      </w:r>
      <w:proofErr w:type="spellStart"/>
      <w:r w:rsidRPr="000433DC">
        <w:rPr>
          <w:lang w:eastAsia="en-US"/>
        </w:rPr>
        <w:t>Karamanica</w:t>
      </w:r>
      <w:proofErr w:type="spellEnd"/>
      <w:r w:rsidRPr="000433DC">
        <w:rPr>
          <w:lang w:eastAsia="en-US"/>
        </w:rPr>
        <w:t xml:space="preserve"> pilot flotation facility, including with regard to the information on the proposed activity under article 3 (2) (a) and time frames specified in the notification as set out in article 3 (2) (c)</w:t>
      </w:r>
      <w:r>
        <w:rPr>
          <w:lang w:eastAsia="en-US"/>
        </w:rPr>
        <w:t>;</w:t>
      </w:r>
    </w:p>
    <w:p w14:paraId="5D66F8F5" w14:textId="77777777" w:rsidR="00AD3307" w:rsidRPr="000433DC" w:rsidRDefault="00AD3307" w:rsidP="00AD3307">
      <w:pPr>
        <w:pStyle w:val="SingleTxtG"/>
        <w:ind w:firstLine="567"/>
        <w:rPr>
          <w:lang w:eastAsia="en-US"/>
        </w:rPr>
      </w:pPr>
      <w:r w:rsidRPr="000433DC">
        <w:rPr>
          <w:lang w:eastAsia="en-US"/>
        </w:rPr>
        <w:t>(b)</w:t>
      </w:r>
      <w:r w:rsidRPr="000433DC">
        <w:rPr>
          <w:lang w:eastAsia="en-US"/>
        </w:rPr>
        <w:tab/>
        <w:t>By not notifying Bulgaria regarding the major change to the activity at the Grot mine, Serbia failed to comply with articles 2 (4) and 3 (1) of the Convention in respect of the environmental impact assessment procedure for the activity carried out by it in 2019;</w:t>
      </w:r>
    </w:p>
    <w:p w14:paraId="5269A805" w14:textId="77777777" w:rsidR="00AD3307" w:rsidRPr="000433DC" w:rsidRDefault="00AD3307" w:rsidP="00AD3307">
      <w:pPr>
        <w:pStyle w:val="SingleTxtG"/>
        <w:ind w:firstLine="567"/>
        <w:rPr>
          <w:lang w:eastAsia="en-US"/>
        </w:rPr>
      </w:pPr>
      <w:r w:rsidRPr="000433DC">
        <w:rPr>
          <w:lang w:eastAsia="en-US"/>
        </w:rPr>
        <w:t>(c)</w:t>
      </w:r>
      <w:r w:rsidRPr="000433DC">
        <w:rPr>
          <w:lang w:eastAsia="en-US"/>
        </w:rPr>
        <w:tab/>
        <w:t xml:space="preserve">Bulgaria failed to fulfil its obligations under articles 3 (3) and (8) and 4 (2) of the Convention by not responding to the notification of Serbia regarding the </w:t>
      </w:r>
      <w:proofErr w:type="spellStart"/>
      <w:r w:rsidRPr="000433DC">
        <w:rPr>
          <w:lang w:eastAsia="en-US"/>
        </w:rPr>
        <w:t>Karamanica</w:t>
      </w:r>
      <w:proofErr w:type="spellEnd"/>
      <w:r w:rsidRPr="000433DC">
        <w:rPr>
          <w:lang w:eastAsia="en-US"/>
        </w:rPr>
        <w:t xml:space="preserve"> pilot activity within the time </w:t>
      </w:r>
      <w:r>
        <w:rPr>
          <w:lang w:eastAsia="en-US"/>
        </w:rPr>
        <w:t xml:space="preserve">frame </w:t>
      </w:r>
      <w:r w:rsidRPr="000433DC">
        <w:rPr>
          <w:lang w:eastAsia="en-US"/>
        </w:rPr>
        <w:t xml:space="preserve">specified in the notification; </w:t>
      </w:r>
    </w:p>
    <w:p w14:paraId="3A5F9990" w14:textId="77777777" w:rsidR="00AD3307" w:rsidRPr="000433DC" w:rsidRDefault="00AD3307" w:rsidP="00AD3307">
      <w:pPr>
        <w:pStyle w:val="SingleTxtG"/>
        <w:ind w:firstLine="567"/>
        <w:rPr>
          <w:lang w:eastAsia="en-US"/>
        </w:rPr>
      </w:pPr>
      <w:r w:rsidRPr="000433DC">
        <w:rPr>
          <w:lang w:eastAsia="en-US"/>
        </w:rPr>
        <w:t>(d)</w:t>
      </w:r>
      <w:r w:rsidRPr="000433DC">
        <w:rPr>
          <w:lang w:eastAsia="en-US"/>
        </w:rPr>
        <w:tab/>
        <w:t>In the absence of a notification from Serbia regarding the activity at the Grot mine, neither of the Parties concerned took appropriate steps under article 3 (7) to exchange information for the purposes of holding discussions on whether a significant adverse impact from the proposed activity was likely on the territory of Bulgaria;</w:t>
      </w:r>
    </w:p>
    <w:p w14:paraId="009309AD" w14:textId="77777777" w:rsidR="00AD3307" w:rsidRPr="000433DC" w:rsidRDefault="00AD3307" w:rsidP="00AD3307">
      <w:pPr>
        <w:pStyle w:val="SingleTxtG"/>
        <w:ind w:firstLine="567"/>
        <w:rPr>
          <w:lang w:eastAsia="en-US"/>
        </w:rPr>
      </w:pPr>
      <w:r w:rsidRPr="000433DC">
        <w:rPr>
          <w:lang w:eastAsia="en-US"/>
        </w:rPr>
        <w:t>2.</w:t>
      </w:r>
      <w:r w:rsidRPr="000433DC">
        <w:rPr>
          <w:lang w:eastAsia="en-US"/>
        </w:rPr>
        <w:tab/>
      </w:r>
      <w:r w:rsidRPr="000433DC">
        <w:rPr>
          <w:i/>
          <w:iCs/>
          <w:lang w:eastAsia="en-US"/>
        </w:rPr>
        <w:t>Requests</w:t>
      </w:r>
      <w:r w:rsidRPr="000433DC">
        <w:rPr>
          <w:lang w:eastAsia="en-US"/>
        </w:rPr>
        <w:t xml:space="preserve"> Bulgaria and Serbia to fulfil their obligations under articles 3 (8) and 4 (2) by ensuring that the public of Bulgaria is given an opportunity to participate in the ongoing transboundary procedure regarding the </w:t>
      </w:r>
      <w:proofErr w:type="spellStart"/>
      <w:r w:rsidRPr="000433DC">
        <w:rPr>
          <w:lang w:eastAsia="en-US"/>
        </w:rPr>
        <w:t>Karamanica</w:t>
      </w:r>
      <w:proofErr w:type="spellEnd"/>
      <w:r w:rsidRPr="000433DC">
        <w:rPr>
          <w:lang w:eastAsia="en-US"/>
        </w:rPr>
        <w:t xml:space="preserve"> permanent flotation plant;</w:t>
      </w:r>
    </w:p>
    <w:p w14:paraId="23E6D597" w14:textId="77777777" w:rsidR="00AD3307" w:rsidRPr="000433DC" w:rsidRDefault="00AD3307" w:rsidP="00AD3307">
      <w:pPr>
        <w:pStyle w:val="SingleTxtG"/>
        <w:ind w:firstLine="567"/>
        <w:rPr>
          <w:lang w:val="en-US" w:eastAsia="en-US"/>
        </w:rPr>
      </w:pPr>
      <w:r w:rsidRPr="000433DC">
        <w:rPr>
          <w:lang w:eastAsia="en-US"/>
        </w:rPr>
        <w:t>3.</w:t>
      </w:r>
      <w:r w:rsidRPr="000433DC">
        <w:rPr>
          <w:lang w:eastAsia="en-US"/>
        </w:rPr>
        <w:tab/>
      </w:r>
      <w:r w:rsidRPr="000433DC">
        <w:rPr>
          <w:i/>
          <w:iCs/>
          <w:lang w:val="en-US" w:eastAsia="en-US"/>
        </w:rPr>
        <w:t>Welcomes</w:t>
      </w:r>
      <w:r w:rsidRPr="000433DC">
        <w:rPr>
          <w:lang w:val="en-US" w:eastAsia="en-US"/>
        </w:rPr>
        <w:t xml:space="preserve"> the fact that Serbia notified Bulgaria regarding the new activity encompassing </w:t>
      </w:r>
      <w:r>
        <w:rPr>
          <w:lang w:val="en-US" w:eastAsia="en-US"/>
        </w:rPr>
        <w:t xml:space="preserve">the </w:t>
      </w:r>
      <w:r w:rsidRPr="000433DC">
        <w:rPr>
          <w:lang w:val="en-US" w:eastAsia="en-US"/>
        </w:rPr>
        <w:t xml:space="preserve">exploitation of the </w:t>
      </w:r>
      <w:proofErr w:type="spellStart"/>
      <w:r w:rsidRPr="000433DC">
        <w:rPr>
          <w:lang w:val="en-US" w:eastAsia="en-US"/>
        </w:rPr>
        <w:t>Podvirovi</w:t>
      </w:r>
      <w:proofErr w:type="spellEnd"/>
      <w:r w:rsidRPr="000433DC">
        <w:rPr>
          <w:lang w:val="en-US" w:eastAsia="en-US"/>
        </w:rPr>
        <w:t xml:space="preserve"> and </w:t>
      </w:r>
      <w:proofErr w:type="spellStart"/>
      <w:r w:rsidRPr="000433DC">
        <w:rPr>
          <w:lang w:val="en-US" w:eastAsia="en-US"/>
        </w:rPr>
        <w:t>Popovica</w:t>
      </w:r>
      <w:proofErr w:type="spellEnd"/>
      <w:r w:rsidRPr="000433DC">
        <w:rPr>
          <w:lang w:val="en-US" w:eastAsia="en-US"/>
        </w:rPr>
        <w:t xml:space="preserve"> sites and the construction of a permanent flotation facility in </w:t>
      </w:r>
      <w:proofErr w:type="spellStart"/>
      <w:r w:rsidRPr="000433DC">
        <w:rPr>
          <w:lang w:val="en-US" w:eastAsia="en-US"/>
        </w:rPr>
        <w:t>Karamanica</w:t>
      </w:r>
      <w:proofErr w:type="spellEnd"/>
      <w:r w:rsidRPr="000433DC">
        <w:rPr>
          <w:lang w:val="en-US" w:eastAsia="en-US"/>
        </w:rPr>
        <w:t xml:space="preserve">, noting that Bulgaria expressed </w:t>
      </w:r>
      <w:r>
        <w:rPr>
          <w:lang w:val="en-US" w:eastAsia="en-US"/>
        </w:rPr>
        <w:t>a</w:t>
      </w:r>
      <w:r w:rsidRPr="000433DC">
        <w:rPr>
          <w:lang w:val="en-US" w:eastAsia="en-US"/>
        </w:rPr>
        <w:t xml:space="preserve"> wish to participate in the related transboundary procedure; </w:t>
      </w:r>
    </w:p>
    <w:p w14:paraId="699CCDFB" w14:textId="77777777" w:rsidR="00AD3307" w:rsidRPr="000433DC" w:rsidRDefault="00AD3307" w:rsidP="00AD3307">
      <w:pPr>
        <w:pStyle w:val="SingleTxtG"/>
        <w:ind w:firstLine="567"/>
        <w:rPr>
          <w:lang w:val="en-US" w:eastAsia="en-US"/>
        </w:rPr>
      </w:pPr>
      <w:r w:rsidRPr="000433DC">
        <w:rPr>
          <w:lang w:val="en-US" w:eastAsia="en-US"/>
        </w:rPr>
        <w:t>4.</w:t>
      </w:r>
      <w:r w:rsidRPr="000433DC">
        <w:rPr>
          <w:lang w:val="en-US" w:eastAsia="en-US"/>
        </w:rPr>
        <w:tab/>
      </w:r>
      <w:r w:rsidRPr="000433DC">
        <w:rPr>
          <w:i/>
          <w:iCs/>
          <w:lang w:val="en-US" w:eastAsia="en-US"/>
        </w:rPr>
        <w:t xml:space="preserve">Requests </w:t>
      </w:r>
      <w:r w:rsidRPr="000433DC">
        <w:rPr>
          <w:lang w:val="en-US" w:eastAsia="en-US"/>
        </w:rPr>
        <w:t xml:space="preserve">Serbia to ensure that the Convention is fully applied in the context of any future decision-making regarding planned mining activities, including those at </w:t>
      </w:r>
      <w:proofErr w:type="spellStart"/>
      <w:r w:rsidRPr="000433DC">
        <w:rPr>
          <w:lang w:val="en-US" w:eastAsia="en-US"/>
        </w:rPr>
        <w:lastRenderedPageBreak/>
        <w:t>Karamanica</w:t>
      </w:r>
      <w:proofErr w:type="spellEnd"/>
      <w:r w:rsidRPr="000433DC">
        <w:rPr>
          <w:lang w:val="en-US" w:eastAsia="en-US"/>
        </w:rPr>
        <w:t xml:space="preserve">, the Grot mine and/or located in the municipalities of </w:t>
      </w:r>
      <w:proofErr w:type="spellStart"/>
      <w:r w:rsidRPr="000433DC">
        <w:rPr>
          <w:lang w:val="en-US" w:eastAsia="en-US"/>
        </w:rPr>
        <w:t>Vranje</w:t>
      </w:r>
      <w:proofErr w:type="spellEnd"/>
      <w:r w:rsidRPr="000433DC">
        <w:rPr>
          <w:lang w:val="en-US" w:eastAsia="en-US"/>
        </w:rPr>
        <w:t xml:space="preserve"> and </w:t>
      </w:r>
      <w:proofErr w:type="spellStart"/>
      <w:r w:rsidRPr="000433DC">
        <w:rPr>
          <w:lang w:val="en-US" w:eastAsia="en-US"/>
        </w:rPr>
        <w:t>Bosilegrad</w:t>
      </w:r>
      <w:proofErr w:type="spellEnd"/>
      <w:r w:rsidRPr="000433DC">
        <w:rPr>
          <w:lang w:val="en-US" w:eastAsia="en-US"/>
        </w:rPr>
        <w:t xml:space="preserve">, and that the cumulative impact </w:t>
      </w:r>
      <w:r>
        <w:rPr>
          <w:lang w:val="en-US" w:eastAsia="en-US"/>
        </w:rPr>
        <w:t>of</w:t>
      </w:r>
      <w:r w:rsidRPr="000433DC">
        <w:rPr>
          <w:lang w:val="en-US" w:eastAsia="en-US"/>
        </w:rPr>
        <w:t xml:space="preserve"> the new and already existing mining activities, as well as the cumulative impact of other activities affecting the conditions in the water system</w:t>
      </w:r>
      <w:r>
        <w:rPr>
          <w:lang w:val="en-US" w:eastAsia="en-US"/>
        </w:rPr>
        <w:t>,</w:t>
      </w:r>
      <w:r w:rsidRPr="000433DC">
        <w:rPr>
          <w:lang w:eastAsia="en-US"/>
        </w:rPr>
        <w:t xml:space="preserve"> </w:t>
      </w:r>
      <w:r>
        <w:rPr>
          <w:lang w:val="en-US" w:eastAsia="en-US"/>
        </w:rPr>
        <w:t>is</w:t>
      </w:r>
      <w:r w:rsidRPr="000433DC">
        <w:rPr>
          <w:lang w:val="en-US" w:eastAsia="en-US"/>
        </w:rPr>
        <w:t xml:space="preserve"> properly taken into account during the environmental impact assessment procedure; </w:t>
      </w:r>
    </w:p>
    <w:p w14:paraId="3F971081" w14:textId="77777777" w:rsidR="00AD3307" w:rsidRPr="000433DC" w:rsidRDefault="00AD3307" w:rsidP="00AD3307">
      <w:pPr>
        <w:pStyle w:val="SingleTxtG"/>
        <w:ind w:firstLine="567"/>
        <w:rPr>
          <w:lang w:eastAsia="en-US"/>
        </w:rPr>
      </w:pPr>
      <w:r w:rsidRPr="000433DC">
        <w:rPr>
          <w:lang w:val="en-US" w:eastAsia="en-US"/>
        </w:rPr>
        <w:t>5.</w:t>
      </w:r>
      <w:r w:rsidRPr="000433DC">
        <w:rPr>
          <w:lang w:val="en-US" w:eastAsia="en-US"/>
        </w:rPr>
        <w:tab/>
      </w:r>
      <w:r w:rsidRPr="000433DC">
        <w:rPr>
          <w:i/>
          <w:iCs/>
          <w:lang w:eastAsia="en-US"/>
        </w:rPr>
        <w:t>Welcomes</w:t>
      </w:r>
      <w:r w:rsidRPr="000433DC">
        <w:rPr>
          <w:lang w:eastAsia="en-US"/>
        </w:rPr>
        <w:t xml:space="preserve"> steps taken by both Parties concerned under article 8 of the Convention to develop and conclude a bilateral agreement for the implementation of the Convention</w:t>
      </w:r>
      <w:r>
        <w:rPr>
          <w:lang w:eastAsia="en-US"/>
        </w:rPr>
        <w:t>,</w:t>
      </w:r>
      <w:r w:rsidRPr="000433DC">
        <w:rPr>
          <w:lang w:eastAsia="en-US"/>
        </w:rPr>
        <w:t xml:space="preserve"> and encourages Parties to incorporate in that agreement:</w:t>
      </w:r>
    </w:p>
    <w:p w14:paraId="2160FFD4" w14:textId="77777777" w:rsidR="00AD3307" w:rsidRPr="000433DC" w:rsidRDefault="00AD3307" w:rsidP="00AD3307">
      <w:pPr>
        <w:pStyle w:val="SingleTxtG"/>
        <w:ind w:firstLine="567"/>
        <w:rPr>
          <w:lang w:eastAsia="en-US"/>
        </w:rPr>
      </w:pPr>
      <w:r w:rsidRPr="000433DC">
        <w:rPr>
          <w:lang w:eastAsia="en-US"/>
        </w:rPr>
        <w:t>(a)</w:t>
      </w:r>
      <w:r w:rsidRPr="000433DC">
        <w:rPr>
          <w:lang w:eastAsia="en-US"/>
        </w:rPr>
        <w:tab/>
        <w:t>Elements referred to in appendix VI to the Convention, including undertaking joint environmental impact assessment and development of joint monitoring programmes, as referred to in paragraph 2 (g) of appendix VI to the Convention;</w:t>
      </w:r>
    </w:p>
    <w:p w14:paraId="21432F20" w14:textId="77777777" w:rsidR="00AD3307" w:rsidRPr="000433DC" w:rsidRDefault="00AD3307" w:rsidP="00AD3307">
      <w:pPr>
        <w:pStyle w:val="SingleTxtG"/>
        <w:ind w:firstLine="567"/>
        <w:rPr>
          <w:lang w:eastAsia="en-US"/>
        </w:rPr>
      </w:pPr>
      <w:r w:rsidRPr="000433DC">
        <w:rPr>
          <w:lang w:eastAsia="en-US"/>
        </w:rPr>
        <w:t>(b)</w:t>
      </w:r>
      <w:r w:rsidRPr="000433DC">
        <w:rPr>
          <w:lang w:eastAsia="en-US"/>
        </w:rPr>
        <w:tab/>
        <w:t xml:space="preserve">Special arrangements for the implementation of article 3 (7) of the Convention and for situations when one of the Parties may face impediments to responding to the notification within the time frames specified therein; </w:t>
      </w:r>
    </w:p>
    <w:p w14:paraId="086F739D" w14:textId="2973A090" w:rsidR="00895DCB" w:rsidRDefault="00AD3307" w:rsidP="00B525F4">
      <w:pPr>
        <w:pStyle w:val="SingleTxtG"/>
        <w:ind w:firstLine="567"/>
        <w:rPr>
          <w:lang w:eastAsia="en-US"/>
        </w:rPr>
      </w:pPr>
      <w:r w:rsidRPr="000433DC">
        <w:rPr>
          <w:lang w:eastAsia="en-US"/>
        </w:rPr>
        <w:t>6.</w:t>
      </w:r>
      <w:r w:rsidRPr="000433DC">
        <w:rPr>
          <w:lang w:eastAsia="en-US"/>
        </w:rPr>
        <w:tab/>
      </w:r>
      <w:r w:rsidRPr="000433DC">
        <w:rPr>
          <w:i/>
          <w:iCs/>
          <w:lang w:eastAsia="en-US"/>
        </w:rPr>
        <w:t>Encourages</w:t>
      </w:r>
      <w:r w:rsidRPr="000433DC">
        <w:rPr>
          <w:lang w:eastAsia="en-US"/>
        </w:rPr>
        <w:t xml:space="preserve"> Serbia to establish a network for monitoring the pollution of the </w:t>
      </w:r>
      <w:proofErr w:type="spellStart"/>
      <w:r w:rsidRPr="000433DC">
        <w:rPr>
          <w:lang w:eastAsia="en-US"/>
        </w:rPr>
        <w:t>Ljubatska</w:t>
      </w:r>
      <w:proofErr w:type="spellEnd"/>
      <w:r w:rsidRPr="000433DC">
        <w:rPr>
          <w:lang w:eastAsia="en-US"/>
        </w:rPr>
        <w:t xml:space="preserve"> River basin and the </w:t>
      </w:r>
      <w:proofErr w:type="spellStart"/>
      <w:r w:rsidRPr="000433DC">
        <w:rPr>
          <w:lang w:eastAsia="en-US"/>
        </w:rPr>
        <w:t>Dragovitsa</w:t>
      </w:r>
      <w:proofErr w:type="spellEnd"/>
      <w:r w:rsidRPr="000433DC">
        <w:rPr>
          <w:lang w:eastAsia="en-US"/>
        </w:rPr>
        <w:t xml:space="preserve"> River basin</w:t>
      </w:r>
      <w:r>
        <w:rPr>
          <w:lang w:eastAsia="en-US"/>
        </w:rPr>
        <w:t>,</w:t>
      </w:r>
      <w:r w:rsidRPr="000433DC">
        <w:rPr>
          <w:lang w:eastAsia="en-US"/>
        </w:rPr>
        <w:t xml:space="preserve"> and to regularly communicate the results to Bulgaria, with a view to taking all appropriate measures to control any significant adverse transboundary impact from the activities referred in the submission, including those listed in paragraph 4 above.</w:t>
      </w:r>
    </w:p>
    <w:p w14:paraId="1129727C" w14:textId="77777777" w:rsidR="00B451E8" w:rsidRDefault="00B451E8" w:rsidP="00AD3307">
      <w:pPr>
        <w:rPr>
          <w:lang w:eastAsia="en-US"/>
        </w:rPr>
        <w:sectPr w:rsidR="00B451E8" w:rsidSect="007B6E6F">
          <w:footerReference w:type="default" r:id="rId30"/>
          <w:headerReference w:type="first" r:id="rId31"/>
          <w:footerReference w:type="first" r:id="rId32"/>
          <w:footnotePr>
            <w:numRestart w:val="eachSect"/>
          </w:footnotePr>
          <w:endnotePr>
            <w:numFmt w:val="decimal"/>
          </w:endnotePr>
          <w:pgSz w:w="11907" w:h="16840" w:code="9"/>
          <w:pgMar w:top="1418" w:right="1134" w:bottom="1134" w:left="1134" w:header="851" w:footer="567" w:gutter="0"/>
          <w:cols w:space="720"/>
          <w:titlePg/>
          <w:docGrid w:linePitch="272"/>
        </w:sectPr>
      </w:pPr>
    </w:p>
    <w:p w14:paraId="09018031" w14:textId="23B873E4" w:rsidR="00822074" w:rsidRPr="00AC4A9E" w:rsidRDefault="00B525F4" w:rsidP="00B525F4">
      <w:pPr>
        <w:pStyle w:val="HChG"/>
        <w:rPr>
          <w:b w:val="0"/>
          <w:bCs/>
        </w:rPr>
      </w:pPr>
      <w:r>
        <w:lastRenderedPageBreak/>
        <w:tab/>
      </w:r>
      <w:r w:rsidR="00822074">
        <w:t>8.</w:t>
      </w:r>
      <w:r w:rsidR="00822074">
        <w:tab/>
        <w:t>D</w:t>
      </w:r>
      <w:r w:rsidR="00822074" w:rsidRPr="008D3114">
        <w:t>ecision</w:t>
      </w:r>
      <w:r w:rsidR="00822074">
        <w:t xml:space="preserve"> IX/4k</w:t>
      </w:r>
      <w:r w:rsidR="00822074" w:rsidRPr="008D3114">
        <w:t xml:space="preserve"> on </w:t>
      </w:r>
      <w:r w:rsidR="00822074" w:rsidRPr="00B525F4">
        <w:t>compliance</w:t>
      </w:r>
      <w:r w:rsidR="00822074" w:rsidRPr="008D3114">
        <w:t xml:space="preserve"> by Ukraine with its obligations under the Convention in respect of the Danube-Black Sea Deep Water Navigation Canal in the Ukrainian sector of the Danube Delta</w:t>
      </w:r>
    </w:p>
    <w:p w14:paraId="199F7FAA" w14:textId="77777777" w:rsidR="00822074" w:rsidRPr="00B525F4" w:rsidRDefault="00822074" w:rsidP="00B525F4">
      <w:pPr>
        <w:pStyle w:val="SingleTxtG"/>
        <w:ind w:firstLine="567"/>
        <w:rPr>
          <w:i/>
          <w:iCs/>
        </w:rPr>
      </w:pPr>
      <w:r w:rsidRPr="00B525F4">
        <w:rPr>
          <w:i/>
          <w:iCs/>
        </w:rPr>
        <w:t xml:space="preserve">The Meeting of the Parties, </w:t>
      </w:r>
    </w:p>
    <w:p w14:paraId="16F16883" w14:textId="77777777" w:rsidR="00822074" w:rsidRPr="00D334E9" w:rsidRDefault="00822074" w:rsidP="00B525F4">
      <w:pPr>
        <w:pStyle w:val="SingleTxtG"/>
        <w:ind w:firstLine="567"/>
      </w:pPr>
      <w:r w:rsidRPr="0087657E">
        <w:rPr>
          <w:i/>
          <w:iCs/>
        </w:rPr>
        <w:t>Recalling</w:t>
      </w:r>
      <w:r w:rsidRPr="00D334E9">
        <w:t xml:space="preserve"> article</w:t>
      </w:r>
      <w:r>
        <w:t>s</w:t>
      </w:r>
      <w:r w:rsidRPr="00D334E9">
        <w:t xml:space="preserve"> 11</w:t>
      </w:r>
      <w:r>
        <w:t xml:space="preserve"> (</w:t>
      </w:r>
      <w:r w:rsidRPr="00D334E9">
        <w:t>2</w:t>
      </w:r>
      <w:r>
        <w:t>)</w:t>
      </w:r>
      <w:r w:rsidRPr="00D334E9">
        <w:t xml:space="preserve"> and 14 bis of the Convention on Environmental Impact Assessment in a Transboundary Context,</w:t>
      </w:r>
    </w:p>
    <w:p w14:paraId="46433591" w14:textId="77777777" w:rsidR="00822074" w:rsidRDefault="00822074" w:rsidP="00B525F4">
      <w:pPr>
        <w:pStyle w:val="SingleTxtG"/>
        <w:ind w:firstLine="567"/>
      </w:pPr>
      <w:proofErr w:type="gramStart"/>
      <w:r w:rsidRPr="00E168EE">
        <w:rPr>
          <w:i/>
        </w:rPr>
        <w:t>Recalling also</w:t>
      </w:r>
      <w:proofErr w:type="gramEnd"/>
      <w:r w:rsidRPr="00E168EE">
        <w:t xml:space="preserve"> its decision</w:t>
      </w:r>
      <w:r>
        <w:t>s</w:t>
      </w:r>
      <w:r w:rsidRPr="00E168EE">
        <w:t xml:space="preserve"> IV/2, paragraphs 7–14,</w:t>
      </w:r>
      <w:r w:rsidRPr="00E168EE">
        <w:rPr>
          <w:rStyle w:val="FootnoteReference"/>
        </w:rPr>
        <w:footnoteReference w:id="39"/>
      </w:r>
      <w:r w:rsidRPr="00E168EE">
        <w:t xml:space="preserve"> V/4, paragraphs 17–26,</w:t>
      </w:r>
      <w:r w:rsidRPr="00E168EE">
        <w:rPr>
          <w:rStyle w:val="FootnoteReference"/>
        </w:rPr>
        <w:footnoteReference w:id="40"/>
      </w:r>
      <w:r w:rsidRPr="00E168EE">
        <w:t xml:space="preserve"> VI/2, paragraphs 15–28,</w:t>
      </w:r>
      <w:r w:rsidRPr="00E168EE">
        <w:rPr>
          <w:rStyle w:val="FootnoteReference"/>
        </w:rPr>
        <w:footnoteReference w:id="41"/>
      </w:r>
      <w:r>
        <w:t xml:space="preserve"> IS/1f</w:t>
      </w:r>
      <w:r>
        <w:rPr>
          <w:rStyle w:val="FootnoteReference"/>
        </w:rPr>
        <w:footnoteReference w:id="42"/>
      </w:r>
      <w:r>
        <w:t xml:space="preserve"> and VIII/4d, paragraphs 10</w:t>
      </w:r>
      <w:r w:rsidRPr="00E168EE">
        <w:t>–</w:t>
      </w:r>
      <w:r>
        <w:t>16</w:t>
      </w:r>
      <w:r>
        <w:rPr>
          <w:rStyle w:val="FootnoteReference"/>
        </w:rPr>
        <w:footnoteReference w:id="43"/>
      </w:r>
      <w:r>
        <w:t xml:space="preserve"> </w:t>
      </w:r>
      <w:r w:rsidRPr="00E168EE">
        <w:t>concerning compliance by Ukraine</w:t>
      </w:r>
      <w:r>
        <w:t xml:space="preserve"> with its obligations under the Convention</w:t>
      </w:r>
      <w:r w:rsidRPr="00E168EE">
        <w:t xml:space="preserve"> </w:t>
      </w:r>
      <w:r>
        <w:t>in respect of</w:t>
      </w:r>
      <w:r w:rsidRPr="00E168EE">
        <w:t xml:space="preserve"> </w:t>
      </w:r>
      <w:r>
        <w:t xml:space="preserve">the </w:t>
      </w:r>
      <w:r w:rsidRPr="00E168EE">
        <w:t>Danube-Black Sea Deep Water Navigation Canal in the Ukrainian sector of the Danube Delta (</w:t>
      </w:r>
      <w:proofErr w:type="spellStart"/>
      <w:r w:rsidRPr="00E168EE">
        <w:t>Bystroe</w:t>
      </w:r>
      <w:proofErr w:type="spellEnd"/>
      <w:r w:rsidRPr="00E168EE">
        <w:t xml:space="preserve"> Canal Project),</w:t>
      </w:r>
    </w:p>
    <w:p w14:paraId="1B6ADC90" w14:textId="77777777" w:rsidR="00822074" w:rsidRDefault="00822074" w:rsidP="00B525F4">
      <w:pPr>
        <w:pStyle w:val="SingleTxtG"/>
        <w:ind w:firstLine="567"/>
      </w:pPr>
      <w:r w:rsidRPr="00E168EE">
        <w:rPr>
          <w:i/>
        </w:rPr>
        <w:t>Having considered</w:t>
      </w:r>
      <w:r w:rsidRPr="00E168EE">
        <w:t xml:space="preserve"> </w:t>
      </w:r>
      <w:r>
        <w:t>t</w:t>
      </w:r>
      <w:r w:rsidRPr="00E168EE">
        <w:t xml:space="preserve">he report on the activities of the Implementation Committee to the Meeting of the Parties to the Convention at its </w:t>
      </w:r>
      <w:r>
        <w:t>ninth session (Geneva, 12–15 December 2023),</w:t>
      </w:r>
      <w:r w:rsidRPr="00E168EE">
        <w:rPr>
          <w:rStyle w:val="FootnoteReference"/>
        </w:rPr>
        <w:footnoteReference w:id="44"/>
      </w:r>
      <w:r>
        <w:t xml:space="preserve"> </w:t>
      </w:r>
      <w:r w:rsidRPr="001E6DA2">
        <w:t xml:space="preserve">in particular, the section concerning the steps taken by Ukraine </w:t>
      </w:r>
      <w:r>
        <w:t xml:space="preserve">further to </w:t>
      </w:r>
      <w:r w:rsidRPr="001E6DA2">
        <w:t>decision</w:t>
      </w:r>
      <w:r>
        <w:t xml:space="preserve"> VIII/4d</w:t>
      </w:r>
      <w:r w:rsidRPr="001E6DA2">
        <w:t>,</w:t>
      </w:r>
    </w:p>
    <w:p w14:paraId="6D9C2E77" w14:textId="77777777" w:rsidR="00822074" w:rsidRPr="00A41B27" w:rsidRDefault="00822074" w:rsidP="00B525F4">
      <w:pPr>
        <w:pStyle w:val="SingleTxtG"/>
        <w:ind w:firstLine="567"/>
        <w:rPr>
          <w:i/>
        </w:rPr>
      </w:pPr>
      <w:r w:rsidRPr="00A41B27">
        <w:rPr>
          <w:i/>
        </w:rPr>
        <w:t xml:space="preserve">Considering </w:t>
      </w:r>
      <w:r w:rsidRPr="00A41B27">
        <w:rPr>
          <w:rStyle w:val="cf01"/>
          <w:rFonts w:asciiTheme="majorBidi" w:hAnsiTheme="majorBidi" w:cstheme="majorBidi"/>
        </w:rPr>
        <w:t>with concern the war in Ukraine, being conscious of the ensuing difficulties for Ukraine to implement the Convention</w:t>
      </w:r>
      <w:r>
        <w:rPr>
          <w:rStyle w:val="cf01"/>
          <w:rFonts w:asciiTheme="majorBidi" w:hAnsiTheme="majorBidi" w:cstheme="majorBidi"/>
        </w:rPr>
        <w:t>,</w:t>
      </w:r>
    </w:p>
    <w:p w14:paraId="1BAF873D" w14:textId="77777777" w:rsidR="00822074" w:rsidRDefault="00822074" w:rsidP="00B525F4">
      <w:pPr>
        <w:pStyle w:val="SingleTxtG"/>
        <w:ind w:firstLine="567"/>
      </w:pPr>
      <w:bookmarkStart w:id="6" w:name="_Hlk34989607"/>
      <w:r>
        <w:rPr>
          <w:i/>
        </w:rPr>
        <w:t xml:space="preserve">Recalling </w:t>
      </w:r>
      <w:r w:rsidRPr="00E168EE">
        <w:t>the road</w:t>
      </w:r>
      <w:r>
        <w:t xml:space="preserve"> </w:t>
      </w:r>
      <w:r w:rsidRPr="00E168EE">
        <w:t xml:space="preserve">map developed by Ukraine </w:t>
      </w:r>
      <w:r>
        <w:t xml:space="preserve">in 2018 </w:t>
      </w:r>
      <w:r>
        <w:rPr>
          <w:iCs/>
        </w:rPr>
        <w:t xml:space="preserve">to </w:t>
      </w:r>
      <w:bookmarkStart w:id="7" w:name="_Hlk143888211"/>
      <w:r>
        <w:rPr>
          <w:iCs/>
        </w:rPr>
        <w:t xml:space="preserve">bring the </w:t>
      </w:r>
      <w:proofErr w:type="spellStart"/>
      <w:r>
        <w:rPr>
          <w:iCs/>
        </w:rPr>
        <w:t>Bystroe</w:t>
      </w:r>
      <w:proofErr w:type="spellEnd"/>
      <w:r>
        <w:rPr>
          <w:iCs/>
        </w:rPr>
        <w:t xml:space="preserve"> Canal Project into compliance with the Convention, which</w:t>
      </w:r>
      <w:bookmarkEnd w:id="7"/>
      <w:r>
        <w:rPr>
          <w:iCs/>
        </w:rPr>
        <w:t xml:space="preserve"> contained a non-exhaustive list of </w:t>
      </w:r>
      <w:r>
        <w:t xml:space="preserve">measures with regard to Phases I and II of the Project, </w:t>
      </w:r>
      <w:r w:rsidRPr="00E168EE">
        <w:t>including</w:t>
      </w:r>
      <w:r>
        <w:t>:</w:t>
      </w:r>
      <w:r w:rsidRPr="00E168EE">
        <w:t xml:space="preserve"> </w:t>
      </w:r>
      <w:r>
        <w:t>s</w:t>
      </w:r>
      <w:r w:rsidRPr="00E168EE">
        <w:t>top</w:t>
      </w:r>
      <w:r>
        <w:t>ping</w:t>
      </w:r>
      <w:r w:rsidRPr="00E168EE">
        <w:t xml:space="preserve"> works, </w:t>
      </w:r>
      <w:bookmarkEnd w:id="6"/>
      <w:r w:rsidRPr="00E168EE">
        <w:t>repeal</w:t>
      </w:r>
      <w:r>
        <w:t>ing</w:t>
      </w:r>
      <w:r w:rsidRPr="00E168EE">
        <w:t xml:space="preserve"> the final decision, conduct</w:t>
      </w:r>
      <w:r>
        <w:t>ing</w:t>
      </w:r>
      <w:r w:rsidRPr="00E168EE">
        <w:t xml:space="preserve"> an assessment of the damage to the environment</w:t>
      </w:r>
      <w:r>
        <w:t>,</w:t>
      </w:r>
      <w:r w:rsidRPr="00E168EE">
        <w:t xml:space="preserve"> and </w:t>
      </w:r>
      <w:bookmarkStart w:id="8" w:name="_Hlk34229074"/>
      <w:r w:rsidRPr="00E168EE">
        <w:t>develop</w:t>
      </w:r>
      <w:r>
        <w:t>ing</w:t>
      </w:r>
      <w:r w:rsidRPr="00E168EE">
        <w:t xml:space="preserve"> a plan for compensatory </w:t>
      </w:r>
      <w:r>
        <w:t>or</w:t>
      </w:r>
      <w:r w:rsidRPr="00E168EE">
        <w:t xml:space="preserve"> mitigation measures</w:t>
      </w:r>
      <w:bookmarkEnd w:id="8"/>
      <w:r>
        <w:t>,</w:t>
      </w:r>
    </w:p>
    <w:p w14:paraId="37E3FA50" w14:textId="77777777" w:rsidR="00822074" w:rsidRPr="007A7A05" w:rsidRDefault="00822074" w:rsidP="00B525F4">
      <w:pPr>
        <w:pStyle w:val="SingleTxtG"/>
        <w:ind w:firstLine="567"/>
        <w:rPr>
          <w:iCs/>
        </w:rPr>
      </w:pPr>
      <w:r w:rsidRPr="00797A7E">
        <w:rPr>
          <w:i/>
        </w:rPr>
        <w:t>Recalling</w:t>
      </w:r>
      <w:r>
        <w:rPr>
          <w:iCs/>
        </w:rPr>
        <w:t xml:space="preserve"> </w:t>
      </w:r>
      <w:r w:rsidRPr="00E1358D">
        <w:rPr>
          <w:i/>
        </w:rPr>
        <w:t>also</w:t>
      </w:r>
      <w:r>
        <w:rPr>
          <w:iCs/>
        </w:rPr>
        <w:t xml:space="preserve"> </w:t>
      </w:r>
      <w:r w:rsidRPr="00E7762A">
        <w:rPr>
          <w:iCs/>
        </w:rPr>
        <w:t xml:space="preserve">the </w:t>
      </w:r>
      <w:r>
        <w:rPr>
          <w:iCs/>
        </w:rPr>
        <w:t>steps taken by</w:t>
      </w:r>
      <w:r w:rsidRPr="00E7762A">
        <w:rPr>
          <w:iCs/>
        </w:rPr>
        <w:t xml:space="preserve"> Ukraine to develop a new project for a “</w:t>
      </w:r>
      <w:proofErr w:type="spellStart"/>
      <w:r w:rsidRPr="00E7762A">
        <w:rPr>
          <w:iCs/>
        </w:rPr>
        <w:t>Bystroe</w:t>
      </w:r>
      <w:proofErr w:type="spellEnd"/>
      <w:r w:rsidRPr="00E7762A">
        <w:rPr>
          <w:iCs/>
        </w:rPr>
        <w:t xml:space="preserve"> Route” and to carry out a transboundary environmental impact assessment procedure on the new project in accordance with the Convention</w:t>
      </w:r>
      <w:r>
        <w:rPr>
          <w:iCs/>
        </w:rPr>
        <w:t>, starting with its notification of Romania in June 2020,</w:t>
      </w:r>
      <w:r>
        <w:rPr>
          <w:rStyle w:val="FootnoteReference"/>
          <w:iCs/>
        </w:rPr>
        <w:footnoteReference w:id="45"/>
      </w:r>
    </w:p>
    <w:p w14:paraId="4006B005" w14:textId="77777777" w:rsidR="00822074" w:rsidRDefault="00822074" w:rsidP="00B525F4">
      <w:pPr>
        <w:pStyle w:val="SingleTxtG"/>
        <w:ind w:firstLine="567"/>
      </w:pPr>
      <w:r w:rsidRPr="00243570">
        <w:rPr>
          <w:iCs/>
        </w:rPr>
        <w:t>1.</w:t>
      </w:r>
      <w:r w:rsidRPr="00243570">
        <w:rPr>
          <w:iCs/>
        </w:rPr>
        <w:tab/>
      </w:r>
      <w:r w:rsidRPr="00E168EE">
        <w:rPr>
          <w:i/>
        </w:rPr>
        <w:t>Appreciates</w:t>
      </w:r>
      <w:r>
        <w:t xml:space="preserve"> </w:t>
      </w:r>
      <w:r w:rsidRPr="00E168EE">
        <w:t xml:space="preserve">the </w:t>
      </w:r>
      <w:r>
        <w:t>information</w:t>
      </w:r>
      <w:r w:rsidRPr="00E168EE">
        <w:t xml:space="preserve"> received from the Government of Ukraine</w:t>
      </w:r>
      <w:r>
        <w:t>,</w:t>
      </w:r>
      <w:r w:rsidRPr="00E168EE">
        <w:t xml:space="preserve"> further to paragraph </w:t>
      </w:r>
      <w:r>
        <w:t>15</w:t>
      </w:r>
      <w:r w:rsidRPr="00E168EE">
        <w:t xml:space="preserve"> of decision </w:t>
      </w:r>
      <w:r>
        <w:t>VIII/4d</w:t>
      </w:r>
      <w:r>
        <w:rPr>
          <w:i/>
          <w:iCs/>
        </w:rPr>
        <w:t xml:space="preserve">, </w:t>
      </w:r>
      <w:r>
        <w:t xml:space="preserve">but </w:t>
      </w:r>
      <w:r w:rsidRPr="00E1358D">
        <w:t>regret</w:t>
      </w:r>
      <w:r>
        <w:t>s that, in 2020 and 2021, Ukraine failed to report to the Implementation Committee on its progress;</w:t>
      </w:r>
    </w:p>
    <w:p w14:paraId="5B9B8B4D" w14:textId="77777777" w:rsidR="00822074" w:rsidRDefault="00822074" w:rsidP="00B525F4">
      <w:pPr>
        <w:pStyle w:val="SingleTxtG"/>
        <w:ind w:firstLine="567"/>
      </w:pPr>
      <w:r w:rsidRPr="00243570">
        <w:t>2.</w:t>
      </w:r>
      <w:r w:rsidRPr="00243570">
        <w:tab/>
      </w:r>
      <w:r w:rsidRPr="00C30902">
        <w:rPr>
          <w:i/>
          <w:iCs/>
        </w:rPr>
        <w:t>Welcome</w:t>
      </w:r>
      <w:r>
        <w:rPr>
          <w:i/>
          <w:iCs/>
        </w:rPr>
        <w:t>s</w:t>
      </w:r>
      <w:r w:rsidRPr="00C30902">
        <w:rPr>
          <w:i/>
          <w:iCs/>
        </w:rPr>
        <w:t xml:space="preserve"> </w:t>
      </w:r>
      <w:r>
        <w:t>the conclusion of a bilateral agreement between Ukraine and Romania on the implementation of the Convention on 18 November 2022, further to paragraph 13 (a) of decision VIII/4d,</w:t>
      </w:r>
      <w:r w:rsidRPr="006800EE">
        <w:t xml:space="preserve"> as an important step </w:t>
      </w:r>
      <w:r>
        <w:t xml:space="preserve">forward </w:t>
      </w:r>
      <w:r w:rsidRPr="006800EE">
        <w:t>in improving cooperation and coordination between the two countries</w:t>
      </w:r>
      <w:r>
        <w:t xml:space="preserve"> in assessing transboundary environmental impacts;</w:t>
      </w:r>
    </w:p>
    <w:p w14:paraId="793C00DB" w14:textId="77777777" w:rsidR="00822074" w:rsidRDefault="00822074" w:rsidP="00B525F4">
      <w:pPr>
        <w:pStyle w:val="SingleTxtG"/>
        <w:ind w:firstLine="567"/>
        <w:rPr>
          <w:i/>
          <w:iCs/>
        </w:rPr>
      </w:pPr>
      <w:r>
        <w:t>3.</w:t>
      </w:r>
      <w:r>
        <w:tab/>
      </w:r>
      <w:r>
        <w:rPr>
          <w:i/>
          <w:iCs/>
        </w:rPr>
        <w:t>N</w:t>
      </w:r>
      <w:r w:rsidRPr="00C30902">
        <w:rPr>
          <w:i/>
          <w:iCs/>
        </w:rPr>
        <w:t>otes</w:t>
      </w:r>
      <w:r w:rsidRPr="00170806">
        <w:t xml:space="preserve"> with regret</w:t>
      </w:r>
      <w:r>
        <w:t>, however,</w:t>
      </w:r>
      <w:r w:rsidRPr="00170806">
        <w:t xml:space="preserve"> the lack of progress of Ukraine </w:t>
      </w:r>
      <w:r>
        <w:t>in</w:t>
      </w:r>
      <w:r w:rsidRPr="00170806">
        <w:t xml:space="preserve"> </w:t>
      </w:r>
      <w:r w:rsidRPr="001558EC">
        <w:t>bring</w:t>
      </w:r>
      <w:r>
        <w:t>ing</w:t>
      </w:r>
      <w:r w:rsidRPr="001558EC">
        <w:t xml:space="preserve"> the </w:t>
      </w:r>
      <w:proofErr w:type="spellStart"/>
      <w:r w:rsidRPr="001558EC">
        <w:t>Bystroe</w:t>
      </w:r>
      <w:proofErr w:type="spellEnd"/>
      <w:r w:rsidRPr="001558EC">
        <w:t xml:space="preserve"> Canal Project into compliance with the Convention</w:t>
      </w:r>
      <w:r>
        <w:t>,</w:t>
      </w:r>
      <w:r w:rsidRPr="001558EC">
        <w:t xml:space="preserve"> </w:t>
      </w:r>
      <w:r>
        <w:t>further to requests contained in</w:t>
      </w:r>
      <w:r w:rsidRPr="001558EC">
        <w:t xml:space="preserve"> </w:t>
      </w:r>
      <w:bookmarkStart w:id="9" w:name="_Hlk143888277"/>
      <w:r w:rsidRPr="00170806">
        <w:t>decision VIII/4 d</w:t>
      </w:r>
      <w:bookmarkEnd w:id="9"/>
      <w:r>
        <w:t xml:space="preserve"> (</w:t>
      </w:r>
      <w:r w:rsidRPr="001558EC">
        <w:t>para</w:t>
      </w:r>
      <w:r>
        <w:t>s.</w:t>
      </w:r>
      <w:r w:rsidRPr="001558EC">
        <w:t xml:space="preserve"> 4</w:t>
      </w:r>
      <w:r w:rsidRPr="00E168EE">
        <w:t>–</w:t>
      </w:r>
      <w:r w:rsidRPr="001558EC">
        <w:t>6 and 12</w:t>
      </w:r>
      <w:r>
        <w:t>) and in preceding decisions</w:t>
      </w:r>
      <w:r w:rsidRPr="00170806">
        <w:t>;</w:t>
      </w:r>
      <w:r w:rsidRPr="001F0B32">
        <w:rPr>
          <w:i/>
          <w:iCs/>
        </w:rPr>
        <w:t xml:space="preserve"> </w:t>
      </w:r>
    </w:p>
    <w:p w14:paraId="0DF9C361" w14:textId="77777777" w:rsidR="00822074" w:rsidRDefault="00822074" w:rsidP="00B525F4">
      <w:pPr>
        <w:pStyle w:val="SingleTxtG"/>
        <w:ind w:firstLine="567"/>
      </w:pPr>
      <w:r w:rsidRPr="00E1358D">
        <w:t>4</w:t>
      </w:r>
      <w:r>
        <w:rPr>
          <w:i/>
          <w:iCs/>
        </w:rPr>
        <w:t>.</w:t>
      </w:r>
      <w:r>
        <w:rPr>
          <w:i/>
          <w:iCs/>
        </w:rPr>
        <w:tab/>
      </w:r>
      <w:proofErr w:type="gramStart"/>
      <w:r>
        <w:rPr>
          <w:i/>
          <w:iCs/>
        </w:rPr>
        <w:t>Encourages strongly</w:t>
      </w:r>
      <w:proofErr w:type="gramEnd"/>
      <w:r w:rsidRPr="00812D1A">
        <w:rPr>
          <w:i/>
          <w:iCs/>
        </w:rPr>
        <w:t xml:space="preserve"> </w:t>
      </w:r>
      <w:r>
        <w:t>the Governments of Ukraine and Romania to consult on the post-project analysis, according to article 7 of the Convention;</w:t>
      </w:r>
    </w:p>
    <w:p w14:paraId="41C9106B" w14:textId="77777777" w:rsidR="00822074" w:rsidRDefault="00822074" w:rsidP="00B525F4">
      <w:pPr>
        <w:pStyle w:val="SingleTxtG"/>
        <w:ind w:firstLine="567"/>
      </w:pPr>
      <w:r w:rsidRPr="00243570">
        <w:t>5.</w:t>
      </w:r>
      <w:r>
        <w:rPr>
          <w:i/>
          <w:iCs/>
        </w:rPr>
        <w:tab/>
        <w:t xml:space="preserve">Endorses </w:t>
      </w:r>
      <w:r>
        <w:t>the finding of the Implementation Committee that the caution issued to the Government of Ukraine at its fourth session (Bucharest, 19</w:t>
      </w:r>
      <w:r w:rsidRPr="00E168EE">
        <w:t>–</w:t>
      </w:r>
      <w:r>
        <w:t>21 May 2008) still cannot be lifted;</w:t>
      </w:r>
    </w:p>
    <w:p w14:paraId="5987AAD7" w14:textId="77777777" w:rsidR="00822074" w:rsidRDefault="00822074" w:rsidP="00B525F4">
      <w:pPr>
        <w:pStyle w:val="SingleTxtG"/>
        <w:ind w:firstLine="567"/>
      </w:pPr>
      <w:r>
        <w:lastRenderedPageBreak/>
        <w:t>6.</w:t>
      </w:r>
      <w:r>
        <w:tab/>
      </w:r>
      <w:r w:rsidRPr="00526EBF">
        <w:rPr>
          <w:i/>
          <w:iCs/>
        </w:rPr>
        <w:t>Reiterates</w:t>
      </w:r>
      <w:r>
        <w:t xml:space="preserve"> its repeated requests to the Government of Ukraine to bring the </w:t>
      </w:r>
      <w:proofErr w:type="spellStart"/>
      <w:r>
        <w:t>Bystroe</w:t>
      </w:r>
      <w:proofErr w:type="spellEnd"/>
      <w:r>
        <w:t xml:space="preserve"> Canal Project into full compliance with the Convention without delay in consultation with Romania;</w:t>
      </w:r>
    </w:p>
    <w:p w14:paraId="44B1EF5E" w14:textId="77777777" w:rsidR="00822074" w:rsidRDefault="00822074" w:rsidP="00B525F4">
      <w:pPr>
        <w:pStyle w:val="SingleTxtG"/>
        <w:ind w:firstLine="567"/>
      </w:pPr>
      <w:r>
        <w:t>7.</w:t>
      </w:r>
      <w:r>
        <w:tab/>
      </w:r>
      <w:r w:rsidRPr="00652B19">
        <w:rPr>
          <w:i/>
          <w:iCs/>
        </w:rPr>
        <w:t xml:space="preserve">Also </w:t>
      </w:r>
      <w:r w:rsidRPr="00526EBF">
        <w:rPr>
          <w:i/>
          <w:iCs/>
        </w:rPr>
        <w:t>reiterates</w:t>
      </w:r>
      <w:r>
        <w:t xml:space="preserve"> its request to Ukraine </w:t>
      </w:r>
      <w:r w:rsidRPr="00092664">
        <w:t>to continuously inform Romania about the monitoring results;</w:t>
      </w:r>
    </w:p>
    <w:p w14:paraId="7938CD40" w14:textId="77777777" w:rsidR="00822074" w:rsidRDefault="00822074" w:rsidP="00B525F4">
      <w:pPr>
        <w:pStyle w:val="SingleTxtG"/>
        <w:ind w:firstLine="567"/>
      </w:pPr>
      <w:r>
        <w:t>8.</w:t>
      </w:r>
      <w:r>
        <w:tab/>
      </w:r>
      <w:proofErr w:type="gramStart"/>
      <w:r>
        <w:rPr>
          <w:i/>
          <w:iCs/>
        </w:rPr>
        <w:t>E</w:t>
      </w:r>
      <w:r w:rsidRPr="00DB479F">
        <w:rPr>
          <w:i/>
          <w:iCs/>
        </w:rPr>
        <w:t>ncourages</w:t>
      </w:r>
      <w:r>
        <w:t xml:space="preserve"> </w:t>
      </w:r>
      <w:r w:rsidRPr="00E1358D">
        <w:rPr>
          <w:i/>
          <w:iCs/>
        </w:rPr>
        <w:t>strongly</w:t>
      </w:r>
      <w:proofErr w:type="gramEnd"/>
      <w:r>
        <w:t xml:space="preserve"> the Government of Ukraine: </w:t>
      </w:r>
    </w:p>
    <w:p w14:paraId="132703DE" w14:textId="77777777" w:rsidR="00822074" w:rsidRDefault="00822074" w:rsidP="00B525F4">
      <w:pPr>
        <w:pStyle w:val="SingleTxtG"/>
        <w:ind w:firstLine="567"/>
      </w:pPr>
      <w:r>
        <w:t xml:space="preserve">(a) </w:t>
      </w:r>
      <w:r>
        <w:tab/>
        <w:t>To continue the implementation of the road map, including with a view to:</w:t>
      </w:r>
    </w:p>
    <w:p w14:paraId="5ACC199D" w14:textId="77777777" w:rsidR="00822074" w:rsidRDefault="00822074" w:rsidP="00B525F4">
      <w:pPr>
        <w:pStyle w:val="SingleTxtG"/>
        <w:ind w:firstLine="567"/>
      </w:pPr>
      <w:r>
        <w:t>(i)</w:t>
      </w:r>
      <w:r>
        <w:tab/>
        <w:t xml:space="preserve"> Completing the </w:t>
      </w:r>
      <w:r w:rsidRPr="009E1ABD">
        <w:t xml:space="preserve">assessment </w:t>
      </w:r>
      <w:r>
        <w:t>of the damage to the environment – in particular in a</w:t>
      </w:r>
      <w:r w:rsidRPr="009E1ABD">
        <w:t xml:space="preserve"> transboundary context </w:t>
      </w:r>
      <w:r>
        <w:t xml:space="preserve">– that resulted from works carried out under Phases I and II of the </w:t>
      </w:r>
      <w:proofErr w:type="spellStart"/>
      <w:r>
        <w:t>Bystroe</w:t>
      </w:r>
      <w:proofErr w:type="spellEnd"/>
      <w:r>
        <w:t xml:space="preserve"> Canal Project; </w:t>
      </w:r>
    </w:p>
    <w:p w14:paraId="62FF7E30" w14:textId="77777777" w:rsidR="00822074" w:rsidRDefault="00822074" w:rsidP="00B525F4">
      <w:pPr>
        <w:pStyle w:val="SingleTxtG"/>
        <w:ind w:firstLine="567"/>
      </w:pPr>
      <w:r>
        <w:t xml:space="preserve">(ii) </w:t>
      </w:r>
      <w:r>
        <w:tab/>
        <w:t>Finalizing and approving the</w:t>
      </w:r>
      <w:r w:rsidRPr="009E1ABD">
        <w:t xml:space="preserve"> plan of compensatory or mitigation measures</w:t>
      </w:r>
      <w:r>
        <w:t xml:space="preserve">; </w:t>
      </w:r>
    </w:p>
    <w:p w14:paraId="7E98F5B0" w14:textId="77777777" w:rsidR="00822074" w:rsidRDefault="00822074" w:rsidP="00B525F4">
      <w:pPr>
        <w:pStyle w:val="SingleTxtG"/>
        <w:ind w:firstLine="567"/>
      </w:pPr>
      <w:r>
        <w:t xml:space="preserve">(b) </w:t>
      </w:r>
      <w:r>
        <w:tab/>
        <w:t xml:space="preserve">In that context, cooperating closely and consulting </w:t>
      </w:r>
      <w:r w:rsidRPr="009E1ABD">
        <w:t>with</w:t>
      </w:r>
      <w:r>
        <w:t xml:space="preserve"> the Government of Romania </w:t>
      </w:r>
      <w:r w:rsidRPr="009E1ABD">
        <w:t>in an open and transparent manner</w:t>
      </w:r>
      <w:r>
        <w:t>;</w:t>
      </w:r>
    </w:p>
    <w:p w14:paraId="4D16639D" w14:textId="77777777" w:rsidR="00822074" w:rsidRDefault="00822074" w:rsidP="00B525F4">
      <w:pPr>
        <w:pStyle w:val="SingleTxtG"/>
        <w:ind w:firstLine="567"/>
      </w:pPr>
      <w:r>
        <w:t>9.</w:t>
      </w:r>
      <w:r>
        <w:tab/>
      </w:r>
      <w:r w:rsidRPr="00027B08">
        <w:rPr>
          <w:i/>
          <w:iCs/>
        </w:rPr>
        <w:t>Also encourages</w:t>
      </w:r>
      <w:r>
        <w:t xml:space="preserve"> the Government of Ukraine to ensure that the p</w:t>
      </w:r>
      <w:r w:rsidRPr="008060B2">
        <w:t>la</w:t>
      </w:r>
      <w:r>
        <w:t>n</w:t>
      </w:r>
      <w:r w:rsidRPr="008060B2">
        <w:t>ned activity</w:t>
      </w:r>
      <w:r>
        <w:t xml:space="preserve">, </w:t>
      </w:r>
      <w:r w:rsidRPr="008060B2">
        <w:t xml:space="preserve">the new </w:t>
      </w:r>
      <w:r>
        <w:t>“</w:t>
      </w:r>
      <w:proofErr w:type="spellStart"/>
      <w:r>
        <w:t>Bystroe</w:t>
      </w:r>
      <w:proofErr w:type="spellEnd"/>
      <w:r>
        <w:t xml:space="preserve"> Route” P</w:t>
      </w:r>
      <w:r w:rsidRPr="008060B2">
        <w:t>roject</w:t>
      </w:r>
      <w:r>
        <w:t xml:space="preserve">, </w:t>
      </w:r>
      <w:r w:rsidRPr="008060B2">
        <w:t>encompass</w:t>
      </w:r>
      <w:r>
        <w:t>es</w:t>
      </w:r>
      <w:r w:rsidRPr="008060B2">
        <w:t xml:space="preserve"> </w:t>
      </w:r>
      <w:r>
        <w:t>P</w:t>
      </w:r>
      <w:r w:rsidRPr="008060B2">
        <w:t>hase</w:t>
      </w:r>
      <w:r>
        <w:t>s</w:t>
      </w:r>
      <w:r w:rsidRPr="008060B2">
        <w:t xml:space="preserve"> I and II of the </w:t>
      </w:r>
      <w:proofErr w:type="spellStart"/>
      <w:r w:rsidRPr="0077698F">
        <w:t>Bystroe</w:t>
      </w:r>
      <w:proofErr w:type="spellEnd"/>
      <w:r w:rsidRPr="0077698F">
        <w:t xml:space="preserve"> Canal </w:t>
      </w:r>
      <w:r>
        <w:t>P</w:t>
      </w:r>
      <w:r w:rsidRPr="008060B2">
        <w:t>roject</w:t>
      </w:r>
      <w:r>
        <w:t>;</w:t>
      </w:r>
    </w:p>
    <w:p w14:paraId="6EF84F7B" w14:textId="77777777" w:rsidR="00822074" w:rsidRDefault="00822074" w:rsidP="00B525F4">
      <w:pPr>
        <w:pStyle w:val="SingleTxtG"/>
        <w:ind w:firstLine="567"/>
      </w:pPr>
      <w:r>
        <w:tab/>
        <w:t>10.</w:t>
      </w:r>
      <w:r w:rsidRPr="00D02CF1">
        <w:tab/>
      </w:r>
      <w:r w:rsidRPr="00526EBF">
        <w:rPr>
          <w:i/>
          <w:iCs/>
        </w:rPr>
        <w:t>Welcomes</w:t>
      </w:r>
      <w:r>
        <w:t xml:space="preserve"> the ongoing implementation by Ukraine of the transboundary environmental impact assessment procedure with regard to the new project, involving, as a next step, consultations with Romania under article 5 of the Convention;</w:t>
      </w:r>
    </w:p>
    <w:p w14:paraId="470E0C88" w14:textId="77777777" w:rsidR="00822074" w:rsidRDefault="00822074" w:rsidP="00B525F4">
      <w:pPr>
        <w:pStyle w:val="SingleTxtG"/>
        <w:ind w:firstLine="567"/>
      </w:pPr>
      <w:r>
        <w:t xml:space="preserve">11. </w:t>
      </w:r>
      <w:r>
        <w:tab/>
      </w:r>
      <w:r w:rsidRPr="00731228">
        <w:rPr>
          <w:i/>
          <w:iCs/>
        </w:rPr>
        <w:t>Requests</w:t>
      </w:r>
      <w:r>
        <w:t xml:space="preserve"> the Government of Ukraine to carry out all the steps of the t</w:t>
      </w:r>
      <w:r w:rsidRPr="003B39C8">
        <w:t>ransboundary environmental impact assessment procedure</w:t>
      </w:r>
      <w:r>
        <w:t xml:space="preserve"> with regard to </w:t>
      </w:r>
      <w:r w:rsidRPr="008060B2">
        <w:t xml:space="preserve">the </w:t>
      </w:r>
      <w:r>
        <w:t>new “</w:t>
      </w:r>
      <w:proofErr w:type="spellStart"/>
      <w:r>
        <w:t>Bystroe</w:t>
      </w:r>
      <w:proofErr w:type="spellEnd"/>
      <w:r>
        <w:t xml:space="preserve"> Route” P</w:t>
      </w:r>
      <w:r w:rsidRPr="008060B2">
        <w:t>roject</w:t>
      </w:r>
      <w:r>
        <w:t>,</w:t>
      </w:r>
      <w:r w:rsidRPr="003B39C8">
        <w:t xml:space="preserve"> </w:t>
      </w:r>
      <w:r>
        <w:t xml:space="preserve">in accordance with </w:t>
      </w:r>
      <w:r w:rsidRPr="003B39C8">
        <w:t>the Convention</w:t>
      </w:r>
      <w:r>
        <w:t xml:space="preserve"> and the newly adopted bilateral agreement between Ukraine and Romania;</w:t>
      </w:r>
    </w:p>
    <w:p w14:paraId="01039826" w14:textId="77777777" w:rsidR="00822074" w:rsidRDefault="00822074" w:rsidP="00B525F4">
      <w:pPr>
        <w:pStyle w:val="SingleTxtG"/>
        <w:ind w:firstLine="567"/>
      </w:pPr>
      <w:r>
        <w:t>12.</w:t>
      </w:r>
      <w:r>
        <w:tab/>
      </w:r>
      <w:r>
        <w:rPr>
          <w:i/>
          <w:iCs/>
        </w:rPr>
        <w:t>Welcomes</w:t>
      </w:r>
      <w:r>
        <w:t xml:space="preserve"> the participation of Romania </w:t>
      </w:r>
      <w:r w:rsidRPr="00C07069">
        <w:t>in the procedure under the Convention</w:t>
      </w:r>
      <w:r>
        <w:t xml:space="preserve"> with regard to the new project and its </w:t>
      </w:r>
      <w:r w:rsidRPr="00F608D0">
        <w:t xml:space="preserve">readiness to </w:t>
      </w:r>
      <w:r>
        <w:t xml:space="preserve">closely </w:t>
      </w:r>
      <w:r w:rsidRPr="00F608D0">
        <w:t>cooperate</w:t>
      </w:r>
      <w:r>
        <w:t xml:space="preserve"> with Ukraine concerning </w:t>
      </w:r>
      <w:r w:rsidRPr="00F608D0">
        <w:t xml:space="preserve">the </w:t>
      </w:r>
      <w:r>
        <w:t>assessment</w:t>
      </w:r>
      <w:r w:rsidRPr="00F608D0">
        <w:t xml:space="preserve"> of </w:t>
      </w:r>
      <w:r>
        <w:t xml:space="preserve">the </w:t>
      </w:r>
      <w:r w:rsidRPr="00F608D0">
        <w:t>damage to the environment</w:t>
      </w:r>
      <w:r>
        <w:t xml:space="preserve"> resulting from already implemented works related to Phases I </w:t>
      </w:r>
      <w:r w:rsidRPr="00F608D0">
        <w:t xml:space="preserve">and </w:t>
      </w:r>
      <w:r>
        <w:t xml:space="preserve">II of the </w:t>
      </w:r>
      <w:proofErr w:type="spellStart"/>
      <w:r>
        <w:t>Bystroe</w:t>
      </w:r>
      <w:proofErr w:type="spellEnd"/>
      <w:r>
        <w:t xml:space="preserve"> Canal Project and the </w:t>
      </w:r>
      <w:r w:rsidRPr="00F608D0">
        <w:t>development of compensatory or mitigation measures</w:t>
      </w:r>
      <w:r>
        <w:t>;</w:t>
      </w:r>
    </w:p>
    <w:p w14:paraId="01F09C03" w14:textId="77777777" w:rsidR="00822074" w:rsidRDefault="00822074" w:rsidP="00B525F4">
      <w:pPr>
        <w:pStyle w:val="SingleTxtG"/>
        <w:ind w:firstLine="567"/>
      </w:pPr>
      <w:r>
        <w:t>13.</w:t>
      </w:r>
      <w:r>
        <w:tab/>
      </w:r>
      <w:r w:rsidRPr="00652B19">
        <w:rPr>
          <w:i/>
          <w:iCs/>
        </w:rPr>
        <w:t>Requests</w:t>
      </w:r>
      <w:r>
        <w:t xml:space="preserve"> the Government of Ukraine to regularly report to the Implementation Committee on the progress made;</w:t>
      </w:r>
    </w:p>
    <w:p w14:paraId="6FDC1F6B" w14:textId="069DC708" w:rsidR="00AD3307" w:rsidRDefault="00822074" w:rsidP="00B525F4">
      <w:pPr>
        <w:pStyle w:val="SingleTxtG"/>
        <w:ind w:firstLine="567"/>
      </w:pPr>
      <w:r>
        <w:t>14.</w:t>
      </w:r>
      <w:r>
        <w:tab/>
      </w:r>
      <w:r w:rsidRPr="00652B19">
        <w:rPr>
          <w:i/>
          <w:iCs/>
        </w:rPr>
        <w:t>Requests</w:t>
      </w:r>
      <w:r>
        <w:t xml:space="preserve"> the Implementation Committee to report to the Meeting of the Parties at its tenth session on its evaluation of the steps taken by the Government of Ukraine to comply with its obligations under the Convention.</w:t>
      </w:r>
    </w:p>
    <w:p w14:paraId="351593E0" w14:textId="77777777" w:rsidR="00822074" w:rsidRDefault="00822074" w:rsidP="00822074"/>
    <w:p w14:paraId="1566EB70" w14:textId="77777777" w:rsidR="00822074" w:rsidRDefault="00822074" w:rsidP="00822074">
      <w:pPr>
        <w:rPr>
          <w:lang w:eastAsia="en-US"/>
        </w:rPr>
        <w:sectPr w:rsidR="00822074" w:rsidSect="007B6E6F">
          <w:headerReference w:type="first" r:id="rId33"/>
          <w:footerReference w:type="first" r:id="rId34"/>
          <w:footnotePr>
            <w:numRestart w:val="eachSect"/>
          </w:footnotePr>
          <w:endnotePr>
            <w:numFmt w:val="decimal"/>
          </w:endnotePr>
          <w:pgSz w:w="11907" w:h="16840" w:code="9"/>
          <w:pgMar w:top="1418" w:right="1134" w:bottom="1134" w:left="1134" w:header="851" w:footer="567" w:gutter="0"/>
          <w:cols w:space="720"/>
          <w:titlePg/>
          <w:docGrid w:linePitch="272"/>
        </w:sectPr>
      </w:pPr>
    </w:p>
    <w:p w14:paraId="4579EFFD" w14:textId="36566F13" w:rsidR="000C76F4" w:rsidRPr="00C215D7" w:rsidRDefault="00B525F4" w:rsidP="00B525F4">
      <w:pPr>
        <w:pStyle w:val="HChG"/>
      </w:pPr>
      <w:r>
        <w:lastRenderedPageBreak/>
        <w:tab/>
      </w:r>
      <w:r w:rsidR="000C76F4">
        <w:t>9.</w:t>
      </w:r>
      <w:r w:rsidR="000C76F4">
        <w:tab/>
        <w:t>D</w:t>
      </w:r>
      <w:r w:rsidR="000C76F4" w:rsidRPr="00C215D7">
        <w:t xml:space="preserve">ecision </w:t>
      </w:r>
      <w:r w:rsidR="000C76F4">
        <w:t>IX/4l on c</w:t>
      </w:r>
      <w:r w:rsidR="000C76F4" w:rsidRPr="00C215D7">
        <w:t>ompliance by Ukraine with its obligations under the Convention in respect of the extension of the lifetime of Rivne nuclear power plant</w:t>
      </w:r>
    </w:p>
    <w:p w14:paraId="71F8A61B" w14:textId="77777777" w:rsidR="000C76F4" w:rsidRPr="00B525F4" w:rsidRDefault="000C76F4" w:rsidP="00B525F4">
      <w:pPr>
        <w:pStyle w:val="SingleTxtG"/>
        <w:rPr>
          <w:i/>
          <w:iCs/>
        </w:rPr>
      </w:pPr>
      <w:r w:rsidRPr="00B525F4">
        <w:rPr>
          <w:i/>
          <w:iCs/>
        </w:rPr>
        <w:t>The Meeting of the Parties to the Convention,</w:t>
      </w:r>
    </w:p>
    <w:p w14:paraId="6B095AE8" w14:textId="77777777" w:rsidR="000C76F4" w:rsidRPr="00D334E9" w:rsidRDefault="000C76F4" w:rsidP="00B525F4">
      <w:pPr>
        <w:pStyle w:val="SingleTxtG"/>
        <w:ind w:firstLine="567"/>
      </w:pPr>
      <w:r w:rsidRPr="0087657E">
        <w:rPr>
          <w:i/>
          <w:iCs/>
        </w:rPr>
        <w:t>Recalling</w:t>
      </w:r>
      <w:r w:rsidRPr="00D334E9">
        <w:t xml:space="preserve"> article</w:t>
      </w:r>
      <w:r>
        <w:t>s</w:t>
      </w:r>
      <w:r w:rsidRPr="00D334E9">
        <w:t xml:space="preserve"> 11</w:t>
      </w:r>
      <w:r>
        <w:t xml:space="preserve"> (</w:t>
      </w:r>
      <w:r w:rsidRPr="00D334E9">
        <w:t>2</w:t>
      </w:r>
      <w:r>
        <w:t>)</w:t>
      </w:r>
      <w:r w:rsidRPr="00D334E9">
        <w:t xml:space="preserve"> and 14 bis of the Convention on Environmental Impact Assessment in a Transboundary Context,</w:t>
      </w:r>
    </w:p>
    <w:p w14:paraId="60F17548" w14:textId="77777777" w:rsidR="000C76F4" w:rsidRPr="00851C8A" w:rsidRDefault="000C76F4" w:rsidP="00B525F4">
      <w:pPr>
        <w:pStyle w:val="SingleTxtG"/>
        <w:ind w:firstLine="567"/>
        <w:rPr>
          <w:iCs/>
        </w:rPr>
      </w:pPr>
      <w:proofErr w:type="gramStart"/>
      <w:r w:rsidRPr="00851C8A">
        <w:rPr>
          <w:i/>
        </w:rPr>
        <w:t>Recalling also</w:t>
      </w:r>
      <w:proofErr w:type="gramEnd"/>
      <w:r w:rsidRPr="00851C8A">
        <w:rPr>
          <w:i/>
        </w:rPr>
        <w:t xml:space="preserve"> </w:t>
      </w:r>
      <w:r w:rsidRPr="00851C8A">
        <w:rPr>
          <w:iCs/>
        </w:rPr>
        <w:t>its decision VI/2, paragraphs 68–71</w:t>
      </w:r>
      <w:r>
        <w:rPr>
          <w:rStyle w:val="FootnoteReference"/>
          <w:iCs/>
        </w:rPr>
        <w:footnoteReference w:id="46"/>
      </w:r>
      <w:r>
        <w:rPr>
          <w:iCs/>
        </w:rPr>
        <w:t xml:space="preserve"> and decisions IS/1g</w:t>
      </w:r>
      <w:r>
        <w:rPr>
          <w:rStyle w:val="FootnoteReference"/>
          <w:iCs/>
        </w:rPr>
        <w:footnoteReference w:id="47"/>
      </w:r>
      <w:r>
        <w:rPr>
          <w:iCs/>
        </w:rPr>
        <w:t xml:space="preserve"> and VIII/4e</w:t>
      </w:r>
      <w:r>
        <w:rPr>
          <w:rStyle w:val="FootnoteReference"/>
          <w:iCs/>
        </w:rPr>
        <w:footnoteReference w:id="48"/>
      </w:r>
      <w:r>
        <w:rPr>
          <w:iCs/>
        </w:rPr>
        <w:t xml:space="preserve"> </w:t>
      </w:r>
      <w:r w:rsidRPr="00851C8A">
        <w:rPr>
          <w:iCs/>
        </w:rPr>
        <w:t xml:space="preserve">concerning compliance by Ukraine </w:t>
      </w:r>
      <w:r>
        <w:rPr>
          <w:iCs/>
        </w:rPr>
        <w:t>in respect of</w:t>
      </w:r>
      <w:r w:rsidRPr="00851C8A">
        <w:rPr>
          <w:iCs/>
        </w:rPr>
        <w:t xml:space="preserve"> the lifetime extension of reactors 1 and 2 of Rivne nuclear power plant,</w:t>
      </w:r>
    </w:p>
    <w:p w14:paraId="2A2D46DD" w14:textId="77777777" w:rsidR="000C76F4" w:rsidRDefault="000C76F4" w:rsidP="00B525F4">
      <w:pPr>
        <w:pStyle w:val="SingleTxtG"/>
        <w:ind w:firstLine="567"/>
        <w:rPr>
          <w:i/>
        </w:rPr>
      </w:pPr>
      <w:r w:rsidRPr="00943A17">
        <w:rPr>
          <w:i/>
        </w:rPr>
        <w:t xml:space="preserve">Recalling further </w:t>
      </w:r>
      <w:r w:rsidRPr="007827EA">
        <w:rPr>
          <w:iCs/>
        </w:rPr>
        <w:t>its decision IX/4 on general issues of compliance with the Convention adopted at its ninth session</w:t>
      </w:r>
      <w:r>
        <w:rPr>
          <w:iCs/>
        </w:rPr>
        <w:t xml:space="preserve"> </w:t>
      </w:r>
      <w:r>
        <w:t>(Geneva, 12–15 December 2023)</w:t>
      </w:r>
      <w:r w:rsidRPr="007827EA">
        <w:rPr>
          <w:iCs/>
        </w:rPr>
        <w:t>,</w:t>
      </w:r>
      <w:r w:rsidRPr="007827EA">
        <w:rPr>
          <w:rStyle w:val="FootnoteReference"/>
          <w:iCs/>
        </w:rPr>
        <w:footnoteReference w:id="49"/>
      </w:r>
    </w:p>
    <w:p w14:paraId="260461DB" w14:textId="77777777" w:rsidR="000C76F4" w:rsidRDefault="000C76F4" w:rsidP="00B525F4">
      <w:pPr>
        <w:pStyle w:val="SingleTxtG"/>
        <w:ind w:firstLine="567"/>
      </w:pPr>
      <w:r w:rsidRPr="00257A09">
        <w:rPr>
          <w:i/>
        </w:rPr>
        <w:t>Having considered</w:t>
      </w:r>
      <w:r w:rsidRPr="00257A09">
        <w:t xml:space="preserve"> the report on the activities of the Implementation Committee to the Meeting of the Parties to the Convention at its </w:t>
      </w:r>
      <w:r w:rsidRPr="00C52204">
        <w:t>ninth session, in particular, the section concerning the steps taken by Ukraine further to decision VIII/4e</w:t>
      </w:r>
      <w:r>
        <w:t>,</w:t>
      </w:r>
      <w:r>
        <w:rPr>
          <w:rStyle w:val="FootnoteReference"/>
        </w:rPr>
        <w:footnoteReference w:id="50"/>
      </w:r>
    </w:p>
    <w:p w14:paraId="112AD2AC" w14:textId="77777777" w:rsidR="000C76F4" w:rsidRDefault="000C76F4" w:rsidP="00B525F4">
      <w:pPr>
        <w:pStyle w:val="SingleTxtG"/>
        <w:ind w:firstLine="567"/>
      </w:pPr>
      <w:r w:rsidRPr="007C6D94">
        <w:rPr>
          <w:i/>
          <w:iCs/>
        </w:rPr>
        <w:t>Considering</w:t>
      </w:r>
      <w:r w:rsidRPr="007C6D94">
        <w:t xml:space="preserve"> with concern the war in Ukraine, being</w:t>
      </w:r>
      <w:r>
        <w:t xml:space="preserve"> </w:t>
      </w:r>
      <w:r w:rsidRPr="007C6D94">
        <w:t>conscious of</w:t>
      </w:r>
      <w:r>
        <w:t xml:space="preserve"> the ensuing </w:t>
      </w:r>
      <w:r w:rsidRPr="007C6D94">
        <w:t>difficulties for Ukraine to implement the Convention</w:t>
      </w:r>
      <w:r>
        <w:t>,</w:t>
      </w:r>
    </w:p>
    <w:p w14:paraId="32E0C83B" w14:textId="77777777" w:rsidR="000C76F4" w:rsidRDefault="000C76F4" w:rsidP="00B525F4">
      <w:pPr>
        <w:pStyle w:val="SingleTxtG"/>
        <w:ind w:firstLine="567"/>
      </w:pPr>
      <w:r w:rsidRPr="00851C8A">
        <w:t>1.</w:t>
      </w:r>
      <w:r w:rsidRPr="00851C8A">
        <w:tab/>
      </w:r>
      <w:r w:rsidRPr="00851C8A">
        <w:rPr>
          <w:i/>
        </w:rPr>
        <w:t xml:space="preserve">Notes </w:t>
      </w:r>
      <w:r w:rsidRPr="00547D4F">
        <w:t xml:space="preserve">the information provided by Ukraine further to paragraph </w:t>
      </w:r>
      <w:r>
        <w:t>6 (c)</w:t>
      </w:r>
      <w:r w:rsidRPr="00547D4F">
        <w:t xml:space="preserve"> of decision </w:t>
      </w:r>
      <w:r>
        <w:t>VIII/4e</w:t>
      </w:r>
      <w:r w:rsidRPr="00851C8A">
        <w:t xml:space="preserve"> concerning the extension of the lifetime of reactors 1 and 2 of Rivne nuclear power plant</w:t>
      </w:r>
      <w:r>
        <w:t>, while regretting the incompleteness of that information and the overall unresponsiveness of Ukraine, which hindered the Committee’s deliberations;</w:t>
      </w:r>
    </w:p>
    <w:p w14:paraId="746E5EAA" w14:textId="77777777" w:rsidR="000C76F4" w:rsidRDefault="000C76F4" w:rsidP="00B525F4">
      <w:pPr>
        <w:pStyle w:val="SingleTxtG"/>
        <w:ind w:firstLine="567"/>
      </w:pPr>
      <w:r>
        <w:t>2.</w:t>
      </w:r>
      <w:r>
        <w:tab/>
      </w:r>
      <w:r>
        <w:rPr>
          <w:i/>
          <w:iCs/>
        </w:rPr>
        <w:t xml:space="preserve">Welcomes </w:t>
      </w:r>
      <w:r w:rsidRPr="00C00128">
        <w:t xml:space="preserve">the </w:t>
      </w:r>
      <w:r>
        <w:t xml:space="preserve">steps taken by Ukraine further to paragraph 69 of decision VI/2, in particular, the adoption of the Law on Environmental Impact Assessment in 2017 and, in </w:t>
      </w:r>
      <w:r w:rsidRPr="000B52E2">
        <w:t>2020, the adoption</w:t>
      </w:r>
      <w:r>
        <w:t xml:space="preserve"> of the related secondary legislation</w:t>
      </w:r>
      <w:r w:rsidRPr="00710E27">
        <w:t xml:space="preserve"> </w:t>
      </w:r>
      <w:r>
        <w:t xml:space="preserve">establishing legal provisions for the transboundary environmental impact assessment under the Convention for the extension of the lifetime of nuclear power units; </w:t>
      </w:r>
    </w:p>
    <w:p w14:paraId="49329ACA" w14:textId="77777777" w:rsidR="000C76F4" w:rsidRDefault="000C76F4" w:rsidP="00B525F4">
      <w:pPr>
        <w:pStyle w:val="SingleTxtG"/>
        <w:ind w:firstLine="567"/>
        <w:rPr>
          <w:iCs/>
        </w:rPr>
      </w:pPr>
      <w:r>
        <w:t>3</w:t>
      </w:r>
      <w:r w:rsidRPr="00851C8A">
        <w:t>.</w:t>
      </w:r>
      <w:r w:rsidRPr="00851C8A">
        <w:rPr>
          <w:i/>
        </w:rPr>
        <w:tab/>
      </w:r>
      <w:r>
        <w:rPr>
          <w:i/>
        </w:rPr>
        <w:t>Also w</w:t>
      </w:r>
      <w:r w:rsidRPr="00D17F73">
        <w:rPr>
          <w:i/>
        </w:rPr>
        <w:t>elcomes</w:t>
      </w:r>
      <w:r>
        <w:rPr>
          <w:iCs/>
        </w:rPr>
        <w:t xml:space="preserve"> the steps taken by Ukraine to date to complete the transboundary environmental impact assessment procedure to reach full compliance with the Convention with respect to the activity, as requested in paragraph 6 (a) and (b) of decision VIII/4e, noting with concern, however, that it has thus far not fully completed the procedure under the Convention;  </w:t>
      </w:r>
    </w:p>
    <w:p w14:paraId="35691B1D" w14:textId="77777777" w:rsidR="000C76F4" w:rsidRPr="00851C8A" w:rsidRDefault="000C76F4" w:rsidP="00B525F4">
      <w:pPr>
        <w:pStyle w:val="SingleTxtG"/>
        <w:ind w:firstLine="567"/>
      </w:pPr>
      <w:r w:rsidRPr="00E1358D">
        <w:rPr>
          <w:iCs/>
        </w:rPr>
        <w:t>4</w:t>
      </w:r>
      <w:r>
        <w:rPr>
          <w:i/>
        </w:rPr>
        <w:t>.</w:t>
      </w:r>
      <w:r>
        <w:rPr>
          <w:i/>
        </w:rPr>
        <w:tab/>
      </w:r>
      <w:r w:rsidRPr="00851C8A">
        <w:rPr>
          <w:i/>
        </w:rPr>
        <w:t>Endorses</w:t>
      </w:r>
      <w:r w:rsidRPr="00851C8A">
        <w:t xml:space="preserve"> the findings of the Implementation Committee at its </w:t>
      </w:r>
      <w:r>
        <w:t xml:space="preserve">fifty-seventh session (Geneva, 29 August–1 September 2023) </w:t>
      </w:r>
      <w:r w:rsidRPr="00851C8A">
        <w:t xml:space="preserve">that, despite the positive steps taken, Ukraine </w:t>
      </w:r>
      <w:r>
        <w:t>has not yet fully fulfilled its obligations as referred to in decision VIII/4e</w:t>
      </w:r>
      <w:r w:rsidRPr="00851C8A">
        <w:t>;</w:t>
      </w:r>
      <w:r>
        <w:rPr>
          <w:rStyle w:val="FootnoteReference"/>
        </w:rPr>
        <w:footnoteReference w:id="51"/>
      </w:r>
    </w:p>
    <w:p w14:paraId="1C41F84F" w14:textId="77777777" w:rsidR="000C76F4" w:rsidRDefault="000C76F4" w:rsidP="00B525F4">
      <w:pPr>
        <w:pStyle w:val="SingleTxtG"/>
        <w:ind w:firstLine="567"/>
        <w:rPr>
          <w:iCs/>
        </w:rPr>
      </w:pPr>
      <w:r>
        <w:t>5</w:t>
      </w:r>
      <w:r w:rsidRPr="00851C8A">
        <w:t>.</w:t>
      </w:r>
      <w:r w:rsidRPr="00851C8A">
        <w:rPr>
          <w:i/>
        </w:rPr>
        <w:tab/>
      </w:r>
      <w:r w:rsidRPr="007827EA">
        <w:rPr>
          <w:i/>
        </w:rPr>
        <w:t>Requests</w:t>
      </w:r>
      <w:r>
        <w:rPr>
          <w:iCs/>
        </w:rPr>
        <w:t>, therefore, Ukraine to:</w:t>
      </w:r>
    </w:p>
    <w:p w14:paraId="29DFC132" w14:textId="2FDEF6AE" w:rsidR="000C76F4" w:rsidRPr="00851C8A" w:rsidRDefault="000C76F4" w:rsidP="00B525F4">
      <w:pPr>
        <w:pStyle w:val="SingleTxtG"/>
        <w:ind w:firstLine="567"/>
      </w:pPr>
      <w:r>
        <w:t>(a)</w:t>
      </w:r>
      <w:r>
        <w:tab/>
        <w:t xml:space="preserve"> Finalize</w:t>
      </w:r>
      <w:r w:rsidRPr="00851C8A">
        <w:t xml:space="preserve"> the transboundary environmental impact assessment </w:t>
      </w:r>
      <w:r>
        <w:t>procedure with the Parties that still consider themselves to be affected, including, pursuant to article 6 of the Convention</w:t>
      </w:r>
      <w:r w:rsidRPr="00851C8A">
        <w:t xml:space="preserve">: </w:t>
      </w:r>
    </w:p>
    <w:p w14:paraId="0803747B" w14:textId="77777777" w:rsidR="000C76F4" w:rsidRDefault="000C76F4" w:rsidP="00B525F4">
      <w:pPr>
        <w:pStyle w:val="SingleTxtG"/>
        <w:ind w:left="1701"/>
      </w:pPr>
      <w:r w:rsidRPr="00851C8A">
        <w:t>(</w:t>
      </w:r>
      <w:r>
        <w:t>i</w:t>
      </w:r>
      <w:r w:rsidRPr="00851C8A">
        <w:t>)</w:t>
      </w:r>
      <w:r w:rsidRPr="00851C8A">
        <w:tab/>
        <w:t>Revising the final decision on the lifetime extension of reactors 1 and 2 of Rivne nuclear power plant</w:t>
      </w:r>
      <w:r>
        <w:t>,</w:t>
      </w:r>
      <w:r w:rsidRPr="00851C8A">
        <w:t xml:space="preserve"> taking due account of the outcomes of the environmental impact assessment procedure, including the environmental impact assessment documentation and comments received from the affected Parties</w:t>
      </w:r>
      <w:r>
        <w:t>;</w:t>
      </w:r>
    </w:p>
    <w:p w14:paraId="079859F2" w14:textId="77777777" w:rsidR="000C76F4" w:rsidRPr="00B525F4" w:rsidRDefault="000C76F4" w:rsidP="00B525F4">
      <w:pPr>
        <w:pStyle w:val="SingleTxtG"/>
        <w:ind w:left="1701"/>
        <w:rPr>
          <w:rFonts w:eastAsia="Calibri"/>
        </w:rPr>
      </w:pPr>
      <w:r>
        <w:rPr>
          <w:rStyle w:val="SingleTxtGChar"/>
          <w:rFonts w:eastAsia="Calibri"/>
        </w:rPr>
        <w:lastRenderedPageBreak/>
        <w:t>(ii)</w:t>
      </w:r>
      <w:r>
        <w:rPr>
          <w:rStyle w:val="SingleTxtGChar"/>
          <w:rFonts w:eastAsia="Calibri"/>
        </w:rPr>
        <w:tab/>
        <w:t>P</w:t>
      </w:r>
      <w:r w:rsidRPr="00DD55D1">
        <w:rPr>
          <w:rStyle w:val="SingleTxtGChar"/>
          <w:rFonts w:eastAsia="Calibri"/>
        </w:rPr>
        <w:t>rovid</w:t>
      </w:r>
      <w:r>
        <w:rPr>
          <w:rStyle w:val="SingleTxtGChar"/>
          <w:rFonts w:eastAsia="Calibri"/>
        </w:rPr>
        <w:t xml:space="preserve">ing to </w:t>
      </w:r>
      <w:r w:rsidRPr="00B525F4">
        <w:rPr>
          <w:rFonts w:eastAsia="Calibri"/>
        </w:rPr>
        <w:t xml:space="preserve">the affected Parties the final decision, including the reasons and considerations on which it was based; </w:t>
      </w:r>
    </w:p>
    <w:p w14:paraId="7ABF426C" w14:textId="60363F46" w:rsidR="000C76F4" w:rsidRPr="00B525F4" w:rsidRDefault="000C76F4" w:rsidP="00B525F4">
      <w:pPr>
        <w:pStyle w:val="SingleTxtG"/>
        <w:ind w:firstLine="567"/>
        <w:rPr>
          <w:rFonts w:eastAsia="Calibri"/>
        </w:rPr>
      </w:pPr>
      <w:r>
        <w:t>(b)</w:t>
      </w:r>
      <w:r w:rsidRPr="00851C8A">
        <w:tab/>
      </w:r>
      <w:r w:rsidRPr="00B525F4">
        <w:rPr>
          <w:rFonts w:eastAsia="Calibri"/>
        </w:rPr>
        <w:t>Report, by the end of January 2024, to the Implementation Committee on the steps taken to finalize the transboundary environmental impact assessment;</w:t>
      </w:r>
    </w:p>
    <w:p w14:paraId="16641B34" w14:textId="77777777" w:rsidR="000C76F4" w:rsidRPr="00B525F4" w:rsidRDefault="000C76F4" w:rsidP="00B525F4">
      <w:pPr>
        <w:pStyle w:val="SingleTxtG"/>
        <w:ind w:firstLine="567"/>
      </w:pPr>
      <w:r>
        <w:t>6</w:t>
      </w:r>
      <w:r w:rsidRPr="00851C8A">
        <w:t>.</w:t>
      </w:r>
      <w:r w:rsidRPr="00851C8A">
        <w:tab/>
      </w:r>
      <w:r w:rsidRPr="00B525F4">
        <w:rPr>
          <w:i/>
        </w:rPr>
        <w:t>Requests</w:t>
      </w:r>
      <w:r w:rsidRPr="00B525F4">
        <w:t xml:space="preserve"> the Committee to report to the Meeting of the Parties to the Convention at its tenth session on compliance by Ukraine with its obligations under the Convention in respect of the lifetime extension of Rivne nuclear power plant;</w:t>
      </w:r>
    </w:p>
    <w:p w14:paraId="19745802" w14:textId="77777777" w:rsidR="000C76F4" w:rsidRPr="00B525F4" w:rsidRDefault="000C76F4" w:rsidP="00B525F4">
      <w:pPr>
        <w:pStyle w:val="SingleTxtG"/>
        <w:ind w:firstLine="567"/>
      </w:pPr>
      <w:r w:rsidRPr="00B525F4">
        <w:t>7.</w:t>
      </w:r>
      <w:r w:rsidRPr="00B525F4">
        <w:tab/>
      </w:r>
      <w:r w:rsidRPr="00B525F4">
        <w:rPr>
          <w:i/>
          <w:iCs/>
        </w:rPr>
        <w:t>Requests</w:t>
      </w:r>
      <w:r w:rsidRPr="00B525F4">
        <w:t xml:space="preserve"> Ukraine to ensure that the Convention is fully applied in the context of any future decision-making regarding lifetime extension activities of any of its nuclear power plants, including that:</w:t>
      </w:r>
    </w:p>
    <w:p w14:paraId="1F610E75" w14:textId="77777777" w:rsidR="000C76F4" w:rsidRPr="00B525F4" w:rsidRDefault="000C76F4" w:rsidP="00B525F4">
      <w:pPr>
        <w:pStyle w:val="SingleTxtG"/>
        <w:ind w:firstLine="567"/>
      </w:pPr>
      <w:r w:rsidRPr="00B525F4">
        <w:t>(a)</w:t>
      </w:r>
      <w:r w:rsidRPr="00B525F4">
        <w:tab/>
        <w:t>All impacts of operational states and accidents are properly taken into account during the environmental impact assessment procedure;</w:t>
      </w:r>
    </w:p>
    <w:p w14:paraId="69746E27" w14:textId="77777777" w:rsidR="000C76F4" w:rsidRPr="00B525F4" w:rsidRDefault="000C76F4" w:rsidP="00B525F4">
      <w:pPr>
        <w:pStyle w:val="SingleTxtG"/>
        <w:ind w:firstLine="567"/>
      </w:pPr>
      <w:r w:rsidRPr="00B525F4">
        <w:t>(b)</w:t>
      </w:r>
      <w:r w:rsidRPr="00B525F4">
        <w:tab/>
        <w:t>When considering whether the lifetime extension constitutes a major change, the activities implemented to prepare for long-term operation prior to the last licence renewals are taken into account;</w:t>
      </w:r>
    </w:p>
    <w:p w14:paraId="5B0CCED0" w14:textId="32B2AB3B" w:rsidR="00822074" w:rsidRDefault="000C76F4" w:rsidP="00B525F4">
      <w:pPr>
        <w:pStyle w:val="SingleTxtG"/>
        <w:ind w:firstLine="567"/>
        <w:rPr>
          <w:rStyle w:val="SingleTxtGChar"/>
        </w:rPr>
      </w:pPr>
      <w:r w:rsidRPr="00B525F4">
        <w:t>(c)</w:t>
      </w:r>
      <w:r w:rsidRPr="00B525F4">
        <w:tab/>
        <w:t>Ukraine notifies, in accordance with article 3 (1) of the Convention</w:t>
      </w:r>
      <w:r>
        <w:rPr>
          <w:rStyle w:val="SingleTxtGChar"/>
        </w:rPr>
        <w:t>,</w:t>
      </w:r>
      <w:r w:rsidRPr="003C746A">
        <w:rPr>
          <w:rStyle w:val="SingleTxtGChar"/>
        </w:rPr>
        <w:t xml:space="preserve"> any Party </w:t>
      </w:r>
      <w:r>
        <w:rPr>
          <w:rStyle w:val="SingleTxtGChar"/>
        </w:rPr>
        <w:t>that</w:t>
      </w:r>
      <w:r w:rsidRPr="003C746A">
        <w:rPr>
          <w:rStyle w:val="SingleTxtGChar"/>
        </w:rPr>
        <w:t xml:space="preserve"> it considers may be affected</w:t>
      </w:r>
    </w:p>
    <w:p w14:paraId="0FF14B8C" w14:textId="36EC0158" w:rsidR="000C76F4" w:rsidRPr="000C76F4" w:rsidRDefault="000C76F4" w:rsidP="000C76F4">
      <w:pPr>
        <w:spacing w:before="240"/>
        <w:jc w:val="center"/>
        <w:rPr>
          <w:u w:val="single"/>
          <w:lang w:eastAsia="en-US"/>
        </w:rPr>
      </w:pPr>
      <w:r>
        <w:rPr>
          <w:u w:val="single"/>
          <w:lang w:eastAsia="en-US"/>
        </w:rPr>
        <w:tab/>
      </w:r>
      <w:r>
        <w:rPr>
          <w:u w:val="single"/>
          <w:lang w:eastAsia="en-US"/>
        </w:rPr>
        <w:tab/>
      </w:r>
      <w:r>
        <w:rPr>
          <w:u w:val="single"/>
          <w:lang w:eastAsia="en-US"/>
        </w:rPr>
        <w:tab/>
      </w:r>
    </w:p>
    <w:sectPr w:rsidR="000C76F4" w:rsidRPr="000C76F4" w:rsidSect="007B6E6F">
      <w:footerReference w:type="default" r:id="rId35"/>
      <w:headerReference w:type="first" r:id="rId36"/>
      <w:footerReference w:type="first" r:id="rId3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A008" w14:textId="77777777" w:rsidR="00C02071" w:rsidRDefault="00C02071"/>
  </w:endnote>
  <w:endnote w:type="continuationSeparator" w:id="0">
    <w:p w14:paraId="2DC90E92" w14:textId="77777777" w:rsidR="00C02071" w:rsidRDefault="00C02071"/>
  </w:endnote>
  <w:endnote w:type="continuationNotice" w:id="1">
    <w:p w14:paraId="72831A71" w14:textId="77777777" w:rsidR="00C02071" w:rsidRDefault="00C0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9DC9" w14:textId="1795BF9E" w:rsidR="007B6E6F" w:rsidRPr="007B6E6F" w:rsidRDefault="007B6E6F" w:rsidP="007B6E6F">
    <w:pPr>
      <w:pStyle w:val="Footer"/>
      <w:tabs>
        <w:tab w:val="right" w:pos="9638"/>
      </w:tabs>
      <w:rPr>
        <w:sz w:val="18"/>
      </w:rPr>
    </w:pPr>
    <w:r w:rsidRPr="007B6E6F">
      <w:rPr>
        <w:b/>
        <w:sz w:val="18"/>
      </w:rPr>
      <w:fldChar w:fldCharType="begin"/>
    </w:r>
    <w:r w:rsidRPr="007B6E6F">
      <w:rPr>
        <w:b/>
        <w:sz w:val="18"/>
      </w:rPr>
      <w:instrText xml:space="preserve"> PAGE  \* MERGEFORMAT </w:instrText>
    </w:r>
    <w:r w:rsidRPr="007B6E6F">
      <w:rPr>
        <w:b/>
        <w:sz w:val="18"/>
      </w:rPr>
      <w:fldChar w:fldCharType="separate"/>
    </w:r>
    <w:r w:rsidRPr="007B6E6F">
      <w:rPr>
        <w:b/>
        <w:noProof/>
        <w:sz w:val="18"/>
      </w:rPr>
      <w:t>2</w:t>
    </w:r>
    <w:r w:rsidRPr="007B6E6F">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46BB" w14:textId="77777777" w:rsidR="001E4917" w:rsidRPr="00386537" w:rsidRDefault="001E4917" w:rsidP="00386537">
    <w:pPr>
      <w:pStyle w:val="Footer"/>
      <w:jc w:val="right"/>
      <w:rPr>
        <w:b/>
        <w:bCs/>
        <w:sz w:val="22"/>
        <w:szCs w:val="22"/>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sidRPr="00386537">
      <w:rPr>
        <w:b/>
        <w:bCs/>
        <w:sz w:val="18"/>
        <w:szCs w:val="22"/>
      </w:rPr>
      <w:t>5</w:t>
    </w:r>
    <w:r w:rsidRPr="00386537">
      <w:rPr>
        <w:b/>
        <w:bCs/>
        <w:noProof/>
        <w:sz w:val="18"/>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842" w14:textId="2C003EF5" w:rsidR="000642FA" w:rsidRPr="000D0F1C" w:rsidRDefault="00386537" w:rsidP="001E4917">
    <w:pPr>
      <w:pStyle w:val="Footer"/>
      <w:rPr>
        <w:b/>
        <w:bCs/>
        <w:sz w:val="20"/>
        <w:lang w:val="fr-CH"/>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Pr>
        <w:b/>
        <w:bCs/>
        <w:sz w:val="18"/>
        <w:szCs w:val="22"/>
      </w:rPr>
      <w:t>8</w:t>
    </w:r>
    <w:r w:rsidRPr="00386537">
      <w:rPr>
        <w:b/>
        <w:bCs/>
        <w:noProof/>
        <w:sz w:val="18"/>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661A" w14:textId="77777777" w:rsidR="001E4917" w:rsidRPr="00386537" w:rsidRDefault="001E4917" w:rsidP="001E4917">
    <w:pPr>
      <w:pStyle w:val="Footer"/>
      <w:jc w:val="right"/>
      <w:rPr>
        <w:b/>
        <w:bCs/>
        <w:sz w:val="22"/>
        <w:szCs w:val="22"/>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sidRPr="00386537">
      <w:rPr>
        <w:b/>
        <w:bCs/>
        <w:sz w:val="18"/>
        <w:szCs w:val="22"/>
      </w:rPr>
      <w:t>5</w:t>
    </w:r>
    <w:r w:rsidRPr="00386537">
      <w:rPr>
        <w:b/>
        <w:bCs/>
        <w:noProof/>
        <w:sz w:val="18"/>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24C0" w14:textId="77777777" w:rsidR="001E4917" w:rsidRPr="000D0F1C" w:rsidRDefault="001E4917" w:rsidP="001E4917">
    <w:pPr>
      <w:pStyle w:val="Footer"/>
      <w:rPr>
        <w:b/>
        <w:bCs/>
        <w:sz w:val="20"/>
        <w:lang w:val="fr-CH"/>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Pr>
        <w:b/>
        <w:bCs/>
        <w:sz w:val="18"/>
        <w:szCs w:val="22"/>
      </w:rPr>
      <w:t>8</w:t>
    </w:r>
    <w:r w:rsidRPr="00386537">
      <w:rPr>
        <w:b/>
        <w:bCs/>
        <w:noProof/>
        <w:sz w:val="18"/>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E0F4" w14:textId="77777777" w:rsidR="001E4917" w:rsidRPr="000D0F1C" w:rsidRDefault="001E4917" w:rsidP="001E4917">
    <w:pPr>
      <w:pStyle w:val="Footer"/>
      <w:rPr>
        <w:b/>
        <w:bCs/>
        <w:sz w:val="20"/>
        <w:lang w:val="fr-CH"/>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Pr>
        <w:b/>
        <w:bCs/>
        <w:sz w:val="18"/>
        <w:szCs w:val="22"/>
      </w:rPr>
      <w:t>8</w:t>
    </w:r>
    <w:r w:rsidRPr="00386537">
      <w:rPr>
        <w:b/>
        <w:bCs/>
        <w:noProof/>
        <w:sz w:val="18"/>
        <w:szCs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877B" w14:textId="77777777" w:rsidR="001E4917" w:rsidRPr="00386537" w:rsidRDefault="001E4917" w:rsidP="001E4917">
    <w:pPr>
      <w:pStyle w:val="Footer"/>
      <w:jc w:val="right"/>
      <w:rPr>
        <w:b/>
        <w:bCs/>
        <w:sz w:val="22"/>
        <w:szCs w:val="22"/>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sidRPr="00386537">
      <w:rPr>
        <w:b/>
        <w:bCs/>
        <w:sz w:val="18"/>
        <w:szCs w:val="22"/>
      </w:rPr>
      <w:t>5</w:t>
    </w:r>
    <w:r w:rsidRPr="00386537">
      <w:rPr>
        <w:b/>
        <w:bCs/>
        <w:noProof/>
        <w:sz w:val="18"/>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CAE4" w14:textId="77777777" w:rsidR="001E4917" w:rsidRPr="000D0F1C" w:rsidRDefault="001E4917" w:rsidP="001E4917">
    <w:pPr>
      <w:pStyle w:val="Footer"/>
      <w:rPr>
        <w:b/>
        <w:bCs/>
        <w:sz w:val="20"/>
        <w:lang w:val="fr-CH"/>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Pr>
        <w:b/>
        <w:bCs/>
        <w:sz w:val="18"/>
        <w:szCs w:val="22"/>
      </w:rPr>
      <w:t>8</w:t>
    </w:r>
    <w:r w:rsidRPr="00386537">
      <w:rPr>
        <w:b/>
        <w:bCs/>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2B9E" w14:textId="4B0FA133" w:rsidR="007B6E6F" w:rsidRPr="007B6E6F" w:rsidRDefault="007B6E6F" w:rsidP="007B6E6F">
    <w:pPr>
      <w:pStyle w:val="Footer"/>
      <w:tabs>
        <w:tab w:val="right" w:pos="9638"/>
      </w:tabs>
      <w:rPr>
        <w:b/>
        <w:sz w:val="18"/>
      </w:rPr>
    </w:pPr>
    <w:r>
      <w:tab/>
    </w:r>
    <w:r w:rsidRPr="007B6E6F">
      <w:rPr>
        <w:b/>
        <w:sz w:val="18"/>
      </w:rPr>
      <w:fldChar w:fldCharType="begin"/>
    </w:r>
    <w:r w:rsidRPr="007B6E6F">
      <w:rPr>
        <w:b/>
        <w:sz w:val="18"/>
      </w:rPr>
      <w:instrText xml:space="preserve"> PAGE  \* MERGEFORMAT </w:instrText>
    </w:r>
    <w:r w:rsidRPr="007B6E6F">
      <w:rPr>
        <w:b/>
        <w:sz w:val="18"/>
      </w:rPr>
      <w:fldChar w:fldCharType="separate"/>
    </w:r>
    <w:r w:rsidRPr="007B6E6F">
      <w:rPr>
        <w:b/>
        <w:noProof/>
        <w:sz w:val="18"/>
      </w:rPr>
      <w:t>3</w:t>
    </w:r>
    <w:r w:rsidRPr="007B6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7685" w14:textId="4FC91177" w:rsidR="008A20CD" w:rsidRPr="008A20CD" w:rsidRDefault="008A20CD" w:rsidP="008A20CD">
    <w:pPr>
      <w:pStyle w:val="Footer"/>
      <w:rPr>
        <w:sz w:val="20"/>
      </w:rPr>
    </w:pPr>
    <w:r w:rsidRPr="008A20CD">
      <w:rPr>
        <w:noProof/>
        <w:sz w:val="20"/>
        <w:lang w:val="en-US"/>
      </w:rPr>
      <w:drawing>
        <wp:anchor distT="0" distB="0" distL="114300" distR="114300" simplePos="0" relativeHeight="251659776" behindDoc="0" locked="1" layoutInCell="1" allowOverlap="1" wp14:anchorId="1D98B570" wp14:editId="067554B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GE.23-18941(E)</w:t>
    </w:r>
    <w:r>
      <w:rPr>
        <w:noProof/>
        <w:sz w:val="20"/>
      </w:rPr>
      <w:drawing>
        <wp:anchor distT="0" distB="0" distL="114300" distR="114300" simplePos="0" relativeHeight="251660800" behindDoc="0" locked="0" layoutInCell="1" allowOverlap="1" wp14:anchorId="2839D890" wp14:editId="509EDF3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EFBF" w14:textId="310745FC" w:rsidR="00386537" w:rsidRPr="00386537" w:rsidRDefault="00386537" w:rsidP="00386537">
    <w:pPr>
      <w:pStyle w:val="Footer"/>
      <w:jc w:val="right"/>
      <w:rPr>
        <w:b/>
        <w:bCs/>
        <w:sz w:val="22"/>
        <w:szCs w:val="22"/>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sidRPr="00386537">
      <w:rPr>
        <w:b/>
        <w:bCs/>
        <w:sz w:val="18"/>
        <w:szCs w:val="22"/>
      </w:rPr>
      <w:t>5</w:t>
    </w:r>
    <w:r w:rsidRPr="00386537">
      <w:rPr>
        <w:b/>
        <w:bCs/>
        <w:noProof/>
        <w:sz w:val="18"/>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55AD" w14:textId="00887C92" w:rsidR="00AE348E" w:rsidRPr="00AE348E" w:rsidRDefault="00AE348E">
    <w:pPr>
      <w:pStyle w:val="Footer"/>
      <w:rPr>
        <w:b/>
        <w:bCs/>
        <w:sz w:val="20"/>
      </w:rPr>
    </w:pPr>
    <w:r w:rsidRPr="00AE348E">
      <w:rPr>
        <w:b/>
        <w:bCs/>
        <w:sz w:val="20"/>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FA14" w14:textId="610F6346" w:rsidR="00C34A99" w:rsidRPr="000D0F1C" w:rsidRDefault="00386537" w:rsidP="00386537">
    <w:pPr>
      <w:pStyle w:val="Footer"/>
      <w:rPr>
        <w:b/>
        <w:bCs/>
        <w:sz w:val="20"/>
        <w:lang w:val="fr-CH"/>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Pr>
        <w:b/>
        <w:bCs/>
        <w:sz w:val="18"/>
        <w:szCs w:val="22"/>
      </w:rPr>
      <w:t>5</w:t>
    </w:r>
    <w:r w:rsidRPr="00386537">
      <w:rPr>
        <w:b/>
        <w:bCs/>
        <w:noProof/>
        <w:sz w:val="18"/>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FFF0" w14:textId="77777777" w:rsidR="00386537" w:rsidRPr="000D0F1C" w:rsidRDefault="00386537" w:rsidP="00386537">
    <w:pPr>
      <w:pStyle w:val="Footer"/>
      <w:jc w:val="right"/>
      <w:rPr>
        <w:b/>
        <w:bCs/>
        <w:sz w:val="20"/>
        <w:lang w:val="fr-CH"/>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Pr>
        <w:b/>
        <w:bCs/>
        <w:sz w:val="18"/>
        <w:szCs w:val="22"/>
      </w:rPr>
      <w:t>5</w:t>
    </w:r>
    <w:r w:rsidRPr="00386537">
      <w:rPr>
        <w:b/>
        <w:bCs/>
        <w:noProof/>
        <w:sz w:val="18"/>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81D0" w14:textId="77777777" w:rsidR="00386537" w:rsidRPr="00386537" w:rsidRDefault="00386537" w:rsidP="00386537">
    <w:pPr>
      <w:pStyle w:val="Footer"/>
      <w:jc w:val="right"/>
      <w:rPr>
        <w:b/>
        <w:bCs/>
        <w:sz w:val="22"/>
        <w:szCs w:val="22"/>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sidRPr="00386537">
      <w:rPr>
        <w:b/>
        <w:bCs/>
        <w:sz w:val="18"/>
        <w:szCs w:val="22"/>
      </w:rPr>
      <w:t>5</w:t>
    </w:r>
    <w:r w:rsidRPr="00386537">
      <w:rPr>
        <w:b/>
        <w:bCs/>
        <w:noProof/>
        <w:sz w:val="18"/>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A413" w14:textId="77777777" w:rsidR="00386537" w:rsidRPr="000D0F1C" w:rsidRDefault="00386537" w:rsidP="00386537">
    <w:pPr>
      <w:pStyle w:val="Footer"/>
      <w:rPr>
        <w:b/>
        <w:bCs/>
        <w:sz w:val="20"/>
        <w:lang w:val="fr-CH"/>
      </w:rPr>
    </w:pPr>
    <w:r w:rsidRPr="00386537">
      <w:rPr>
        <w:b/>
        <w:bCs/>
        <w:sz w:val="18"/>
        <w:szCs w:val="22"/>
      </w:rPr>
      <w:fldChar w:fldCharType="begin"/>
    </w:r>
    <w:r w:rsidRPr="00386537">
      <w:rPr>
        <w:b/>
        <w:bCs/>
        <w:sz w:val="18"/>
        <w:szCs w:val="22"/>
      </w:rPr>
      <w:instrText xml:space="preserve"> PAGE   \* MERGEFORMAT </w:instrText>
    </w:r>
    <w:r w:rsidRPr="00386537">
      <w:rPr>
        <w:b/>
        <w:bCs/>
        <w:sz w:val="18"/>
        <w:szCs w:val="22"/>
      </w:rPr>
      <w:fldChar w:fldCharType="separate"/>
    </w:r>
    <w:r>
      <w:rPr>
        <w:b/>
        <w:bCs/>
        <w:sz w:val="18"/>
        <w:szCs w:val="22"/>
      </w:rPr>
      <w:t>5</w:t>
    </w:r>
    <w:r w:rsidRPr="00386537">
      <w:rPr>
        <w:b/>
        <w:bCs/>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9A38" w14:textId="77777777" w:rsidR="00C02071" w:rsidRPr="000B175B" w:rsidRDefault="00C02071" w:rsidP="000B175B">
      <w:pPr>
        <w:tabs>
          <w:tab w:val="right" w:pos="2155"/>
        </w:tabs>
        <w:spacing w:after="80"/>
        <w:ind w:left="680"/>
        <w:rPr>
          <w:u w:val="single"/>
        </w:rPr>
      </w:pPr>
      <w:r>
        <w:rPr>
          <w:u w:val="single"/>
        </w:rPr>
        <w:tab/>
      </w:r>
    </w:p>
  </w:footnote>
  <w:footnote w:type="continuationSeparator" w:id="0">
    <w:p w14:paraId="0B45468B" w14:textId="77777777" w:rsidR="00C02071" w:rsidRPr="00FC68B7" w:rsidRDefault="00C02071" w:rsidP="00FC68B7">
      <w:pPr>
        <w:tabs>
          <w:tab w:val="left" w:pos="2155"/>
        </w:tabs>
        <w:spacing w:after="80"/>
        <w:ind w:left="680"/>
        <w:rPr>
          <w:u w:val="single"/>
        </w:rPr>
      </w:pPr>
      <w:r>
        <w:rPr>
          <w:u w:val="single"/>
        </w:rPr>
        <w:tab/>
      </w:r>
    </w:p>
  </w:footnote>
  <w:footnote w:type="continuationNotice" w:id="1">
    <w:p w14:paraId="2784EE41" w14:textId="77777777" w:rsidR="00C02071" w:rsidRDefault="00C02071"/>
  </w:footnote>
  <w:footnote w:id="2">
    <w:p w14:paraId="5A8B2BF2" w14:textId="77777777" w:rsidR="00AE348E" w:rsidRPr="00344C88" w:rsidRDefault="00AE348E" w:rsidP="00AE348E">
      <w:pPr>
        <w:pStyle w:val="FootnoteText"/>
        <w:rPr>
          <w:rFonts w:asciiTheme="majorBidi" w:hAnsiTheme="majorBidi" w:cstheme="majorBidi"/>
          <w:szCs w:val="18"/>
          <w:lang w:val="es-ES"/>
        </w:rPr>
      </w:pPr>
      <w:r>
        <w:tab/>
      </w:r>
      <w:r>
        <w:rPr>
          <w:rStyle w:val="FootnoteReference"/>
        </w:rPr>
        <w:footnoteRef/>
      </w:r>
      <w:r w:rsidRPr="00344C88">
        <w:rPr>
          <w:rFonts w:asciiTheme="majorBidi" w:hAnsiTheme="majorBidi" w:cstheme="majorBidi"/>
          <w:szCs w:val="18"/>
          <w:lang w:val="es-ES"/>
        </w:rPr>
        <w:tab/>
        <w:t>ECE/MP.EIA/15.</w:t>
      </w:r>
    </w:p>
  </w:footnote>
  <w:footnote w:id="3">
    <w:p w14:paraId="2821DBA0" w14:textId="77777777" w:rsidR="00AE348E" w:rsidRPr="00344C88" w:rsidRDefault="00AE348E" w:rsidP="00AE348E">
      <w:pPr>
        <w:pStyle w:val="FootnoteText"/>
        <w:rPr>
          <w:rFonts w:asciiTheme="majorBidi" w:hAnsiTheme="majorBidi" w:cstheme="majorBidi"/>
          <w:szCs w:val="18"/>
          <w:lang w:val="es-ES"/>
        </w:rPr>
      </w:pPr>
      <w:r w:rsidRPr="00344C88">
        <w:rPr>
          <w:rFonts w:asciiTheme="majorBidi" w:hAnsiTheme="majorBidi" w:cstheme="majorBidi"/>
          <w:szCs w:val="18"/>
          <w:lang w:val="es-ES"/>
        </w:rPr>
        <w:tab/>
      </w:r>
      <w:r w:rsidRPr="00305DA1">
        <w:rPr>
          <w:rStyle w:val="FootnoteReference"/>
          <w:rFonts w:asciiTheme="majorBidi" w:hAnsiTheme="majorBidi" w:cstheme="majorBidi"/>
          <w:szCs w:val="18"/>
        </w:rPr>
        <w:footnoteRef/>
      </w:r>
      <w:r w:rsidRPr="00344C88">
        <w:rPr>
          <w:rFonts w:asciiTheme="majorBidi" w:hAnsiTheme="majorBidi" w:cstheme="majorBidi"/>
          <w:szCs w:val="18"/>
          <w:lang w:val="es-ES"/>
        </w:rPr>
        <w:tab/>
        <w:t xml:space="preserve">ECE/MP.EIA/20/Add.1–ECE/MP.EIA/SEA/4/Add.1. </w:t>
      </w:r>
    </w:p>
  </w:footnote>
  <w:footnote w:id="4">
    <w:p w14:paraId="35F35481" w14:textId="77777777" w:rsidR="00AE348E" w:rsidRPr="00344C88" w:rsidRDefault="00AE348E" w:rsidP="00AE348E">
      <w:pPr>
        <w:pStyle w:val="FootnoteText"/>
        <w:rPr>
          <w:rFonts w:asciiTheme="majorBidi" w:hAnsiTheme="majorBidi" w:cstheme="majorBidi"/>
          <w:szCs w:val="18"/>
          <w:lang w:val="es-ES"/>
        </w:rPr>
      </w:pPr>
      <w:r w:rsidRPr="00344C88">
        <w:rPr>
          <w:rFonts w:asciiTheme="majorBidi" w:hAnsiTheme="majorBidi" w:cstheme="majorBidi"/>
          <w:szCs w:val="18"/>
          <w:lang w:val="es-ES"/>
        </w:rPr>
        <w:tab/>
      </w:r>
      <w:r w:rsidRPr="00305DA1">
        <w:rPr>
          <w:rStyle w:val="FootnoteReference"/>
          <w:rFonts w:asciiTheme="majorBidi" w:hAnsiTheme="majorBidi" w:cstheme="majorBidi"/>
          <w:szCs w:val="18"/>
        </w:rPr>
        <w:footnoteRef/>
      </w:r>
      <w:r w:rsidRPr="00344C88">
        <w:rPr>
          <w:rFonts w:asciiTheme="majorBidi" w:hAnsiTheme="majorBidi" w:cstheme="majorBidi"/>
          <w:szCs w:val="18"/>
          <w:lang w:val="es-ES"/>
        </w:rPr>
        <w:tab/>
        <w:t xml:space="preserve">ECE/MP.EIA/27/Add.1–ECE/MP.EIA/SEA/11/Add.1. </w:t>
      </w:r>
    </w:p>
  </w:footnote>
  <w:footnote w:id="5">
    <w:p w14:paraId="52FDA85D" w14:textId="77777777" w:rsidR="00AE348E" w:rsidRPr="00344C88" w:rsidRDefault="00AE348E" w:rsidP="00AE348E">
      <w:pPr>
        <w:pStyle w:val="FootnoteText"/>
        <w:rPr>
          <w:rFonts w:asciiTheme="majorBidi" w:hAnsiTheme="majorBidi" w:cstheme="majorBidi"/>
          <w:szCs w:val="18"/>
          <w:lang w:val="es-ES"/>
        </w:rPr>
      </w:pPr>
      <w:r w:rsidRPr="00344C88">
        <w:rPr>
          <w:rFonts w:asciiTheme="majorBidi" w:hAnsiTheme="majorBidi" w:cstheme="majorBidi"/>
          <w:szCs w:val="18"/>
          <w:lang w:val="es-ES"/>
        </w:rPr>
        <w:tab/>
      </w:r>
      <w:r w:rsidRPr="00305DA1">
        <w:rPr>
          <w:rStyle w:val="FootnoteReference"/>
          <w:rFonts w:asciiTheme="majorBidi" w:hAnsiTheme="majorBidi" w:cstheme="majorBidi"/>
          <w:szCs w:val="18"/>
        </w:rPr>
        <w:footnoteRef/>
      </w:r>
      <w:r w:rsidRPr="00344C88">
        <w:rPr>
          <w:rFonts w:asciiTheme="majorBidi" w:hAnsiTheme="majorBidi" w:cstheme="majorBidi"/>
          <w:szCs w:val="18"/>
          <w:lang w:val="es-ES"/>
        </w:rPr>
        <w:tab/>
        <w:t>ECE/MP.EIA/30/Add.2–ECE/MP.EIA/SEA/13/Add.2.</w:t>
      </w:r>
    </w:p>
  </w:footnote>
  <w:footnote w:id="6">
    <w:p w14:paraId="6830C6E8" w14:textId="77777777" w:rsidR="00AE348E" w:rsidRPr="00344C88" w:rsidRDefault="00AE348E" w:rsidP="00AE348E">
      <w:pPr>
        <w:pStyle w:val="FootnoteText"/>
        <w:rPr>
          <w:rFonts w:asciiTheme="majorBidi" w:hAnsiTheme="majorBidi" w:cstheme="majorBidi"/>
          <w:szCs w:val="18"/>
          <w:lang w:val="es-ES"/>
        </w:rPr>
      </w:pPr>
      <w:r w:rsidRPr="00344C88">
        <w:rPr>
          <w:rFonts w:asciiTheme="majorBidi" w:hAnsiTheme="majorBidi" w:cstheme="majorBidi"/>
          <w:szCs w:val="18"/>
          <w:lang w:val="es-ES"/>
        </w:rPr>
        <w:tab/>
      </w:r>
      <w:r w:rsidRPr="00305DA1">
        <w:rPr>
          <w:rStyle w:val="FootnoteReference"/>
          <w:rFonts w:asciiTheme="majorBidi" w:hAnsiTheme="majorBidi" w:cstheme="majorBidi"/>
          <w:szCs w:val="18"/>
        </w:rPr>
        <w:footnoteRef/>
      </w:r>
      <w:r w:rsidRPr="00344C88">
        <w:rPr>
          <w:rFonts w:asciiTheme="majorBidi" w:hAnsiTheme="majorBidi" w:cstheme="majorBidi"/>
          <w:szCs w:val="18"/>
          <w:lang w:val="es-ES"/>
        </w:rPr>
        <w:t xml:space="preserve"> </w:t>
      </w:r>
      <w:r w:rsidRPr="00344C88">
        <w:rPr>
          <w:rFonts w:asciiTheme="majorBidi" w:hAnsiTheme="majorBidi" w:cstheme="majorBidi"/>
          <w:szCs w:val="18"/>
          <w:lang w:val="es-ES"/>
        </w:rPr>
        <w:tab/>
        <w:t>ECE/MP.EIA/2023/6.</w:t>
      </w:r>
    </w:p>
  </w:footnote>
  <w:footnote w:id="7">
    <w:p w14:paraId="324BAB4B" w14:textId="5C7D8C5F" w:rsidR="00AE348E" w:rsidRPr="00344C88" w:rsidRDefault="00AE348E" w:rsidP="00AE348E">
      <w:pPr>
        <w:pStyle w:val="FootnoteText"/>
        <w:rPr>
          <w:lang w:val="es-ES"/>
        </w:rPr>
      </w:pPr>
      <w:r w:rsidRPr="00344C88">
        <w:rPr>
          <w:lang w:val="es-ES"/>
        </w:rPr>
        <w:tab/>
      </w:r>
      <w:r>
        <w:rPr>
          <w:rStyle w:val="FootnoteReference"/>
        </w:rPr>
        <w:footnoteRef/>
      </w:r>
      <w:r w:rsidR="002A1D9E">
        <w:rPr>
          <w:lang w:val="es-ES"/>
        </w:rPr>
        <w:tab/>
      </w:r>
      <w:r w:rsidRPr="00344C88">
        <w:rPr>
          <w:lang w:val="es-ES"/>
        </w:rPr>
        <w:t>ECE/MP.EIA/2023/13–ECE/MP.EIA/SEA/2023/13 (</w:t>
      </w:r>
      <w:proofErr w:type="spellStart"/>
      <w:r w:rsidRPr="00344C88">
        <w:rPr>
          <w:lang w:val="es-ES"/>
        </w:rPr>
        <w:t>forthcoming</w:t>
      </w:r>
      <w:proofErr w:type="spellEnd"/>
      <w:r w:rsidRPr="00344C88">
        <w:rPr>
          <w:lang w:val="es-ES"/>
        </w:rPr>
        <w:t xml:space="preserve">). </w:t>
      </w:r>
    </w:p>
  </w:footnote>
  <w:footnote w:id="8">
    <w:p w14:paraId="1BF71D23" w14:textId="01B807E6" w:rsidR="00AE348E" w:rsidRPr="00925ACF" w:rsidRDefault="00AE348E" w:rsidP="00D65D4A">
      <w:pPr>
        <w:pStyle w:val="FootnoteText"/>
      </w:pPr>
      <w:r w:rsidRPr="00344C88">
        <w:rPr>
          <w:lang w:val="es-ES"/>
        </w:rPr>
        <w:tab/>
      </w:r>
      <w:r w:rsidRPr="00305DA1">
        <w:rPr>
          <w:rStyle w:val="FootnoteReference"/>
          <w:rFonts w:asciiTheme="majorBidi" w:hAnsiTheme="majorBidi" w:cstheme="majorBidi"/>
          <w:szCs w:val="18"/>
        </w:rPr>
        <w:footnoteRef/>
      </w:r>
      <w:r w:rsidRPr="00305DA1">
        <w:tab/>
        <w:t xml:space="preserve">“Regulation on Conducting the </w:t>
      </w:r>
      <w:r w:rsidRPr="00D65D4A">
        <w:t>Strategic</w:t>
      </w:r>
      <w:r w:rsidRPr="00305DA1">
        <w:t xml:space="preserve"> Environmental Assessment”, adopted on 17 September 2022 by decision No. 354 of the Cabinet of Ministers and “Regulation on Conducting the Environmental Impact Assessment, including transboundary impact assessment and its duration” adopted on 21 September 2022 by decision No. 362 of the Cabinet of Ministers.</w:t>
      </w:r>
      <w:r>
        <w:t xml:space="preserve"> </w:t>
      </w:r>
    </w:p>
  </w:footnote>
  <w:footnote w:id="9">
    <w:p w14:paraId="722586BA" w14:textId="7DAAB60B" w:rsidR="00AE348E" w:rsidRPr="00147A16" w:rsidRDefault="00AE348E" w:rsidP="002F2C31">
      <w:pPr>
        <w:pStyle w:val="FootnoteText"/>
      </w:pPr>
      <w:r>
        <w:tab/>
      </w:r>
      <w:r>
        <w:rPr>
          <w:rStyle w:val="FootnoteReference"/>
        </w:rPr>
        <w:footnoteRef/>
      </w:r>
      <w:r w:rsidR="002F2C31">
        <w:rPr>
          <w:lang w:val="es-ES"/>
        </w:rPr>
        <w:tab/>
      </w:r>
      <w:r w:rsidRPr="004058E8">
        <w:rPr>
          <w:lang w:val="es-ES"/>
        </w:rPr>
        <w:t>ECE</w:t>
      </w:r>
      <w:r w:rsidRPr="00344C88">
        <w:rPr>
          <w:lang w:val="es-ES"/>
        </w:rPr>
        <w:t xml:space="preserve">/MP.EIA/IC/2023/4, para. </w:t>
      </w:r>
      <w:r>
        <w:t xml:space="preserve">15 (advance version). </w:t>
      </w:r>
    </w:p>
  </w:footnote>
  <w:footnote w:id="10">
    <w:p w14:paraId="24AE848F" w14:textId="28AC50A3" w:rsidR="00AE348E" w:rsidRPr="007E7E73" w:rsidRDefault="00AE348E" w:rsidP="00AE348E">
      <w:pPr>
        <w:pStyle w:val="FootnoteText"/>
      </w:pPr>
      <w:r>
        <w:tab/>
      </w:r>
      <w:r>
        <w:rPr>
          <w:rStyle w:val="FootnoteReference"/>
        </w:rPr>
        <w:footnoteRef/>
      </w:r>
      <w:r w:rsidR="002F2C31">
        <w:tab/>
      </w:r>
      <w:r>
        <w:t xml:space="preserve">In the period 2013–2018, with European Union funding under the </w:t>
      </w:r>
      <w:r w:rsidRPr="002659A9">
        <w:t>Greening Economies in the</w:t>
      </w:r>
      <w:r>
        <w:t xml:space="preserve"> European Union’s</w:t>
      </w:r>
      <w:r w:rsidRPr="002659A9">
        <w:t xml:space="preserve"> Eastern Neighbourhood </w:t>
      </w:r>
      <w:r>
        <w:t>programme and, in the period 2019–2023, under the European Union for Environment programme.</w:t>
      </w:r>
    </w:p>
  </w:footnote>
  <w:footnote w:id="11">
    <w:p w14:paraId="56202682" w14:textId="68A0AB3D" w:rsidR="00AE348E" w:rsidRPr="00E83202" w:rsidRDefault="002F2C31" w:rsidP="00AE348E">
      <w:pPr>
        <w:pStyle w:val="FootnoteText"/>
      </w:pPr>
      <w:r>
        <w:tab/>
      </w:r>
      <w:r w:rsidR="00AE348E">
        <w:rPr>
          <w:rStyle w:val="FootnoteReference"/>
        </w:rPr>
        <w:footnoteRef/>
      </w:r>
      <w:r>
        <w:tab/>
      </w:r>
      <w:r w:rsidR="00AE3011">
        <w:t>See</w:t>
      </w:r>
      <w:r w:rsidR="004E396F">
        <w:t xml:space="preserve"> </w:t>
      </w:r>
      <w:r w:rsidR="00816A90">
        <w:t>“</w:t>
      </w:r>
      <w:hyperlink r:id="rId1" w:history="1">
        <w:r w:rsidR="00D65742" w:rsidRPr="00816A90">
          <w:rPr>
            <w:rStyle w:val="Hyperlink"/>
          </w:rPr>
          <w:t xml:space="preserve">Assessment of the draft Law of the Republic of Armenia </w:t>
        </w:r>
        <w:r w:rsidR="00816A90" w:rsidRPr="00816A90">
          <w:rPr>
            <w:rStyle w:val="Hyperlink"/>
          </w:rPr>
          <w:t>‘</w:t>
        </w:r>
        <w:r w:rsidR="00D65742" w:rsidRPr="00816A90">
          <w:rPr>
            <w:rStyle w:val="Hyperlink"/>
          </w:rPr>
          <w:t>On the environmental impact assessment and expertise</w:t>
        </w:r>
        <w:r w:rsidR="00816A90" w:rsidRPr="00816A90">
          <w:rPr>
            <w:rStyle w:val="Hyperlink"/>
          </w:rPr>
          <w:t>’</w:t>
        </w:r>
      </w:hyperlink>
      <w:r w:rsidR="00D65742">
        <w:t>" (20</w:t>
      </w:r>
      <w:r w:rsidR="00816A90">
        <w:t xml:space="preserve">14). </w:t>
      </w:r>
    </w:p>
  </w:footnote>
  <w:footnote w:id="12">
    <w:p w14:paraId="0486378A" w14:textId="77777777" w:rsidR="00C34A99" w:rsidRPr="004058E8" w:rsidRDefault="00C34A99" w:rsidP="00C34A99">
      <w:pPr>
        <w:pStyle w:val="FootnoteText"/>
      </w:pPr>
      <w:r w:rsidRPr="00B76EA2">
        <w:tab/>
      </w:r>
      <w:r>
        <w:rPr>
          <w:rStyle w:val="FootnoteReference"/>
        </w:rPr>
        <w:footnoteRef/>
      </w:r>
      <w:r w:rsidRPr="004058E8">
        <w:t xml:space="preserve"> </w:t>
      </w:r>
      <w:r w:rsidRPr="004058E8">
        <w:tab/>
        <w:t>ECE/MP.EIA/20/Add.1–ECE/MP.EIA/SEA/4/Add.1.</w:t>
      </w:r>
    </w:p>
  </w:footnote>
  <w:footnote w:id="13">
    <w:p w14:paraId="2C0D4F33" w14:textId="77777777" w:rsidR="00C34A99" w:rsidRPr="00344C88" w:rsidRDefault="00C34A99" w:rsidP="00C34A99">
      <w:pPr>
        <w:pStyle w:val="FootnoteText"/>
        <w:rPr>
          <w:lang w:val="es-ES"/>
        </w:rPr>
      </w:pPr>
      <w:r w:rsidRPr="004058E8">
        <w:tab/>
      </w:r>
      <w:r>
        <w:rPr>
          <w:rStyle w:val="FootnoteReference"/>
        </w:rPr>
        <w:footnoteRef/>
      </w:r>
      <w:r w:rsidRPr="00344C88">
        <w:rPr>
          <w:lang w:val="es-ES"/>
        </w:rPr>
        <w:t xml:space="preserve"> </w:t>
      </w:r>
      <w:r w:rsidRPr="00344C88">
        <w:rPr>
          <w:lang w:val="es-ES"/>
        </w:rPr>
        <w:tab/>
        <w:t>ECE/MP.EIA/27/Add.1–ECE/MP.EIA/SEA/11/Add.1.</w:t>
      </w:r>
    </w:p>
  </w:footnote>
  <w:footnote w:id="14">
    <w:p w14:paraId="15A4157F" w14:textId="77777777" w:rsidR="00C34A99" w:rsidRPr="00344C88" w:rsidRDefault="00C34A99" w:rsidP="00C34A99">
      <w:pPr>
        <w:pStyle w:val="FootnoteText"/>
        <w:rPr>
          <w:lang w:val="es-ES"/>
        </w:rPr>
      </w:pPr>
      <w:r w:rsidRPr="00344C88">
        <w:rPr>
          <w:lang w:val="es-ES"/>
        </w:rPr>
        <w:tab/>
      </w:r>
      <w:r>
        <w:rPr>
          <w:rStyle w:val="FootnoteReference"/>
        </w:rPr>
        <w:footnoteRef/>
      </w:r>
      <w:r w:rsidRPr="00344C88">
        <w:rPr>
          <w:lang w:val="es-ES"/>
        </w:rPr>
        <w:t xml:space="preserve"> </w:t>
      </w:r>
      <w:r w:rsidRPr="00344C88">
        <w:rPr>
          <w:lang w:val="es-ES"/>
        </w:rPr>
        <w:tab/>
        <w:t>ECE/MP.EIA/30/Add.2–ECE/MP.EIA/SEA/13/Add.2.</w:t>
      </w:r>
    </w:p>
  </w:footnote>
  <w:footnote w:id="15">
    <w:p w14:paraId="52D964EE" w14:textId="77777777" w:rsidR="00C34A99" w:rsidRPr="0096516D" w:rsidRDefault="00C34A99" w:rsidP="00C34A99">
      <w:pPr>
        <w:pStyle w:val="FootnoteText"/>
        <w:rPr>
          <w:lang w:val="es-ES"/>
        </w:rPr>
      </w:pPr>
      <w:r w:rsidRPr="00344C88">
        <w:rPr>
          <w:lang w:val="es-ES"/>
        </w:rPr>
        <w:tab/>
      </w:r>
      <w:r>
        <w:rPr>
          <w:rStyle w:val="FootnoteReference"/>
        </w:rPr>
        <w:footnoteRef/>
      </w:r>
      <w:r w:rsidRPr="0096516D">
        <w:rPr>
          <w:lang w:val="es-ES"/>
        </w:rPr>
        <w:t xml:space="preserve"> </w:t>
      </w:r>
      <w:r w:rsidRPr="0096516D">
        <w:rPr>
          <w:lang w:val="es-ES"/>
        </w:rPr>
        <w:tab/>
        <w:t>ECE/MP.EIA/2023/6.</w:t>
      </w:r>
    </w:p>
  </w:footnote>
  <w:footnote w:id="16">
    <w:p w14:paraId="7901D659" w14:textId="5F2EFB9A" w:rsidR="00C34A99" w:rsidRPr="00FE124A" w:rsidRDefault="00C34A99" w:rsidP="00C34A99">
      <w:pPr>
        <w:pStyle w:val="FootnoteText"/>
        <w:rPr>
          <w:lang w:val="es-ES"/>
        </w:rPr>
      </w:pPr>
      <w:r w:rsidRPr="0096516D">
        <w:rPr>
          <w:lang w:val="es-ES"/>
        </w:rPr>
        <w:tab/>
      </w:r>
      <w:r>
        <w:rPr>
          <w:rStyle w:val="FootnoteReference"/>
        </w:rPr>
        <w:footnoteRef/>
      </w:r>
      <w:r w:rsidR="002F2C31">
        <w:rPr>
          <w:lang w:val="es-ES"/>
        </w:rPr>
        <w:tab/>
      </w:r>
      <w:r w:rsidRPr="0096516D">
        <w:rPr>
          <w:lang w:val="es-ES"/>
        </w:rPr>
        <w:t>ECE/MP.EIA/2023/13–ECE/MP.EIA/SEA/2023/13.</w:t>
      </w:r>
    </w:p>
  </w:footnote>
  <w:footnote w:id="17">
    <w:p w14:paraId="56891702" w14:textId="4011ABB0" w:rsidR="00C34A99" w:rsidRPr="0096516D" w:rsidRDefault="002F2C31" w:rsidP="00C34A99">
      <w:pPr>
        <w:pStyle w:val="FootnoteText"/>
        <w:rPr>
          <w:lang w:val="es-ES"/>
        </w:rPr>
      </w:pPr>
      <w:r>
        <w:rPr>
          <w:lang w:val="es-ES"/>
        </w:rPr>
        <w:tab/>
      </w:r>
      <w:r w:rsidR="00C34A99">
        <w:rPr>
          <w:rStyle w:val="FootnoteReference"/>
        </w:rPr>
        <w:footnoteRef/>
      </w:r>
      <w:r>
        <w:rPr>
          <w:lang w:val="es-ES"/>
        </w:rPr>
        <w:tab/>
      </w:r>
      <w:proofErr w:type="spellStart"/>
      <w:r w:rsidR="00C34A99" w:rsidRPr="0096516D">
        <w:rPr>
          <w:lang w:val="es-ES"/>
        </w:rPr>
        <w:t>Decision</w:t>
      </w:r>
      <w:proofErr w:type="spellEnd"/>
      <w:r w:rsidR="00C34A99" w:rsidRPr="0096516D">
        <w:rPr>
          <w:lang w:val="es-ES"/>
        </w:rPr>
        <w:t xml:space="preserve"> IS/1d, paras. 17–19.</w:t>
      </w:r>
    </w:p>
  </w:footnote>
  <w:footnote w:id="18">
    <w:p w14:paraId="6444792C" w14:textId="4C30436E" w:rsidR="00C34A99" w:rsidRPr="0096516D" w:rsidRDefault="002F2C31" w:rsidP="00C34A99">
      <w:pPr>
        <w:pStyle w:val="FootnoteText"/>
        <w:rPr>
          <w:lang w:val="es-ES"/>
        </w:rPr>
      </w:pPr>
      <w:r>
        <w:rPr>
          <w:lang w:val="es-ES"/>
        </w:rPr>
        <w:tab/>
      </w:r>
      <w:r w:rsidR="00C34A99">
        <w:rPr>
          <w:rStyle w:val="FootnoteReference"/>
        </w:rPr>
        <w:footnoteRef/>
      </w:r>
      <w:r>
        <w:rPr>
          <w:lang w:val="es-ES"/>
        </w:rPr>
        <w:tab/>
      </w:r>
      <w:r w:rsidR="00C34A99" w:rsidRPr="0096516D">
        <w:rPr>
          <w:lang w:val="es-ES"/>
        </w:rPr>
        <w:t>ECE/MP.EIA/IC/2022/7, paras. 12</w:t>
      </w:r>
      <w:r w:rsidR="00C34A99" w:rsidRPr="00EC1C3A">
        <w:rPr>
          <w:lang w:val="es-ES"/>
        </w:rPr>
        <w:t>–</w:t>
      </w:r>
      <w:r w:rsidR="00C34A99" w:rsidRPr="0096516D">
        <w:rPr>
          <w:lang w:val="es-ES"/>
        </w:rPr>
        <w:t>17.</w:t>
      </w:r>
    </w:p>
  </w:footnote>
  <w:footnote w:id="19">
    <w:p w14:paraId="7E162746" w14:textId="77777777" w:rsidR="000D0F1C" w:rsidRPr="00925857" w:rsidRDefault="000D0F1C" w:rsidP="000D0F1C">
      <w:pPr>
        <w:pStyle w:val="FootnoteText"/>
        <w:rPr>
          <w:lang w:val="es-ES"/>
        </w:rPr>
      </w:pPr>
      <w:r w:rsidRPr="00FE124A">
        <w:rPr>
          <w:lang w:val="es-ES"/>
        </w:rPr>
        <w:tab/>
      </w:r>
      <w:r>
        <w:rPr>
          <w:rStyle w:val="FootnoteReference"/>
        </w:rPr>
        <w:footnoteRef/>
      </w:r>
      <w:r w:rsidRPr="00925857">
        <w:rPr>
          <w:lang w:val="es-ES"/>
        </w:rPr>
        <w:t xml:space="preserve"> </w:t>
      </w:r>
      <w:r w:rsidRPr="00925857">
        <w:rPr>
          <w:lang w:val="es-ES"/>
        </w:rPr>
        <w:tab/>
        <w:t>ECE/MP.EIA/2023/6.</w:t>
      </w:r>
    </w:p>
  </w:footnote>
  <w:footnote w:id="20">
    <w:p w14:paraId="32ED9F7E" w14:textId="62C89D1E" w:rsidR="000D0F1C" w:rsidRPr="00925857" w:rsidRDefault="000D0F1C" w:rsidP="000A6A4C">
      <w:pPr>
        <w:pStyle w:val="FootnoteText"/>
        <w:rPr>
          <w:lang w:val="es-ES"/>
        </w:rPr>
      </w:pPr>
      <w:r w:rsidRPr="00925857">
        <w:rPr>
          <w:lang w:val="es-ES"/>
        </w:rPr>
        <w:tab/>
      </w:r>
      <w:r>
        <w:rPr>
          <w:rStyle w:val="FootnoteReference"/>
        </w:rPr>
        <w:footnoteRef/>
      </w:r>
      <w:r w:rsidR="000A6A4C">
        <w:rPr>
          <w:lang w:val="es-ES"/>
        </w:rPr>
        <w:tab/>
      </w:r>
      <w:r w:rsidRPr="004058E8">
        <w:rPr>
          <w:rFonts w:eastAsia="Calibri"/>
          <w:lang w:val="es-ES"/>
        </w:rPr>
        <w:t>ECE</w:t>
      </w:r>
      <w:r w:rsidRPr="002E4CB5">
        <w:rPr>
          <w:rFonts w:eastAsia="Calibri"/>
          <w:lang w:val="es-ES"/>
        </w:rPr>
        <w:t>/MP.EIA/2023/13–ECE/MP.EIA/SEA/2023/13.</w:t>
      </w:r>
    </w:p>
  </w:footnote>
  <w:footnote w:id="21">
    <w:p w14:paraId="610C7060" w14:textId="77F63531" w:rsidR="000D0F1C" w:rsidRPr="002E4CB5" w:rsidRDefault="000A6A4C" w:rsidP="000A6A4C">
      <w:pPr>
        <w:pStyle w:val="FootnoteText"/>
      </w:pPr>
      <w:r>
        <w:rPr>
          <w:lang w:val="es-ES"/>
        </w:rPr>
        <w:tab/>
      </w:r>
      <w:r w:rsidR="000D0F1C">
        <w:rPr>
          <w:rStyle w:val="FootnoteReference"/>
        </w:rPr>
        <w:footnoteRef/>
      </w:r>
      <w:r>
        <w:rPr>
          <w:lang w:val="es-ES"/>
        </w:rPr>
        <w:tab/>
      </w:r>
      <w:r w:rsidR="000D0F1C" w:rsidRPr="00925857">
        <w:rPr>
          <w:lang w:val="es-ES"/>
        </w:rPr>
        <w:t>ECE/MP.EIA</w:t>
      </w:r>
      <w:r w:rsidR="000D0F1C">
        <w:rPr>
          <w:lang w:val="es-ES"/>
        </w:rPr>
        <w:t>/IC</w:t>
      </w:r>
      <w:r w:rsidR="000D0F1C" w:rsidRPr="00925857">
        <w:rPr>
          <w:lang w:val="es-ES"/>
        </w:rPr>
        <w:t xml:space="preserve">/2022/7, paras. </w:t>
      </w:r>
      <w:r w:rsidR="000D0F1C" w:rsidRPr="002E4CB5">
        <w:t>41</w:t>
      </w:r>
      <w:r w:rsidR="000D0F1C" w:rsidRPr="002E4CB5">
        <w:rPr>
          <w:rFonts w:eastAsia="Calibri"/>
          <w:szCs w:val="18"/>
        </w:rPr>
        <w:t>–</w:t>
      </w:r>
      <w:r w:rsidR="000D0F1C" w:rsidRPr="002E4CB5">
        <w:t>43.</w:t>
      </w:r>
    </w:p>
  </w:footnote>
  <w:footnote w:id="22">
    <w:p w14:paraId="353FF748" w14:textId="1772075F" w:rsidR="000D0F1C" w:rsidRPr="002E4CB5" w:rsidRDefault="000D0F1C" w:rsidP="000D0F1C">
      <w:pPr>
        <w:pStyle w:val="FootnoteText"/>
        <w:rPr>
          <w:lang w:val="es-ES"/>
        </w:rPr>
      </w:pPr>
      <w:r w:rsidRPr="002E4CB5">
        <w:tab/>
      </w:r>
      <w:r>
        <w:rPr>
          <w:rStyle w:val="FootnoteReference"/>
        </w:rPr>
        <w:footnoteRef/>
      </w:r>
      <w:r w:rsidR="000A6A4C">
        <w:tab/>
      </w:r>
      <w:r w:rsidRPr="002E4CB5">
        <w:t xml:space="preserve">ECE/MP.EIA/IC/2023/8, annex I, para. </w:t>
      </w:r>
      <w:r w:rsidRPr="002E4CB5">
        <w:rPr>
          <w:lang w:val="es-ES"/>
        </w:rPr>
        <w:t>43.</w:t>
      </w:r>
    </w:p>
  </w:footnote>
  <w:footnote w:id="23">
    <w:p w14:paraId="72977A4F" w14:textId="53FECA25" w:rsidR="00EA681F" w:rsidRPr="002E4CB5" w:rsidRDefault="00EA681F" w:rsidP="00EA681F">
      <w:pPr>
        <w:pStyle w:val="FootnoteText"/>
        <w:rPr>
          <w:lang w:val="es-ES"/>
        </w:rPr>
      </w:pPr>
      <w:r w:rsidRPr="002E4CB5">
        <w:rPr>
          <w:lang w:val="es-ES"/>
        </w:rPr>
        <w:tab/>
      </w:r>
      <w:r>
        <w:rPr>
          <w:rStyle w:val="FootnoteReference"/>
        </w:rPr>
        <w:footnoteRef/>
      </w:r>
      <w:r>
        <w:rPr>
          <w:lang w:val="es-ES"/>
        </w:rPr>
        <w:tab/>
      </w:r>
      <w:r w:rsidRPr="002E4CB5">
        <w:rPr>
          <w:lang w:val="es-ES"/>
        </w:rPr>
        <w:t>ECE/MP.EIA/2023/6.</w:t>
      </w:r>
    </w:p>
  </w:footnote>
  <w:footnote w:id="24">
    <w:p w14:paraId="383C1C04" w14:textId="4A510972" w:rsidR="00EA681F" w:rsidRPr="002E4CB5" w:rsidRDefault="00EA681F" w:rsidP="00EA681F">
      <w:pPr>
        <w:pStyle w:val="FootnoteText"/>
        <w:rPr>
          <w:lang w:val="es-ES"/>
        </w:rPr>
      </w:pPr>
      <w:r>
        <w:rPr>
          <w:lang w:val="es-ES"/>
        </w:rPr>
        <w:tab/>
      </w:r>
      <w:r>
        <w:rPr>
          <w:rStyle w:val="FootnoteReference"/>
        </w:rPr>
        <w:footnoteRef/>
      </w:r>
      <w:r>
        <w:rPr>
          <w:lang w:val="es-ES"/>
        </w:rPr>
        <w:tab/>
      </w:r>
      <w:r w:rsidRPr="002E4CB5">
        <w:rPr>
          <w:lang w:val="es-ES" w:eastAsia="en-GB"/>
        </w:rPr>
        <w:t>ECE/MP.EIA/IC/2023/10.</w:t>
      </w:r>
    </w:p>
  </w:footnote>
  <w:footnote w:id="25">
    <w:p w14:paraId="750B8DE8" w14:textId="0ADF9EE8" w:rsidR="00EA681F" w:rsidRPr="00EC6AEC" w:rsidRDefault="00EA681F" w:rsidP="00EA681F">
      <w:pPr>
        <w:pStyle w:val="FootnoteText"/>
        <w:rPr>
          <w:lang w:val="es-ES"/>
        </w:rPr>
      </w:pPr>
      <w:r w:rsidRPr="002E4CB5">
        <w:rPr>
          <w:lang w:val="es-ES"/>
        </w:rPr>
        <w:tab/>
      </w:r>
      <w:r>
        <w:rPr>
          <w:rStyle w:val="FootnoteReference"/>
        </w:rPr>
        <w:footnoteRef/>
      </w:r>
      <w:r>
        <w:rPr>
          <w:lang w:val="es-ES"/>
        </w:rPr>
        <w:tab/>
      </w:r>
      <w:r w:rsidRPr="002E4CB5">
        <w:rPr>
          <w:rFonts w:eastAsia="Calibri"/>
          <w:szCs w:val="18"/>
          <w:lang w:val="es-ES"/>
        </w:rPr>
        <w:t>ECE/MP.EIA/2023/13–ECE/MP.EIA/SEA/2023/13.</w:t>
      </w:r>
    </w:p>
  </w:footnote>
  <w:footnote w:id="26">
    <w:p w14:paraId="574FEFEC" w14:textId="18A473AB" w:rsidR="00EA681F" w:rsidRPr="00F9114A" w:rsidRDefault="00EA681F" w:rsidP="00EA681F">
      <w:pPr>
        <w:pStyle w:val="FootnoteText"/>
      </w:pPr>
      <w:r w:rsidRPr="00EC6AEC">
        <w:rPr>
          <w:lang w:val="es-ES"/>
        </w:rPr>
        <w:tab/>
      </w:r>
      <w:r>
        <w:rPr>
          <w:rStyle w:val="FootnoteReference"/>
        </w:rPr>
        <w:footnoteRef/>
      </w:r>
      <w:r w:rsidR="00D327FF">
        <w:tab/>
      </w:r>
      <w:r>
        <w:t>Good Practice Recommendations on the Application of the Convention to Nuclear Energy-related Activities (ECE/MP.EIA/2017/10), para. 28, endorsed by the Meeting of the Parties at its seventh session (Minsk, 13–16 June 2017), through decision VII/6 (ECE/MP.EIA/23.Add.2–ECE/MP.EIA/SEA/7.Add.2).</w:t>
      </w:r>
    </w:p>
  </w:footnote>
  <w:footnote w:id="27">
    <w:p w14:paraId="30AAC9D1" w14:textId="77777777" w:rsidR="005544FF" w:rsidRPr="002E4CB5" w:rsidRDefault="005544FF" w:rsidP="005544FF">
      <w:pPr>
        <w:pStyle w:val="FootnoteText"/>
        <w:rPr>
          <w:lang w:val="es-ES"/>
        </w:rPr>
      </w:pPr>
      <w:r w:rsidRPr="00B76EA2">
        <w:tab/>
      </w:r>
      <w:r>
        <w:rPr>
          <w:rStyle w:val="FootnoteReference"/>
        </w:rPr>
        <w:footnoteRef/>
      </w:r>
      <w:r w:rsidRPr="002E4CB5">
        <w:rPr>
          <w:lang w:val="es-ES"/>
        </w:rPr>
        <w:t xml:space="preserve"> </w:t>
      </w:r>
      <w:r w:rsidRPr="002E4CB5">
        <w:rPr>
          <w:lang w:val="es-ES"/>
        </w:rPr>
        <w:tab/>
      </w:r>
      <w:r w:rsidRPr="002E4CB5">
        <w:rPr>
          <w:rFonts w:asciiTheme="majorBidi" w:hAnsiTheme="majorBidi" w:cstheme="majorBidi"/>
          <w:szCs w:val="18"/>
          <w:lang w:val="es-ES"/>
        </w:rPr>
        <w:t>ECE/EIA.MP/2023/6.</w:t>
      </w:r>
    </w:p>
  </w:footnote>
  <w:footnote w:id="28">
    <w:p w14:paraId="230D33C4" w14:textId="441FBF68" w:rsidR="005544FF" w:rsidRPr="00E1358D" w:rsidRDefault="005544FF" w:rsidP="005544FF">
      <w:pPr>
        <w:pStyle w:val="FootnoteText"/>
        <w:rPr>
          <w:lang w:val="es-ES"/>
        </w:rPr>
      </w:pPr>
      <w:r w:rsidRPr="002E4CB5">
        <w:rPr>
          <w:lang w:val="es-ES"/>
        </w:rPr>
        <w:tab/>
      </w:r>
      <w:r>
        <w:rPr>
          <w:rStyle w:val="FootnoteReference"/>
        </w:rPr>
        <w:footnoteRef/>
      </w:r>
      <w:r w:rsidR="00D1287E">
        <w:rPr>
          <w:lang w:val="es-ES"/>
        </w:rPr>
        <w:tab/>
      </w:r>
      <w:r w:rsidRPr="00E1358D">
        <w:rPr>
          <w:rFonts w:eastAsia="Calibri"/>
          <w:szCs w:val="18"/>
          <w:lang w:val="es-ES"/>
        </w:rPr>
        <w:t>ECE/MP.EIA/2023/13–ECE/MP.EIA/SEA/2023/13.</w:t>
      </w:r>
    </w:p>
  </w:footnote>
  <w:footnote w:id="29">
    <w:p w14:paraId="4C879BB4" w14:textId="16E21930" w:rsidR="005544FF" w:rsidRPr="0082732B" w:rsidRDefault="00D1287E" w:rsidP="005544FF">
      <w:pPr>
        <w:pStyle w:val="FootnoteText"/>
      </w:pPr>
      <w:r>
        <w:rPr>
          <w:lang w:val="es-ES"/>
        </w:rPr>
        <w:tab/>
      </w:r>
      <w:r w:rsidR="005544FF">
        <w:rPr>
          <w:rStyle w:val="FootnoteReference"/>
        </w:rPr>
        <w:footnoteRef/>
      </w:r>
      <w:r>
        <w:rPr>
          <w:lang w:val="es-ES"/>
        </w:rPr>
        <w:tab/>
      </w:r>
      <w:r w:rsidR="005544FF" w:rsidRPr="00E1358D">
        <w:rPr>
          <w:lang w:val="es-ES" w:eastAsia="en-GB"/>
        </w:rPr>
        <w:t xml:space="preserve">ECE/MP.EIA/30/Add.2–ECE/MP.EIA/SEA/13/Add.2, </w:t>
      </w:r>
      <w:proofErr w:type="spellStart"/>
      <w:r w:rsidR="005544FF">
        <w:rPr>
          <w:lang w:val="es-ES" w:eastAsia="en-GB"/>
        </w:rPr>
        <w:t>decision</w:t>
      </w:r>
      <w:proofErr w:type="spellEnd"/>
      <w:r w:rsidR="005544FF" w:rsidRPr="00E1358D">
        <w:rPr>
          <w:lang w:val="es-ES" w:eastAsia="en-GB"/>
        </w:rPr>
        <w:t xml:space="preserve"> VIII/4, para. </w:t>
      </w:r>
      <w:r w:rsidR="005544FF" w:rsidRPr="00E1358D">
        <w:rPr>
          <w:lang w:eastAsia="en-GB"/>
        </w:rPr>
        <w:t>11.</w:t>
      </w:r>
    </w:p>
  </w:footnote>
  <w:footnote w:id="30">
    <w:p w14:paraId="096D1665" w14:textId="77777777" w:rsidR="005544FF" w:rsidRDefault="005544FF" w:rsidP="005544FF">
      <w:pPr>
        <w:pStyle w:val="FootnoteText"/>
      </w:pPr>
      <w:r w:rsidRPr="0082732B">
        <w:tab/>
      </w:r>
      <w:r>
        <w:rPr>
          <w:rStyle w:val="FootnoteReference"/>
        </w:rPr>
        <w:footnoteRef/>
      </w:r>
      <w:r>
        <w:t xml:space="preserve"> </w:t>
      </w:r>
      <w:r w:rsidRPr="003953BD">
        <w:rPr>
          <w:rFonts w:asciiTheme="majorBidi" w:hAnsiTheme="majorBidi" w:cstheme="majorBidi"/>
          <w:szCs w:val="18"/>
        </w:rPr>
        <w:tab/>
      </w:r>
      <w:r w:rsidRPr="003953BD">
        <w:rPr>
          <w:rFonts w:asciiTheme="majorBidi" w:hAnsiTheme="majorBidi" w:cstheme="majorBidi"/>
          <w:i/>
          <w:iCs/>
          <w:szCs w:val="18"/>
        </w:rPr>
        <w:t>Good Practice Recommendations on the Application of the Convention to Nuclear Energy-related Activities</w:t>
      </w:r>
      <w:r w:rsidRPr="003953BD">
        <w:rPr>
          <w:rFonts w:asciiTheme="majorBidi" w:hAnsiTheme="majorBidi" w:cstheme="majorBidi"/>
          <w:szCs w:val="18"/>
        </w:rPr>
        <w:t xml:space="preserve"> (ECE/MP.EIA/2017/10), para. 28, endorsed by the Meeting of the Parties at its seventh session (Minsk, 13–16 June 2017), through decision VII/6 (ECE/MP.EIA/23.Add.2–ECE/MP.EIA/SEA/7.Add.2).</w:t>
      </w:r>
    </w:p>
  </w:footnote>
  <w:footnote w:id="31">
    <w:p w14:paraId="5F5F5D2F" w14:textId="1D3110DE" w:rsidR="00895DCB" w:rsidRPr="005A1D8F" w:rsidRDefault="00895DCB" w:rsidP="00895DCB">
      <w:pPr>
        <w:pStyle w:val="FootnoteText"/>
        <w:rPr>
          <w:lang w:val="en-US"/>
        </w:rPr>
      </w:pPr>
      <w:r>
        <w:tab/>
      </w:r>
      <w:r>
        <w:rPr>
          <w:rStyle w:val="FootnoteReference"/>
        </w:rPr>
        <w:footnoteRef/>
      </w:r>
      <w:r>
        <w:tab/>
      </w:r>
      <w:r>
        <w:tab/>
      </w:r>
      <w:r>
        <w:rPr>
          <w:lang w:val="en-US"/>
        </w:rPr>
        <w:t>ECE/MP.EIA/2023/6.</w:t>
      </w:r>
    </w:p>
  </w:footnote>
  <w:footnote w:id="32">
    <w:p w14:paraId="6886B33B" w14:textId="5D3209F9" w:rsidR="00895DCB" w:rsidRPr="0082732B" w:rsidRDefault="00D1287E" w:rsidP="00895DCB">
      <w:pPr>
        <w:pStyle w:val="FootnoteText"/>
      </w:pPr>
      <w:r>
        <w:tab/>
      </w:r>
      <w:r w:rsidR="00895DCB">
        <w:rPr>
          <w:rStyle w:val="FootnoteReference"/>
        </w:rPr>
        <w:footnoteRef/>
      </w:r>
      <w:r>
        <w:tab/>
      </w:r>
      <w:r w:rsidR="00895DCB" w:rsidRPr="00D334E9">
        <w:rPr>
          <w:lang w:eastAsia="en-GB"/>
        </w:rPr>
        <w:t>ECE/MP.EIA/IC/2023/11</w:t>
      </w:r>
      <w:r w:rsidR="00895DCB">
        <w:rPr>
          <w:lang w:eastAsia="en-GB"/>
        </w:rPr>
        <w:t>.</w:t>
      </w:r>
    </w:p>
  </w:footnote>
  <w:footnote w:id="33">
    <w:p w14:paraId="1296D280" w14:textId="668AD721" w:rsidR="00895DCB" w:rsidRPr="00E1358D" w:rsidRDefault="00895DCB" w:rsidP="00895DCB">
      <w:pPr>
        <w:pStyle w:val="FootnoteText"/>
        <w:rPr>
          <w:lang w:val="es-ES"/>
        </w:rPr>
      </w:pPr>
      <w:r w:rsidRPr="00925857">
        <w:tab/>
      </w:r>
      <w:r w:rsidRPr="00E1358D">
        <w:rPr>
          <w:rStyle w:val="FootnoteReference"/>
        </w:rPr>
        <w:footnoteRef/>
      </w:r>
      <w:r w:rsidR="00D1287E">
        <w:rPr>
          <w:lang w:val="es-ES"/>
        </w:rPr>
        <w:tab/>
      </w:r>
      <w:r w:rsidRPr="00E1358D">
        <w:rPr>
          <w:rFonts w:eastAsia="Calibri"/>
          <w:szCs w:val="18"/>
          <w:lang w:val="es-ES"/>
        </w:rPr>
        <w:t>ECE/MP.EIA/2023/13–ECE/MP.EIA/SEA/2023/13.</w:t>
      </w:r>
    </w:p>
  </w:footnote>
  <w:footnote w:id="34">
    <w:p w14:paraId="3F1639D6" w14:textId="77777777" w:rsidR="00895DCB" w:rsidRPr="00F9114A" w:rsidRDefault="00895DCB" w:rsidP="00895DCB">
      <w:pPr>
        <w:pStyle w:val="FootnoteText"/>
      </w:pPr>
      <w:r w:rsidRPr="00E1358D">
        <w:rPr>
          <w:lang w:val="es-ES"/>
        </w:rPr>
        <w:tab/>
      </w:r>
      <w:r w:rsidRPr="000433DC">
        <w:rPr>
          <w:rStyle w:val="FootnoteReference"/>
          <w:color w:val="000000"/>
        </w:rPr>
        <w:footnoteRef/>
      </w:r>
      <w:r>
        <w:tab/>
      </w:r>
      <w:r w:rsidRPr="00E1358D">
        <w:rPr>
          <w:i/>
          <w:iCs/>
        </w:rPr>
        <w:t>Good Practice Recommendations on the Application of the Convention to Nuclear Energy-related Activities</w:t>
      </w:r>
      <w:r>
        <w:t xml:space="preserve"> (ECE/MP.EIA/2017/10), </w:t>
      </w:r>
      <w:r w:rsidRPr="000433DC">
        <w:t>para. 28, endorsed by the Meeting of the Parties at its seventh session (Minsk, 13–16 June 2017), through decision VII/6</w:t>
      </w:r>
      <w:r>
        <w:t xml:space="preserve"> </w:t>
      </w:r>
      <w:r w:rsidRPr="003953BD">
        <w:rPr>
          <w:rFonts w:asciiTheme="majorBidi" w:hAnsiTheme="majorBidi" w:cstheme="majorBidi"/>
          <w:szCs w:val="18"/>
        </w:rPr>
        <w:t>(ECE/MP.EIA/23.Add.2–ECE/MP.EIA/SEA/7.Add.2)</w:t>
      </w:r>
      <w:r w:rsidRPr="000433DC">
        <w:t>.</w:t>
      </w:r>
    </w:p>
  </w:footnote>
  <w:footnote w:id="35">
    <w:p w14:paraId="5AEB4A2F" w14:textId="77777777" w:rsidR="00AD3307" w:rsidRPr="00EE2D81" w:rsidRDefault="00AD3307" w:rsidP="00AD3307">
      <w:pPr>
        <w:pStyle w:val="FootnoteText"/>
      </w:pPr>
      <w:r w:rsidRPr="002D7FC0">
        <w:tab/>
      </w:r>
      <w:r>
        <w:rPr>
          <w:rStyle w:val="FootnoteReference"/>
        </w:rPr>
        <w:footnoteRef/>
      </w:r>
      <w:r w:rsidRPr="00EE2D81">
        <w:t xml:space="preserve"> </w:t>
      </w:r>
      <w:r w:rsidRPr="00EE2D81">
        <w:tab/>
      </w:r>
      <w:r>
        <w:t>ECE/MP.EIA/2023/6.</w:t>
      </w:r>
    </w:p>
  </w:footnote>
  <w:footnote w:id="36">
    <w:p w14:paraId="0F89DD3F" w14:textId="77777777" w:rsidR="00AD3307" w:rsidRDefault="00AD3307" w:rsidP="00AD3307">
      <w:pPr>
        <w:pStyle w:val="FootnoteText"/>
      </w:pPr>
      <w:r>
        <w:tab/>
      </w:r>
      <w:r>
        <w:rPr>
          <w:rStyle w:val="FootnoteReference"/>
        </w:rPr>
        <w:footnoteRef/>
      </w:r>
      <w:r>
        <w:t xml:space="preserve"> </w:t>
      </w:r>
      <w:r>
        <w:tab/>
      </w:r>
      <w:r w:rsidRPr="009A1E2F">
        <w:t>ECE/MP/EIA/6, annex II</w:t>
      </w:r>
      <w:r>
        <w:t>.</w:t>
      </w:r>
    </w:p>
  </w:footnote>
  <w:footnote w:id="37">
    <w:p w14:paraId="36F96A24" w14:textId="2330795F" w:rsidR="00AD3307" w:rsidRPr="0082732B" w:rsidRDefault="00B525F4" w:rsidP="00AD3307">
      <w:pPr>
        <w:pStyle w:val="FootnoteText"/>
      </w:pPr>
      <w:r>
        <w:tab/>
      </w:r>
      <w:r w:rsidR="00AD3307">
        <w:rPr>
          <w:rStyle w:val="FootnoteReference"/>
        </w:rPr>
        <w:footnoteRef/>
      </w:r>
      <w:r>
        <w:tab/>
      </w:r>
      <w:r w:rsidR="00AD3307" w:rsidRPr="000433DC">
        <w:rPr>
          <w:lang w:eastAsia="en-US"/>
        </w:rPr>
        <w:t>ECE/MP.EIA/IC/2022/8</w:t>
      </w:r>
      <w:r w:rsidR="00AD3307">
        <w:rPr>
          <w:lang w:eastAsia="en-US"/>
        </w:rPr>
        <w:t>.</w:t>
      </w:r>
    </w:p>
  </w:footnote>
  <w:footnote w:id="38">
    <w:p w14:paraId="1969C005" w14:textId="0DE92078" w:rsidR="00AD3307" w:rsidRPr="006A24F4" w:rsidRDefault="00AD3307" w:rsidP="00AD3307">
      <w:pPr>
        <w:pStyle w:val="FootnoteText"/>
      </w:pPr>
      <w:r w:rsidRPr="00925857">
        <w:tab/>
      </w:r>
      <w:r>
        <w:rPr>
          <w:rStyle w:val="FootnoteReference"/>
        </w:rPr>
        <w:footnoteRef/>
      </w:r>
      <w:r w:rsidR="00B525F4">
        <w:tab/>
      </w:r>
      <w:r w:rsidRPr="006A24F4">
        <w:rPr>
          <w:rFonts w:eastAsia="Calibri"/>
          <w:szCs w:val="18"/>
        </w:rPr>
        <w:t>ECE/MP.EIA/2023/13–ECE/MP.EIA/SEA/2023/13.</w:t>
      </w:r>
    </w:p>
  </w:footnote>
  <w:footnote w:id="39">
    <w:p w14:paraId="26C05FB7" w14:textId="77777777" w:rsidR="00822074" w:rsidRPr="00E1358D" w:rsidRDefault="00822074" w:rsidP="00822074">
      <w:pPr>
        <w:pStyle w:val="FootnoteText"/>
        <w:rPr>
          <w:lang w:val="es-ES"/>
        </w:rPr>
      </w:pPr>
      <w:r w:rsidRPr="006A24F4">
        <w:tab/>
      </w:r>
      <w:r w:rsidRPr="0087354F">
        <w:rPr>
          <w:vertAlign w:val="superscript"/>
        </w:rPr>
        <w:footnoteRef/>
      </w:r>
      <w:r w:rsidRPr="00E1358D">
        <w:rPr>
          <w:lang w:val="es-ES"/>
        </w:rPr>
        <w:tab/>
        <w:t>ECE/MP.EIA/10.</w:t>
      </w:r>
    </w:p>
  </w:footnote>
  <w:footnote w:id="40">
    <w:p w14:paraId="3D24C32D" w14:textId="77777777" w:rsidR="00822074" w:rsidRPr="00E1358D" w:rsidRDefault="00822074" w:rsidP="00822074">
      <w:pPr>
        <w:pStyle w:val="FootnoteText"/>
        <w:rPr>
          <w:lang w:val="es-ES"/>
        </w:rPr>
      </w:pPr>
      <w:r w:rsidRPr="00E1358D">
        <w:rPr>
          <w:lang w:val="es-ES"/>
        </w:rPr>
        <w:tab/>
      </w:r>
      <w:r w:rsidRPr="0087354F">
        <w:rPr>
          <w:vertAlign w:val="superscript"/>
        </w:rPr>
        <w:footnoteRef/>
      </w:r>
      <w:r w:rsidRPr="00E1358D">
        <w:rPr>
          <w:lang w:val="es-ES"/>
        </w:rPr>
        <w:tab/>
        <w:t>ECE/MP.EIA/15.</w:t>
      </w:r>
    </w:p>
  </w:footnote>
  <w:footnote w:id="41">
    <w:p w14:paraId="46606B11" w14:textId="77777777" w:rsidR="00822074" w:rsidRPr="00E1358D" w:rsidRDefault="00822074" w:rsidP="00822074">
      <w:pPr>
        <w:pStyle w:val="FootnoteText"/>
        <w:rPr>
          <w:lang w:val="es-ES"/>
        </w:rPr>
      </w:pPr>
      <w:r w:rsidRPr="00E1358D">
        <w:rPr>
          <w:lang w:val="es-ES"/>
        </w:rPr>
        <w:tab/>
      </w:r>
      <w:r w:rsidRPr="0087354F">
        <w:rPr>
          <w:vertAlign w:val="superscript"/>
        </w:rPr>
        <w:footnoteRef/>
      </w:r>
      <w:r w:rsidRPr="00E1358D">
        <w:rPr>
          <w:lang w:val="es-ES"/>
        </w:rPr>
        <w:tab/>
        <w:t>ECE/MP.EIA/20/Add.1–ECE/MP.EIA/SEA/4/Add.1.</w:t>
      </w:r>
    </w:p>
  </w:footnote>
  <w:footnote w:id="42">
    <w:p w14:paraId="7BF83D38" w14:textId="77777777" w:rsidR="00822074" w:rsidRPr="00E1358D" w:rsidRDefault="00822074" w:rsidP="00822074">
      <w:pPr>
        <w:pStyle w:val="FootnoteText"/>
        <w:rPr>
          <w:lang w:val="es-ES"/>
        </w:rPr>
      </w:pPr>
      <w:r w:rsidRPr="00E1358D">
        <w:rPr>
          <w:lang w:val="es-ES"/>
        </w:rPr>
        <w:tab/>
      </w:r>
      <w:r>
        <w:rPr>
          <w:rStyle w:val="FootnoteReference"/>
        </w:rPr>
        <w:footnoteRef/>
      </w:r>
      <w:r w:rsidRPr="00E1358D">
        <w:rPr>
          <w:lang w:val="es-ES"/>
        </w:rPr>
        <w:tab/>
        <w:t>ECE/MP.EIA/27/Add.1–ECE/MP.EIA/SEA/11/Add.1.</w:t>
      </w:r>
    </w:p>
  </w:footnote>
  <w:footnote w:id="43">
    <w:p w14:paraId="7D518992" w14:textId="29E0D48B" w:rsidR="00822074" w:rsidRPr="00B94A3C" w:rsidRDefault="00822074" w:rsidP="00822074">
      <w:pPr>
        <w:pStyle w:val="FootnoteText"/>
        <w:rPr>
          <w:lang w:val="es-ES"/>
        </w:rPr>
      </w:pPr>
      <w:r w:rsidRPr="00E1358D">
        <w:rPr>
          <w:lang w:val="es-ES"/>
        </w:rPr>
        <w:tab/>
      </w:r>
      <w:r>
        <w:rPr>
          <w:rStyle w:val="FootnoteReference"/>
        </w:rPr>
        <w:footnoteRef/>
      </w:r>
      <w:r w:rsidR="00ED7665">
        <w:rPr>
          <w:lang w:val="es-ES"/>
        </w:rPr>
        <w:tab/>
      </w:r>
      <w:r w:rsidRPr="00B94A3C">
        <w:rPr>
          <w:lang w:val="es-ES"/>
        </w:rPr>
        <w:t>ECE/MP.EIA/30/Add.2</w:t>
      </w:r>
      <w:r w:rsidRPr="00E1358D">
        <w:rPr>
          <w:lang w:val="es-ES"/>
        </w:rPr>
        <w:t>–</w:t>
      </w:r>
      <w:r w:rsidRPr="00B94A3C">
        <w:rPr>
          <w:lang w:val="es-ES"/>
        </w:rPr>
        <w:t>ECE/MP.EIA/SEA/13/Add.2.</w:t>
      </w:r>
    </w:p>
  </w:footnote>
  <w:footnote w:id="44">
    <w:p w14:paraId="3C17AC89" w14:textId="77777777" w:rsidR="00822074" w:rsidRPr="001B1688" w:rsidRDefault="00822074" w:rsidP="00822074">
      <w:pPr>
        <w:pStyle w:val="FootnoteText"/>
        <w:rPr>
          <w:lang w:val="es-ES"/>
        </w:rPr>
      </w:pPr>
      <w:r w:rsidRPr="00B94A3C">
        <w:rPr>
          <w:lang w:val="es-ES"/>
        </w:rPr>
        <w:tab/>
      </w:r>
      <w:r w:rsidRPr="0087354F">
        <w:rPr>
          <w:vertAlign w:val="superscript"/>
        </w:rPr>
        <w:footnoteRef/>
      </w:r>
      <w:r w:rsidRPr="001B1688">
        <w:rPr>
          <w:lang w:val="es-ES"/>
        </w:rPr>
        <w:tab/>
      </w:r>
      <w:r w:rsidRPr="00E1358D">
        <w:rPr>
          <w:lang w:val="es-ES"/>
        </w:rPr>
        <w:t>ECE/MP.EIA/2023/13–ECE/MP.EIA/SEA/2023/13.</w:t>
      </w:r>
      <w:r w:rsidRPr="001B1688">
        <w:rPr>
          <w:lang w:val="es-ES"/>
        </w:rPr>
        <w:t xml:space="preserve"> </w:t>
      </w:r>
    </w:p>
  </w:footnote>
  <w:footnote w:id="45">
    <w:p w14:paraId="7342DF67" w14:textId="77777777" w:rsidR="00822074" w:rsidRPr="00972D13" w:rsidRDefault="00822074" w:rsidP="00822074">
      <w:pPr>
        <w:pStyle w:val="FootnoteText"/>
        <w:rPr>
          <w:lang w:val="lt-LT"/>
        </w:rPr>
      </w:pPr>
      <w:r w:rsidRPr="001B1688">
        <w:rPr>
          <w:lang w:val="es-ES"/>
        </w:rPr>
        <w:tab/>
      </w:r>
      <w:r>
        <w:rPr>
          <w:rStyle w:val="FootnoteReference"/>
        </w:rPr>
        <w:footnoteRef/>
      </w:r>
      <w:r w:rsidRPr="00B94A3C">
        <w:rPr>
          <w:lang w:val="es-ES"/>
        </w:rPr>
        <w:t xml:space="preserve"> </w:t>
      </w:r>
      <w:r w:rsidRPr="00B94A3C">
        <w:rPr>
          <w:lang w:val="es-ES"/>
        </w:rPr>
        <w:tab/>
      </w:r>
      <w:r>
        <w:rPr>
          <w:lang w:val="lt-LT"/>
        </w:rPr>
        <w:t>Ibid.</w:t>
      </w:r>
    </w:p>
  </w:footnote>
  <w:footnote w:id="46">
    <w:p w14:paraId="0B5FC0D7" w14:textId="7F18E8DD" w:rsidR="000C76F4" w:rsidRPr="003D72BD" w:rsidRDefault="00B525F4" w:rsidP="000C76F4">
      <w:pPr>
        <w:pStyle w:val="FootnoteText"/>
        <w:rPr>
          <w:lang w:val="es-ES_tradnl"/>
        </w:rPr>
      </w:pPr>
      <w:r>
        <w:rPr>
          <w:lang w:val="es-ES"/>
        </w:rPr>
        <w:tab/>
      </w:r>
      <w:r w:rsidR="000C76F4">
        <w:rPr>
          <w:rStyle w:val="FootnoteReference"/>
        </w:rPr>
        <w:footnoteRef/>
      </w:r>
      <w:r>
        <w:rPr>
          <w:lang w:val="es-ES_tradnl"/>
        </w:rPr>
        <w:tab/>
      </w:r>
      <w:r w:rsidR="000C76F4" w:rsidRPr="00AD0C56">
        <w:rPr>
          <w:lang w:val="es-ES"/>
        </w:rPr>
        <w:t>ECE/MP.EIA/20/Add.1</w:t>
      </w:r>
      <w:r w:rsidR="000C76F4" w:rsidRPr="00EC6AEC">
        <w:rPr>
          <w:rFonts w:eastAsia="Calibri"/>
          <w:szCs w:val="18"/>
          <w:lang w:val="es-ES"/>
        </w:rPr>
        <w:t>–</w:t>
      </w:r>
      <w:r w:rsidR="000C76F4" w:rsidRPr="00AD0C56">
        <w:rPr>
          <w:lang w:val="es-ES"/>
        </w:rPr>
        <w:t>ECE/MP.EIA/SEA/4/Add.1.</w:t>
      </w:r>
    </w:p>
  </w:footnote>
  <w:footnote w:id="47">
    <w:p w14:paraId="7375B9BD" w14:textId="4FAB3EB9" w:rsidR="000C76F4" w:rsidRPr="008714B2" w:rsidRDefault="000C76F4" w:rsidP="000C76F4">
      <w:pPr>
        <w:pStyle w:val="FootnoteText"/>
        <w:rPr>
          <w:lang w:val="es-ES_tradnl"/>
        </w:rPr>
      </w:pPr>
      <w:r>
        <w:rPr>
          <w:lang w:val="es-ES_tradnl"/>
        </w:rPr>
        <w:tab/>
      </w:r>
      <w:r>
        <w:rPr>
          <w:rStyle w:val="FootnoteReference"/>
        </w:rPr>
        <w:footnoteRef/>
      </w:r>
      <w:r w:rsidR="00B525F4">
        <w:rPr>
          <w:lang w:val="es-ES_tradnl"/>
        </w:rPr>
        <w:tab/>
      </w:r>
      <w:r w:rsidRPr="008714B2">
        <w:rPr>
          <w:lang w:val="es-ES_tradnl"/>
        </w:rPr>
        <w:t>ECE/MP.EIA/27/Add.1</w:t>
      </w:r>
      <w:r w:rsidRPr="00EC6AEC">
        <w:rPr>
          <w:rFonts w:eastAsia="Calibri"/>
          <w:szCs w:val="18"/>
          <w:lang w:val="es-ES"/>
        </w:rPr>
        <w:t>–</w:t>
      </w:r>
      <w:r w:rsidRPr="008714B2">
        <w:rPr>
          <w:lang w:val="es-ES_tradnl"/>
        </w:rPr>
        <w:t>ECE/MP.EIA/SEA/11/Add.1</w:t>
      </w:r>
      <w:r>
        <w:rPr>
          <w:lang w:val="es-ES_tradnl"/>
        </w:rPr>
        <w:t>.</w:t>
      </w:r>
    </w:p>
  </w:footnote>
  <w:footnote w:id="48">
    <w:p w14:paraId="06638C5D" w14:textId="16137387" w:rsidR="000C76F4" w:rsidRPr="00E1358D" w:rsidRDefault="00B525F4" w:rsidP="00B525F4">
      <w:pPr>
        <w:pStyle w:val="FootnoteText"/>
        <w:rPr>
          <w:rStyle w:val="FootnoteReference"/>
          <w:lang w:val="es-ES"/>
        </w:rPr>
      </w:pPr>
      <w:r>
        <w:rPr>
          <w:lang w:val="es-ES"/>
        </w:rPr>
        <w:tab/>
      </w:r>
      <w:r w:rsidR="000C76F4">
        <w:rPr>
          <w:rStyle w:val="FootnoteReference"/>
        </w:rPr>
        <w:footnoteRef/>
      </w:r>
      <w:r>
        <w:rPr>
          <w:lang w:val="es-ES"/>
        </w:rPr>
        <w:tab/>
      </w:r>
      <w:r w:rsidR="000C76F4" w:rsidRPr="00E1358D">
        <w:rPr>
          <w:lang w:val="es-ES"/>
        </w:rPr>
        <w:t>ECE/MP.EIA/30/Add.2</w:t>
      </w:r>
      <w:r w:rsidR="000C76F4" w:rsidRPr="00EC6AEC">
        <w:rPr>
          <w:rFonts w:eastAsia="Calibri"/>
          <w:szCs w:val="18"/>
          <w:lang w:val="es-ES"/>
        </w:rPr>
        <w:t>–</w:t>
      </w:r>
      <w:r w:rsidR="000C76F4" w:rsidRPr="00E1358D">
        <w:rPr>
          <w:lang w:val="es-ES"/>
        </w:rPr>
        <w:t>ECE/MP.EIA/SEA/13/Add.2.</w:t>
      </w:r>
    </w:p>
  </w:footnote>
  <w:footnote w:id="49">
    <w:p w14:paraId="340C7346" w14:textId="663040F5" w:rsidR="000C76F4" w:rsidRPr="00E1358D" w:rsidRDefault="000C76F4" w:rsidP="000C76F4">
      <w:pPr>
        <w:pStyle w:val="FootnoteText"/>
        <w:rPr>
          <w:lang w:val="es-ES"/>
        </w:rPr>
      </w:pPr>
      <w:r w:rsidRPr="00E1358D">
        <w:rPr>
          <w:lang w:val="es-ES"/>
        </w:rPr>
        <w:tab/>
      </w:r>
      <w:r>
        <w:rPr>
          <w:rStyle w:val="FootnoteReference"/>
        </w:rPr>
        <w:footnoteRef/>
      </w:r>
      <w:r w:rsidR="00B525F4">
        <w:rPr>
          <w:lang w:val="es-ES"/>
        </w:rPr>
        <w:tab/>
      </w:r>
      <w:r w:rsidRPr="00E1358D">
        <w:rPr>
          <w:lang w:val="es-ES"/>
        </w:rPr>
        <w:t>ECE/MP.EIA/2023/6.</w:t>
      </w:r>
    </w:p>
  </w:footnote>
  <w:footnote w:id="50">
    <w:p w14:paraId="5CAF13B4" w14:textId="675AD223" w:rsidR="000C76F4" w:rsidRPr="00FA2F51" w:rsidRDefault="00B525F4" w:rsidP="000C76F4">
      <w:pPr>
        <w:pStyle w:val="FootnoteText"/>
        <w:rPr>
          <w:lang w:val="es-ES"/>
        </w:rPr>
      </w:pPr>
      <w:r>
        <w:rPr>
          <w:lang w:val="es-ES"/>
        </w:rPr>
        <w:tab/>
      </w:r>
      <w:r w:rsidR="000C76F4" w:rsidRPr="00E1358D">
        <w:rPr>
          <w:rStyle w:val="FootnoteReference"/>
        </w:rPr>
        <w:footnoteRef/>
      </w:r>
      <w:r>
        <w:rPr>
          <w:lang w:val="es-ES"/>
        </w:rPr>
        <w:tab/>
      </w:r>
      <w:r w:rsidR="000C76F4" w:rsidRPr="00E1358D">
        <w:rPr>
          <w:rFonts w:eastAsia="Calibri"/>
          <w:szCs w:val="18"/>
          <w:lang w:val="es-ES"/>
        </w:rPr>
        <w:t>ECE/MP.EIA/2023/13–ECE/MP.EIA/SEA/2023/13.</w:t>
      </w:r>
    </w:p>
  </w:footnote>
  <w:footnote w:id="51">
    <w:p w14:paraId="4393C0F9" w14:textId="18F9DB83" w:rsidR="000C76F4" w:rsidRPr="00E1358D" w:rsidRDefault="00B525F4" w:rsidP="000C76F4">
      <w:pPr>
        <w:pStyle w:val="FootnoteText"/>
        <w:rPr>
          <w:lang w:val="es-ES"/>
        </w:rPr>
      </w:pPr>
      <w:r>
        <w:rPr>
          <w:lang w:val="es-ES"/>
        </w:rPr>
        <w:tab/>
      </w:r>
      <w:r w:rsidR="000C76F4">
        <w:rPr>
          <w:rStyle w:val="FootnoteReference"/>
        </w:rPr>
        <w:footnoteRef/>
      </w:r>
      <w:r>
        <w:rPr>
          <w:lang w:val="es-ES"/>
        </w:rPr>
        <w:tab/>
      </w:r>
      <w:r w:rsidR="000C76F4" w:rsidRPr="00E1358D">
        <w:rPr>
          <w:lang w:val="es-ES"/>
        </w:rPr>
        <w:t xml:space="preserve">ECE/MP.EIA/IC/2023/8, para.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605F" w14:textId="02977898" w:rsidR="007B6E6F" w:rsidRPr="007B6E6F" w:rsidRDefault="00C5463E">
    <w:pPr>
      <w:pStyle w:val="Header"/>
    </w:pPr>
    <w:r>
      <w:fldChar w:fldCharType="begin"/>
    </w:r>
    <w:r>
      <w:instrText xml:space="preserve"> TITLE  \* MERGEFORMAT </w:instrText>
    </w:r>
    <w:r>
      <w:fldChar w:fldCharType="separate"/>
    </w:r>
    <w:r w:rsidR="00DD16F5">
      <w:t>ECE/MP.EIA/2023/7</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6515" w14:textId="5E51E116" w:rsidR="00822074" w:rsidRDefault="00C5463E" w:rsidP="000D0F1C">
    <w:pPr>
      <w:pStyle w:val="Header"/>
      <w:jc w:val="right"/>
    </w:pPr>
    <w:r>
      <w:fldChar w:fldCharType="begin"/>
    </w:r>
    <w:r>
      <w:instrText xml:space="preserve"> TITLE  \* MERGEFORMAT </w:instrText>
    </w:r>
    <w:r>
      <w:fldChar w:fldCharType="separate"/>
    </w:r>
    <w:r w:rsidR="00DD16F5">
      <w:t>ECE/MP.EIA/2023/7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897077"/>
  <w:bookmarkStart w:id="3" w:name="_Hlk146897078"/>
  <w:bookmarkStart w:id="4" w:name="_Hlk146897079"/>
  <w:bookmarkStart w:id="5" w:name="_Hlk146897080"/>
  <w:p w14:paraId="474E336B" w14:textId="1D9B2023" w:rsidR="007B6E6F" w:rsidRPr="007B6E6F" w:rsidRDefault="007B6E6F" w:rsidP="007B6E6F">
    <w:pPr>
      <w:pStyle w:val="Header"/>
      <w:jc w:val="right"/>
    </w:pPr>
    <w:r>
      <w:fldChar w:fldCharType="begin"/>
    </w:r>
    <w:r>
      <w:instrText xml:space="preserve"> TITLE  \* MERGEFORMAT </w:instrText>
    </w:r>
    <w:r>
      <w:fldChar w:fldCharType="separate"/>
    </w:r>
    <w:r w:rsidR="00DD16F5">
      <w:t>ECE/MP.EIA/2023/7</w: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6446" w14:textId="77777777" w:rsidR="00386537" w:rsidRDefault="003865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0CDB" w14:textId="41F92017" w:rsidR="00AE348E" w:rsidRDefault="00C5463E" w:rsidP="00AE348E">
    <w:pPr>
      <w:pStyle w:val="Header"/>
    </w:pPr>
    <w:r>
      <w:fldChar w:fldCharType="begin"/>
    </w:r>
    <w:r>
      <w:instrText xml:space="preserve"> TITLE  \* MERGEFORMAT </w:instrText>
    </w:r>
    <w:r>
      <w:fldChar w:fldCharType="separate"/>
    </w:r>
    <w:r w:rsidR="00DD16F5">
      <w:t>ECE/MP.EIA/2023/7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1D36" w14:textId="74F7E688" w:rsidR="00C34A99" w:rsidRDefault="00C5463E" w:rsidP="00AE348E">
    <w:pPr>
      <w:pStyle w:val="Header"/>
    </w:pPr>
    <w:r>
      <w:fldChar w:fldCharType="begin"/>
    </w:r>
    <w:r>
      <w:instrText xml:space="preserve"> TITLE  \*</w:instrText>
    </w:r>
    <w:r>
      <w:instrText xml:space="preserve"> MERGEFORMAT </w:instrText>
    </w:r>
    <w:r>
      <w:fldChar w:fldCharType="separate"/>
    </w:r>
    <w:r w:rsidR="00DD16F5">
      <w:t>ECE/MP.EIA/2023/7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8494" w14:textId="5DB7C10A" w:rsidR="000D0F1C" w:rsidRDefault="00C5463E" w:rsidP="000D0F1C">
    <w:pPr>
      <w:pStyle w:val="Header"/>
      <w:jc w:val="right"/>
    </w:pPr>
    <w:r>
      <w:fldChar w:fldCharType="begin"/>
    </w:r>
    <w:r>
      <w:instrText xml:space="preserve"> TITLE  \* MERGEFORMAT </w:instrText>
    </w:r>
    <w:r>
      <w:fldChar w:fldCharType="separate"/>
    </w:r>
    <w:r w:rsidR="00DD16F5">
      <w:t>ECE/MP.EIA/2023/7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D7E3" w14:textId="4FA4E23D" w:rsidR="000642FA" w:rsidRDefault="00C5463E" w:rsidP="000D0F1C">
    <w:pPr>
      <w:pStyle w:val="Header"/>
      <w:jc w:val="right"/>
    </w:pPr>
    <w:r>
      <w:fldChar w:fldCharType="begin"/>
    </w:r>
    <w:r>
      <w:instrText xml:space="preserve"> TITLE  \* MERGEFORMAT </w:instrText>
    </w:r>
    <w:r>
      <w:fldChar w:fldCharType="separate"/>
    </w:r>
    <w:r w:rsidR="00DD16F5">
      <w:t>ECE/MP.EIA/2023/7</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8E95" w14:textId="183E3BF7" w:rsidR="00895DCB" w:rsidRDefault="00C5463E" w:rsidP="000D0F1C">
    <w:pPr>
      <w:pStyle w:val="Header"/>
      <w:jc w:val="right"/>
    </w:pPr>
    <w:r>
      <w:fldChar w:fldCharType="begin"/>
    </w:r>
    <w:r>
      <w:instrText xml:space="preserve"> TITLE  \* MERGEFORMAT </w:instrText>
    </w:r>
    <w:r>
      <w:fldChar w:fldCharType="separate"/>
    </w:r>
    <w:r w:rsidR="00DD16F5">
      <w:t>ECE/MP.EIA/2023/7</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97C6" w14:textId="602EE917" w:rsidR="00B451E8" w:rsidRDefault="00C5463E" w:rsidP="000D0F1C">
    <w:pPr>
      <w:pStyle w:val="Header"/>
      <w:jc w:val="right"/>
    </w:pPr>
    <w:r>
      <w:fldChar w:fldCharType="begin"/>
    </w:r>
    <w:r>
      <w:instrText xml:space="preserve"> TITLE  \* MERGEFORMAT </w:instrText>
    </w:r>
    <w:r>
      <w:fldChar w:fldCharType="separate"/>
    </w:r>
    <w:r w:rsidR="00DD16F5">
      <w:t>ECE/MP.EIA/2023/7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0347508">
    <w:abstractNumId w:val="1"/>
  </w:num>
  <w:num w:numId="2" w16cid:durableId="1990208737">
    <w:abstractNumId w:val="0"/>
  </w:num>
  <w:num w:numId="3" w16cid:durableId="13503389">
    <w:abstractNumId w:val="2"/>
  </w:num>
  <w:num w:numId="4" w16cid:durableId="1431202450">
    <w:abstractNumId w:val="3"/>
  </w:num>
  <w:num w:numId="5" w16cid:durableId="2123568660">
    <w:abstractNumId w:val="8"/>
  </w:num>
  <w:num w:numId="6" w16cid:durableId="386537154">
    <w:abstractNumId w:val="9"/>
  </w:num>
  <w:num w:numId="7" w16cid:durableId="1143040062">
    <w:abstractNumId w:val="7"/>
  </w:num>
  <w:num w:numId="8" w16cid:durableId="359354428">
    <w:abstractNumId w:val="6"/>
  </w:num>
  <w:num w:numId="9" w16cid:durableId="1264146603">
    <w:abstractNumId w:val="5"/>
  </w:num>
  <w:num w:numId="10" w16cid:durableId="1801459367">
    <w:abstractNumId w:val="4"/>
  </w:num>
  <w:num w:numId="11" w16cid:durableId="1949308763">
    <w:abstractNumId w:val="15"/>
  </w:num>
  <w:num w:numId="12" w16cid:durableId="78794283">
    <w:abstractNumId w:val="14"/>
  </w:num>
  <w:num w:numId="13" w16cid:durableId="1370494644">
    <w:abstractNumId w:val="10"/>
  </w:num>
  <w:num w:numId="14" w16cid:durableId="1886675055">
    <w:abstractNumId w:val="12"/>
  </w:num>
  <w:num w:numId="15" w16cid:durableId="169414430">
    <w:abstractNumId w:val="16"/>
  </w:num>
  <w:num w:numId="16" w16cid:durableId="681007436">
    <w:abstractNumId w:val="13"/>
  </w:num>
  <w:num w:numId="17" w16cid:durableId="1540320330">
    <w:abstractNumId w:val="17"/>
  </w:num>
  <w:num w:numId="18" w16cid:durableId="662665468">
    <w:abstractNumId w:val="18"/>
  </w:num>
  <w:num w:numId="19" w16cid:durableId="188805739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7B6E6F"/>
    <w:rsid w:val="00002A7D"/>
    <w:rsid w:val="000038A8"/>
    <w:rsid w:val="00006790"/>
    <w:rsid w:val="00027624"/>
    <w:rsid w:val="00050F6B"/>
    <w:rsid w:val="00055729"/>
    <w:rsid w:val="000642FA"/>
    <w:rsid w:val="000678CD"/>
    <w:rsid w:val="00072C8C"/>
    <w:rsid w:val="00081CE0"/>
    <w:rsid w:val="000833F5"/>
    <w:rsid w:val="00084D30"/>
    <w:rsid w:val="00090320"/>
    <w:rsid w:val="000931C0"/>
    <w:rsid w:val="000A2E09"/>
    <w:rsid w:val="000A6A4C"/>
    <w:rsid w:val="000B175B"/>
    <w:rsid w:val="000B3A0F"/>
    <w:rsid w:val="000C76F4"/>
    <w:rsid w:val="000D0F1C"/>
    <w:rsid w:val="000E0415"/>
    <w:rsid w:val="000F7715"/>
    <w:rsid w:val="00156B99"/>
    <w:rsid w:val="00166124"/>
    <w:rsid w:val="00184DDA"/>
    <w:rsid w:val="001900CD"/>
    <w:rsid w:val="001A0452"/>
    <w:rsid w:val="001B4B04"/>
    <w:rsid w:val="001B5875"/>
    <w:rsid w:val="001B597A"/>
    <w:rsid w:val="001C4B9C"/>
    <w:rsid w:val="001C6663"/>
    <w:rsid w:val="001C7895"/>
    <w:rsid w:val="001D26DF"/>
    <w:rsid w:val="001E4917"/>
    <w:rsid w:val="001F1599"/>
    <w:rsid w:val="001F19C4"/>
    <w:rsid w:val="002043F0"/>
    <w:rsid w:val="00211E0B"/>
    <w:rsid w:val="00232575"/>
    <w:rsid w:val="00247258"/>
    <w:rsid w:val="00257CAC"/>
    <w:rsid w:val="0027237A"/>
    <w:rsid w:val="00285430"/>
    <w:rsid w:val="002971D0"/>
    <w:rsid w:val="002974E9"/>
    <w:rsid w:val="002A1D9E"/>
    <w:rsid w:val="002A7F94"/>
    <w:rsid w:val="002B109A"/>
    <w:rsid w:val="002C6D45"/>
    <w:rsid w:val="002D10AB"/>
    <w:rsid w:val="002D6E53"/>
    <w:rsid w:val="002F046D"/>
    <w:rsid w:val="002F2C31"/>
    <w:rsid w:val="002F3023"/>
    <w:rsid w:val="00301764"/>
    <w:rsid w:val="00313F91"/>
    <w:rsid w:val="003229D8"/>
    <w:rsid w:val="00336C97"/>
    <w:rsid w:val="00337F88"/>
    <w:rsid w:val="00342432"/>
    <w:rsid w:val="0035223F"/>
    <w:rsid w:val="00352D4B"/>
    <w:rsid w:val="0035638C"/>
    <w:rsid w:val="00375007"/>
    <w:rsid w:val="00386537"/>
    <w:rsid w:val="003A46BB"/>
    <w:rsid w:val="003A4EC7"/>
    <w:rsid w:val="003A7295"/>
    <w:rsid w:val="003B1F60"/>
    <w:rsid w:val="003C2CC4"/>
    <w:rsid w:val="003D22CC"/>
    <w:rsid w:val="003D4B23"/>
    <w:rsid w:val="003E05C6"/>
    <w:rsid w:val="003E278A"/>
    <w:rsid w:val="003F60C5"/>
    <w:rsid w:val="003F6EDE"/>
    <w:rsid w:val="004058E8"/>
    <w:rsid w:val="00413520"/>
    <w:rsid w:val="004325CB"/>
    <w:rsid w:val="00440A07"/>
    <w:rsid w:val="00462880"/>
    <w:rsid w:val="00476F24"/>
    <w:rsid w:val="004825C1"/>
    <w:rsid w:val="004C55B0"/>
    <w:rsid w:val="004E396F"/>
    <w:rsid w:val="004F6BA0"/>
    <w:rsid w:val="00503BEA"/>
    <w:rsid w:val="00506A83"/>
    <w:rsid w:val="00533616"/>
    <w:rsid w:val="00535ABA"/>
    <w:rsid w:val="0053768B"/>
    <w:rsid w:val="005420F2"/>
    <w:rsid w:val="0054285C"/>
    <w:rsid w:val="005544FF"/>
    <w:rsid w:val="00563CE5"/>
    <w:rsid w:val="00584173"/>
    <w:rsid w:val="00595520"/>
    <w:rsid w:val="005A44B9"/>
    <w:rsid w:val="005B1BA0"/>
    <w:rsid w:val="005B3DB3"/>
    <w:rsid w:val="005D15CA"/>
    <w:rsid w:val="005D72F3"/>
    <w:rsid w:val="005F08DF"/>
    <w:rsid w:val="005F3066"/>
    <w:rsid w:val="005F3E61"/>
    <w:rsid w:val="005F6446"/>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14981"/>
    <w:rsid w:val="0072632A"/>
    <w:rsid w:val="007358E8"/>
    <w:rsid w:val="00736ECE"/>
    <w:rsid w:val="007420B2"/>
    <w:rsid w:val="0074533B"/>
    <w:rsid w:val="007566E7"/>
    <w:rsid w:val="007643BC"/>
    <w:rsid w:val="00780C68"/>
    <w:rsid w:val="00782629"/>
    <w:rsid w:val="007873C9"/>
    <w:rsid w:val="007959FE"/>
    <w:rsid w:val="007A0CF1"/>
    <w:rsid w:val="007B6BA5"/>
    <w:rsid w:val="007B6E6F"/>
    <w:rsid w:val="007C3390"/>
    <w:rsid w:val="007C42D8"/>
    <w:rsid w:val="007C4F4B"/>
    <w:rsid w:val="007D7362"/>
    <w:rsid w:val="007F5CE2"/>
    <w:rsid w:val="007F6611"/>
    <w:rsid w:val="00810BAC"/>
    <w:rsid w:val="00816A90"/>
    <w:rsid w:val="008175E9"/>
    <w:rsid w:val="00822074"/>
    <w:rsid w:val="008242D7"/>
    <w:rsid w:val="0082577B"/>
    <w:rsid w:val="00840D89"/>
    <w:rsid w:val="00862A23"/>
    <w:rsid w:val="00866893"/>
    <w:rsid w:val="00866F02"/>
    <w:rsid w:val="00867D18"/>
    <w:rsid w:val="00871F9A"/>
    <w:rsid w:val="00871FD5"/>
    <w:rsid w:val="00876ED4"/>
    <w:rsid w:val="0088172E"/>
    <w:rsid w:val="00881EFA"/>
    <w:rsid w:val="008879CB"/>
    <w:rsid w:val="00895DCB"/>
    <w:rsid w:val="008979B1"/>
    <w:rsid w:val="008A20CD"/>
    <w:rsid w:val="008A6B25"/>
    <w:rsid w:val="008A6C4F"/>
    <w:rsid w:val="008B389E"/>
    <w:rsid w:val="008D045E"/>
    <w:rsid w:val="008D3F25"/>
    <w:rsid w:val="008D4D82"/>
    <w:rsid w:val="008E0E46"/>
    <w:rsid w:val="008E7116"/>
    <w:rsid w:val="008F143B"/>
    <w:rsid w:val="008F3882"/>
    <w:rsid w:val="008F4B7C"/>
    <w:rsid w:val="008F6A16"/>
    <w:rsid w:val="008F6D84"/>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D3307"/>
    <w:rsid w:val="00AE3011"/>
    <w:rsid w:val="00AE348E"/>
    <w:rsid w:val="00AF4224"/>
    <w:rsid w:val="00AF58C1"/>
    <w:rsid w:val="00B04A3F"/>
    <w:rsid w:val="00B06643"/>
    <w:rsid w:val="00B15055"/>
    <w:rsid w:val="00B20551"/>
    <w:rsid w:val="00B30179"/>
    <w:rsid w:val="00B33FC7"/>
    <w:rsid w:val="00B34528"/>
    <w:rsid w:val="00B37B15"/>
    <w:rsid w:val="00B451E8"/>
    <w:rsid w:val="00B45C02"/>
    <w:rsid w:val="00B525F4"/>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2071"/>
    <w:rsid w:val="00C044E2"/>
    <w:rsid w:val="00C048CB"/>
    <w:rsid w:val="00C066F3"/>
    <w:rsid w:val="00C34A99"/>
    <w:rsid w:val="00C463DD"/>
    <w:rsid w:val="00C5463E"/>
    <w:rsid w:val="00C65C34"/>
    <w:rsid w:val="00C745C3"/>
    <w:rsid w:val="00C978F5"/>
    <w:rsid w:val="00CA24A4"/>
    <w:rsid w:val="00CB2B67"/>
    <w:rsid w:val="00CB348D"/>
    <w:rsid w:val="00CD46F5"/>
    <w:rsid w:val="00CE4602"/>
    <w:rsid w:val="00CE4A8F"/>
    <w:rsid w:val="00CF071D"/>
    <w:rsid w:val="00CF38D7"/>
    <w:rsid w:val="00D0123D"/>
    <w:rsid w:val="00D1287E"/>
    <w:rsid w:val="00D15B04"/>
    <w:rsid w:val="00D2031B"/>
    <w:rsid w:val="00D25FE2"/>
    <w:rsid w:val="00D327FF"/>
    <w:rsid w:val="00D37DA9"/>
    <w:rsid w:val="00D406A7"/>
    <w:rsid w:val="00D43252"/>
    <w:rsid w:val="00D44D86"/>
    <w:rsid w:val="00D50B7D"/>
    <w:rsid w:val="00D52012"/>
    <w:rsid w:val="00D65742"/>
    <w:rsid w:val="00D65D4A"/>
    <w:rsid w:val="00D704E5"/>
    <w:rsid w:val="00D72727"/>
    <w:rsid w:val="00D978C6"/>
    <w:rsid w:val="00DA0956"/>
    <w:rsid w:val="00DA357F"/>
    <w:rsid w:val="00DA3E12"/>
    <w:rsid w:val="00DC18AD"/>
    <w:rsid w:val="00DD16F5"/>
    <w:rsid w:val="00DE2365"/>
    <w:rsid w:val="00DF7CAE"/>
    <w:rsid w:val="00E126D4"/>
    <w:rsid w:val="00E259F7"/>
    <w:rsid w:val="00E269BE"/>
    <w:rsid w:val="00E365DB"/>
    <w:rsid w:val="00E423C0"/>
    <w:rsid w:val="00E431BF"/>
    <w:rsid w:val="00E6414C"/>
    <w:rsid w:val="00E7260F"/>
    <w:rsid w:val="00E8702D"/>
    <w:rsid w:val="00E905F4"/>
    <w:rsid w:val="00E916A9"/>
    <w:rsid w:val="00E916DE"/>
    <w:rsid w:val="00E925AD"/>
    <w:rsid w:val="00E96630"/>
    <w:rsid w:val="00EA681F"/>
    <w:rsid w:val="00EB0447"/>
    <w:rsid w:val="00EC4525"/>
    <w:rsid w:val="00ED18DC"/>
    <w:rsid w:val="00ED6201"/>
    <w:rsid w:val="00ED7665"/>
    <w:rsid w:val="00ED7A2A"/>
    <w:rsid w:val="00EF1D7F"/>
    <w:rsid w:val="00F0137E"/>
    <w:rsid w:val="00F014A0"/>
    <w:rsid w:val="00F04977"/>
    <w:rsid w:val="00F21786"/>
    <w:rsid w:val="00F27D88"/>
    <w:rsid w:val="00F3742B"/>
    <w:rsid w:val="00F41FDB"/>
    <w:rsid w:val="00F5416C"/>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376F4"/>
  <w15:docId w15:val="{F1D9533C-8514-4533-86B5-BD50E257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HChGChar">
    <w:name w:val="_ H _Ch_G Char"/>
    <w:link w:val="HChG"/>
    <w:rsid w:val="001B597A"/>
    <w:rPr>
      <w:b/>
      <w:sz w:val="28"/>
      <w:lang w:val="en-GB"/>
    </w:rPr>
  </w:style>
  <w:style w:type="character" w:customStyle="1" w:styleId="SingleTxtGChar">
    <w:name w:val="_ Single Txt_G Char"/>
    <w:link w:val="SingleTxtG"/>
    <w:rsid w:val="007873C9"/>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AE348E"/>
    <w:rPr>
      <w:sz w:val="18"/>
      <w:lang w:val="en-GB"/>
    </w:rPr>
  </w:style>
  <w:style w:type="character" w:styleId="CommentReference">
    <w:name w:val="annotation reference"/>
    <w:basedOn w:val="DefaultParagraphFont"/>
    <w:semiHidden/>
    <w:unhideWhenUsed/>
    <w:rsid w:val="00AE348E"/>
    <w:rPr>
      <w:sz w:val="16"/>
      <w:szCs w:val="16"/>
    </w:rPr>
  </w:style>
  <w:style w:type="paragraph" w:styleId="CommentText">
    <w:name w:val="annotation text"/>
    <w:basedOn w:val="Normal"/>
    <w:link w:val="CommentTextChar"/>
    <w:unhideWhenUsed/>
    <w:rsid w:val="00AE348E"/>
    <w:pPr>
      <w:spacing w:line="240" w:lineRule="auto"/>
    </w:pPr>
  </w:style>
  <w:style w:type="character" w:customStyle="1" w:styleId="CommentTextChar">
    <w:name w:val="Comment Text Char"/>
    <w:basedOn w:val="DefaultParagraphFont"/>
    <w:link w:val="CommentText"/>
    <w:rsid w:val="00AE348E"/>
    <w:rPr>
      <w:lang w:val="en-GB"/>
    </w:rPr>
  </w:style>
  <w:style w:type="character" w:styleId="Mention">
    <w:name w:val="Mention"/>
    <w:basedOn w:val="DefaultParagraphFont"/>
    <w:uiPriority w:val="99"/>
    <w:unhideWhenUsed/>
    <w:rsid w:val="00AE348E"/>
    <w:rPr>
      <w:color w:val="2B579A"/>
      <w:shd w:val="clear" w:color="auto" w:fill="E1DFDD"/>
    </w:rPr>
  </w:style>
  <w:style w:type="character" w:customStyle="1" w:styleId="cf01">
    <w:name w:val="cf01"/>
    <w:basedOn w:val="DefaultParagraphFont"/>
    <w:rsid w:val="00822074"/>
    <w:rPr>
      <w:rFonts w:ascii="Segoe UI" w:hAnsi="Segoe UI" w:cs="Segoe UI" w:hint="default"/>
      <w:sz w:val="18"/>
      <w:szCs w:val="18"/>
    </w:rPr>
  </w:style>
  <w:style w:type="paragraph" w:styleId="CommentSubject">
    <w:name w:val="annotation subject"/>
    <w:basedOn w:val="CommentText"/>
    <w:next w:val="CommentText"/>
    <w:link w:val="CommentSubjectChar"/>
    <w:semiHidden/>
    <w:unhideWhenUsed/>
    <w:rsid w:val="00840D89"/>
    <w:rPr>
      <w:b/>
      <w:bCs/>
    </w:rPr>
  </w:style>
  <w:style w:type="character" w:customStyle="1" w:styleId="CommentSubjectChar">
    <w:name w:val="Comment Subject Char"/>
    <w:basedOn w:val="CommentTextChar"/>
    <w:link w:val="CommentSubject"/>
    <w:semiHidden/>
    <w:rsid w:val="00840D89"/>
    <w:rPr>
      <w:b/>
      <w:bCs/>
      <w:lang w:val="en-GB"/>
    </w:rPr>
  </w:style>
  <w:style w:type="character" w:styleId="UnresolvedMention">
    <w:name w:val="Unresolved Mention"/>
    <w:basedOn w:val="DefaultParagraphFont"/>
    <w:uiPriority w:val="99"/>
    <w:semiHidden/>
    <w:unhideWhenUsed/>
    <w:rsid w:val="00816A90"/>
    <w:rPr>
      <w:color w:val="605E5C"/>
      <w:shd w:val="clear" w:color="auto" w:fill="E1DFDD"/>
    </w:rPr>
  </w:style>
  <w:style w:type="character" w:customStyle="1" w:styleId="FooterChar">
    <w:name w:val="Footer Char"/>
    <w:basedOn w:val="DefaultParagraphFont"/>
    <w:link w:val="Footer"/>
    <w:uiPriority w:val="99"/>
    <w:rsid w:val="00386537"/>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itednations.sharepoint.com/sites/ECE_ED/Shared%20Documents/Environmental%20Impact%20Assessment/MoP%20and%20MoS/MoP%20-%209th%20session%20(Geneva,%2012-15%20Dec%202023)/Documents/Submission/Opinion_paper_draft_Law_of_Azerbaijan_on_EIA_final_AS_DS_clean.pdf%20(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06CEC0CB-3B1B-445E-AB94-18823A165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2</TotalTime>
  <Pages>17</Pages>
  <Words>5361</Words>
  <Characters>29735</Characters>
  <Application>Microsoft Office Word</Application>
  <DocSecurity>0</DocSecurity>
  <Lines>520</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ECE/MP.EIA/2023/7</vt:lpstr>
      <vt:lpstr/>
    </vt:vector>
  </TitlesOfParts>
  <Company>CSD</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ECE/MP.EIA/2023/7</dc:title>
  <dc:subject>2318941</dc:subject>
  <dc:creator>Maricar De_La_Cruz</dc:creator>
  <cp:keywords/>
  <dc:description/>
  <cp:lastModifiedBy>Maria Rosario Corazon Gatmaytan</cp:lastModifiedBy>
  <cp:revision>4</cp:revision>
  <cp:lastPrinted>2023-10-02T14:39:00Z</cp:lastPrinted>
  <dcterms:created xsi:type="dcterms:W3CDTF">2023-10-02T14:39:00Z</dcterms:created>
  <dcterms:modified xsi:type="dcterms:W3CDTF">2023-10-02T14:41:00Z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baf4a150-28dc-4a0d-8e71-1ff48ade6981</vt:lpwstr>
  </property>
  <property fmtid="{D5CDD505-2E9C-101B-9397-08002B2CF9AE}" pid="4" name="MediaServiceImageTags">
    <vt:lpwstr/>
  </property>
</Properties>
</file>