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064DEB" w14:paraId="6C45DD84" w14:textId="77777777" w:rsidTr="00B20551">
        <w:trPr>
          <w:cantSplit/>
          <w:trHeight w:hRule="exact" w:val="851"/>
        </w:trPr>
        <w:tc>
          <w:tcPr>
            <w:tcW w:w="1276" w:type="dxa"/>
            <w:tcBorders>
              <w:bottom w:val="single" w:sz="4" w:space="0" w:color="auto"/>
            </w:tcBorders>
            <w:vAlign w:val="bottom"/>
          </w:tcPr>
          <w:p w14:paraId="29B20C45" w14:textId="77777777" w:rsidR="009E6CB7" w:rsidRDefault="009E6CB7" w:rsidP="00B20551">
            <w:pPr>
              <w:spacing w:after="80"/>
            </w:pPr>
          </w:p>
        </w:tc>
        <w:tc>
          <w:tcPr>
            <w:tcW w:w="2268" w:type="dxa"/>
            <w:tcBorders>
              <w:bottom w:val="single" w:sz="4" w:space="0" w:color="auto"/>
            </w:tcBorders>
            <w:vAlign w:val="bottom"/>
          </w:tcPr>
          <w:p w14:paraId="2E8D7288"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036F9F7B" w14:textId="7A30E9CC" w:rsidR="0000762B" w:rsidRPr="001A6417" w:rsidRDefault="0000762B" w:rsidP="0000762B">
            <w:pPr>
              <w:jc w:val="right"/>
              <w:rPr>
                <w:lang w:val="es-ES"/>
              </w:rPr>
            </w:pPr>
            <w:r w:rsidRPr="001A6417">
              <w:rPr>
                <w:sz w:val="40"/>
                <w:lang w:val="es-ES"/>
              </w:rPr>
              <w:t>ECE</w:t>
            </w:r>
            <w:r w:rsidRPr="001A6417">
              <w:rPr>
                <w:lang w:val="es-ES"/>
              </w:rPr>
              <w:t>/MP.EIA/2023/4−</w:t>
            </w:r>
            <w:r w:rsidRPr="001A6417">
              <w:rPr>
                <w:sz w:val="40"/>
                <w:lang w:val="es-ES"/>
              </w:rPr>
              <w:t>ECE</w:t>
            </w:r>
            <w:r w:rsidRPr="001A6417">
              <w:rPr>
                <w:lang w:val="es-ES"/>
              </w:rPr>
              <w:t>/MP.EIA/SEA/2023/4</w:t>
            </w:r>
          </w:p>
        </w:tc>
      </w:tr>
      <w:tr w:rsidR="009E6CB7" w14:paraId="12221489" w14:textId="77777777" w:rsidTr="00B20551">
        <w:trPr>
          <w:cantSplit/>
          <w:trHeight w:hRule="exact" w:val="2835"/>
        </w:trPr>
        <w:tc>
          <w:tcPr>
            <w:tcW w:w="1276" w:type="dxa"/>
            <w:tcBorders>
              <w:top w:val="single" w:sz="4" w:space="0" w:color="auto"/>
              <w:bottom w:val="single" w:sz="12" w:space="0" w:color="auto"/>
            </w:tcBorders>
          </w:tcPr>
          <w:p w14:paraId="4F4FF4C2" w14:textId="77777777" w:rsidR="009E6CB7" w:rsidRDefault="00686A48" w:rsidP="00B20551">
            <w:pPr>
              <w:spacing w:before="120"/>
            </w:pPr>
            <w:r>
              <w:rPr>
                <w:noProof/>
                <w:lang w:val="fr-CH" w:eastAsia="fr-CH"/>
              </w:rPr>
              <w:drawing>
                <wp:inline distT="0" distB="0" distL="0" distR="0" wp14:anchorId="38E0297F" wp14:editId="0AA4BA9E">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96D8E38"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292EE906" w14:textId="77777777" w:rsidR="009E6CB7" w:rsidRDefault="0000762B" w:rsidP="0000762B">
            <w:pPr>
              <w:spacing w:before="240" w:line="240" w:lineRule="exact"/>
            </w:pPr>
            <w:r>
              <w:t>Distr.: General</w:t>
            </w:r>
          </w:p>
          <w:p w14:paraId="0106A4FF" w14:textId="5F4D7318" w:rsidR="0000762B" w:rsidRDefault="0089619C" w:rsidP="0000762B">
            <w:pPr>
              <w:spacing w:line="240" w:lineRule="exact"/>
            </w:pPr>
            <w:r>
              <w:t>3</w:t>
            </w:r>
            <w:r w:rsidR="0000762B">
              <w:t xml:space="preserve"> October 2023</w:t>
            </w:r>
          </w:p>
          <w:p w14:paraId="198353A5" w14:textId="77777777" w:rsidR="0000762B" w:rsidRDefault="0000762B" w:rsidP="0000762B">
            <w:pPr>
              <w:spacing w:line="240" w:lineRule="exact"/>
            </w:pPr>
          </w:p>
          <w:p w14:paraId="0AF5C8B9" w14:textId="5E2CB024" w:rsidR="0000762B" w:rsidRDefault="0000762B" w:rsidP="0000762B">
            <w:pPr>
              <w:spacing w:line="240" w:lineRule="exact"/>
            </w:pPr>
            <w:r>
              <w:t>Original: English</w:t>
            </w:r>
          </w:p>
        </w:tc>
      </w:tr>
    </w:tbl>
    <w:p w14:paraId="7C0A8B81" w14:textId="77777777" w:rsidR="0000762B" w:rsidRPr="00594F24" w:rsidRDefault="0000762B" w:rsidP="0094684F">
      <w:pPr>
        <w:spacing w:before="120"/>
        <w:rPr>
          <w:b/>
          <w:color w:val="000000"/>
          <w:sz w:val="28"/>
          <w:szCs w:val="28"/>
        </w:rPr>
      </w:pPr>
      <w:r w:rsidRPr="00594F24">
        <w:rPr>
          <w:b/>
          <w:color w:val="000000"/>
          <w:sz w:val="28"/>
          <w:szCs w:val="28"/>
        </w:rPr>
        <w:t>Economic Commission for Europe</w:t>
      </w:r>
    </w:p>
    <w:p w14:paraId="3B96DE42" w14:textId="77777777" w:rsidR="0000762B" w:rsidRPr="00594F24" w:rsidRDefault="0000762B" w:rsidP="0094684F">
      <w:pPr>
        <w:spacing w:before="120"/>
        <w:rPr>
          <w:bCs/>
          <w:color w:val="000000"/>
          <w:sz w:val="28"/>
          <w:szCs w:val="28"/>
        </w:rPr>
      </w:pPr>
      <w:r w:rsidRPr="00594F24">
        <w:rPr>
          <w:bCs/>
          <w:color w:val="000000"/>
          <w:sz w:val="28"/>
          <w:szCs w:val="28"/>
        </w:rPr>
        <w:t xml:space="preserve">Meeting of the Parties to the Convention </w:t>
      </w:r>
      <w:r w:rsidRPr="00594F24">
        <w:rPr>
          <w:bCs/>
          <w:color w:val="000000"/>
          <w:sz w:val="28"/>
          <w:szCs w:val="28"/>
        </w:rPr>
        <w:br/>
        <w:t xml:space="preserve">on Environmental Impact Assessment </w:t>
      </w:r>
      <w:r w:rsidRPr="00594F24">
        <w:rPr>
          <w:bCs/>
          <w:color w:val="000000"/>
          <w:sz w:val="28"/>
          <w:szCs w:val="28"/>
        </w:rPr>
        <w:br/>
        <w:t>in a Transboundary Context</w:t>
      </w:r>
    </w:p>
    <w:p w14:paraId="25D95056" w14:textId="136979EA" w:rsidR="0000762B" w:rsidRPr="00594F24" w:rsidRDefault="00F57888" w:rsidP="0094684F">
      <w:pPr>
        <w:spacing w:before="120"/>
        <w:rPr>
          <w:b/>
          <w:color w:val="000000"/>
        </w:rPr>
      </w:pPr>
      <w:r>
        <w:rPr>
          <w:b/>
          <w:color w:val="000000"/>
        </w:rPr>
        <w:t>Ninth</w:t>
      </w:r>
      <w:r w:rsidR="0000762B">
        <w:rPr>
          <w:b/>
          <w:color w:val="000000"/>
        </w:rPr>
        <w:t xml:space="preserve"> </w:t>
      </w:r>
      <w:r w:rsidR="0000762B" w:rsidRPr="00594F24">
        <w:rPr>
          <w:b/>
          <w:color w:val="000000"/>
        </w:rPr>
        <w:t>session</w:t>
      </w:r>
    </w:p>
    <w:p w14:paraId="1CEBBC3A" w14:textId="77777777" w:rsidR="0000762B" w:rsidRPr="00594F24" w:rsidRDefault="0000762B" w:rsidP="0094684F">
      <w:pPr>
        <w:autoSpaceDE w:val="0"/>
        <w:autoSpaceDN w:val="0"/>
        <w:adjustRightInd w:val="0"/>
        <w:spacing w:before="120"/>
        <w:rPr>
          <w:color w:val="000000"/>
          <w:sz w:val="28"/>
          <w:szCs w:val="28"/>
        </w:rPr>
      </w:pPr>
      <w:r w:rsidRPr="00594F24">
        <w:rPr>
          <w:color w:val="000000"/>
          <w:sz w:val="28"/>
          <w:szCs w:val="28"/>
        </w:rPr>
        <w:t xml:space="preserve">Meeting of the Parties to the Convention </w:t>
      </w:r>
      <w:r w:rsidRPr="00594F24">
        <w:rPr>
          <w:color w:val="000000"/>
          <w:sz w:val="28"/>
          <w:szCs w:val="28"/>
        </w:rPr>
        <w:br/>
        <w:t xml:space="preserve">on Environmental Impact Assessment in </w:t>
      </w:r>
      <w:r w:rsidRPr="00594F24">
        <w:rPr>
          <w:color w:val="000000"/>
          <w:sz w:val="28"/>
          <w:szCs w:val="28"/>
        </w:rPr>
        <w:br/>
        <w:t xml:space="preserve">a Transboundary Context serving as the </w:t>
      </w:r>
      <w:r w:rsidRPr="00594F24">
        <w:rPr>
          <w:color w:val="000000"/>
          <w:sz w:val="28"/>
          <w:szCs w:val="28"/>
        </w:rPr>
        <w:br/>
        <w:t xml:space="preserve">Meeting of the Parties to the Protocol on </w:t>
      </w:r>
      <w:r w:rsidRPr="00594F24">
        <w:rPr>
          <w:color w:val="000000"/>
          <w:sz w:val="28"/>
          <w:szCs w:val="28"/>
        </w:rPr>
        <w:br/>
        <w:t>Strategic Environmental Assessment</w:t>
      </w:r>
    </w:p>
    <w:p w14:paraId="1AA0AD67" w14:textId="460DE20F" w:rsidR="0000762B" w:rsidRPr="00594F24" w:rsidRDefault="00F57888" w:rsidP="0094684F">
      <w:pPr>
        <w:autoSpaceDE w:val="0"/>
        <w:autoSpaceDN w:val="0"/>
        <w:adjustRightInd w:val="0"/>
        <w:spacing w:before="120"/>
        <w:rPr>
          <w:b/>
          <w:color w:val="000000"/>
        </w:rPr>
      </w:pPr>
      <w:r>
        <w:rPr>
          <w:b/>
          <w:color w:val="000000"/>
        </w:rPr>
        <w:t>Fifth</w:t>
      </w:r>
      <w:r w:rsidR="0000762B">
        <w:rPr>
          <w:b/>
          <w:color w:val="000000"/>
        </w:rPr>
        <w:t xml:space="preserve"> </w:t>
      </w:r>
      <w:r w:rsidR="0000762B" w:rsidRPr="00594F24">
        <w:rPr>
          <w:b/>
          <w:color w:val="000000"/>
        </w:rPr>
        <w:t>session</w:t>
      </w:r>
    </w:p>
    <w:p w14:paraId="4CF24C43" w14:textId="77777777" w:rsidR="00E862AF" w:rsidRPr="00D565F0" w:rsidRDefault="00E862AF" w:rsidP="00E862AF">
      <w:pPr>
        <w:spacing w:before="100" w:line="240" w:lineRule="auto"/>
      </w:pPr>
      <w:r>
        <w:t>Geneva</w:t>
      </w:r>
      <w:r w:rsidRPr="00D565F0">
        <w:t xml:space="preserve">, </w:t>
      </w:r>
      <w:r>
        <w:t>12–</w:t>
      </w:r>
      <w:r w:rsidRPr="00D565F0">
        <w:t>1</w:t>
      </w:r>
      <w:r>
        <w:t>5</w:t>
      </w:r>
      <w:r w:rsidRPr="00D565F0">
        <w:t xml:space="preserve"> December 202</w:t>
      </w:r>
      <w:r>
        <w:t>3</w:t>
      </w:r>
    </w:p>
    <w:p w14:paraId="0664776B" w14:textId="77777777" w:rsidR="00E862AF" w:rsidRDefault="00E862AF" w:rsidP="00E862AF">
      <w:pPr>
        <w:autoSpaceDE w:val="0"/>
        <w:autoSpaceDN w:val="0"/>
        <w:adjustRightInd w:val="0"/>
      </w:pPr>
      <w:r w:rsidRPr="00594F24">
        <w:t>Item</w:t>
      </w:r>
      <w:r>
        <w:t xml:space="preserve">s 3 (a) and 8 (a) </w:t>
      </w:r>
      <w:r w:rsidRPr="00594F24">
        <w:t>of</w:t>
      </w:r>
      <w:r>
        <w:t xml:space="preserve"> the</w:t>
      </w:r>
      <w:r w:rsidRPr="00594F24">
        <w:t xml:space="preserve"> provisional agenda</w:t>
      </w:r>
    </w:p>
    <w:p w14:paraId="2F82C1C9" w14:textId="77777777" w:rsidR="00E862AF" w:rsidRDefault="00E862AF" w:rsidP="00E862AF">
      <w:pPr>
        <w:autoSpaceDE w:val="0"/>
        <w:autoSpaceDN w:val="0"/>
        <w:adjustRightInd w:val="0"/>
        <w:spacing w:before="120"/>
        <w:rPr>
          <w:b/>
          <w:bCs/>
        </w:rPr>
      </w:pPr>
      <w:r>
        <w:rPr>
          <w:b/>
          <w:bCs/>
        </w:rPr>
        <w:t>Outstanding issues: draft joint decisions</w:t>
      </w:r>
    </w:p>
    <w:p w14:paraId="2D310815" w14:textId="77777777" w:rsidR="00E862AF" w:rsidRDefault="00E862AF" w:rsidP="00E862AF">
      <w:pPr>
        <w:autoSpaceDE w:val="0"/>
        <w:autoSpaceDN w:val="0"/>
        <w:adjustRightInd w:val="0"/>
        <w:spacing w:before="120"/>
        <w:rPr>
          <w:b/>
          <w:bCs/>
        </w:rPr>
      </w:pPr>
      <w:r>
        <w:rPr>
          <w:b/>
          <w:bCs/>
        </w:rPr>
        <w:t>Adoption of decisions: decisions to be taken jointly</w:t>
      </w:r>
    </w:p>
    <w:p w14:paraId="0A92DB2E" w14:textId="77777777" w:rsidR="00E862AF" w:rsidRPr="00483E86" w:rsidRDefault="00E862AF" w:rsidP="00E862AF">
      <w:pPr>
        <w:pStyle w:val="HChG"/>
        <w:rPr>
          <w:lang w:eastAsia="en-US"/>
        </w:rPr>
      </w:pPr>
      <w:r>
        <w:rPr>
          <w:lang w:eastAsia="en-US"/>
        </w:rPr>
        <w:tab/>
      </w:r>
      <w:r>
        <w:rPr>
          <w:lang w:eastAsia="en-US"/>
        </w:rPr>
        <w:tab/>
        <w:t>D</w:t>
      </w:r>
      <w:r w:rsidRPr="00483E86">
        <w:rPr>
          <w:lang w:eastAsia="en-US"/>
        </w:rPr>
        <w:t>raft decisions</w:t>
      </w:r>
      <w:r>
        <w:rPr>
          <w:lang w:eastAsia="en-US"/>
        </w:rPr>
        <w:t xml:space="preserve"> </w:t>
      </w:r>
      <w:r w:rsidRPr="00483E86">
        <w:rPr>
          <w:lang w:eastAsia="en-US"/>
        </w:rPr>
        <w:t xml:space="preserve">on </w:t>
      </w:r>
      <w:r w:rsidRPr="00E862AF">
        <w:t>compliance</w:t>
      </w:r>
      <w:r w:rsidRPr="00483E86">
        <w:rPr>
          <w:lang w:eastAsia="en-US"/>
        </w:rPr>
        <w:t xml:space="preserve"> with the Convention </w:t>
      </w:r>
      <w:r>
        <w:rPr>
          <w:lang w:eastAsia="en-US"/>
        </w:rPr>
        <w:t>and the Protocol</w:t>
      </w:r>
    </w:p>
    <w:p w14:paraId="3EEF2B15" w14:textId="77777777" w:rsidR="00E862AF" w:rsidRDefault="00E862AF" w:rsidP="00E862AF">
      <w:pPr>
        <w:pStyle w:val="H1G"/>
        <w:rPr>
          <w:lang w:eastAsia="en-US"/>
        </w:rPr>
      </w:pPr>
      <w:r w:rsidRPr="00483E86">
        <w:rPr>
          <w:lang w:eastAsia="en-US"/>
        </w:rPr>
        <w:tab/>
      </w:r>
      <w:r w:rsidRPr="00483E86">
        <w:rPr>
          <w:lang w:eastAsia="en-US"/>
        </w:rPr>
        <w:tab/>
        <w:t>Pr</w:t>
      </w:r>
      <w:r>
        <w:rPr>
          <w:lang w:eastAsia="en-US"/>
        </w:rPr>
        <w:t>oposals</w:t>
      </w:r>
      <w:r w:rsidRPr="00483E86">
        <w:rPr>
          <w:lang w:eastAsia="en-US"/>
        </w:rPr>
        <w:t xml:space="preserve"> by the Implementation Committee</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E862AF" w14:paraId="7E2B3856" w14:textId="77777777" w:rsidTr="006E5E26">
        <w:trPr>
          <w:jc w:val="center"/>
        </w:trPr>
        <w:tc>
          <w:tcPr>
            <w:tcW w:w="9637" w:type="dxa"/>
            <w:shd w:val="clear" w:color="auto" w:fill="auto"/>
          </w:tcPr>
          <w:p w14:paraId="79604B07" w14:textId="77777777" w:rsidR="00E862AF" w:rsidRPr="00C6263E" w:rsidRDefault="00E862AF" w:rsidP="006E5E26">
            <w:pPr>
              <w:spacing w:before="240" w:after="120"/>
              <w:ind w:left="255"/>
              <w:rPr>
                <w:i/>
                <w:sz w:val="24"/>
              </w:rPr>
            </w:pPr>
            <w:r w:rsidRPr="00C6263E">
              <w:rPr>
                <w:i/>
                <w:sz w:val="24"/>
              </w:rPr>
              <w:t>Summary</w:t>
            </w:r>
          </w:p>
        </w:tc>
      </w:tr>
      <w:tr w:rsidR="00E862AF" w14:paraId="0A02E73C" w14:textId="77777777" w:rsidTr="006E5E26">
        <w:trPr>
          <w:jc w:val="center"/>
        </w:trPr>
        <w:tc>
          <w:tcPr>
            <w:tcW w:w="9637" w:type="dxa"/>
            <w:shd w:val="clear" w:color="auto" w:fill="auto"/>
          </w:tcPr>
          <w:p w14:paraId="63F7113A" w14:textId="49431A28" w:rsidR="00A571B3" w:rsidRDefault="00A571B3" w:rsidP="00A571B3">
            <w:pPr>
              <w:pStyle w:val="SingleTxtG"/>
            </w:pPr>
            <w:r>
              <w:tab/>
            </w:r>
            <w:r w:rsidRPr="009A3684">
              <w:t>Th</w:t>
            </w:r>
            <w:r>
              <w:t>e present</w:t>
            </w:r>
            <w:r w:rsidRPr="009A3684">
              <w:t xml:space="preserve"> </w:t>
            </w:r>
            <w:r>
              <w:t xml:space="preserve">document contains a compilation of </w:t>
            </w:r>
            <w:r w:rsidRPr="00171550">
              <w:t>draft decision</w:t>
            </w:r>
            <w:r>
              <w:t>s</w:t>
            </w:r>
            <w:r w:rsidRPr="00171550">
              <w:t xml:space="preserve"> </w:t>
            </w:r>
            <w:r>
              <w:t xml:space="preserve">on compliance with the Convention on Environmental Impact Assessment in a Transboundary Context and its Protocol on Strategic Environmental Assessment, finalized by the Implementation Committee under the Convention and its Protocol at its fifty-seventh session (Geneva, 29 August–1 September 2023), following their submission for comments to </w:t>
            </w:r>
            <w:r w:rsidRPr="005458EB">
              <w:t xml:space="preserve">the Working Group on </w:t>
            </w:r>
            <w:r>
              <w:t>Environmental Impact Assessment</w:t>
            </w:r>
            <w:r w:rsidRPr="005458EB">
              <w:t xml:space="preserve"> and </w:t>
            </w:r>
            <w:r>
              <w:t xml:space="preserve">Strategic Environmental Assessment at its twelfth meeting (Geneva, 13–15 June 2023). </w:t>
            </w:r>
          </w:p>
          <w:p w14:paraId="5B1D318D" w14:textId="2E4F5FCD" w:rsidR="00E862AF" w:rsidRDefault="00A571B3" w:rsidP="00A571B3">
            <w:pPr>
              <w:pStyle w:val="SingleTxtG"/>
            </w:pPr>
            <w:r>
              <w:tab/>
              <w:t>The Meeting of the Parties to Convention and the Meeting of the Parties to the Protocol are expected to review the draft decisions and agree on their adoption.</w:t>
            </w:r>
          </w:p>
        </w:tc>
      </w:tr>
      <w:tr w:rsidR="00E862AF" w14:paraId="061383F5" w14:textId="77777777" w:rsidTr="006E5E26">
        <w:trPr>
          <w:jc w:val="center"/>
        </w:trPr>
        <w:tc>
          <w:tcPr>
            <w:tcW w:w="9637" w:type="dxa"/>
            <w:shd w:val="clear" w:color="auto" w:fill="auto"/>
          </w:tcPr>
          <w:p w14:paraId="2C6DA9B0" w14:textId="77777777" w:rsidR="00E862AF" w:rsidRDefault="00E862AF" w:rsidP="006E5E26"/>
        </w:tc>
      </w:tr>
    </w:tbl>
    <w:p w14:paraId="131074DF" w14:textId="77777777" w:rsidR="00E862AF" w:rsidRPr="00E862AF" w:rsidRDefault="00E862AF" w:rsidP="00E862AF">
      <w:pPr>
        <w:rPr>
          <w:lang w:eastAsia="en-US"/>
        </w:rPr>
      </w:pPr>
    </w:p>
    <w:p w14:paraId="50EA3FC6" w14:textId="46896131" w:rsidR="00A571B3" w:rsidRDefault="00A571B3" w:rsidP="00E862AF">
      <w:pPr>
        <w:autoSpaceDE w:val="0"/>
        <w:autoSpaceDN w:val="0"/>
        <w:adjustRightInd w:val="0"/>
        <w:spacing w:before="120"/>
      </w:pPr>
      <w:r>
        <w:br w:type="page"/>
      </w:r>
    </w:p>
    <w:p w14:paraId="2BAAA186" w14:textId="2A994839" w:rsidR="00872417" w:rsidRPr="00483E86" w:rsidRDefault="001374B7" w:rsidP="001374B7">
      <w:pPr>
        <w:pStyle w:val="HChG"/>
        <w:rPr>
          <w:rFonts w:eastAsia="SimSun"/>
        </w:rPr>
      </w:pPr>
      <w:r>
        <w:rPr>
          <w:lang w:eastAsia="en-US"/>
        </w:rPr>
        <w:lastRenderedPageBreak/>
        <w:tab/>
      </w:r>
      <w:r w:rsidR="00872417" w:rsidRPr="00483E86">
        <w:rPr>
          <w:lang w:eastAsia="en-US"/>
        </w:rPr>
        <w:t>1.</w:t>
      </w:r>
      <w:r w:rsidR="00872417" w:rsidRPr="00483E86">
        <w:rPr>
          <w:lang w:eastAsia="en-US"/>
        </w:rPr>
        <w:tab/>
        <w:t>Decision IX/4a-V/4a on compliance by Albania with its obligation</w:t>
      </w:r>
      <w:r w:rsidR="00872417">
        <w:rPr>
          <w:lang w:eastAsia="en-US"/>
        </w:rPr>
        <w:t>s</w:t>
      </w:r>
      <w:r w:rsidR="00872417" w:rsidRPr="00483E86">
        <w:rPr>
          <w:lang w:eastAsia="en-US"/>
        </w:rPr>
        <w:t xml:space="preserve"> under the Convention and the Protocol </w:t>
      </w:r>
      <w:r w:rsidR="00872417">
        <w:rPr>
          <w:lang w:eastAsia="en-US"/>
        </w:rPr>
        <w:t xml:space="preserve">in </w:t>
      </w:r>
      <w:r w:rsidR="00872417" w:rsidRPr="00483E86">
        <w:rPr>
          <w:lang w:eastAsia="en-US"/>
        </w:rPr>
        <w:t xml:space="preserve">respect </w:t>
      </w:r>
      <w:r w:rsidR="00872417">
        <w:rPr>
          <w:lang w:eastAsia="en-US"/>
        </w:rPr>
        <w:t>of</w:t>
      </w:r>
      <w:r w:rsidR="00872417" w:rsidRPr="00483E86">
        <w:rPr>
          <w:lang w:eastAsia="en-US"/>
        </w:rPr>
        <w:t xml:space="preserve"> the planned construction of several small hydropower plants on the Cijevna River</w:t>
      </w:r>
    </w:p>
    <w:p w14:paraId="4C0368AC" w14:textId="4D1DC2B4" w:rsidR="00872417" w:rsidRPr="00315412" w:rsidRDefault="00872417" w:rsidP="00315412">
      <w:pPr>
        <w:pStyle w:val="SingleTxtG"/>
        <w:ind w:firstLine="567"/>
        <w:rPr>
          <w:i/>
          <w:iCs/>
        </w:rPr>
      </w:pPr>
      <w:r w:rsidRPr="00315412">
        <w:rPr>
          <w:i/>
          <w:iCs/>
        </w:rPr>
        <w:t xml:space="preserve">The Meeting of the Parties to the Convention and the Meeting of the Parties to the Protocol, </w:t>
      </w:r>
    </w:p>
    <w:p w14:paraId="39D363E7" w14:textId="09C35626" w:rsidR="00872417" w:rsidRPr="00483E86" w:rsidRDefault="00872417" w:rsidP="00315412">
      <w:pPr>
        <w:pStyle w:val="SingleTxtG"/>
        <w:ind w:firstLine="567"/>
        <w:rPr>
          <w:rFonts w:eastAsia="SimSun"/>
          <w:i/>
        </w:rPr>
      </w:pPr>
      <w:r w:rsidRPr="00483E86">
        <w:rPr>
          <w:rFonts w:eastAsia="SimSun"/>
          <w:i/>
        </w:rPr>
        <w:t xml:space="preserve">Recalling </w:t>
      </w:r>
      <w:r w:rsidRPr="00483E86">
        <w:rPr>
          <w:rFonts w:eastAsia="SimSun"/>
        </w:rPr>
        <w:t>article</w:t>
      </w:r>
      <w:r>
        <w:rPr>
          <w:rFonts w:eastAsia="SimSun"/>
        </w:rPr>
        <w:t>s</w:t>
      </w:r>
      <w:r w:rsidRPr="00483E86">
        <w:rPr>
          <w:rFonts w:eastAsia="SimSun"/>
        </w:rPr>
        <w:t xml:space="preserve"> 11</w:t>
      </w:r>
      <w:r>
        <w:rPr>
          <w:rFonts w:eastAsia="SimSun"/>
        </w:rPr>
        <w:t xml:space="preserve"> (</w:t>
      </w:r>
      <w:r w:rsidRPr="00483E86">
        <w:rPr>
          <w:rFonts w:eastAsia="SimSun"/>
        </w:rPr>
        <w:t>2</w:t>
      </w:r>
      <w:r>
        <w:rPr>
          <w:rFonts w:eastAsia="SimSun"/>
        </w:rPr>
        <w:t>)</w:t>
      </w:r>
      <w:r w:rsidRPr="00483E86">
        <w:rPr>
          <w:rFonts w:eastAsia="SimSun"/>
        </w:rPr>
        <w:t xml:space="preserve"> and</w:t>
      </w:r>
      <w:r>
        <w:rPr>
          <w:rFonts w:eastAsia="SimSun"/>
        </w:rPr>
        <w:t xml:space="preserve"> </w:t>
      </w:r>
      <w:r w:rsidRPr="00483E86">
        <w:rPr>
          <w:rFonts w:eastAsia="SimSun"/>
        </w:rPr>
        <w:t>14 bis of the Convention on Environmental Impact Assessment in a Transboundary Context and article 14</w:t>
      </w:r>
      <w:r>
        <w:rPr>
          <w:rFonts w:eastAsia="SimSun"/>
        </w:rPr>
        <w:t xml:space="preserve"> (</w:t>
      </w:r>
      <w:r w:rsidRPr="00483E86">
        <w:rPr>
          <w:rFonts w:eastAsia="SimSun"/>
        </w:rPr>
        <w:t>4</w:t>
      </w:r>
      <w:r>
        <w:rPr>
          <w:rFonts w:eastAsia="SimSun"/>
        </w:rPr>
        <w:t>)</w:t>
      </w:r>
      <w:r w:rsidRPr="00483E86">
        <w:rPr>
          <w:rFonts w:eastAsia="SimSun"/>
        </w:rPr>
        <w:t xml:space="preserve"> of the Protocol on Strategic Environmental Assessment</w:t>
      </w:r>
      <w:r w:rsidRPr="00483E86">
        <w:rPr>
          <w:rFonts w:eastAsia="SimSun"/>
          <w:i/>
        </w:rPr>
        <w:t>,</w:t>
      </w:r>
    </w:p>
    <w:p w14:paraId="7DAC7173" w14:textId="25CCB2B8" w:rsidR="00872417" w:rsidRPr="00483E86" w:rsidRDefault="00872417" w:rsidP="00315412">
      <w:pPr>
        <w:pStyle w:val="SingleTxtG"/>
        <w:ind w:firstLine="567"/>
        <w:rPr>
          <w:rFonts w:eastAsia="SimSun"/>
        </w:rPr>
      </w:pPr>
      <w:r w:rsidRPr="00483E86">
        <w:rPr>
          <w:rFonts w:eastAsia="SimSun"/>
          <w:i/>
        </w:rPr>
        <w:t xml:space="preserve">Recalling </w:t>
      </w:r>
      <w:r>
        <w:rPr>
          <w:rFonts w:eastAsia="SimSun"/>
          <w:i/>
        </w:rPr>
        <w:t>also</w:t>
      </w:r>
      <w:r w:rsidRPr="00483E86">
        <w:rPr>
          <w:rFonts w:eastAsia="SimSun"/>
        </w:rPr>
        <w:t xml:space="preserve"> decision</w:t>
      </w:r>
      <w:r>
        <w:rPr>
          <w:rFonts w:eastAsia="SimSun"/>
        </w:rPr>
        <w:t>s</w:t>
      </w:r>
      <w:r w:rsidRPr="00483E86">
        <w:rPr>
          <w:rFonts w:eastAsia="SimSun"/>
        </w:rPr>
        <w:t xml:space="preserve"> IX/4</w:t>
      </w:r>
      <w:r w:rsidRPr="00483E86">
        <w:rPr>
          <w:rFonts w:eastAsia="SimSun"/>
          <w:sz w:val="18"/>
          <w:vertAlign w:val="superscript"/>
        </w:rPr>
        <w:footnoteReference w:id="2"/>
      </w:r>
      <w:r w:rsidRPr="00483E86">
        <w:rPr>
          <w:rFonts w:eastAsia="SimSun"/>
        </w:rPr>
        <w:t xml:space="preserve"> on general issues of compliance with the Convention</w:t>
      </w:r>
      <w:r>
        <w:rPr>
          <w:rFonts w:eastAsia="SimSun"/>
        </w:rPr>
        <w:t>,</w:t>
      </w:r>
      <w:r w:rsidRPr="00483E86">
        <w:rPr>
          <w:rFonts w:eastAsia="SimSun"/>
        </w:rPr>
        <w:t xml:space="preserve"> </w:t>
      </w:r>
      <w:r>
        <w:rPr>
          <w:rFonts w:eastAsia="SimSun"/>
        </w:rPr>
        <w:t>adopted at the ninth session of the Meeting of the Parties to the Convention, and</w:t>
      </w:r>
      <w:r w:rsidRPr="00483E86">
        <w:rPr>
          <w:rFonts w:eastAsia="SimSun"/>
        </w:rPr>
        <w:t xml:space="preserve"> V/4</w:t>
      </w:r>
      <w:r w:rsidRPr="00483E86">
        <w:rPr>
          <w:rFonts w:eastAsia="SimSun"/>
          <w:sz w:val="18"/>
          <w:vertAlign w:val="superscript"/>
        </w:rPr>
        <w:footnoteReference w:id="3"/>
      </w:r>
      <w:r w:rsidRPr="00483E86">
        <w:rPr>
          <w:rFonts w:eastAsia="SimSun"/>
        </w:rPr>
        <w:t xml:space="preserve"> on general issues of compliance with the Protocol</w:t>
      </w:r>
      <w:r>
        <w:rPr>
          <w:rFonts w:eastAsia="SimSun"/>
        </w:rPr>
        <w:t>, adopted at the fifth session of the Meeting of the Parties to the Protocol (</w:t>
      </w:r>
      <w:r>
        <w:t>Geneva, 12–15 December 2023)</w:t>
      </w:r>
      <w:r w:rsidRPr="00483E86">
        <w:rPr>
          <w:rFonts w:eastAsia="SimSun"/>
        </w:rPr>
        <w:t xml:space="preserve">, </w:t>
      </w:r>
    </w:p>
    <w:p w14:paraId="5B89557E" w14:textId="38F0F830" w:rsidR="00872417" w:rsidRPr="00483E86" w:rsidRDefault="00872417" w:rsidP="00315412">
      <w:pPr>
        <w:pStyle w:val="SingleTxtG"/>
        <w:ind w:firstLine="567"/>
        <w:rPr>
          <w:rFonts w:eastAsia="SimSun"/>
        </w:rPr>
      </w:pPr>
      <w:r w:rsidRPr="00483E86">
        <w:rPr>
          <w:rFonts w:eastAsia="SimSun"/>
          <w:i/>
        </w:rPr>
        <w:t xml:space="preserve">Having considered </w:t>
      </w:r>
      <w:r w:rsidRPr="00483E86">
        <w:rPr>
          <w:rFonts w:eastAsia="SimSun"/>
        </w:rPr>
        <w:t>the findings and recommendations of the Implementation Committee on compliance by Albania with its obligation</w:t>
      </w:r>
      <w:r>
        <w:rPr>
          <w:rFonts w:eastAsia="SimSun"/>
        </w:rPr>
        <w:t>s</w:t>
      </w:r>
      <w:r w:rsidRPr="00483E86">
        <w:rPr>
          <w:rFonts w:eastAsia="SimSun"/>
        </w:rPr>
        <w:t xml:space="preserve"> under the Convention and the Protocol </w:t>
      </w:r>
      <w:r>
        <w:rPr>
          <w:rFonts w:eastAsia="SimSun"/>
        </w:rPr>
        <w:t>in</w:t>
      </w:r>
      <w:r w:rsidRPr="00483E86">
        <w:rPr>
          <w:rFonts w:eastAsia="SimSun"/>
        </w:rPr>
        <w:t xml:space="preserve"> respect </w:t>
      </w:r>
      <w:r>
        <w:rPr>
          <w:rFonts w:eastAsia="SimSun"/>
        </w:rPr>
        <w:t>of</w:t>
      </w:r>
      <w:r w:rsidRPr="00483E86">
        <w:rPr>
          <w:rFonts w:eastAsia="SimSun"/>
        </w:rPr>
        <w:t xml:space="preserve"> the planned construction of several small hydropower plants on the Cijevna River,</w:t>
      </w:r>
      <w:r>
        <w:rPr>
          <w:rStyle w:val="FootnoteReference"/>
          <w:rFonts w:eastAsia="SimSun"/>
        </w:rPr>
        <w:footnoteReference w:id="4"/>
      </w:r>
      <w:r w:rsidRPr="00483E86">
        <w:rPr>
          <w:rFonts w:eastAsia="SimSun"/>
        </w:rPr>
        <w:t xml:space="preserve"> </w:t>
      </w:r>
    </w:p>
    <w:p w14:paraId="3EA1A169" w14:textId="0F6E1DE3" w:rsidR="00872417" w:rsidRPr="00483E86" w:rsidRDefault="00872417" w:rsidP="00315412">
      <w:pPr>
        <w:pStyle w:val="SingleTxtG"/>
        <w:ind w:firstLine="567"/>
        <w:rPr>
          <w:rFonts w:eastAsia="SimSun"/>
        </w:rPr>
      </w:pPr>
      <w:r w:rsidRPr="00483E86">
        <w:rPr>
          <w:rFonts w:eastAsia="SimSun"/>
          <w:i/>
        </w:rPr>
        <w:t>Having considered</w:t>
      </w:r>
      <w:r>
        <w:rPr>
          <w:rFonts w:eastAsia="SimSun"/>
          <w:i/>
        </w:rPr>
        <w:t xml:space="preserve"> also</w:t>
      </w:r>
      <w:r w:rsidRPr="00483E86">
        <w:rPr>
          <w:rFonts w:eastAsia="SimSun"/>
        </w:rPr>
        <w:t xml:space="preserve"> the report on the activities of the Implementation Committee to the Meeting of the Parties to the Convention at its ninth session, in particular, the section concerning Albania</w:t>
      </w:r>
      <w:r>
        <w:rPr>
          <w:rFonts w:eastAsia="SimSun"/>
        </w:rPr>
        <w:t>,</w:t>
      </w:r>
      <w:r w:rsidRPr="00483E86">
        <w:rPr>
          <w:rFonts w:eastAsia="SimSun"/>
          <w:sz w:val="18"/>
          <w:vertAlign w:val="superscript"/>
          <w:lang w:eastAsia="zh-CN"/>
        </w:rPr>
        <w:footnoteReference w:id="5"/>
      </w:r>
    </w:p>
    <w:p w14:paraId="59B9FC6E" w14:textId="77777777" w:rsidR="00872417" w:rsidRPr="00483E86" w:rsidRDefault="00872417" w:rsidP="00315412">
      <w:pPr>
        <w:pStyle w:val="SingleTxtG"/>
        <w:ind w:firstLine="567"/>
        <w:rPr>
          <w:rFonts w:eastAsia="SimSun"/>
        </w:rPr>
      </w:pPr>
      <w:r w:rsidRPr="00483E86">
        <w:rPr>
          <w:rFonts w:eastAsia="SimSun"/>
        </w:rPr>
        <w:t>1.</w:t>
      </w:r>
      <w:r w:rsidRPr="00483E86">
        <w:rPr>
          <w:rFonts w:eastAsia="SimSun"/>
        </w:rPr>
        <w:tab/>
      </w:r>
      <w:r w:rsidRPr="00483E86">
        <w:rPr>
          <w:rFonts w:eastAsia="SimSun"/>
          <w:i/>
          <w:iCs/>
        </w:rPr>
        <w:t>Welcome</w:t>
      </w:r>
      <w:r w:rsidRPr="00483E86">
        <w:rPr>
          <w:rFonts w:eastAsia="SimSun"/>
        </w:rPr>
        <w:t xml:space="preserve"> the steps taken by Albania and Montenegro to enter, further to article 2 (5) of the Convention, into discussion</w:t>
      </w:r>
      <w:r>
        <w:rPr>
          <w:rFonts w:eastAsia="SimSun"/>
        </w:rPr>
        <w:t>s</w:t>
      </w:r>
      <w:r w:rsidRPr="00483E86">
        <w:rPr>
          <w:rFonts w:eastAsia="SimSun"/>
        </w:rPr>
        <w:t xml:space="preserve"> on whether the proposed activities by Albania referred to in the submission by Montenegro of 25 September 2019 were likely to cause a significant adverse transboundary impact;</w:t>
      </w:r>
    </w:p>
    <w:p w14:paraId="4F15E625" w14:textId="77777777" w:rsidR="00872417" w:rsidRPr="00483E86" w:rsidRDefault="00872417" w:rsidP="00315412">
      <w:pPr>
        <w:pStyle w:val="SingleTxtG"/>
        <w:ind w:firstLine="567"/>
        <w:rPr>
          <w:rFonts w:eastAsia="SimSun"/>
        </w:rPr>
      </w:pPr>
      <w:r w:rsidRPr="00483E86">
        <w:rPr>
          <w:rFonts w:eastAsia="SimSun"/>
        </w:rPr>
        <w:t>2.</w:t>
      </w:r>
      <w:r w:rsidRPr="00483E86">
        <w:rPr>
          <w:rFonts w:eastAsia="SimSun"/>
        </w:rPr>
        <w:tab/>
      </w:r>
      <w:r w:rsidRPr="00483E86">
        <w:rPr>
          <w:rFonts w:eastAsia="SimSun"/>
          <w:i/>
          <w:iCs/>
        </w:rPr>
        <w:t>Establish</w:t>
      </w:r>
      <w:r w:rsidRPr="00483E86">
        <w:rPr>
          <w:rFonts w:eastAsia="SimSun"/>
        </w:rPr>
        <w:t xml:space="preserve"> that</w:t>
      </w:r>
      <w:r>
        <w:rPr>
          <w:rFonts w:eastAsia="SimSun"/>
        </w:rPr>
        <w:t>,</w:t>
      </w:r>
      <w:r w:rsidRPr="00483E86">
        <w:rPr>
          <w:rFonts w:eastAsia="SimSun"/>
        </w:rPr>
        <w:t xml:space="preserve"> in discussion</w:t>
      </w:r>
      <w:r>
        <w:rPr>
          <w:rFonts w:eastAsia="SimSun"/>
        </w:rPr>
        <w:t>s</w:t>
      </w:r>
      <w:r w:rsidRPr="00483E86">
        <w:rPr>
          <w:rFonts w:eastAsia="SimSun"/>
        </w:rPr>
        <w:t xml:space="preserve"> under article 2 (5) of the Convention</w:t>
      </w:r>
      <w:r>
        <w:rPr>
          <w:rFonts w:eastAsia="SimSun"/>
        </w:rPr>
        <w:t>,</w:t>
      </w:r>
      <w:r w:rsidRPr="00483E86">
        <w:rPr>
          <w:rFonts w:eastAsia="SimSun"/>
        </w:rPr>
        <w:t xml:space="preserve"> Parties should exchange information in a way that allows them to identify </w:t>
      </w:r>
      <w:r>
        <w:rPr>
          <w:rFonts w:eastAsia="SimSun"/>
        </w:rPr>
        <w:t>whether</w:t>
      </w:r>
      <w:r w:rsidRPr="00483E86">
        <w:rPr>
          <w:rFonts w:eastAsia="SimSun"/>
        </w:rPr>
        <w:t xml:space="preserve"> significant adverse transboundary impacts on the environment could occur</w:t>
      </w:r>
      <w:r>
        <w:rPr>
          <w:rFonts w:eastAsia="SimSun"/>
        </w:rPr>
        <w:t>,</w:t>
      </w:r>
      <w:r w:rsidRPr="00483E86">
        <w:rPr>
          <w:rFonts w:eastAsia="SimSun"/>
        </w:rPr>
        <w:t xml:space="preserve"> and </w:t>
      </w:r>
      <w:r>
        <w:rPr>
          <w:rFonts w:eastAsia="SimSun"/>
        </w:rPr>
        <w:t xml:space="preserve">that </w:t>
      </w:r>
      <w:r w:rsidRPr="00483E86">
        <w:rPr>
          <w:rFonts w:eastAsia="SimSun"/>
        </w:rPr>
        <w:t xml:space="preserve">both </w:t>
      </w:r>
      <w:r>
        <w:rPr>
          <w:rFonts w:eastAsia="SimSun"/>
        </w:rPr>
        <w:t xml:space="preserve">the </w:t>
      </w:r>
      <w:r w:rsidRPr="00483E86">
        <w:rPr>
          <w:rFonts w:eastAsia="SimSun"/>
        </w:rPr>
        <w:t>Part</w:t>
      </w:r>
      <w:r>
        <w:rPr>
          <w:rFonts w:eastAsia="SimSun"/>
        </w:rPr>
        <w:t>y of origin and the affected Party are</w:t>
      </w:r>
      <w:r w:rsidRPr="00483E86">
        <w:rPr>
          <w:rFonts w:eastAsia="SimSun"/>
        </w:rPr>
        <w:t xml:space="preserve"> responsible for the timeliness and quality of their information exchange;</w:t>
      </w:r>
    </w:p>
    <w:p w14:paraId="162AFFA5" w14:textId="77777777" w:rsidR="00872417" w:rsidRPr="00483E86" w:rsidRDefault="00872417" w:rsidP="00315412">
      <w:pPr>
        <w:pStyle w:val="SingleTxtG"/>
        <w:ind w:firstLine="567"/>
        <w:rPr>
          <w:rFonts w:eastAsia="SimSun"/>
        </w:rPr>
      </w:pPr>
      <w:r w:rsidRPr="00483E86">
        <w:rPr>
          <w:rFonts w:eastAsia="SimSun"/>
        </w:rPr>
        <w:t>3.</w:t>
      </w:r>
      <w:r w:rsidRPr="00483E86">
        <w:rPr>
          <w:rFonts w:eastAsia="SimSun"/>
        </w:rPr>
        <w:tab/>
      </w:r>
      <w:r w:rsidRPr="00483E86">
        <w:rPr>
          <w:rFonts w:eastAsia="SimSun"/>
          <w:i/>
          <w:iCs/>
          <w:lang w:val="en-US"/>
        </w:rPr>
        <w:t>Endorse</w:t>
      </w:r>
      <w:r w:rsidRPr="00483E86">
        <w:rPr>
          <w:rFonts w:eastAsia="SimSun"/>
          <w:lang w:val="en-US"/>
        </w:rPr>
        <w:t xml:space="preserve"> the findings of the Implementation Committee that, in accordance with the information provided to the Committee:</w:t>
      </w:r>
    </w:p>
    <w:p w14:paraId="0A9E2D7E" w14:textId="77777777" w:rsidR="00872417" w:rsidRPr="00483E86" w:rsidRDefault="00872417" w:rsidP="00315412">
      <w:pPr>
        <w:pStyle w:val="SingleTxtG"/>
        <w:ind w:firstLine="567"/>
        <w:rPr>
          <w:rFonts w:eastAsia="SimSun"/>
        </w:rPr>
      </w:pPr>
      <w:r w:rsidRPr="00483E86">
        <w:rPr>
          <w:rFonts w:eastAsia="SimSun"/>
        </w:rPr>
        <w:t>(a)</w:t>
      </w:r>
      <w:r w:rsidRPr="00483E86">
        <w:rPr>
          <w:rFonts w:eastAsia="SimSun"/>
        </w:rPr>
        <w:tab/>
        <w:t>Albania and Montenegro properly fulfill</w:t>
      </w:r>
      <w:r>
        <w:rPr>
          <w:rFonts w:eastAsia="SimSun"/>
        </w:rPr>
        <w:t>ed</w:t>
      </w:r>
      <w:r w:rsidRPr="00483E86">
        <w:rPr>
          <w:rFonts w:eastAsia="SimSun"/>
        </w:rPr>
        <w:t xml:space="preserve"> their obligations under article 2</w:t>
      </w:r>
      <w:r>
        <w:rPr>
          <w:rFonts w:eastAsia="SimSun"/>
        </w:rPr>
        <w:t xml:space="preserve"> </w:t>
      </w:r>
      <w:r w:rsidRPr="00483E86">
        <w:rPr>
          <w:rFonts w:eastAsia="SimSun"/>
        </w:rPr>
        <w:t>(5) of the Convention by entering into discussion with each other on the matter;</w:t>
      </w:r>
    </w:p>
    <w:p w14:paraId="7143F85D" w14:textId="77777777" w:rsidR="00872417" w:rsidRPr="00483E86" w:rsidRDefault="00872417" w:rsidP="00315412">
      <w:pPr>
        <w:pStyle w:val="SingleTxtG"/>
        <w:ind w:firstLine="567"/>
        <w:rPr>
          <w:rFonts w:eastAsia="SimSun"/>
        </w:rPr>
      </w:pPr>
      <w:r w:rsidRPr="00483E86">
        <w:rPr>
          <w:rFonts w:eastAsia="SimSun"/>
        </w:rPr>
        <w:t>(b)</w:t>
      </w:r>
      <w:r w:rsidRPr="00483E86">
        <w:rPr>
          <w:rFonts w:eastAsia="SimSun"/>
        </w:rPr>
        <w:tab/>
        <w:t>In the absence of an agreement by the concerned Parties under article 2</w:t>
      </w:r>
      <w:r>
        <w:rPr>
          <w:rFonts w:eastAsia="SimSun"/>
        </w:rPr>
        <w:t xml:space="preserve"> </w:t>
      </w:r>
      <w:r w:rsidRPr="00483E86">
        <w:rPr>
          <w:rFonts w:eastAsia="SimSun"/>
        </w:rPr>
        <w:t>(5)</w:t>
      </w:r>
      <w:r>
        <w:rPr>
          <w:rFonts w:eastAsia="SimSun"/>
        </w:rPr>
        <w:t xml:space="preserve"> of the Convention</w:t>
      </w:r>
      <w:r w:rsidRPr="00483E86">
        <w:rPr>
          <w:rFonts w:eastAsia="SimSun"/>
        </w:rPr>
        <w:t>, Albania was not in non-compliance with article 2</w:t>
      </w:r>
      <w:r>
        <w:rPr>
          <w:rFonts w:eastAsia="SimSun"/>
        </w:rPr>
        <w:t xml:space="preserve"> </w:t>
      </w:r>
      <w:r w:rsidRPr="00483E86">
        <w:rPr>
          <w:rFonts w:eastAsia="SimSun"/>
        </w:rPr>
        <w:t>(2) and (6) of the Convention</w:t>
      </w:r>
      <w:r>
        <w:rPr>
          <w:rFonts w:eastAsia="SimSun"/>
        </w:rPr>
        <w:t>,</w:t>
      </w:r>
      <w:r w:rsidRPr="00483E86">
        <w:rPr>
          <w:rFonts w:eastAsia="SimSun"/>
        </w:rPr>
        <w:t xml:space="preserve"> as those provisions were not applicable; </w:t>
      </w:r>
    </w:p>
    <w:p w14:paraId="579BED76" w14:textId="77777777" w:rsidR="00872417" w:rsidRPr="00483E86" w:rsidRDefault="00872417" w:rsidP="00315412">
      <w:pPr>
        <w:pStyle w:val="SingleTxtG"/>
        <w:ind w:firstLine="567"/>
        <w:rPr>
          <w:rFonts w:eastAsia="SimSun"/>
        </w:rPr>
      </w:pPr>
      <w:r w:rsidRPr="00483E86">
        <w:rPr>
          <w:rFonts w:eastAsia="SimSun"/>
        </w:rPr>
        <w:t>(c)</w:t>
      </w:r>
      <w:r w:rsidRPr="00483E86">
        <w:rPr>
          <w:rFonts w:eastAsia="SimSun"/>
        </w:rPr>
        <w:tab/>
        <w:t>Albania was not in non-compliance with article 10 of the Protocol</w:t>
      </w:r>
      <w:r>
        <w:rPr>
          <w:rFonts w:eastAsia="SimSun"/>
        </w:rPr>
        <w:t>,</w:t>
      </w:r>
      <w:r w:rsidRPr="00483E86">
        <w:rPr>
          <w:rFonts w:eastAsia="SimSun"/>
        </w:rPr>
        <w:t xml:space="preserve"> as</w:t>
      </w:r>
      <w:r>
        <w:rPr>
          <w:rFonts w:eastAsia="SimSun"/>
        </w:rPr>
        <w:t>,</w:t>
      </w:r>
      <w:r w:rsidRPr="00483E86">
        <w:rPr>
          <w:rFonts w:eastAsia="SimSun"/>
        </w:rPr>
        <w:t xml:space="preserve"> in the absence of a plan or a programme by Albania in the meaning of article 4 (1) of the Protocol, the Protocol was not applicable;</w:t>
      </w:r>
    </w:p>
    <w:p w14:paraId="13F1B471" w14:textId="77777777" w:rsidR="00872417" w:rsidRPr="00483E86" w:rsidRDefault="00872417" w:rsidP="00315412">
      <w:pPr>
        <w:pStyle w:val="SingleTxtG"/>
        <w:ind w:firstLine="567"/>
        <w:rPr>
          <w:rFonts w:eastAsia="SimSun"/>
        </w:rPr>
      </w:pPr>
      <w:r w:rsidRPr="00483E86">
        <w:rPr>
          <w:rFonts w:eastAsia="SimSun"/>
        </w:rPr>
        <w:t>4.</w:t>
      </w:r>
      <w:r w:rsidRPr="00483E86">
        <w:rPr>
          <w:rFonts w:eastAsia="SimSun"/>
        </w:rPr>
        <w:tab/>
      </w:r>
      <w:r w:rsidRPr="00483E86">
        <w:rPr>
          <w:rFonts w:eastAsia="SimSun"/>
          <w:i/>
          <w:iCs/>
        </w:rPr>
        <w:t xml:space="preserve">Encourage </w:t>
      </w:r>
      <w:r w:rsidRPr="00483E86">
        <w:rPr>
          <w:rFonts w:eastAsia="SimSun"/>
        </w:rPr>
        <w:t>both Parties to continue their dialogue under article 2</w:t>
      </w:r>
      <w:r>
        <w:rPr>
          <w:rFonts w:eastAsia="SimSun"/>
        </w:rPr>
        <w:t xml:space="preserve"> </w:t>
      </w:r>
      <w:r w:rsidRPr="00483E86">
        <w:rPr>
          <w:rFonts w:eastAsia="SimSun"/>
        </w:rPr>
        <w:t xml:space="preserve">(5) of the Convention, ensuring that the cumulative impact of the proposed activities </w:t>
      </w:r>
      <w:r>
        <w:rPr>
          <w:rFonts w:eastAsia="SimSun"/>
        </w:rPr>
        <w:t>is</w:t>
      </w:r>
      <w:r w:rsidRPr="00483E86">
        <w:rPr>
          <w:rFonts w:eastAsia="SimSun"/>
        </w:rPr>
        <w:t xml:space="preserve"> properly assessed, and the criteria listed in appendix III </w:t>
      </w:r>
      <w:r>
        <w:rPr>
          <w:rFonts w:eastAsia="SimSun"/>
        </w:rPr>
        <w:t xml:space="preserve">to </w:t>
      </w:r>
      <w:r w:rsidRPr="00483E86">
        <w:rPr>
          <w:rFonts w:eastAsia="SimSun"/>
        </w:rPr>
        <w:t xml:space="preserve">the Convention </w:t>
      </w:r>
      <w:r>
        <w:rPr>
          <w:rFonts w:eastAsia="SimSun"/>
        </w:rPr>
        <w:t>ar</w:t>
      </w:r>
      <w:r w:rsidRPr="00483E86">
        <w:rPr>
          <w:rFonts w:eastAsia="SimSun"/>
        </w:rPr>
        <w:t>e properly applied during the assessment, including with regard to the environmental sensitivity of the Cijevna River basin;</w:t>
      </w:r>
    </w:p>
    <w:p w14:paraId="3AA40E18" w14:textId="77777777" w:rsidR="00872417" w:rsidRPr="00483E86" w:rsidRDefault="00872417" w:rsidP="00315412">
      <w:pPr>
        <w:pStyle w:val="SingleTxtG"/>
        <w:ind w:firstLine="567"/>
        <w:rPr>
          <w:rFonts w:eastAsia="SimSun"/>
        </w:rPr>
      </w:pPr>
      <w:r w:rsidRPr="00483E86">
        <w:rPr>
          <w:rFonts w:eastAsia="SimSun"/>
        </w:rPr>
        <w:lastRenderedPageBreak/>
        <w:t>5.</w:t>
      </w:r>
      <w:r w:rsidRPr="00483E86">
        <w:rPr>
          <w:rFonts w:eastAsia="SimSun"/>
        </w:rPr>
        <w:tab/>
      </w:r>
      <w:r w:rsidRPr="00483E86">
        <w:rPr>
          <w:rFonts w:eastAsia="SimSun"/>
          <w:i/>
          <w:iCs/>
        </w:rPr>
        <w:t xml:space="preserve">Invite </w:t>
      </w:r>
      <w:r w:rsidRPr="00483E86">
        <w:rPr>
          <w:rFonts w:eastAsia="SimSun"/>
        </w:rPr>
        <w:t xml:space="preserve">Albania to continue to provide Montenegro with information on all planned activities at the Cijevna River referred to in the </w:t>
      </w:r>
      <w:r>
        <w:rPr>
          <w:rFonts w:eastAsia="SimSun"/>
        </w:rPr>
        <w:t xml:space="preserve">above-mentioned </w:t>
      </w:r>
      <w:r w:rsidRPr="00483E86">
        <w:rPr>
          <w:rFonts w:eastAsia="SimSun"/>
        </w:rPr>
        <w:t>submission for the purposes of the assessment of their transboundary impacts;</w:t>
      </w:r>
    </w:p>
    <w:p w14:paraId="42BD8DA7" w14:textId="77777777" w:rsidR="00872417" w:rsidRPr="00483E86" w:rsidRDefault="00872417" w:rsidP="00315412">
      <w:pPr>
        <w:pStyle w:val="SingleTxtG"/>
        <w:ind w:firstLine="567"/>
        <w:rPr>
          <w:rFonts w:eastAsia="SimSun"/>
        </w:rPr>
      </w:pPr>
      <w:r w:rsidRPr="00483E86">
        <w:rPr>
          <w:rFonts w:eastAsia="SimSun"/>
        </w:rPr>
        <w:t>6.</w:t>
      </w:r>
      <w:r w:rsidRPr="00483E86">
        <w:rPr>
          <w:rFonts w:eastAsia="SimSun"/>
        </w:rPr>
        <w:tab/>
      </w:r>
      <w:r w:rsidRPr="00483E86">
        <w:rPr>
          <w:rFonts w:eastAsia="SimSun"/>
          <w:i/>
          <w:iCs/>
        </w:rPr>
        <w:t>Invite</w:t>
      </w:r>
      <w:r w:rsidRPr="00483E86">
        <w:rPr>
          <w:rFonts w:eastAsia="SimSun"/>
        </w:rPr>
        <w:t xml:space="preserve"> Montenegro to provide Albania with any further reasonably obtainable information </w:t>
      </w:r>
      <w:bookmarkStart w:id="1" w:name="_Hlk133931225"/>
      <w:r w:rsidRPr="00483E86">
        <w:rPr>
          <w:rFonts w:eastAsia="SimSun"/>
        </w:rPr>
        <w:t>relating to the potentially affected environment from the proposed activities</w:t>
      </w:r>
      <w:bookmarkEnd w:id="1"/>
      <w:r>
        <w:rPr>
          <w:rFonts w:eastAsia="SimSun"/>
        </w:rPr>
        <w:t>,</w:t>
      </w:r>
      <w:r w:rsidRPr="00483E86">
        <w:rPr>
          <w:rFonts w:eastAsia="SimSun"/>
        </w:rPr>
        <w:t xml:space="preserve"> if requested;</w:t>
      </w:r>
    </w:p>
    <w:p w14:paraId="7CF01ED3" w14:textId="77777777" w:rsidR="00872417" w:rsidRPr="00483E86" w:rsidRDefault="00872417" w:rsidP="00315412">
      <w:pPr>
        <w:pStyle w:val="SingleTxtG"/>
        <w:ind w:firstLine="567"/>
        <w:rPr>
          <w:rFonts w:eastAsia="SimSun"/>
          <w:i/>
          <w:iCs/>
        </w:rPr>
      </w:pPr>
      <w:r w:rsidRPr="00483E86">
        <w:rPr>
          <w:rFonts w:eastAsia="SimSun"/>
        </w:rPr>
        <w:t>7.</w:t>
      </w:r>
      <w:r w:rsidRPr="00483E86">
        <w:rPr>
          <w:rFonts w:eastAsia="SimSun"/>
        </w:rPr>
        <w:tab/>
      </w:r>
      <w:r w:rsidRPr="00483E86">
        <w:rPr>
          <w:rFonts w:eastAsia="SimSun"/>
          <w:i/>
          <w:iCs/>
        </w:rPr>
        <w:t>Acknowledge</w:t>
      </w:r>
      <w:r w:rsidRPr="00483E86">
        <w:rPr>
          <w:rFonts w:eastAsia="SimSun"/>
        </w:rPr>
        <w:t xml:space="preserve"> that Albania expressed its willingness to apply the Convention should it, as a result of the discussions under article 2</w:t>
      </w:r>
      <w:r>
        <w:rPr>
          <w:rFonts w:eastAsia="SimSun"/>
        </w:rPr>
        <w:t xml:space="preserve"> </w:t>
      </w:r>
      <w:r w:rsidRPr="00483E86">
        <w:rPr>
          <w:rFonts w:eastAsia="SimSun"/>
        </w:rPr>
        <w:t>(5)</w:t>
      </w:r>
      <w:r>
        <w:rPr>
          <w:rFonts w:eastAsia="SimSun"/>
        </w:rPr>
        <w:t xml:space="preserve"> thereof</w:t>
      </w:r>
      <w:r w:rsidRPr="00483E86">
        <w:rPr>
          <w:rFonts w:eastAsia="SimSun"/>
        </w:rPr>
        <w:t>, agree that the activities in question cause significant adverse transboundary impacts;</w:t>
      </w:r>
    </w:p>
    <w:p w14:paraId="22DB78B8" w14:textId="77777777" w:rsidR="00872417" w:rsidRPr="00483E86" w:rsidRDefault="00872417" w:rsidP="00315412">
      <w:pPr>
        <w:pStyle w:val="SingleTxtG"/>
        <w:ind w:firstLine="567"/>
        <w:rPr>
          <w:rFonts w:eastAsia="SimSun"/>
        </w:rPr>
      </w:pPr>
      <w:r w:rsidRPr="00483E86">
        <w:rPr>
          <w:rFonts w:eastAsia="SimSun"/>
        </w:rPr>
        <w:t>8.</w:t>
      </w:r>
      <w:r w:rsidRPr="00483E86">
        <w:rPr>
          <w:rFonts w:eastAsia="SimSun"/>
        </w:rPr>
        <w:tab/>
      </w:r>
      <w:r w:rsidRPr="00483E86">
        <w:rPr>
          <w:rFonts w:eastAsia="SimSun"/>
          <w:i/>
          <w:iCs/>
        </w:rPr>
        <w:t xml:space="preserve">Encourage </w:t>
      </w:r>
      <w:r w:rsidRPr="00483E86">
        <w:rPr>
          <w:rFonts w:eastAsia="SimSun"/>
        </w:rPr>
        <w:t xml:space="preserve">Albania to take into account, in the context of any future assessment of transboundary environmental impacts of </w:t>
      </w:r>
      <w:r>
        <w:rPr>
          <w:rFonts w:eastAsia="SimSun"/>
        </w:rPr>
        <w:t xml:space="preserve">any further </w:t>
      </w:r>
      <w:r w:rsidRPr="00483E86">
        <w:rPr>
          <w:rFonts w:eastAsia="SimSun"/>
        </w:rPr>
        <w:t xml:space="preserve">small hydropower plants </w:t>
      </w:r>
      <w:r>
        <w:rPr>
          <w:rFonts w:eastAsia="SimSun"/>
        </w:rPr>
        <w:t>o</w:t>
      </w:r>
      <w:r w:rsidRPr="00483E86">
        <w:rPr>
          <w:rFonts w:eastAsia="SimSun"/>
        </w:rPr>
        <w:t>n the Cijevna River, the cumulative impact</w:t>
      </w:r>
      <w:r>
        <w:rPr>
          <w:rFonts w:eastAsia="SimSun"/>
        </w:rPr>
        <w:t>s</w:t>
      </w:r>
      <w:r w:rsidRPr="00483E86">
        <w:rPr>
          <w:rFonts w:eastAsia="SimSun"/>
        </w:rPr>
        <w:t xml:space="preserve"> </w:t>
      </w:r>
      <w:r>
        <w:rPr>
          <w:rFonts w:eastAsia="SimSun"/>
        </w:rPr>
        <w:t>o</w:t>
      </w:r>
      <w:r w:rsidRPr="00483E86">
        <w:rPr>
          <w:rFonts w:eastAsia="SimSun"/>
        </w:rPr>
        <w:t>f</w:t>
      </w:r>
      <w:r>
        <w:rPr>
          <w:rFonts w:eastAsia="SimSun"/>
        </w:rPr>
        <w:t xml:space="preserve"> </w:t>
      </w:r>
      <w:r w:rsidRPr="00483E86">
        <w:rPr>
          <w:rFonts w:eastAsia="SimSun"/>
        </w:rPr>
        <w:t>all existing and planned hydropower plants</w:t>
      </w:r>
      <w:r>
        <w:rPr>
          <w:rFonts w:eastAsia="SimSun"/>
        </w:rPr>
        <w:t>,</w:t>
      </w:r>
      <w:r w:rsidRPr="00483E86">
        <w:rPr>
          <w:rFonts w:eastAsia="SimSun"/>
        </w:rPr>
        <w:t xml:space="preserve"> and to provide the related information to Montenegro;</w:t>
      </w:r>
    </w:p>
    <w:p w14:paraId="58B2EC41" w14:textId="77777777" w:rsidR="00872417" w:rsidRPr="00483E86" w:rsidRDefault="00872417" w:rsidP="00315412">
      <w:pPr>
        <w:pStyle w:val="SingleTxtG"/>
        <w:ind w:firstLine="567"/>
        <w:rPr>
          <w:rFonts w:eastAsia="SimSun"/>
        </w:rPr>
      </w:pPr>
      <w:r w:rsidRPr="00483E86">
        <w:rPr>
          <w:rFonts w:eastAsia="SimSun"/>
        </w:rPr>
        <w:t>9.</w:t>
      </w:r>
      <w:r w:rsidRPr="00483E86">
        <w:rPr>
          <w:rFonts w:eastAsia="SimSun"/>
        </w:rPr>
        <w:tab/>
      </w:r>
      <w:r w:rsidRPr="00483E86">
        <w:rPr>
          <w:rFonts w:eastAsia="SimSun"/>
          <w:i/>
          <w:iCs/>
        </w:rPr>
        <w:t xml:space="preserve">Encourage </w:t>
      </w:r>
      <w:r w:rsidRPr="00483E86">
        <w:rPr>
          <w:rFonts w:eastAsia="SimSun"/>
        </w:rPr>
        <w:t xml:space="preserve">Montenegro to provide Albania with any reasonably obtainable information relating to the potentially affected environment from any future relevant planned activities </w:t>
      </w:r>
      <w:r>
        <w:rPr>
          <w:rFonts w:eastAsia="SimSun"/>
        </w:rPr>
        <w:t>on</w:t>
      </w:r>
      <w:r w:rsidRPr="00483E86">
        <w:rPr>
          <w:rFonts w:eastAsia="SimSun"/>
        </w:rPr>
        <w:t xml:space="preserve"> the Cijevna River, if requested; </w:t>
      </w:r>
    </w:p>
    <w:p w14:paraId="1F628173" w14:textId="631E6968" w:rsidR="00995079" w:rsidRDefault="00872417" w:rsidP="00315412">
      <w:pPr>
        <w:pStyle w:val="SingleTxtG"/>
        <w:ind w:firstLine="567"/>
        <w:rPr>
          <w:rFonts w:eastAsia="SimSun"/>
        </w:rPr>
      </w:pPr>
      <w:r w:rsidRPr="00483E86">
        <w:rPr>
          <w:rFonts w:eastAsia="SimSun"/>
        </w:rPr>
        <w:t>10</w:t>
      </w:r>
      <w:r>
        <w:rPr>
          <w:rFonts w:eastAsia="SimSun"/>
          <w:i/>
          <w:iCs/>
        </w:rPr>
        <w:t>.</w:t>
      </w:r>
      <w:r>
        <w:rPr>
          <w:rFonts w:eastAsia="SimSun"/>
          <w:i/>
          <w:iCs/>
        </w:rPr>
        <w:tab/>
      </w:r>
      <w:r w:rsidRPr="00483E86">
        <w:rPr>
          <w:rFonts w:eastAsia="SimSun"/>
          <w:i/>
          <w:iCs/>
        </w:rPr>
        <w:t xml:space="preserve">Request </w:t>
      </w:r>
      <w:r w:rsidRPr="00483E86">
        <w:rPr>
          <w:rFonts w:eastAsia="SimSun"/>
        </w:rPr>
        <w:t>Albania and Montenegro to apply the Protocol as an environmental protection instrument at an early stage of development of plans and programmes</w:t>
      </w:r>
      <w:r>
        <w:rPr>
          <w:rFonts w:eastAsia="SimSun"/>
        </w:rPr>
        <w:t>,</w:t>
      </w:r>
      <w:r w:rsidRPr="00483E86">
        <w:rPr>
          <w:rFonts w:eastAsia="SimSun"/>
        </w:rPr>
        <w:t xml:space="preserve"> such as energy strategies or plans</w:t>
      </w:r>
      <w:r>
        <w:rPr>
          <w:rFonts w:eastAsia="SimSun"/>
        </w:rPr>
        <w:t xml:space="preserve"> and</w:t>
      </w:r>
      <w:r w:rsidRPr="00483E86">
        <w:rPr>
          <w:rFonts w:eastAsia="SimSun"/>
        </w:rPr>
        <w:t xml:space="preserve"> joint river basin management plans that cover any future developments </w:t>
      </w:r>
      <w:r>
        <w:rPr>
          <w:rFonts w:eastAsia="SimSun"/>
        </w:rPr>
        <w:t>in</w:t>
      </w:r>
      <w:r w:rsidRPr="00483E86">
        <w:rPr>
          <w:rFonts w:eastAsia="SimSun"/>
        </w:rPr>
        <w:t xml:space="preserve"> the Cijevna River </w:t>
      </w:r>
      <w:r>
        <w:rPr>
          <w:rFonts w:eastAsia="SimSun"/>
        </w:rPr>
        <w:t>b</w:t>
      </w:r>
      <w:r w:rsidRPr="00483E86">
        <w:rPr>
          <w:rFonts w:eastAsia="SimSun"/>
        </w:rPr>
        <w:t>asin or other areas of outstanding nature and environmental value</w:t>
      </w:r>
      <w:r>
        <w:rPr>
          <w:rFonts w:eastAsia="SimSun"/>
        </w:rPr>
        <w:t>,</w:t>
      </w:r>
      <w:r w:rsidRPr="00483E86">
        <w:rPr>
          <w:rFonts w:eastAsia="SimSun"/>
        </w:rPr>
        <w:t xml:space="preserve"> </w:t>
      </w:r>
      <w:r>
        <w:rPr>
          <w:rFonts w:eastAsia="SimSun"/>
        </w:rPr>
        <w:t xml:space="preserve">as well as </w:t>
      </w:r>
      <w:r w:rsidRPr="00483E86">
        <w:rPr>
          <w:rFonts w:eastAsia="SimSun"/>
        </w:rPr>
        <w:t>to ensure that cumulative impacts of the planned activities, including those in a transboundary context, are properly addressed.</w:t>
      </w:r>
    </w:p>
    <w:p w14:paraId="7A5CD3D4" w14:textId="77777777" w:rsidR="002F27EB" w:rsidRDefault="002F27EB" w:rsidP="00315412">
      <w:pPr>
        <w:pStyle w:val="SingleTxtG"/>
        <w:ind w:firstLine="567"/>
        <w:rPr>
          <w:rFonts w:eastAsia="SimSun"/>
        </w:rPr>
        <w:sectPr w:rsidR="002F27EB" w:rsidSect="0000762B">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680" w:footer="567" w:gutter="0"/>
          <w:cols w:space="720"/>
          <w:titlePg/>
          <w:docGrid w:linePitch="272"/>
        </w:sectPr>
      </w:pPr>
    </w:p>
    <w:p w14:paraId="0104A2E6" w14:textId="06165277" w:rsidR="000547D7" w:rsidRDefault="000547D7" w:rsidP="000547D7">
      <w:pPr>
        <w:pStyle w:val="HChG"/>
      </w:pPr>
      <w:r>
        <w:lastRenderedPageBreak/>
        <w:tab/>
        <w:t>2.</w:t>
      </w:r>
      <w:r>
        <w:tab/>
        <w:t>D</w:t>
      </w:r>
      <w:r w:rsidRPr="003947C5">
        <w:t xml:space="preserve">ecision </w:t>
      </w:r>
      <w:r>
        <w:t>IX</w:t>
      </w:r>
      <w:r w:rsidRPr="003947C5">
        <w:t>/</w:t>
      </w:r>
      <w:r w:rsidRPr="000547D7">
        <w:t>4b</w:t>
      </w:r>
      <w:r>
        <w:t>-V/4b</w:t>
      </w:r>
      <w:r w:rsidRPr="003947C5">
        <w:t xml:space="preserve"> on compliance by Armenia with its obligations under the Convention </w:t>
      </w:r>
      <w:r>
        <w:t>and the Protocol in</w:t>
      </w:r>
      <w:r w:rsidRPr="003947C5">
        <w:t xml:space="preserve"> respect of its national legislation</w:t>
      </w:r>
    </w:p>
    <w:p w14:paraId="29EA0076" w14:textId="77777777" w:rsidR="000547D7" w:rsidRPr="008754A1" w:rsidRDefault="000547D7" w:rsidP="008754A1">
      <w:pPr>
        <w:pStyle w:val="SingleTxtG"/>
        <w:ind w:firstLine="567"/>
        <w:rPr>
          <w:i/>
          <w:iCs/>
        </w:rPr>
      </w:pPr>
      <w:r w:rsidRPr="008754A1">
        <w:rPr>
          <w:i/>
          <w:iCs/>
        </w:rPr>
        <w:t xml:space="preserve">The Meeting of the Parties to the Convention and the Meeting of the Parties to the Protocol, </w:t>
      </w:r>
    </w:p>
    <w:p w14:paraId="11207D79" w14:textId="77777777" w:rsidR="000547D7" w:rsidRDefault="000547D7" w:rsidP="008754A1">
      <w:pPr>
        <w:pStyle w:val="SingleTxtG"/>
        <w:ind w:firstLine="567"/>
      </w:pPr>
      <w:r>
        <w:rPr>
          <w:i/>
        </w:rPr>
        <w:t>Recalling</w:t>
      </w:r>
      <w:r>
        <w:t xml:space="preserve"> articles 11 (2) and 14 bis of the Convention on Environmental Impact Assessment in a Transboundary Context and article 14 (6) of the Protocol on Strategic Environmental Assessment, </w:t>
      </w:r>
    </w:p>
    <w:p w14:paraId="267A3854" w14:textId="48BA6D91" w:rsidR="000547D7" w:rsidRDefault="000547D7" w:rsidP="008754A1">
      <w:pPr>
        <w:pStyle w:val="SingleTxtG"/>
        <w:ind w:firstLine="567"/>
      </w:pPr>
      <w:r>
        <w:rPr>
          <w:i/>
        </w:rPr>
        <w:t>Recalling also</w:t>
      </w:r>
      <w:r>
        <w:t xml:space="preserve"> decisions IV/2, paragraphs 15–19,</w:t>
      </w:r>
      <w:r>
        <w:rPr>
          <w:rStyle w:val="FootnoteReference"/>
        </w:rPr>
        <w:footnoteReference w:id="6"/>
      </w:r>
      <w:r>
        <w:t xml:space="preserve"> V/4, paragraphs 27 and 28,</w:t>
      </w:r>
      <w:r>
        <w:rPr>
          <w:rStyle w:val="FootnoteReference"/>
        </w:rPr>
        <w:footnoteReference w:id="7"/>
      </w:r>
      <w:r>
        <w:t xml:space="preserve"> VI/2, paragraphs 29–35,</w:t>
      </w:r>
      <w:r>
        <w:rPr>
          <w:rStyle w:val="FootnoteReference"/>
        </w:rPr>
        <w:footnoteReference w:id="8"/>
      </w:r>
      <w:r>
        <w:t xml:space="preserve"> IS/1a</w:t>
      </w:r>
      <w:r>
        <w:rPr>
          <w:rStyle w:val="FootnoteReference"/>
        </w:rPr>
        <w:footnoteReference w:id="9"/>
      </w:r>
      <w:r>
        <w:t xml:space="preserve"> and VIII/4a</w:t>
      </w:r>
      <w:r>
        <w:rPr>
          <w:rStyle w:val="FootnoteReference"/>
        </w:rPr>
        <w:footnoteReference w:id="10"/>
      </w:r>
      <w:r>
        <w:t xml:space="preserve"> on compliance by Armenia in respect of its national legislation for the implementation of the Convention,</w:t>
      </w:r>
    </w:p>
    <w:p w14:paraId="39CFB489" w14:textId="77777777" w:rsidR="000547D7" w:rsidRDefault="000547D7" w:rsidP="008754A1">
      <w:pPr>
        <w:pStyle w:val="SingleTxtG"/>
        <w:ind w:firstLine="567"/>
        <w:rPr>
          <w:rFonts w:eastAsia="SimSun"/>
        </w:rPr>
      </w:pPr>
      <w:r w:rsidRPr="00483E86">
        <w:rPr>
          <w:rFonts w:eastAsia="SimSun"/>
          <w:i/>
        </w:rPr>
        <w:t>Recalling further</w:t>
      </w:r>
      <w:r w:rsidRPr="00483E86">
        <w:rPr>
          <w:rFonts w:eastAsia="SimSun"/>
        </w:rPr>
        <w:t xml:space="preserve"> decision</w:t>
      </w:r>
      <w:r>
        <w:rPr>
          <w:rFonts w:eastAsia="SimSun"/>
        </w:rPr>
        <w:t>s</w:t>
      </w:r>
      <w:r w:rsidRPr="00483E86">
        <w:rPr>
          <w:rFonts w:eastAsia="SimSun"/>
        </w:rPr>
        <w:t xml:space="preserve"> IX/4</w:t>
      </w:r>
      <w:r w:rsidRPr="00483E86">
        <w:rPr>
          <w:rFonts w:eastAsia="SimSun"/>
          <w:sz w:val="18"/>
          <w:vertAlign w:val="superscript"/>
        </w:rPr>
        <w:footnoteReference w:id="11"/>
      </w:r>
      <w:r w:rsidRPr="00483E86">
        <w:rPr>
          <w:rFonts w:eastAsia="SimSun"/>
        </w:rPr>
        <w:t xml:space="preserve"> on general issues of compliance with the Convention</w:t>
      </w:r>
      <w:r>
        <w:rPr>
          <w:rFonts w:eastAsia="SimSun"/>
        </w:rPr>
        <w:t>,</w:t>
      </w:r>
      <w:r w:rsidRPr="00483E86">
        <w:rPr>
          <w:rFonts w:eastAsia="SimSun"/>
        </w:rPr>
        <w:t xml:space="preserve"> </w:t>
      </w:r>
      <w:r>
        <w:rPr>
          <w:rFonts w:eastAsia="SimSun"/>
        </w:rPr>
        <w:t>adopted at the ninth session of the Meeting of the Parties to the Convention, and</w:t>
      </w:r>
      <w:r w:rsidRPr="00483E86">
        <w:rPr>
          <w:rFonts w:eastAsia="SimSun"/>
        </w:rPr>
        <w:t xml:space="preserve"> V/4</w:t>
      </w:r>
      <w:r w:rsidRPr="00483E86">
        <w:rPr>
          <w:rFonts w:eastAsia="SimSun"/>
          <w:sz w:val="18"/>
          <w:vertAlign w:val="superscript"/>
        </w:rPr>
        <w:footnoteReference w:id="12"/>
      </w:r>
      <w:r w:rsidRPr="00483E86">
        <w:rPr>
          <w:rFonts w:eastAsia="SimSun"/>
        </w:rPr>
        <w:t xml:space="preserve"> on general issues of compliance with the Protocol</w:t>
      </w:r>
      <w:r>
        <w:rPr>
          <w:rFonts w:eastAsia="SimSun"/>
        </w:rPr>
        <w:t>, adopted at the fifth session of the Meeting of the Parties to the Protocol (</w:t>
      </w:r>
      <w:r>
        <w:t>Geneva, 12–15 December 2023)</w:t>
      </w:r>
      <w:r w:rsidRPr="00483E86">
        <w:rPr>
          <w:rFonts w:eastAsia="SimSun"/>
        </w:rPr>
        <w:t xml:space="preserve">, </w:t>
      </w:r>
    </w:p>
    <w:p w14:paraId="704DCEEF" w14:textId="77777777" w:rsidR="000547D7" w:rsidRDefault="000547D7" w:rsidP="008754A1">
      <w:pPr>
        <w:pStyle w:val="SingleTxtG"/>
        <w:ind w:firstLine="567"/>
      </w:pPr>
      <w:r>
        <w:rPr>
          <w:i/>
        </w:rPr>
        <w:t>Having considered</w:t>
      </w:r>
      <w:r>
        <w:t xml:space="preserve"> the report on the activities of the Implementation Committee to the Meeting of the Parties to the Convention at its ninth session, </w:t>
      </w:r>
      <w:r w:rsidRPr="00EE478E">
        <w:t xml:space="preserve">in particular, the section concerning the steps taken by Armenia </w:t>
      </w:r>
      <w:r>
        <w:t xml:space="preserve">further to </w:t>
      </w:r>
      <w:r w:rsidRPr="00EE478E">
        <w:t>decision</w:t>
      </w:r>
      <w:r>
        <w:t>s</w:t>
      </w:r>
      <w:r w:rsidRPr="00EE478E">
        <w:t xml:space="preserve"> IS/1</w:t>
      </w:r>
      <w:r>
        <w:t>a and VIII/4a,</w:t>
      </w:r>
      <w:r>
        <w:rPr>
          <w:rStyle w:val="FootnoteReference"/>
        </w:rPr>
        <w:footnoteReference w:id="13"/>
      </w:r>
    </w:p>
    <w:p w14:paraId="7408A334" w14:textId="77777777" w:rsidR="000547D7" w:rsidRDefault="000547D7" w:rsidP="008754A1">
      <w:pPr>
        <w:pStyle w:val="SingleTxtG"/>
        <w:ind w:firstLine="567"/>
      </w:pPr>
      <w:r>
        <w:rPr>
          <w:i/>
        </w:rPr>
        <w:t>Acknowledging</w:t>
      </w:r>
      <w:r>
        <w:t xml:space="preserve"> </w:t>
      </w:r>
      <w:r w:rsidRPr="008754A1">
        <w:t>the technical assistance provided by the secretariat to the Government of Armenia to assist the country in bringing its legislation into line with the provisions of the Convention and the Protocol, further to paragraph 35 of decision VI/2,</w:t>
      </w:r>
    </w:p>
    <w:p w14:paraId="0A69EFD0" w14:textId="77777777" w:rsidR="000547D7" w:rsidRPr="009A0278" w:rsidRDefault="000547D7" w:rsidP="008754A1">
      <w:pPr>
        <w:pStyle w:val="SingleTxtG"/>
        <w:ind w:firstLine="567"/>
      </w:pPr>
      <w:r>
        <w:t>1.</w:t>
      </w:r>
      <w:r>
        <w:tab/>
      </w:r>
      <w:r w:rsidRPr="009A0278">
        <w:rPr>
          <w:i/>
          <w:iCs/>
        </w:rPr>
        <w:t xml:space="preserve">Appreciate </w:t>
      </w:r>
      <w:r w:rsidRPr="009A0278">
        <w:t>the regular</w:t>
      </w:r>
      <w:r>
        <w:t>, albeit occasionally delayed,</w:t>
      </w:r>
      <w:r w:rsidRPr="009A0278">
        <w:t xml:space="preserve"> </w:t>
      </w:r>
      <w:r>
        <w:t xml:space="preserve">progress </w:t>
      </w:r>
      <w:r w:rsidRPr="009A0278">
        <w:t>reports and the steps taken by the Government of Armenia further to decision VIII/</w:t>
      </w:r>
      <w:r>
        <w:t>4</w:t>
      </w:r>
      <w:r w:rsidRPr="009A0278">
        <w:t>a since the eighth session of the Meeting of the Parties</w:t>
      </w:r>
      <w:r>
        <w:t xml:space="preserve"> to the Convention and the fourth session of the Meeting of the Parties to the Protocol </w:t>
      </w:r>
      <w:r w:rsidRPr="009A0278">
        <w:t>(Vilnius</w:t>
      </w:r>
      <w:r>
        <w:t xml:space="preserve"> (online)</w:t>
      </w:r>
      <w:r w:rsidRPr="009A0278">
        <w:t>, 8</w:t>
      </w:r>
      <w:r w:rsidRPr="004932BB">
        <w:t>–</w:t>
      </w:r>
      <w:r w:rsidRPr="009A0278">
        <w:t>11 December 2020);</w:t>
      </w:r>
    </w:p>
    <w:p w14:paraId="1D21C406" w14:textId="77777777" w:rsidR="000547D7" w:rsidRPr="009A0278" w:rsidRDefault="000547D7" w:rsidP="008754A1">
      <w:pPr>
        <w:pStyle w:val="SingleTxtG"/>
        <w:ind w:firstLine="567"/>
      </w:pPr>
      <w:r>
        <w:t>2.</w:t>
      </w:r>
      <w:r>
        <w:tab/>
      </w:r>
      <w:r>
        <w:rPr>
          <w:i/>
          <w:iCs/>
        </w:rPr>
        <w:t xml:space="preserve">Welcome </w:t>
      </w:r>
      <w:r w:rsidRPr="00BA5E8C">
        <w:t>the adoption of a new law on environmental impact assessment and expert examination on 3 May 2023</w:t>
      </w:r>
      <w:r>
        <w:t>,</w:t>
      </w:r>
      <w:r>
        <w:rPr>
          <w:rStyle w:val="FootnoteReference"/>
        </w:rPr>
        <w:footnoteReference w:id="14"/>
      </w:r>
      <w:r w:rsidRPr="00BA5E8C">
        <w:t xml:space="preserve"> but </w:t>
      </w:r>
      <w:r w:rsidRPr="00F45DA6">
        <w:t>note</w:t>
      </w:r>
      <w:r>
        <w:rPr>
          <w:i/>
          <w:iCs/>
        </w:rPr>
        <w:t xml:space="preserve"> </w:t>
      </w:r>
      <w:r>
        <w:t xml:space="preserve">the delays in </w:t>
      </w:r>
      <w:r w:rsidRPr="009A0278">
        <w:t xml:space="preserve">the legislative process </w:t>
      </w:r>
      <w:r>
        <w:t xml:space="preserve">for adopting </w:t>
      </w:r>
      <w:r w:rsidRPr="001116E8">
        <w:t>the relevant secondary legislation</w:t>
      </w:r>
      <w:r>
        <w:t>;</w:t>
      </w:r>
    </w:p>
    <w:p w14:paraId="3369DC44" w14:textId="77777777" w:rsidR="000547D7" w:rsidRDefault="000547D7" w:rsidP="008754A1">
      <w:pPr>
        <w:pStyle w:val="SingleTxtG"/>
        <w:ind w:firstLine="567"/>
      </w:pPr>
      <w:r>
        <w:t>3.</w:t>
      </w:r>
      <w:r>
        <w:tab/>
      </w:r>
      <w:r w:rsidRPr="007E781B">
        <w:rPr>
          <w:i/>
          <w:iCs/>
        </w:rPr>
        <w:t>Note with concern</w:t>
      </w:r>
      <w:r>
        <w:t xml:space="preserve"> that, w</w:t>
      </w:r>
      <w:r w:rsidRPr="00463706">
        <w:t>hile providing some improvements</w:t>
      </w:r>
      <w:r>
        <w:t>,</w:t>
      </w:r>
      <w:r w:rsidRPr="00463706">
        <w:t xml:space="preserve"> </w:t>
      </w:r>
      <w:r>
        <w:t>the new law</w:t>
      </w:r>
      <w:r w:rsidRPr="00463706">
        <w:t xml:space="preserve"> does not address most of the fundamental deficiencies of the </w:t>
      </w:r>
      <w:r>
        <w:t>previous</w:t>
      </w:r>
      <w:r w:rsidRPr="00463706">
        <w:t xml:space="preserve"> law</w:t>
      </w:r>
      <w:r>
        <w:t xml:space="preserve">, therefore not ensuring full compliance by Armenia with its obligations under the Convention and the Protocol; </w:t>
      </w:r>
    </w:p>
    <w:p w14:paraId="7F33FE7B" w14:textId="4C13A2BC" w:rsidR="000547D7" w:rsidRDefault="000547D7" w:rsidP="008754A1">
      <w:pPr>
        <w:pStyle w:val="SingleTxtG"/>
        <w:ind w:firstLine="567"/>
      </w:pPr>
      <w:r>
        <w:t>4.</w:t>
      </w:r>
      <w:r>
        <w:rPr>
          <w:i/>
          <w:iCs/>
        </w:rPr>
        <w:tab/>
      </w:r>
      <w:r w:rsidRPr="006E1994">
        <w:rPr>
          <w:i/>
          <w:iCs/>
        </w:rPr>
        <w:t>Note</w:t>
      </w:r>
      <w:r>
        <w:t xml:space="preserve"> that the new law contains in particular the following deficiencies:</w:t>
      </w:r>
    </w:p>
    <w:p w14:paraId="08B6B677" w14:textId="2856E455" w:rsidR="000547D7" w:rsidRDefault="000547D7" w:rsidP="008754A1">
      <w:pPr>
        <w:pStyle w:val="SingleTxtG"/>
        <w:ind w:firstLine="567"/>
      </w:pPr>
      <w:r>
        <w:t>(a)</w:t>
      </w:r>
      <w:r>
        <w:tab/>
        <w:t xml:space="preserve">The definition of “report”, </w:t>
      </w:r>
      <w:r w:rsidRPr="00026C5F">
        <w:t xml:space="preserve">which covers both </w:t>
      </w:r>
      <w:r>
        <w:t xml:space="preserve">environmental impact assessment </w:t>
      </w:r>
      <w:r w:rsidRPr="00026C5F">
        <w:t xml:space="preserve">and </w:t>
      </w:r>
      <w:r>
        <w:t>strategic environmental assessment</w:t>
      </w:r>
      <w:r w:rsidRPr="00026C5F">
        <w:t xml:space="preserve"> reports</w:t>
      </w:r>
      <w:r>
        <w:t>,</w:t>
      </w:r>
      <w:r w:rsidRPr="00026C5F">
        <w:t xml:space="preserve"> reflect</w:t>
      </w:r>
      <w:r>
        <w:t>s</w:t>
      </w:r>
      <w:r w:rsidRPr="00026C5F">
        <w:t xml:space="preserve"> </w:t>
      </w:r>
      <w:r>
        <w:t>a</w:t>
      </w:r>
      <w:r w:rsidRPr="00026C5F">
        <w:t xml:space="preserve"> conceptual discrepancy </w:t>
      </w:r>
      <w:r>
        <w:t>in</w:t>
      </w:r>
      <w:r w:rsidRPr="00026C5F">
        <w:t xml:space="preserve"> the approach towards assessment and</w:t>
      </w:r>
      <w:r>
        <w:t xml:space="preserve"> the</w:t>
      </w:r>
      <w:r w:rsidRPr="00026C5F">
        <w:t xml:space="preserve"> role of </w:t>
      </w:r>
      <w:r>
        <w:t xml:space="preserve">the </w:t>
      </w:r>
      <w:r w:rsidRPr="00026C5F">
        <w:t>respective reports in the Convention and Protocol</w:t>
      </w:r>
      <w:r>
        <w:t xml:space="preserve"> (environmental impact assessment documentation under article 4 of the Convention and the environmental report under article 7 of the Protocol);</w:t>
      </w:r>
    </w:p>
    <w:p w14:paraId="6482976B" w14:textId="284C843F" w:rsidR="000547D7" w:rsidRDefault="000547D7" w:rsidP="009F6CDF">
      <w:pPr>
        <w:pStyle w:val="SingleTxtG"/>
        <w:ind w:firstLine="567"/>
      </w:pPr>
      <w:r>
        <w:lastRenderedPageBreak/>
        <w:t>(b)</w:t>
      </w:r>
      <w:r>
        <w:tab/>
        <w:t xml:space="preserve">The definition of “the public” and public </w:t>
      </w:r>
      <w:r w:rsidRPr="00337895">
        <w:t>associations, organizations or group</w:t>
      </w:r>
      <w:r>
        <w:t>s in accordance with article 1 (x) of the Convention and article 2 (8) of the Protocol is not included;</w:t>
      </w:r>
    </w:p>
    <w:p w14:paraId="00F7D9D0" w14:textId="0261B539" w:rsidR="000547D7" w:rsidRDefault="000547D7" w:rsidP="009F6CDF">
      <w:pPr>
        <w:pStyle w:val="SingleTxtG"/>
        <w:ind w:firstLine="567"/>
      </w:pPr>
      <w:r>
        <w:t>(c)</w:t>
      </w:r>
      <w:r>
        <w:tab/>
        <w:t xml:space="preserve">It is unclear whether </w:t>
      </w:r>
      <w:r w:rsidRPr="00026C5F">
        <w:t>“major change</w:t>
      </w:r>
      <w:r>
        <w:t>s</w:t>
      </w:r>
      <w:r w:rsidRPr="00026C5F">
        <w:t xml:space="preserve">” </w:t>
      </w:r>
      <w:r>
        <w:t xml:space="preserve">to activities are covered according to </w:t>
      </w:r>
      <w:r w:rsidRPr="00026C5F">
        <w:t>the Convention</w:t>
      </w:r>
      <w:r>
        <w:t>;</w:t>
      </w:r>
    </w:p>
    <w:p w14:paraId="3F6BB04B" w14:textId="2B478646" w:rsidR="000547D7" w:rsidRDefault="000547D7" w:rsidP="009F6CDF">
      <w:pPr>
        <w:pStyle w:val="SingleTxtG"/>
        <w:ind w:firstLine="567"/>
      </w:pPr>
      <w:r>
        <w:t>(d)</w:t>
      </w:r>
      <w:r>
        <w:tab/>
        <w:t xml:space="preserve"> </w:t>
      </w:r>
      <w:r w:rsidR="00D012F2" w:rsidRPr="00D012F2">
        <w:t>It is unclear which plans or programmes are subject to article 4 (3) and (4) to the screening in accordance with article 5 of the Protocol, in particular whether an appropriate procedure is in place, and whether screening criteria according to annex III to the Protocol are provided for;</w:t>
      </w:r>
    </w:p>
    <w:p w14:paraId="2156FBC6" w14:textId="7971F178" w:rsidR="000547D7" w:rsidRDefault="000547D7" w:rsidP="009F6CDF">
      <w:pPr>
        <w:pStyle w:val="SingleTxtG"/>
        <w:ind w:firstLine="567"/>
      </w:pPr>
      <w:r>
        <w:t>(e)</w:t>
      </w:r>
      <w:r>
        <w:tab/>
        <w:t xml:space="preserve">Monitoring in accordance with article 12 of the Protocol is not provided for; </w:t>
      </w:r>
    </w:p>
    <w:p w14:paraId="2105A7A9" w14:textId="2349776B" w:rsidR="000547D7" w:rsidRDefault="000547D7" w:rsidP="009F6CDF">
      <w:pPr>
        <w:pStyle w:val="SingleTxtG"/>
        <w:ind w:firstLine="567"/>
      </w:pPr>
      <w:r>
        <w:t>5.</w:t>
      </w:r>
      <w:r>
        <w:tab/>
      </w:r>
      <w:r>
        <w:rPr>
          <w:i/>
          <w:iCs/>
        </w:rPr>
        <w:t>R</w:t>
      </w:r>
      <w:r w:rsidRPr="00DF4004">
        <w:rPr>
          <w:i/>
          <w:iCs/>
        </w:rPr>
        <w:t xml:space="preserve">egret </w:t>
      </w:r>
      <w:r>
        <w:t>that, despite over a decade of technical assistance provided by the secretariat</w:t>
      </w:r>
      <w:r>
        <w:rPr>
          <w:rStyle w:val="FootnoteReference"/>
        </w:rPr>
        <w:footnoteReference w:id="15"/>
      </w:r>
      <w:r>
        <w:t xml:space="preserve"> and the Implementation Committee to Armenia to bring its legislation into line with the Convention and the Protocol, and multiple decisions by the Meetings of the Parties requesting it to do so, Armenia has not yet adopted fully compliant legislation or secondary legislation, especially concerning procedures according to the Protocol; </w:t>
      </w:r>
    </w:p>
    <w:p w14:paraId="70FDB1DE" w14:textId="77777777" w:rsidR="000547D7" w:rsidRDefault="000547D7" w:rsidP="009F6CDF">
      <w:pPr>
        <w:pStyle w:val="SingleTxtG"/>
        <w:ind w:firstLine="567"/>
      </w:pPr>
      <w:r>
        <w:t>6.</w:t>
      </w:r>
      <w:r>
        <w:tab/>
      </w:r>
      <w:r w:rsidRPr="005E2B79">
        <w:rPr>
          <w:i/>
          <w:iCs/>
        </w:rPr>
        <w:t>Endorse</w:t>
      </w:r>
      <w:r w:rsidRPr="00D61886">
        <w:t xml:space="preserve"> the finding of the Implementation Committee that, despite steps taken</w:t>
      </w:r>
      <w:r>
        <w:t xml:space="preserve">, </w:t>
      </w:r>
      <w:r w:rsidRPr="00D61886">
        <w:t xml:space="preserve">pending the </w:t>
      </w:r>
      <w:r>
        <w:t xml:space="preserve">alignment of its law with the Convention and the Protocol and the adoption of </w:t>
      </w:r>
      <w:r w:rsidRPr="00D61886">
        <w:t xml:space="preserve">relevant secondary legislation, </w:t>
      </w:r>
      <w:r>
        <w:t xml:space="preserve">the Government of Armenia </w:t>
      </w:r>
      <w:r w:rsidRPr="00D61886">
        <w:t>has not yet fulfilled the requests addressed to it in decisions</w:t>
      </w:r>
      <w:r>
        <w:t xml:space="preserve"> IS/1a and</w:t>
      </w:r>
      <w:r w:rsidRPr="00D61886">
        <w:t xml:space="preserve"> VIII/4a</w:t>
      </w:r>
      <w:r>
        <w:t>;</w:t>
      </w:r>
      <w:r>
        <w:rPr>
          <w:rStyle w:val="FootnoteReference"/>
        </w:rPr>
        <w:footnoteReference w:id="16"/>
      </w:r>
    </w:p>
    <w:p w14:paraId="4F9D89AF" w14:textId="77777777" w:rsidR="000547D7" w:rsidRDefault="000547D7" w:rsidP="009F6CDF">
      <w:pPr>
        <w:pStyle w:val="SingleTxtG"/>
        <w:ind w:firstLine="567"/>
      </w:pPr>
      <w:r>
        <w:t>7.</w:t>
      </w:r>
      <w:r>
        <w:tab/>
      </w:r>
      <w:bookmarkStart w:id="3" w:name="_Hlk34319760"/>
      <w:r w:rsidRPr="00F602A5">
        <w:rPr>
          <w:i/>
          <w:iCs/>
        </w:rPr>
        <w:t xml:space="preserve">Reaffirm </w:t>
      </w:r>
      <w:r>
        <w:rPr>
          <w:iCs/>
        </w:rPr>
        <w:t xml:space="preserve">decisions IS/1a and VIII/4a, and </w:t>
      </w:r>
      <w:r w:rsidRPr="007F7C7C">
        <w:rPr>
          <w:iCs/>
        </w:rPr>
        <w:t>request</w:t>
      </w:r>
      <w:bookmarkEnd w:id="3"/>
      <w:r w:rsidRPr="0032079C">
        <w:rPr>
          <w:i/>
        </w:rPr>
        <w:t xml:space="preserve"> </w:t>
      </w:r>
      <w:r w:rsidRPr="0032079C">
        <w:t>the Government of Armenia</w:t>
      </w:r>
      <w:r>
        <w:t xml:space="preserve"> </w:t>
      </w:r>
      <w:r w:rsidRPr="0032079C">
        <w:t xml:space="preserve">to </w:t>
      </w:r>
      <w:r>
        <w:t xml:space="preserve">rectify, </w:t>
      </w:r>
      <w:bookmarkStart w:id="4" w:name="_Hlk34319793"/>
      <w:r>
        <w:t>as soon as possible,</w:t>
      </w:r>
      <w:r w:rsidRPr="0032079C">
        <w:t xml:space="preserve"> </w:t>
      </w:r>
      <w:bookmarkEnd w:id="4"/>
      <w:r w:rsidRPr="0032079C">
        <w:t xml:space="preserve">the </w:t>
      </w:r>
      <w:r>
        <w:t xml:space="preserve">deficiencies of the new law, </w:t>
      </w:r>
      <w:r w:rsidRPr="0032079C">
        <w:t xml:space="preserve">and </w:t>
      </w:r>
      <w:r>
        <w:t xml:space="preserve">to adopt </w:t>
      </w:r>
      <w:r w:rsidRPr="0032079C">
        <w:t>the</w:t>
      </w:r>
      <w:r>
        <w:t xml:space="preserve"> relevant</w:t>
      </w:r>
      <w:r w:rsidRPr="0032079C">
        <w:t xml:space="preserve"> secondary </w:t>
      </w:r>
      <w:r>
        <w:t>legislation</w:t>
      </w:r>
      <w:r w:rsidRPr="0032079C">
        <w:t xml:space="preserve"> </w:t>
      </w:r>
      <w:r>
        <w:t>in accordance with the recommendations of the international consultants to the secretariat</w:t>
      </w:r>
      <w:r>
        <w:rPr>
          <w:rStyle w:val="FootnoteReference"/>
        </w:rPr>
        <w:footnoteReference w:id="17"/>
      </w:r>
      <w:r>
        <w:t>, with a view to ensuring full compliance of its legislative framework with the Convention and the Protocol</w:t>
      </w:r>
      <w:r w:rsidRPr="0032079C">
        <w:t>;</w:t>
      </w:r>
    </w:p>
    <w:p w14:paraId="69B7D81C" w14:textId="77777777" w:rsidR="000547D7" w:rsidRDefault="000547D7" w:rsidP="009F6CDF">
      <w:pPr>
        <w:pStyle w:val="SingleTxtG"/>
        <w:ind w:firstLine="567"/>
      </w:pPr>
      <w:r>
        <w:t>8.</w:t>
      </w:r>
      <w:r>
        <w:tab/>
      </w:r>
      <w:r>
        <w:rPr>
          <w:i/>
          <w:iCs/>
        </w:rPr>
        <w:t>R</w:t>
      </w:r>
      <w:r w:rsidRPr="00F602A5">
        <w:rPr>
          <w:i/>
          <w:iCs/>
        </w:rPr>
        <w:t>equest</w:t>
      </w:r>
      <w:r>
        <w:t xml:space="preserve"> the Government of Armenia to provide the Implementation Committee with the text of the amendments to the law of 3 May 2023 and the relevant secondary legislation, once adopted, together with the English translations thereof;</w:t>
      </w:r>
    </w:p>
    <w:p w14:paraId="71A9327B" w14:textId="4CEAACB2" w:rsidR="00315412" w:rsidRDefault="000547D7" w:rsidP="009F6CDF">
      <w:pPr>
        <w:pStyle w:val="SingleTxtG"/>
        <w:ind w:firstLine="567"/>
      </w:pPr>
      <w:r>
        <w:t>9.</w:t>
      </w:r>
      <w:r>
        <w:tab/>
      </w:r>
      <w:r>
        <w:rPr>
          <w:i/>
          <w:iCs/>
        </w:rPr>
        <w:t>R</w:t>
      </w:r>
      <w:r w:rsidRPr="00DC6BC9">
        <w:rPr>
          <w:i/>
          <w:iCs/>
        </w:rPr>
        <w:t>equest</w:t>
      </w:r>
      <w:r w:rsidRPr="00F45BFE">
        <w:rPr>
          <w:i/>
          <w:iCs/>
        </w:rPr>
        <w:t xml:space="preserve"> </w:t>
      </w:r>
      <w:r w:rsidRPr="0032079C">
        <w:t xml:space="preserve">the Implementation Committee to evaluate the </w:t>
      </w:r>
      <w:r>
        <w:t xml:space="preserve">amendments to the law of 3 May 2023 </w:t>
      </w:r>
      <w:r w:rsidRPr="0032079C">
        <w:t xml:space="preserve">and the </w:t>
      </w:r>
      <w:r>
        <w:t xml:space="preserve">relevant </w:t>
      </w:r>
      <w:r w:rsidRPr="0032079C">
        <w:t xml:space="preserve">secondary </w:t>
      </w:r>
      <w:r>
        <w:t>legislation, once adopted,</w:t>
      </w:r>
      <w:r w:rsidRPr="0032079C">
        <w:t xml:space="preserve"> </w:t>
      </w:r>
      <w:r>
        <w:t xml:space="preserve">and </w:t>
      </w:r>
      <w:r w:rsidRPr="0032079C">
        <w:t>to report</w:t>
      </w:r>
      <w:r>
        <w:t xml:space="preserve"> thereon</w:t>
      </w:r>
      <w:r w:rsidRPr="0032079C">
        <w:t xml:space="preserve"> to the Meeting of the Parties</w:t>
      </w:r>
      <w:r>
        <w:t xml:space="preserve"> to the Convention and the Meeting of the Parties to the Protocol</w:t>
      </w:r>
      <w:r w:rsidRPr="0032079C">
        <w:t xml:space="preserve"> at </w:t>
      </w:r>
      <w:r>
        <w:t>their</w:t>
      </w:r>
      <w:r w:rsidRPr="0032079C">
        <w:t xml:space="preserve"> </w:t>
      </w:r>
      <w:r>
        <w:t>tenth</w:t>
      </w:r>
      <w:r w:rsidRPr="0032079C">
        <w:t xml:space="preserve"> </w:t>
      </w:r>
      <w:r>
        <w:t xml:space="preserve">and sixth </w:t>
      </w:r>
      <w:r w:rsidRPr="0032079C">
        <w:t>session</w:t>
      </w:r>
      <w:r>
        <w:t>s, respectively</w:t>
      </w:r>
      <w:r w:rsidRPr="0032079C">
        <w:t>.</w:t>
      </w:r>
    </w:p>
    <w:p w14:paraId="5B08FCF0" w14:textId="77777777" w:rsidR="00823A07" w:rsidRDefault="00823A07" w:rsidP="009F6CDF">
      <w:pPr>
        <w:pStyle w:val="SingleTxtG"/>
        <w:ind w:firstLine="567"/>
        <w:rPr>
          <w:rFonts w:eastAsia="SimSun"/>
        </w:rPr>
        <w:sectPr w:rsidR="00823A07" w:rsidSect="0000762B">
          <w:headerReference w:type="first" r:id="rId17"/>
          <w:footerReference w:type="first" r:id="rId18"/>
          <w:footnotePr>
            <w:numRestart w:val="eachSect"/>
          </w:footnotePr>
          <w:endnotePr>
            <w:numFmt w:val="decimal"/>
          </w:endnotePr>
          <w:pgSz w:w="11907" w:h="16840" w:code="9"/>
          <w:pgMar w:top="1418" w:right="1134" w:bottom="1134" w:left="1134" w:header="680" w:footer="567" w:gutter="0"/>
          <w:cols w:space="720"/>
          <w:titlePg/>
          <w:docGrid w:linePitch="272"/>
        </w:sectPr>
      </w:pPr>
    </w:p>
    <w:p w14:paraId="22701CBB" w14:textId="52FA6BF1" w:rsidR="003A55C1" w:rsidRPr="00DF745A" w:rsidRDefault="003A55C1" w:rsidP="003A55C1">
      <w:pPr>
        <w:pStyle w:val="HChG"/>
        <w:rPr>
          <w:lang w:eastAsia="en-US"/>
        </w:rPr>
      </w:pPr>
      <w:r>
        <w:rPr>
          <w:lang w:eastAsia="en-US"/>
        </w:rPr>
        <w:lastRenderedPageBreak/>
        <w:tab/>
      </w:r>
      <w:r w:rsidRPr="277B25EC">
        <w:rPr>
          <w:lang w:eastAsia="en-US"/>
        </w:rPr>
        <w:t>[3.</w:t>
      </w:r>
      <w:r w:rsidRPr="00DF745A">
        <w:rPr>
          <w:lang w:eastAsia="en-US"/>
        </w:rPr>
        <w:tab/>
      </w:r>
      <w:r w:rsidRPr="277B25EC">
        <w:rPr>
          <w:lang w:eastAsia="en-US"/>
        </w:rPr>
        <w:t>Decision IX/4c–V/4c on compliance by Bosnia and Herzegovina with its obligations under the Convention and the Protocol in respect of the construction of Buk Bijela hydropower plant on the Drina River</w:t>
      </w:r>
      <w:r>
        <w:rPr>
          <w:rStyle w:val="FootnoteReference"/>
          <w:lang w:eastAsia="en-US"/>
        </w:rPr>
        <w:footnoteReference w:id="18"/>
      </w:r>
    </w:p>
    <w:p w14:paraId="420AE46F" w14:textId="77777777" w:rsidR="003A55C1" w:rsidRPr="003A55C1" w:rsidRDefault="003A55C1" w:rsidP="003A55C1">
      <w:pPr>
        <w:pStyle w:val="SingleTxtG"/>
        <w:ind w:firstLine="567"/>
        <w:rPr>
          <w:i/>
          <w:iCs/>
        </w:rPr>
      </w:pPr>
      <w:r w:rsidRPr="003A55C1">
        <w:rPr>
          <w:i/>
          <w:iCs/>
        </w:rPr>
        <w:t xml:space="preserve">The Meeting of the Parties to the Convention and the Meeting of the Parties to the Protocol, </w:t>
      </w:r>
    </w:p>
    <w:p w14:paraId="36EA6080" w14:textId="77777777" w:rsidR="003A55C1" w:rsidRPr="00DF745A" w:rsidRDefault="003A55C1" w:rsidP="003A55C1">
      <w:pPr>
        <w:pStyle w:val="SingleTxtG"/>
        <w:ind w:firstLine="567"/>
        <w:rPr>
          <w:i/>
        </w:rPr>
      </w:pPr>
      <w:r w:rsidRPr="00DF745A">
        <w:rPr>
          <w:i/>
        </w:rPr>
        <w:t xml:space="preserve">Recalling </w:t>
      </w:r>
      <w:r w:rsidRPr="00DF745A">
        <w:t>article</w:t>
      </w:r>
      <w:r>
        <w:t>s</w:t>
      </w:r>
      <w:r w:rsidRPr="00DF745A">
        <w:t xml:space="preserve"> 11</w:t>
      </w:r>
      <w:r>
        <w:t xml:space="preserve"> (</w:t>
      </w:r>
      <w:r w:rsidRPr="00DF745A">
        <w:t>2</w:t>
      </w:r>
      <w:r>
        <w:t>)</w:t>
      </w:r>
      <w:r w:rsidRPr="00DF745A">
        <w:t xml:space="preserve"> and 14 bis of the Convention on Environmental Impact Assessment in a Transboundary Context and article 14</w:t>
      </w:r>
      <w:r>
        <w:t xml:space="preserve"> (</w:t>
      </w:r>
      <w:r w:rsidRPr="00DF745A">
        <w:t>4</w:t>
      </w:r>
      <w:r>
        <w:t xml:space="preserve">) </w:t>
      </w:r>
      <w:r w:rsidRPr="00DF745A">
        <w:t>of the Protocol on Strategic Environmental Assessment</w:t>
      </w:r>
      <w:r w:rsidRPr="00DF745A">
        <w:rPr>
          <w:i/>
        </w:rPr>
        <w:t>,</w:t>
      </w:r>
    </w:p>
    <w:p w14:paraId="5884D0BC" w14:textId="77777777" w:rsidR="003A55C1" w:rsidRDefault="003A55C1" w:rsidP="003A55C1">
      <w:pPr>
        <w:pStyle w:val="SingleTxtG"/>
        <w:ind w:firstLine="567"/>
        <w:rPr>
          <w:rFonts w:eastAsia="SimSun"/>
        </w:rPr>
      </w:pPr>
      <w:r w:rsidRPr="00483E86">
        <w:rPr>
          <w:rFonts w:eastAsia="SimSun"/>
          <w:i/>
        </w:rPr>
        <w:t xml:space="preserve">Recalling </w:t>
      </w:r>
      <w:r>
        <w:rPr>
          <w:rFonts w:eastAsia="SimSun"/>
          <w:i/>
        </w:rPr>
        <w:t>also</w:t>
      </w:r>
      <w:r w:rsidRPr="00483E86">
        <w:rPr>
          <w:rFonts w:eastAsia="SimSun"/>
        </w:rPr>
        <w:t xml:space="preserve"> decision</w:t>
      </w:r>
      <w:r>
        <w:rPr>
          <w:rFonts w:eastAsia="SimSun"/>
        </w:rPr>
        <w:t>s</w:t>
      </w:r>
      <w:r w:rsidRPr="00483E86">
        <w:rPr>
          <w:rFonts w:eastAsia="SimSun"/>
        </w:rPr>
        <w:t xml:space="preserve"> IX/4</w:t>
      </w:r>
      <w:r w:rsidRPr="00483E86">
        <w:rPr>
          <w:rFonts w:eastAsia="SimSun"/>
          <w:sz w:val="18"/>
          <w:vertAlign w:val="superscript"/>
        </w:rPr>
        <w:footnoteReference w:id="19"/>
      </w:r>
      <w:r w:rsidRPr="00483E86">
        <w:rPr>
          <w:rFonts w:eastAsia="SimSun"/>
        </w:rPr>
        <w:t xml:space="preserve"> on general issues of compliance with the Convention</w:t>
      </w:r>
      <w:r>
        <w:rPr>
          <w:rFonts w:eastAsia="SimSun"/>
        </w:rPr>
        <w:t>,</w:t>
      </w:r>
      <w:r w:rsidRPr="00483E86">
        <w:rPr>
          <w:rFonts w:eastAsia="SimSun"/>
        </w:rPr>
        <w:t xml:space="preserve"> </w:t>
      </w:r>
      <w:r>
        <w:rPr>
          <w:rFonts w:eastAsia="SimSun"/>
        </w:rPr>
        <w:t>adopted at the ninth session of the Meeting of the Parties to the Convention, and</w:t>
      </w:r>
      <w:r w:rsidRPr="00483E86">
        <w:rPr>
          <w:rFonts w:eastAsia="SimSun"/>
        </w:rPr>
        <w:t xml:space="preserve"> V/4</w:t>
      </w:r>
      <w:r w:rsidRPr="00483E86">
        <w:rPr>
          <w:rFonts w:eastAsia="SimSun"/>
          <w:sz w:val="18"/>
          <w:vertAlign w:val="superscript"/>
        </w:rPr>
        <w:footnoteReference w:id="20"/>
      </w:r>
      <w:r w:rsidRPr="00483E86">
        <w:rPr>
          <w:rFonts w:eastAsia="SimSun"/>
        </w:rPr>
        <w:t xml:space="preserve"> on general issues of compliance with the Protocol</w:t>
      </w:r>
      <w:r>
        <w:rPr>
          <w:rFonts w:eastAsia="SimSun"/>
        </w:rPr>
        <w:t>, adopted at the fifth session of the Meeting of the Parties to the Protocol (</w:t>
      </w:r>
      <w:r>
        <w:t>Geneva, 12–15 December 2023)</w:t>
      </w:r>
      <w:r w:rsidRPr="00483E86">
        <w:rPr>
          <w:rFonts w:eastAsia="SimSun"/>
        </w:rPr>
        <w:t xml:space="preserve">, </w:t>
      </w:r>
    </w:p>
    <w:p w14:paraId="7A48AC03" w14:textId="77777777" w:rsidR="003A55C1" w:rsidRPr="00DF745A" w:rsidRDefault="003A55C1" w:rsidP="003A55C1">
      <w:pPr>
        <w:pStyle w:val="SingleTxtG"/>
        <w:ind w:firstLine="567"/>
      </w:pPr>
      <w:r w:rsidRPr="00DF745A">
        <w:rPr>
          <w:i/>
        </w:rPr>
        <w:t>Having considered</w:t>
      </w:r>
      <w:r w:rsidRPr="00DF745A">
        <w:t xml:space="preserve"> the findings and recommendations of the Implementation Committee on compliance by Bosnia and Herzegovina with its obligations under the Convention and the Protocol in respect of the construction of Buk Bijela hydropower plant on the Drina River,</w:t>
      </w:r>
      <w:r>
        <w:rPr>
          <w:rStyle w:val="FootnoteReference"/>
        </w:rPr>
        <w:footnoteReference w:id="21"/>
      </w:r>
      <w:r w:rsidRPr="00DF745A">
        <w:t xml:space="preserve"> </w:t>
      </w:r>
    </w:p>
    <w:p w14:paraId="50FBE89F" w14:textId="77777777" w:rsidR="003A55C1" w:rsidRDefault="003A55C1" w:rsidP="003A55C1">
      <w:pPr>
        <w:pStyle w:val="SingleTxtG"/>
        <w:ind w:firstLine="567"/>
      </w:pPr>
      <w:r w:rsidRPr="00DF745A">
        <w:rPr>
          <w:i/>
        </w:rPr>
        <w:t>Having considered</w:t>
      </w:r>
      <w:r>
        <w:rPr>
          <w:i/>
        </w:rPr>
        <w:t xml:space="preserve"> also</w:t>
      </w:r>
      <w:r w:rsidRPr="00DF745A">
        <w:t xml:space="preserve"> the report on the activities of the Implementation Committee to the Meeting of the Parties to the Convention at its ninth session, in particular, the section concerning Bosnia and Herzegovina,</w:t>
      </w:r>
      <w:r>
        <w:rPr>
          <w:rStyle w:val="FootnoteReference"/>
        </w:rPr>
        <w:footnoteReference w:id="22"/>
      </w:r>
    </w:p>
    <w:p w14:paraId="6B180D93" w14:textId="77777777" w:rsidR="003A55C1" w:rsidRDefault="003A55C1" w:rsidP="003A55C1">
      <w:pPr>
        <w:pStyle w:val="SingleTxtG"/>
        <w:ind w:firstLine="567"/>
        <w:rPr>
          <w:rFonts w:eastAsia="SimSun"/>
          <w:lang w:val="en-US" w:eastAsia="zh-CN"/>
        </w:rPr>
      </w:pPr>
      <w:r>
        <w:rPr>
          <w:rFonts w:eastAsia="SimSun"/>
          <w:lang w:val="en-US" w:eastAsia="zh-CN"/>
        </w:rPr>
        <w:t>1.</w:t>
      </w:r>
      <w:r>
        <w:rPr>
          <w:rFonts w:eastAsia="SimSun"/>
          <w:lang w:val="en-US" w:eastAsia="zh-CN"/>
        </w:rPr>
        <w:tab/>
      </w:r>
      <w:r w:rsidRPr="00D333EA">
        <w:rPr>
          <w:rFonts w:eastAsia="SimSun"/>
          <w:i/>
          <w:iCs/>
          <w:lang w:val="en-US" w:eastAsia="zh-CN"/>
        </w:rPr>
        <w:t xml:space="preserve">Endorse </w:t>
      </w:r>
      <w:r>
        <w:rPr>
          <w:rFonts w:eastAsia="SimSun"/>
          <w:lang w:val="en-US" w:eastAsia="zh-CN"/>
        </w:rPr>
        <w:t xml:space="preserve">the findings of the Implementation Committee that: </w:t>
      </w:r>
    </w:p>
    <w:p w14:paraId="14CDBD3C" w14:textId="736A80BF" w:rsidR="003A55C1" w:rsidRPr="00DC51F0" w:rsidRDefault="003A55C1" w:rsidP="003A55C1">
      <w:pPr>
        <w:pStyle w:val="SingleTxtG"/>
        <w:ind w:firstLine="567"/>
        <w:rPr>
          <w:rFonts w:eastAsia="SimSun"/>
          <w:lang w:val="en-US" w:eastAsia="zh-CN"/>
        </w:rPr>
      </w:pPr>
      <w:r>
        <w:rPr>
          <w:rFonts w:eastAsia="SimSun"/>
          <w:lang w:val="en-US" w:eastAsia="zh-CN"/>
        </w:rPr>
        <w:t>(a)</w:t>
      </w:r>
      <w:r>
        <w:rPr>
          <w:rFonts w:eastAsia="SimSun"/>
          <w:lang w:val="en-US" w:eastAsia="zh-CN"/>
        </w:rPr>
        <w:tab/>
        <w:t xml:space="preserve">The concerned Parties should, at the earliest stage possible, provide the Committee with all allegations and information on facts to which they wish to refer, and which are relevant for the outcome of the case. The allegation of Montenegro regarding the absence of any time limit set by Bosnia </w:t>
      </w:r>
      <w:r w:rsidRPr="00DC51F0">
        <w:rPr>
          <w:rFonts w:eastAsia="SimSun"/>
          <w:lang w:val="en-US" w:eastAsia="zh-CN"/>
        </w:rPr>
        <w:t>and Herzegovina during the 2012/2013 procedure was delivered only after it had received the Committee’s revised draft findings and recommendations. Such late delivery of new claims by Montenegro considerably obstructed the work of the Committee;</w:t>
      </w:r>
    </w:p>
    <w:p w14:paraId="33E171F3" w14:textId="57DA1818" w:rsidR="003A55C1" w:rsidRPr="00DC51F0" w:rsidRDefault="003A55C1" w:rsidP="003A55C1">
      <w:pPr>
        <w:pStyle w:val="SingleTxtG"/>
        <w:ind w:firstLine="567"/>
        <w:rPr>
          <w:rFonts w:eastAsia="SimSun"/>
          <w:lang w:eastAsia="zh-CN"/>
        </w:rPr>
      </w:pPr>
      <w:r w:rsidRPr="00DC51F0">
        <w:rPr>
          <w:rFonts w:eastAsia="SimSun"/>
          <w:lang w:val="en-US" w:eastAsia="zh-CN"/>
        </w:rPr>
        <w:t>(b)</w:t>
      </w:r>
      <w:r w:rsidRPr="00DC51F0">
        <w:rPr>
          <w:rFonts w:eastAsia="SimSun"/>
          <w:lang w:val="en-US" w:eastAsia="zh-CN"/>
        </w:rPr>
        <w:tab/>
      </w:r>
      <w:r w:rsidRPr="00DC51F0">
        <w:rPr>
          <w:rFonts w:eastAsia="SimSun"/>
          <w:lang w:eastAsia="zh-CN"/>
        </w:rPr>
        <w:t>By not notifying Montenegro regarding the activity early in the 2012/2013 procedure, Bosnia and Herzegovina failed to fulfil its obligations under articles</w:t>
      </w:r>
      <w:r w:rsidRPr="00DC51F0">
        <w:rPr>
          <w:rFonts w:eastAsia="SimSun"/>
          <w:lang w:val="en-US" w:eastAsia="zh-CN"/>
        </w:rPr>
        <w:t xml:space="preserve"> 2 (4) and 3 (1)</w:t>
      </w:r>
      <w:r w:rsidRPr="00DC51F0">
        <w:rPr>
          <w:rFonts w:eastAsia="SimSun"/>
          <w:lang w:eastAsia="zh-CN"/>
        </w:rPr>
        <w:t xml:space="preserve"> of the Convention;</w:t>
      </w:r>
    </w:p>
    <w:p w14:paraId="6ADD583B" w14:textId="4A94583D" w:rsidR="003A55C1" w:rsidRPr="00DC51F0" w:rsidRDefault="003A55C1" w:rsidP="003A55C1">
      <w:pPr>
        <w:pStyle w:val="SingleTxtG"/>
        <w:ind w:firstLine="567"/>
        <w:rPr>
          <w:rFonts w:eastAsia="SimSun"/>
          <w:lang w:eastAsia="zh-CN"/>
        </w:rPr>
      </w:pPr>
      <w:r w:rsidRPr="00DC51F0">
        <w:rPr>
          <w:rFonts w:eastAsia="SimSun"/>
          <w:lang w:eastAsia="zh-CN"/>
        </w:rPr>
        <w:t>(c)</w:t>
      </w:r>
      <w:r w:rsidRPr="00DC51F0">
        <w:rPr>
          <w:rFonts w:eastAsia="SimSun"/>
          <w:lang w:eastAsia="zh-CN"/>
        </w:rPr>
        <w:tab/>
        <w:t>The above non-compliance was not rectified by subsequently setting a time limit in accordance with article 3 of the Convention; Bosnia and Herzegovina did not provide evidence of, nor did it follow up on, what it considered to be an agreement to that effect with Montenegro;</w:t>
      </w:r>
    </w:p>
    <w:p w14:paraId="488ED149" w14:textId="77777777" w:rsidR="003A55C1" w:rsidRPr="00DC51F0" w:rsidRDefault="003A55C1" w:rsidP="003A55C1">
      <w:pPr>
        <w:pStyle w:val="SingleTxtG"/>
        <w:ind w:firstLine="567"/>
        <w:rPr>
          <w:rFonts w:eastAsia="SimSun"/>
          <w:lang w:eastAsia="zh-CN"/>
        </w:rPr>
      </w:pPr>
      <w:r w:rsidRPr="00DC51F0">
        <w:rPr>
          <w:rFonts w:eastAsia="SimSun"/>
          <w:lang w:eastAsia="zh-CN"/>
        </w:rPr>
        <w:t>(d)</w:t>
      </w:r>
      <w:r w:rsidRPr="00DC51F0">
        <w:rPr>
          <w:rFonts w:eastAsia="SimSun"/>
          <w:lang w:eastAsia="zh-CN"/>
        </w:rPr>
        <w:tab/>
        <w:t>By not providing Montenegro with the final decision, Bosnia and Herzegovina failed to fulfil its obligations under article 6 (2) of the Convention;</w:t>
      </w:r>
    </w:p>
    <w:p w14:paraId="29FFAF1E" w14:textId="7BE01467" w:rsidR="003A55C1" w:rsidRDefault="003A55C1" w:rsidP="003A55C1">
      <w:pPr>
        <w:pStyle w:val="SingleTxtG"/>
        <w:ind w:firstLine="567"/>
        <w:rPr>
          <w:rFonts w:eastAsia="SimSun"/>
          <w:lang w:eastAsia="zh-CN"/>
        </w:rPr>
      </w:pPr>
      <w:r w:rsidRPr="00DC51F0">
        <w:rPr>
          <w:rFonts w:eastAsia="SimSun"/>
          <w:lang w:eastAsia="zh-CN"/>
        </w:rPr>
        <w:t>(e)</w:t>
      </w:r>
      <w:r w:rsidRPr="00DC51F0">
        <w:rPr>
          <w:rFonts w:eastAsia="SimSun"/>
          <w:lang w:eastAsia="zh-CN"/>
        </w:rPr>
        <w:tab/>
        <w:t xml:space="preserve">The environmental impact assessment procedure conducted by Bosnia and Herzegovina in </w:t>
      </w:r>
      <w:r w:rsidR="00617C84" w:rsidRPr="00DC51F0">
        <w:rPr>
          <w:rFonts w:eastAsia="SimSun"/>
          <w:lang w:eastAsia="zh-CN"/>
        </w:rPr>
        <w:t>2012/</w:t>
      </w:r>
      <w:r w:rsidRPr="00DC51F0">
        <w:rPr>
          <w:rFonts w:eastAsia="SimSun"/>
          <w:lang w:eastAsia="zh-CN"/>
        </w:rPr>
        <w:t>2013 was in breach of the Convention and, therefore, would not be valid for subsequent permit decisions;</w:t>
      </w:r>
    </w:p>
    <w:p w14:paraId="50EDE452" w14:textId="77777777" w:rsidR="003A55C1" w:rsidRDefault="003A55C1" w:rsidP="003A55C1">
      <w:pPr>
        <w:pStyle w:val="SingleTxtG"/>
        <w:ind w:firstLine="567"/>
        <w:rPr>
          <w:rFonts w:eastAsia="SimSun"/>
          <w:lang w:eastAsia="zh-CN"/>
        </w:rPr>
      </w:pPr>
      <w:r>
        <w:rPr>
          <w:rFonts w:eastAsia="SimSun"/>
          <w:lang w:eastAsia="zh-CN"/>
        </w:rPr>
        <w:t>(f)</w:t>
      </w:r>
      <w:r>
        <w:rPr>
          <w:rFonts w:eastAsia="SimSun"/>
          <w:lang w:eastAsia="zh-CN"/>
        </w:rPr>
        <w:tab/>
        <w:t xml:space="preserve">By not conducting a new environmental impact assessment before issuing a new permit in 2019 for the planned activities at the Buk Bijela hydropower plant, Bosnia and </w:t>
      </w:r>
      <w:r>
        <w:rPr>
          <w:rFonts w:eastAsia="SimSun"/>
          <w:lang w:eastAsia="zh-CN"/>
        </w:rPr>
        <w:lastRenderedPageBreak/>
        <w:t>Herzegovina failed to comply with its obligations under articles 2 (2)–(3) and 4 (1) of the Convention;</w:t>
      </w:r>
    </w:p>
    <w:p w14:paraId="515CF022" w14:textId="77777777" w:rsidR="003A55C1" w:rsidRDefault="003A55C1" w:rsidP="003A55C1">
      <w:pPr>
        <w:pStyle w:val="SingleTxtG"/>
        <w:ind w:firstLine="567"/>
        <w:rPr>
          <w:rFonts w:eastAsia="SimSun"/>
          <w:lang w:eastAsia="zh-CN"/>
        </w:rPr>
      </w:pPr>
      <w:r>
        <w:rPr>
          <w:rFonts w:eastAsia="SimSun"/>
          <w:lang w:eastAsia="zh-CN"/>
        </w:rPr>
        <w:t>(g)</w:t>
      </w:r>
      <w:r>
        <w:rPr>
          <w:rFonts w:eastAsia="SimSun"/>
          <w:lang w:eastAsia="zh-CN"/>
        </w:rPr>
        <w:tab/>
        <w:t>Bosnia and Herzegovina was not in non-compliance with its obligations under the Protocol, as the Protocol entered into force for it only after the start of the procedure for the adoption of plans or programmes for the energy sector that include Buk Bijela hydropower plant;</w:t>
      </w:r>
    </w:p>
    <w:p w14:paraId="75753A17" w14:textId="77777777" w:rsidR="003A55C1" w:rsidRDefault="003A55C1" w:rsidP="003A55C1">
      <w:pPr>
        <w:pStyle w:val="SingleTxtG"/>
        <w:ind w:firstLine="567"/>
        <w:rPr>
          <w:rFonts w:eastAsia="SimSun"/>
          <w:lang w:eastAsia="zh-CN"/>
        </w:rPr>
      </w:pPr>
      <w:r>
        <w:rPr>
          <w:rFonts w:eastAsia="SimSun"/>
          <w:lang w:eastAsia="zh-CN"/>
        </w:rPr>
        <w:t>2.</w:t>
      </w:r>
      <w:r>
        <w:rPr>
          <w:rFonts w:eastAsia="SimSun"/>
          <w:lang w:eastAsia="zh-CN"/>
        </w:rPr>
        <w:tab/>
      </w:r>
      <w:r w:rsidRPr="009178D5">
        <w:rPr>
          <w:rFonts w:eastAsia="SimSun"/>
          <w:i/>
          <w:iCs/>
          <w:lang w:eastAsia="zh-CN"/>
        </w:rPr>
        <w:t>Welcome</w:t>
      </w:r>
      <w:r>
        <w:rPr>
          <w:rFonts w:eastAsia="SimSun"/>
          <w:lang w:eastAsia="zh-CN"/>
        </w:rPr>
        <w:t xml:space="preserve"> the fact that the Parties entered into bilateral cooperation to address some of the disputed issues and recommend that, in the future, the Parties broaden the scope of that cooperation to cover issues of a more general focus; </w:t>
      </w:r>
    </w:p>
    <w:p w14:paraId="2D427A38" w14:textId="77777777" w:rsidR="003A55C1" w:rsidRDefault="003A55C1" w:rsidP="003A55C1">
      <w:pPr>
        <w:pStyle w:val="SingleTxtG"/>
        <w:ind w:firstLine="567"/>
        <w:rPr>
          <w:rFonts w:eastAsia="SimSun"/>
          <w:lang w:eastAsia="zh-CN"/>
        </w:rPr>
      </w:pPr>
      <w:r>
        <w:rPr>
          <w:rFonts w:eastAsia="SimSun"/>
          <w:lang w:eastAsia="zh-CN"/>
        </w:rPr>
        <w:t>3.</w:t>
      </w:r>
      <w:r>
        <w:rPr>
          <w:rFonts w:eastAsia="SimSun"/>
          <w:lang w:eastAsia="zh-CN"/>
        </w:rPr>
        <w:tab/>
      </w:r>
      <w:r w:rsidRPr="009178D5">
        <w:rPr>
          <w:rFonts w:eastAsia="SimSun"/>
          <w:i/>
          <w:iCs/>
          <w:lang w:eastAsia="zh-CN"/>
        </w:rPr>
        <w:t>Also welcome</w:t>
      </w:r>
      <w:r>
        <w:rPr>
          <w:rFonts w:eastAsia="SimSun"/>
          <w:lang w:eastAsia="zh-CN"/>
        </w:rPr>
        <w:t xml:space="preserve"> the establishment of a joint working group as a result of the bilateral cooperation, not only for this project but also for future proposed activities, to enhance trust and understanding between the Parties; </w:t>
      </w:r>
    </w:p>
    <w:p w14:paraId="6A57858A" w14:textId="77777777" w:rsidR="003A55C1" w:rsidRDefault="003A55C1" w:rsidP="003A55C1">
      <w:pPr>
        <w:pStyle w:val="SingleTxtG"/>
        <w:ind w:firstLine="567"/>
        <w:rPr>
          <w:rFonts w:eastAsia="SimSun"/>
          <w:lang w:eastAsia="zh-CN"/>
        </w:rPr>
      </w:pPr>
      <w:r>
        <w:rPr>
          <w:rFonts w:eastAsia="SimSun"/>
          <w:lang w:eastAsia="zh-CN"/>
        </w:rPr>
        <w:t>4.</w:t>
      </w:r>
      <w:r>
        <w:rPr>
          <w:rFonts w:eastAsia="SimSun"/>
          <w:lang w:eastAsia="zh-CN"/>
        </w:rPr>
        <w:tab/>
      </w:r>
      <w:r w:rsidRPr="009178D5">
        <w:rPr>
          <w:rFonts w:eastAsia="SimSun"/>
          <w:i/>
          <w:iCs/>
          <w:lang w:eastAsia="zh-CN"/>
        </w:rPr>
        <w:t xml:space="preserve">Request </w:t>
      </w:r>
      <w:r>
        <w:rPr>
          <w:rFonts w:eastAsia="SimSun"/>
          <w:lang w:eastAsia="zh-CN"/>
        </w:rPr>
        <w:t xml:space="preserve">Bosnia and Herzegovina to conduct a transboundary environmental impact assessment procedure involving Montenegro and, as needed, other affected Parties, including, by: </w:t>
      </w:r>
    </w:p>
    <w:p w14:paraId="3AAAFF1C" w14:textId="77777777" w:rsidR="003A55C1" w:rsidRDefault="003A55C1" w:rsidP="003A55C1">
      <w:pPr>
        <w:pStyle w:val="SingleTxtG"/>
        <w:ind w:firstLine="567"/>
        <w:rPr>
          <w:rFonts w:eastAsia="SimSun"/>
          <w:lang w:eastAsia="zh-CN"/>
        </w:rPr>
      </w:pPr>
      <w:r>
        <w:rPr>
          <w:rFonts w:eastAsia="SimSun"/>
          <w:lang w:eastAsia="zh-CN"/>
        </w:rPr>
        <w:t>(a)</w:t>
      </w:r>
      <w:r>
        <w:rPr>
          <w:rFonts w:eastAsia="SimSun"/>
          <w:lang w:eastAsia="zh-CN"/>
        </w:rPr>
        <w:tab/>
        <w:t xml:space="preserve">Concluding consultations with authorities and the public of the affected Parties based on the environmental impact assessment documentation, as set out in articles 3 (8), 4 (2) and 5 of the Convention; </w:t>
      </w:r>
    </w:p>
    <w:p w14:paraId="4D09B84D" w14:textId="77777777" w:rsidR="003A55C1" w:rsidRDefault="003A55C1" w:rsidP="003A55C1">
      <w:pPr>
        <w:pStyle w:val="SingleTxtG"/>
        <w:ind w:firstLine="567"/>
        <w:rPr>
          <w:rFonts w:eastAsia="SimSun"/>
          <w:lang w:eastAsia="zh-CN"/>
        </w:rPr>
      </w:pPr>
      <w:r>
        <w:rPr>
          <w:rFonts w:eastAsia="SimSun"/>
          <w:lang w:eastAsia="zh-CN"/>
        </w:rPr>
        <w:t>(b)</w:t>
      </w:r>
      <w:r>
        <w:rPr>
          <w:rFonts w:eastAsia="SimSun"/>
          <w:lang w:eastAsia="zh-CN"/>
        </w:rPr>
        <w:tab/>
        <w:t xml:space="preserve">Revising the final decision on the lifetime extension of the Buk Bijela hydropower plant, taking due account of the outcomes of the environmental impact assessment procedure, including the environmental impact assessment documentation and comments received from the affected Parties, further to article 6 of the Convention; </w:t>
      </w:r>
    </w:p>
    <w:p w14:paraId="08F047BB" w14:textId="77777777" w:rsidR="003A55C1" w:rsidRDefault="003A55C1" w:rsidP="003A55C1">
      <w:pPr>
        <w:pStyle w:val="SingleTxtG"/>
        <w:ind w:firstLine="567"/>
        <w:rPr>
          <w:rFonts w:eastAsia="SimSun"/>
          <w:lang w:eastAsia="zh-CN"/>
        </w:rPr>
      </w:pPr>
      <w:r>
        <w:rPr>
          <w:rFonts w:eastAsia="SimSun"/>
          <w:lang w:eastAsia="zh-CN"/>
        </w:rPr>
        <w:t>(c)</w:t>
      </w:r>
      <w:r>
        <w:rPr>
          <w:rFonts w:eastAsia="SimSun"/>
          <w:lang w:eastAsia="zh-CN"/>
        </w:rPr>
        <w:tab/>
        <w:t xml:space="preserve">Providing the affected Parties with the revised final decision; </w:t>
      </w:r>
    </w:p>
    <w:p w14:paraId="04FC77AD" w14:textId="77777777" w:rsidR="003A55C1" w:rsidRDefault="003A55C1" w:rsidP="003A55C1">
      <w:pPr>
        <w:pStyle w:val="SingleTxtG"/>
        <w:ind w:firstLine="567"/>
        <w:rPr>
          <w:rFonts w:eastAsia="SimSun"/>
          <w:lang w:eastAsia="zh-CN"/>
        </w:rPr>
      </w:pPr>
      <w:r>
        <w:rPr>
          <w:rFonts w:eastAsia="SimSun"/>
          <w:lang w:eastAsia="zh-CN"/>
        </w:rPr>
        <w:t>5.</w:t>
      </w:r>
      <w:r>
        <w:rPr>
          <w:rFonts w:eastAsia="SimSun"/>
          <w:lang w:eastAsia="zh-CN"/>
        </w:rPr>
        <w:tab/>
      </w:r>
      <w:r w:rsidRPr="00B85E1E">
        <w:rPr>
          <w:rFonts w:eastAsia="SimSun"/>
          <w:i/>
          <w:iCs/>
          <w:lang w:eastAsia="zh-CN"/>
        </w:rPr>
        <w:t>Also request</w:t>
      </w:r>
      <w:r>
        <w:rPr>
          <w:rFonts w:eastAsia="SimSun"/>
          <w:lang w:eastAsia="zh-CN"/>
        </w:rPr>
        <w:t xml:space="preserve"> Bosnia and Herzegovina to provide the Implementation Committee, as soon as possible and no later than 15 January 2024, with a detailed plan with a timetable for implementing the steps foreseen in the above recommendations; </w:t>
      </w:r>
    </w:p>
    <w:p w14:paraId="6487D7CD" w14:textId="77777777" w:rsidR="003A55C1" w:rsidRDefault="003A55C1" w:rsidP="003A55C1">
      <w:pPr>
        <w:pStyle w:val="SingleTxtG"/>
        <w:ind w:firstLine="567"/>
        <w:rPr>
          <w:rFonts w:eastAsia="SimSun"/>
          <w:lang w:eastAsia="zh-CN"/>
        </w:rPr>
      </w:pPr>
      <w:r>
        <w:rPr>
          <w:rFonts w:eastAsia="SimSun"/>
          <w:lang w:eastAsia="zh-CN"/>
        </w:rPr>
        <w:t>6.</w:t>
      </w:r>
      <w:r>
        <w:rPr>
          <w:rFonts w:eastAsia="SimSun"/>
          <w:lang w:eastAsia="zh-CN"/>
        </w:rPr>
        <w:tab/>
      </w:r>
      <w:r w:rsidRPr="00B85E1E">
        <w:rPr>
          <w:rFonts w:eastAsia="SimSun"/>
          <w:i/>
          <w:iCs/>
          <w:lang w:eastAsia="zh-CN"/>
        </w:rPr>
        <w:t>Further request</w:t>
      </w:r>
      <w:r>
        <w:rPr>
          <w:rFonts w:eastAsia="SimSun"/>
          <w:lang w:eastAsia="zh-CN"/>
        </w:rPr>
        <w:t xml:space="preserve"> Bosnia and Herzegovina to report, by the end of each year, to the Implementation Committee on the steps taken to complete the transboundary environmental impact assessment procedure;</w:t>
      </w:r>
    </w:p>
    <w:p w14:paraId="6F74485D" w14:textId="0D4457AC" w:rsidR="00823A07" w:rsidRDefault="00DC51F0" w:rsidP="003A55C1">
      <w:pPr>
        <w:pStyle w:val="SingleTxtG"/>
        <w:rPr>
          <w:rFonts w:eastAsia="SimSun"/>
          <w:lang w:eastAsia="zh-CN"/>
        </w:rPr>
      </w:pPr>
      <w:r>
        <w:rPr>
          <w:rFonts w:eastAsia="SimSun"/>
          <w:lang w:eastAsia="zh-CN"/>
        </w:rPr>
        <w:tab/>
      </w:r>
      <w:r w:rsidR="003A55C1">
        <w:rPr>
          <w:rFonts w:eastAsia="SimSun"/>
          <w:lang w:eastAsia="zh-CN"/>
        </w:rPr>
        <w:t>7.</w:t>
      </w:r>
      <w:r w:rsidR="003A55C1">
        <w:rPr>
          <w:rFonts w:eastAsia="SimSun"/>
          <w:lang w:eastAsia="zh-CN"/>
        </w:rPr>
        <w:tab/>
      </w:r>
      <w:r w:rsidR="003A55C1" w:rsidRPr="00B85E1E">
        <w:rPr>
          <w:rFonts w:eastAsia="SimSun"/>
          <w:i/>
          <w:iCs/>
          <w:lang w:eastAsia="zh-CN"/>
        </w:rPr>
        <w:t>Request</w:t>
      </w:r>
      <w:r w:rsidR="003A55C1">
        <w:rPr>
          <w:rFonts w:eastAsia="SimSun"/>
          <w:lang w:eastAsia="zh-CN"/>
        </w:rPr>
        <w:t xml:space="preserve"> the Implementation Committee to report to the Meeting of the Parties to the Convention and the Meeting of the Parties to the Protocol at their tenth and sixth sessions, respectively, on compliance by Bosnia and Herzegovina in respect of the permit for the Buk Bijela hydropower plant.]</w:t>
      </w:r>
    </w:p>
    <w:p w14:paraId="1F30C2D6" w14:textId="2CAF3DDF" w:rsidR="000F0EA9" w:rsidRPr="000F0EA9" w:rsidRDefault="000F0EA9" w:rsidP="000F0EA9">
      <w:pPr>
        <w:spacing w:before="240"/>
        <w:jc w:val="center"/>
        <w:rPr>
          <w:rFonts w:eastAsia="SimSun"/>
          <w:u w:val="single"/>
        </w:rPr>
      </w:pPr>
      <w:r>
        <w:rPr>
          <w:rFonts w:eastAsia="SimSun"/>
          <w:u w:val="single"/>
        </w:rPr>
        <w:tab/>
      </w:r>
      <w:r>
        <w:rPr>
          <w:rFonts w:eastAsia="SimSun"/>
          <w:u w:val="single"/>
        </w:rPr>
        <w:tab/>
      </w:r>
      <w:r>
        <w:rPr>
          <w:rFonts w:eastAsia="SimSun"/>
          <w:u w:val="single"/>
        </w:rPr>
        <w:tab/>
      </w:r>
    </w:p>
    <w:sectPr w:rsidR="000F0EA9" w:rsidRPr="000F0EA9" w:rsidSect="0000762B">
      <w:headerReference w:type="first" r:id="rId19"/>
      <w:footerReference w:type="first" r:id="rId20"/>
      <w:footnotePr>
        <w:numRestart w:val="eachSect"/>
      </w:footnotePr>
      <w:endnotePr>
        <w:numFmt w:val="decimal"/>
      </w:endnotePr>
      <w:pgSz w:w="11907" w:h="16840" w:code="9"/>
      <w:pgMar w:top="1418" w:right="1134" w:bottom="1134" w:left="1134"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039C4" w14:textId="77777777" w:rsidR="00481DB3" w:rsidRDefault="00481DB3"/>
  </w:endnote>
  <w:endnote w:type="continuationSeparator" w:id="0">
    <w:p w14:paraId="37E25C8B" w14:textId="77777777" w:rsidR="00481DB3" w:rsidRDefault="00481DB3"/>
  </w:endnote>
  <w:endnote w:type="continuationNotice" w:id="1">
    <w:p w14:paraId="15077280" w14:textId="77777777" w:rsidR="00481DB3" w:rsidRDefault="00481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AEF8" w14:textId="5724F784" w:rsidR="0000762B" w:rsidRPr="0000762B" w:rsidRDefault="0000762B" w:rsidP="0000762B">
    <w:pPr>
      <w:pStyle w:val="Footer"/>
      <w:tabs>
        <w:tab w:val="right" w:pos="9638"/>
      </w:tabs>
      <w:rPr>
        <w:sz w:val="18"/>
      </w:rPr>
    </w:pPr>
    <w:r w:rsidRPr="0000762B">
      <w:rPr>
        <w:b/>
        <w:sz w:val="18"/>
      </w:rPr>
      <w:fldChar w:fldCharType="begin"/>
    </w:r>
    <w:r w:rsidRPr="0000762B">
      <w:rPr>
        <w:b/>
        <w:sz w:val="18"/>
      </w:rPr>
      <w:instrText xml:space="preserve"> PAGE  \* MERGEFORMAT </w:instrText>
    </w:r>
    <w:r w:rsidRPr="0000762B">
      <w:rPr>
        <w:b/>
        <w:sz w:val="18"/>
      </w:rPr>
      <w:fldChar w:fldCharType="separate"/>
    </w:r>
    <w:r w:rsidRPr="0000762B">
      <w:rPr>
        <w:b/>
        <w:noProof/>
        <w:sz w:val="18"/>
      </w:rPr>
      <w:t>2</w:t>
    </w:r>
    <w:r w:rsidRPr="0000762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CA2EA" w14:textId="5BCDFA2A" w:rsidR="0000762B" w:rsidRPr="0000762B" w:rsidRDefault="0000762B" w:rsidP="0000762B">
    <w:pPr>
      <w:pStyle w:val="Footer"/>
      <w:tabs>
        <w:tab w:val="right" w:pos="9638"/>
      </w:tabs>
      <w:rPr>
        <w:b/>
        <w:sz w:val="18"/>
      </w:rPr>
    </w:pPr>
    <w:r>
      <w:tab/>
    </w:r>
    <w:r w:rsidRPr="0000762B">
      <w:rPr>
        <w:b/>
        <w:sz w:val="18"/>
      </w:rPr>
      <w:fldChar w:fldCharType="begin"/>
    </w:r>
    <w:r w:rsidRPr="0000762B">
      <w:rPr>
        <w:b/>
        <w:sz w:val="18"/>
      </w:rPr>
      <w:instrText xml:space="preserve"> PAGE  \* MERGEFORMAT </w:instrText>
    </w:r>
    <w:r w:rsidRPr="0000762B">
      <w:rPr>
        <w:b/>
        <w:sz w:val="18"/>
      </w:rPr>
      <w:fldChar w:fldCharType="separate"/>
    </w:r>
    <w:r w:rsidRPr="0000762B">
      <w:rPr>
        <w:b/>
        <w:noProof/>
        <w:sz w:val="18"/>
      </w:rPr>
      <w:t>3</w:t>
    </w:r>
    <w:r w:rsidRPr="0000762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F5DFA" w14:textId="3C667E16" w:rsidR="0061590C" w:rsidRDefault="0061590C" w:rsidP="0061590C">
    <w:pPr>
      <w:pStyle w:val="Footer"/>
    </w:pPr>
    <w:r w:rsidRPr="0027112F">
      <w:rPr>
        <w:noProof/>
        <w:lang w:val="en-US"/>
      </w:rPr>
      <w:drawing>
        <wp:anchor distT="0" distB="0" distL="114300" distR="114300" simplePos="0" relativeHeight="251659264" behindDoc="0" locked="1" layoutInCell="1" allowOverlap="1" wp14:anchorId="42FFDC8C" wp14:editId="6CBCB66E">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12A5578" w14:textId="289523EA" w:rsidR="0061590C" w:rsidRPr="0061590C" w:rsidRDefault="0061590C" w:rsidP="0061590C">
    <w:pPr>
      <w:pStyle w:val="Footer"/>
      <w:ind w:right="1134"/>
      <w:rPr>
        <w:sz w:val="20"/>
      </w:rPr>
    </w:pPr>
    <w:r>
      <w:rPr>
        <w:sz w:val="20"/>
      </w:rPr>
      <w:t>GE.23-19005(E)</w:t>
    </w:r>
    <w:r>
      <w:rPr>
        <w:noProof/>
        <w:sz w:val="20"/>
      </w:rPr>
      <w:drawing>
        <wp:anchor distT="0" distB="0" distL="114300" distR="114300" simplePos="0" relativeHeight="251660288" behindDoc="0" locked="0" layoutInCell="1" allowOverlap="1" wp14:anchorId="0C7C96A3" wp14:editId="69FCE395">
          <wp:simplePos x="0" y="0"/>
          <wp:positionH relativeFrom="margin">
            <wp:posOffset>5615940</wp:posOffset>
          </wp:positionH>
          <wp:positionV relativeFrom="margin">
            <wp:posOffset>8905875</wp:posOffset>
          </wp:positionV>
          <wp:extent cx="561975" cy="561975"/>
          <wp:effectExtent l="0" t="0" r="9525" b="9525"/>
          <wp:wrapNone/>
          <wp:docPr id="1651878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AB97" w14:textId="77777777" w:rsidR="002F27EB" w:rsidRPr="002F27EB" w:rsidRDefault="002F27EB">
    <w:pPr>
      <w:pStyle w:val="Footer"/>
      <w:rPr>
        <w:b/>
        <w:bCs/>
        <w:sz w:val="20"/>
      </w:rPr>
    </w:pPr>
    <w:r w:rsidRPr="002F27EB">
      <w:rPr>
        <w:b/>
        <w:bCs/>
        <w:sz w:val="20"/>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7C80" w14:textId="71C0E6B5" w:rsidR="00823A07" w:rsidRPr="00823A07" w:rsidRDefault="00823A07">
    <w:pPr>
      <w:pStyle w:val="Footer"/>
      <w:rPr>
        <w:b/>
        <w:bCs/>
        <w:sz w:val="20"/>
        <w:lang w:val="fr-CH"/>
      </w:rPr>
    </w:pPr>
    <w:r>
      <w:rPr>
        <w:b/>
        <w:bCs/>
        <w:sz w:val="20"/>
        <w:lang w:val="fr-CH"/>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30642" w14:textId="77777777" w:rsidR="00481DB3" w:rsidRPr="000B175B" w:rsidRDefault="00481DB3" w:rsidP="000B175B">
      <w:pPr>
        <w:tabs>
          <w:tab w:val="right" w:pos="2155"/>
        </w:tabs>
        <w:spacing w:after="80"/>
        <w:ind w:left="680"/>
        <w:rPr>
          <w:u w:val="single"/>
        </w:rPr>
      </w:pPr>
      <w:r>
        <w:rPr>
          <w:u w:val="single"/>
        </w:rPr>
        <w:tab/>
      </w:r>
    </w:p>
  </w:footnote>
  <w:footnote w:type="continuationSeparator" w:id="0">
    <w:p w14:paraId="4F2ED35A" w14:textId="77777777" w:rsidR="00481DB3" w:rsidRPr="00FC68B7" w:rsidRDefault="00481DB3" w:rsidP="00FC68B7">
      <w:pPr>
        <w:tabs>
          <w:tab w:val="left" w:pos="2155"/>
        </w:tabs>
        <w:spacing w:after="80"/>
        <w:ind w:left="680"/>
        <w:rPr>
          <w:u w:val="single"/>
        </w:rPr>
      </w:pPr>
      <w:r>
        <w:rPr>
          <w:u w:val="single"/>
        </w:rPr>
        <w:tab/>
      </w:r>
    </w:p>
  </w:footnote>
  <w:footnote w:type="continuationNotice" w:id="1">
    <w:p w14:paraId="09CD023E" w14:textId="77777777" w:rsidR="00481DB3" w:rsidRDefault="00481DB3"/>
  </w:footnote>
  <w:footnote w:id="2">
    <w:p w14:paraId="20BE94EC" w14:textId="06D43CFA" w:rsidR="00872417" w:rsidRPr="00F45DA6" w:rsidRDefault="00872417" w:rsidP="00872417">
      <w:pPr>
        <w:pStyle w:val="FootnoteText"/>
        <w:rPr>
          <w:lang w:val="es-ES"/>
        </w:rPr>
      </w:pPr>
      <w:r>
        <w:rPr>
          <w:lang w:val="es-ES_tradnl"/>
        </w:rPr>
        <w:tab/>
      </w:r>
      <w:r>
        <w:rPr>
          <w:rStyle w:val="FootnoteReference"/>
        </w:rPr>
        <w:footnoteRef/>
      </w:r>
      <w:r w:rsidRPr="00F45DA6">
        <w:rPr>
          <w:lang w:val="es-ES"/>
        </w:rPr>
        <w:tab/>
      </w:r>
      <w:bookmarkStart w:id="0" w:name="_Hlk146802296"/>
      <w:r w:rsidRPr="00F45DA6">
        <w:rPr>
          <w:lang w:val="es-ES"/>
        </w:rPr>
        <w:t>ECE/MP.EIA/2023/6</w:t>
      </w:r>
      <w:bookmarkEnd w:id="0"/>
      <w:r w:rsidRPr="00F45DA6">
        <w:rPr>
          <w:lang w:val="es-ES"/>
        </w:rPr>
        <w:t>.</w:t>
      </w:r>
    </w:p>
  </w:footnote>
  <w:footnote w:id="3">
    <w:p w14:paraId="4A63E8EA" w14:textId="1733FB9E" w:rsidR="00872417" w:rsidRPr="00F45DA6" w:rsidRDefault="00872417" w:rsidP="00872417">
      <w:pPr>
        <w:pStyle w:val="FootnoteText"/>
        <w:rPr>
          <w:lang w:val="es-ES"/>
        </w:rPr>
      </w:pPr>
      <w:r w:rsidRPr="00F45DA6">
        <w:rPr>
          <w:lang w:val="es-ES"/>
        </w:rPr>
        <w:tab/>
      </w:r>
      <w:r>
        <w:rPr>
          <w:rStyle w:val="FootnoteReference"/>
        </w:rPr>
        <w:footnoteRef/>
      </w:r>
      <w:r w:rsidRPr="00F45DA6">
        <w:rPr>
          <w:lang w:val="es-ES"/>
        </w:rPr>
        <w:tab/>
        <w:t>ECE/MP.EIA/SEA/2023/8.</w:t>
      </w:r>
    </w:p>
  </w:footnote>
  <w:footnote w:id="4">
    <w:p w14:paraId="75EB4846" w14:textId="2D22B92D" w:rsidR="00872417" w:rsidRPr="00F45DA6" w:rsidRDefault="00315412" w:rsidP="00872417">
      <w:pPr>
        <w:pStyle w:val="FootnoteText"/>
        <w:rPr>
          <w:lang w:val="es-ES"/>
        </w:rPr>
      </w:pPr>
      <w:r>
        <w:rPr>
          <w:lang w:val="es-ES"/>
        </w:rPr>
        <w:tab/>
      </w:r>
      <w:r w:rsidR="00872417">
        <w:rPr>
          <w:rStyle w:val="FootnoteReference"/>
        </w:rPr>
        <w:footnoteRef/>
      </w:r>
      <w:r>
        <w:rPr>
          <w:lang w:val="es-ES"/>
        </w:rPr>
        <w:tab/>
      </w:r>
      <w:r w:rsidR="00872417" w:rsidRPr="00F45DA6">
        <w:rPr>
          <w:rFonts w:asciiTheme="majorBidi" w:eastAsia="SimSun" w:hAnsiTheme="majorBidi" w:cstheme="majorBidi"/>
          <w:lang w:val="es-ES"/>
        </w:rPr>
        <w:t>ECE/MP.EIA/IC/2023/</w:t>
      </w:r>
      <w:r w:rsidR="00872417" w:rsidRPr="00F45DA6">
        <w:rPr>
          <w:rFonts w:asciiTheme="majorBidi" w:eastAsia="SimSun" w:hAnsiTheme="majorBidi" w:cstheme="majorBidi"/>
          <w:lang w:val="es-ES" w:eastAsia="zh-CN"/>
        </w:rPr>
        <w:t>9</w:t>
      </w:r>
      <w:r w:rsidR="00872417" w:rsidRPr="00F45DA6">
        <w:rPr>
          <w:rFonts w:ascii="SimSun" w:eastAsia="SimSun" w:hAnsi="SimSun"/>
          <w:lang w:val="es-ES" w:eastAsia="zh-CN"/>
        </w:rPr>
        <w:t>.</w:t>
      </w:r>
    </w:p>
  </w:footnote>
  <w:footnote w:id="5">
    <w:p w14:paraId="5E409B84" w14:textId="4048AA19" w:rsidR="00872417" w:rsidRPr="00F01421" w:rsidRDefault="00872417" w:rsidP="00872417">
      <w:pPr>
        <w:pStyle w:val="FootnoteText"/>
        <w:rPr>
          <w:lang w:val="es-ES"/>
        </w:rPr>
      </w:pPr>
      <w:r w:rsidRPr="00F45DA6">
        <w:rPr>
          <w:lang w:val="es-ES"/>
        </w:rPr>
        <w:tab/>
      </w:r>
      <w:r>
        <w:rPr>
          <w:rStyle w:val="FootnoteReference"/>
        </w:rPr>
        <w:footnoteRef/>
      </w:r>
      <w:r w:rsidRPr="00F01421">
        <w:rPr>
          <w:lang w:val="es-ES"/>
        </w:rPr>
        <w:tab/>
      </w:r>
      <w:r w:rsidRPr="00F45DA6">
        <w:rPr>
          <w:lang w:val="es-ES"/>
        </w:rPr>
        <w:t>ECE/MP.EIA/2023/13–ECE/MP.EIA/SEA/2023/13.</w:t>
      </w:r>
    </w:p>
  </w:footnote>
  <w:footnote w:id="6">
    <w:p w14:paraId="1FF01B84" w14:textId="77777777" w:rsidR="000547D7" w:rsidRPr="00F45DA6" w:rsidRDefault="000547D7" w:rsidP="000547D7">
      <w:pPr>
        <w:pStyle w:val="FootnoteText"/>
        <w:rPr>
          <w:lang w:val="es-ES"/>
        </w:rPr>
      </w:pPr>
      <w:r w:rsidRPr="00F01421">
        <w:rPr>
          <w:lang w:val="es-ES"/>
        </w:rPr>
        <w:tab/>
      </w:r>
      <w:r>
        <w:rPr>
          <w:rStyle w:val="FootnoteReference"/>
        </w:rPr>
        <w:footnoteRef/>
      </w:r>
      <w:r w:rsidRPr="00F45DA6">
        <w:rPr>
          <w:lang w:val="es-ES"/>
        </w:rPr>
        <w:tab/>
      </w:r>
      <w:bookmarkStart w:id="2" w:name="_Hlk51416634"/>
      <w:r w:rsidRPr="00F45DA6">
        <w:rPr>
          <w:lang w:val="es-ES"/>
        </w:rPr>
        <w:t>ECE/MP.EIA/10</w:t>
      </w:r>
      <w:bookmarkEnd w:id="2"/>
      <w:r w:rsidRPr="00F45DA6">
        <w:rPr>
          <w:lang w:val="es-ES"/>
        </w:rPr>
        <w:t>.</w:t>
      </w:r>
    </w:p>
  </w:footnote>
  <w:footnote w:id="7">
    <w:p w14:paraId="595C4A21" w14:textId="77777777" w:rsidR="000547D7" w:rsidRPr="00F45DA6" w:rsidRDefault="000547D7" w:rsidP="000547D7">
      <w:pPr>
        <w:pStyle w:val="FootnoteText"/>
        <w:rPr>
          <w:lang w:val="es-ES"/>
        </w:rPr>
      </w:pPr>
      <w:r w:rsidRPr="00F45DA6">
        <w:rPr>
          <w:vertAlign w:val="superscript"/>
          <w:lang w:val="es-ES"/>
        </w:rPr>
        <w:tab/>
      </w:r>
      <w:r>
        <w:rPr>
          <w:rStyle w:val="FootnoteReference"/>
        </w:rPr>
        <w:footnoteRef/>
      </w:r>
      <w:r w:rsidRPr="00F45DA6">
        <w:rPr>
          <w:vertAlign w:val="superscript"/>
          <w:lang w:val="es-ES"/>
        </w:rPr>
        <w:tab/>
      </w:r>
      <w:r w:rsidRPr="00F45DA6">
        <w:rPr>
          <w:lang w:val="es-ES"/>
        </w:rPr>
        <w:t>ECE/MP.EIA/15.</w:t>
      </w:r>
    </w:p>
  </w:footnote>
  <w:footnote w:id="8">
    <w:p w14:paraId="4494B026" w14:textId="77777777" w:rsidR="000547D7" w:rsidRPr="00F45DA6" w:rsidRDefault="000547D7" w:rsidP="000547D7">
      <w:pPr>
        <w:pStyle w:val="FootnoteText"/>
        <w:rPr>
          <w:lang w:val="es-ES"/>
        </w:rPr>
      </w:pPr>
      <w:r w:rsidRPr="00F45DA6">
        <w:rPr>
          <w:vertAlign w:val="superscript"/>
          <w:lang w:val="es-ES"/>
        </w:rPr>
        <w:tab/>
      </w:r>
      <w:r>
        <w:rPr>
          <w:rStyle w:val="FootnoteReference"/>
        </w:rPr>
        <w:footnoteRef/>
      </w:r>
      <w:r w:rsidRPr="00F45DA6">
        <w:rPr>
          <w:vertAlign w:val="superscript"/>
          <w:lang w:val="es-ES"/>
        </w:rPr>
        <w:tab/>
      </w:r>
      <w:r w:rsidRPr="00F45DA6">
        <w:rPr>
          <w:lang w:val="es-ES"/>
        </w:rPr>
        <w:t>ECE/MP.EIA/20/Add.1–ECE/MP.EIA/SEA/4/Add.1.</w:t>
      </w:r>
    </w:p>
  </w:footnote>
  <w:footnote w:id="9">
    <w:p w14:paraId="17368BAE" w14:textId="77777777" w:rsidR="000547D7" w:rsidRPr="00F45DA6" w:rsidRDefault="000547D7" w:rsidP="000547D7">
      <w:pPr>
        <w:pStyle w:val="FootnoteText"/>
        <w:rPr>
          <w:lang w:val="es-ES"/>
        </w:rPr>
      </w:pPr>
      <w:r w:rsidRPr="00F45DA6">
        <w:rPr>
          <w:lang w:val="es-ES"/>
        </w:rPr>
        <w:tab/>
      </w:r>
      <w:r>
        <w:rPr>
          <w:rStyle w:val="FootnoteReference"/>
        </w:rPr>
        <w:footnoteRef/>
      </w:r>
      <w:r w:rsidRPr="00F45DA6">
        <w:rPr>
          <w:lang w:val="es-ES"/>
        </w:rPr>
        <w:tab/>
        <w:t>ECE/MP.EIA/27/Add.1–ECE/MP.EIA/SEA/11/Add.1.</w:t>
      </w:r>
    </w:p>
  </w:footnote>
  <w:footnote w:id="10">
    <w:p w14:paraId="22995EF1" w14:textId="1D502D3F" w:rsidR="000547D7" w:rsidRPr="00F45DA6" w:rsidRDefault="000547D7" w:rsidP="000547D7">
      <w:pPr>
        <w:pStyle w:val="FootnoteText"/>
        <w:rPr>
          <w:lang w:val="es-ES"/>
        </w:rPr>
      </w:pPr>
      <w:r w:rsidRPr="00F45DA6">
        <w:rPr>
          <w:lang w:val="es-ES"/>
        </w:rPr>
        <w:tab/>
      </w:r>
      <w:r>
        <w:rPr>
          <w:rStyle w:val="FootnoteReference"/>
        </w:rPr>
        <w:footnoteRef/>
      </w:r>
      <w:r w:rsidR="009F6CDF">
        <w:rPr>
          <w:lang w:val="es-ES"/>
        </w:rPr>
        <w:tab/>
      </w:r>
      <w:r w:rsidRPr="00F45DA6">
        <w:rPr>
          <w:lang w:val="es-ES"/>
        </w:rPr>
        <w:t>ECE/MP.EIA/30/Add.2–ECE/MP.EIA/SEA/13/Add.2.</w:t>
      </w:r>
    </w:p>
  </w:footnote>
  <w:footnote w:id="11">
    <w:p w14:paraId="70DBF706" w14:textId="42680985" w:rsidR="000547D7" w:rsidRPr="00F45DA6" w:rsidRDefault="000547D7" w:rsidP="000547D7">
      <w:pPr>
        <w:pStyle w:val="FootnoteText"/>
        <w:rPr>
          <w:lang w:val="es-ES"/>
        </w:rPr>
      </w:pPr>
      <w:r w:rsidRPr="00F45DA6">
        <w:rPr>
          <w:lang w:val="es-ES"/>
        </w:rPr>
        <w:tab/>
      </w:r>
      <w:r>
        <w:rPr>
          <w:rStyle w:val="FootnoteReference"/>
        </w:rPr>
        <w:footnoteRef/>
      </w:r>
      <w:r w:rsidRPr="00F45DA6">
        <w:rPr>
          <w:lang w:val="es-ES"/>
        </w:rPr>
        <w:tab/>
        <w:t>ECE/MP.EIA/2023/6.</w:t>
      </w:r>
    </w:p>
  </w:footnote>
  <w:footnote w:id="12">
    <w:p w14:paraId="41A09937" w14:textId="01BCC897" w:rsidR="000547D7" w:rsidRPr="00557B28" w:rsidRDefault="000547D7" w:rsidP="000547D7">
      <w:pPr>
        <w:pStyle w:val="FootnoteText"/>
        <w:rPr>
          <w:lang w:val="es-ES"/>
        </w:rPr>
      </w:pPr>
      <w:r w:rsidRPr="00F45DA6">
        <w:rPr>
          <w:lang w:val="es-ES"/>
        </w:rPr>
        <w:tab/>
      </w:r>
      <w:r>
        <w:rPr>
          <w:rStyle w:val="FootnoteReference"/>
        </w:rPr>
        <w:footnoteRef/>
      </w:r>
      <w:r w:rsidRPr="00557B28">
        <w:rPr>
          <w:lang w:val="es-ES"/>
        </w:rPr>
        <w:tab/>
        <w:t>ECE/MP.EIA/SEA/2023/8.</w:t>
      </w:r>
    </w:p>
  </w:footnote>
  <w:footnote w:id="13">
    <w:p w14:paraId="4922AC85" w14:textId="1E4E48D8" w:rsidR="000547D7" w:rsidRPr="003D4C4D" w:rsidRDefault="000547D7" w:rsidP="000547D7">
      <w:pPr>
        <w:pStyle w:val="FootnoteText"/>
        <w:rPr>
          <w:lang w:val="es-ES"/>
        </w:rPr>
      </w:pPr>
      <w:r>
        <w:rPr>
          <w:lang w:val="es-ES"/>
        </w:rPr>
        <w:tab/>
      </w:r>
      <w:r>
        <w:rPr>
          <w:rStyle w:val="FootnoteReference"/>
        </w:rPr>
        <w:footnoteRef/>
      </w:r>
      <w:r>
        <w:rPr>
          <w:lang w:val="es-ES"/>
        </w:rPr>
        <w:tab/>
      </w:r>
      <w:r w:rsidRPr="00845E5E">
        <w:rPr>
          <w:lang w:val="es-ES"/>
        </w:rPr>
        <w:t>ECE/MP.EIA/2023/13–ECE/MP.EIA/SEA/2023/13.</w:t>
      </w:r>
    </w:p>
  </w:footnote>
  <w:footnote w:id="14">
    <w:p w14:paraId="5241467A" w14:textId="789587E6" w:rsidR="000547D7" w:rsidRPr="000F0AB4" w:rsidRDefault="000547D7" w:rsidP="000547D7">
      <w:pPr>
        <w:pStyle w:val="FootnoteText"/>
      </w:pPr>
      <w:r w:rsidRPr="005A4979">
        <w:rPr>
          <w:lang w:val="es-ES"/>
        </w:rPr>
        <w:tab/>
      </w:r>
      <w:r>
        <w:rPr>
          <w:rStyle w:val="FootnoteReference"/>
        </w:rPr>
        <w:footnoteRef/>
      </w:r>
      <w:r w:rsidR="009F6CDF">
        <w:tab/>
      </w:r>
      <w:r>
        <w:t xml:space="preserve">Law of the Republic of Armenia on Making an Amendment to the Law of the Republic of Armenia on Environmental Impact Assessment and Expert Examination, adopted on 3 May 2023 and entered into force on 9 June 2023. </w:t>
      </w:r>
    </w:p>
  </w:footnote>
  <w:footnote w:id="15">
    <w:p w14:paraId="2D39A032" w14:textId="0AE894FB" w:rsidR="000547D7" w:rsidRPr="00873D8F" w:rsidRDefault="000547D7" w:rsidP="000547D7">
      <w:pPr>
        <w:pStyle w:val="FootnoteText"/>
      </w:pPr>
      <w:r>
        <w:tab/>
      </w:r>
      <w:r>
        <w:rPr>
          <w:rStyle w:val="FootnoteReference"/>
        </w:rPr>
        <w:footnoteRef/>
      </w:r>
      <w:r w:rsidR="009F6CDF">
        <w:tab/>
      </w:r>
      <w:r>
        <w:t xml:space="preserve">In the period 2013–2018, with European Union funding under the </w:t>
      </w:r>
      <w:r w:rsidRPr="002659A9">
        <w:t>Greening Economies in the</w:t>
      </w:r>
      <w:r>
        <w:t xml:space="preserve"> European Union’s</w:t>
      </w:r>
      <w:r w:rsidRPr="002659A9">
        <w:t xml:space="preserve"> Eastern Neighbourhood </w:t>
      </w:r>
      <w:r>
        <w:t>programme and, in the period 2019–2023, under the European Union for Environment programme.</w:t>
      </w:r>
    </w:p>
  </w:footnote>
  <w:footnote w:id="16">
    <w:p w14:paraId="16C36AE5" w14:textId="353DA681" w:rsidR="000547D7" w:rsidRPr="003413C4" w:rsidRDefault="000547D7" w:rsidP="000547D7">
      <w:pPr>
        <w:pStyle w:val="FootnoteText"/>
      </w:pPr>
      <w:r>
        <w:tab/>
      </w:r>
      <w:r>
        <w:rPr>
          <w:rStyle w:val="FootnoteReference"/>
        </w:rPr>
        <w:footnoteRef/>
      </w:r>
      <w:r w:rsidR="009F6CDF">
        <w:rPr>
          <w:lang w:val="es-ES"/>
        </w:rPr>
        <w:tab/>
      </w:r>
      <w:r w:rsidRPr="00845E5E">
        <w:rPr>
          <w:lang w:val="es-ES"/>
        </w:rPr>
        <w:t xml:space="preserve">ECE/MP.EIA/IC/2023/8, para. </w:t>
      </w:r>
      <w:r>
        <w:t xml:space="preserve">8 (advance version). </w:t>
      </w:r>
    </w:p>
  </w:footnote>
  <w:footnote w:id="17">
    <w:p w14:paraId="61E886AA" w14:textId="1D023955" w:rsidR="000547D7" w:rsidRPr="006E1E21" w:rsidRDefault="000547D7" w:rsidP="000547D7">
      <w:pPr>
        <w:pStyle w:val="FootnoteText"/>
      </w:pPr>
      <w:r>
        <w:tab/>
      </w:r>
      <w:r>
        <w:rPr>
          <w:rStyle w:val="FootnoteReference"/>
        </w:rPr>
        <w:footnoteRef/>
      </w:r>
      <w:r w:rsidR="009F6CDF">
        <w:tab/>
      </w:r>
      <w:r w:rsidR="00113096">
        <w:t xml:space="preserve">See </w:t>
      </w:r>
      <w:hyperlink r:id="rId1" w:history="1">
        <w:r w:rsidR="00432771" w:rsidRPr="00432771">
          <w:rPr>
            <w:rStyle w:val="Hyperlink"/>
          </w:rPr>
          <w:t>Assessment of the draft Law of the Republic of Armenia "On the environmental impact assessment and expertise"</w:t>
        </w:r>
      </w:hyperlink>
      <w:r w:rsidR="00432771">
        <w:t xml:space="preserve"> (2014).</w:t>
      </w:r>
    </w:p>
  </w:footnote>
  <w:footnote w:id="18">
    <w:p w14:paraId="00D5381F" w14:textId="6FCECC85" w:rsidR="003A55C1" w:rsidRPr="00C300F5" w:rsidRDefault="003A55C1" w:rsidP="003A55C1">
      <w:pPr>
        <w:pStyle w:val="FootnoteText"/>
      </w:pPr>
      <w:r>
        <w:tab/>
      </w:r>
      <w:r>
        <w:rPr>
          <w:rStyle w:val="FootnoteReference"/>
        </w:rPr>
        <w:footnoteRef/>
      </w:r>
      <w:r>
        <w:tab/>
      </w:r>
      <w:r w:rsidRPr="00BF1667">
        <w:t xml:space="preserve">The text of </w:t>
      </w:r>
      <w:r>
        <w:t xml:space="preserve">the </w:t>
      </w:r>
      <w:r w:rsidRPr="00BF1667">
        <w:t>d</w:t>
      </w:r>
      <w:r>
        <w:t xml:space="preserve">ecision is in square brackets pending the finalization of the corresponding draft findings and recommendations by the Implementation Committee (ECE/MP.EIA/IC/2023/8, annex II) in November 2023. </w:t>
      </w:r>
    </w:p>
  </w:footnote>
  <w:footnote w:id="19">
    <w:p w14:paraId="0ED6AC3F" w14:textId="6B890186" w:rsidR="003A55C1" w:rsidRPr="00C73D4E" w:rsidRDefault="003A55C1" w:rsidP="003A55C1">
      <w:pPr>
        <w:pStyle w:val="FootnoteText"/>
        <w:rPr>
          <w:lang w:val="es-ES"/>
        </w:rPr>
      </w:pPr>
      <w:r w:rsidRPr="00557B28">
        <w:tab/>
      </w:r>
      <w:r>
        <w:rPr>
          <w:rStyle w:val="FootnoteReference"/>
        </w:rPr>
        <w:footnoteRef/>
      </w:r>
      <w:r w:rsidRPr="00C73D4E">
        <w:rPr>
          <w:lang w:val="es-ES"/>
        </w:rPr>
        <w:tab/>
        <w:t>ECE/MP.EIA/2023/6.</w:t>
      </w:r>
    </w:p>
  </w:footnote>
  <w:footnote w:id="20">
    <w:p w14:paraId="5C9A9C17" w14:textId="020C7196" w:rsidR="003A55C1" w:rsidRPr="00C73D4E" w:rsidRDefault="003A55C1" w:rsidP="003A55C1">
      <w:pPr>
        <w:pStyle w:val="FootnoteText"/>
        <w:rPr>
          <w:lang w:val="es-ES"/>
        </w:rPr>
      </w:pPr>
      <w:r w:rsidRPr="00C73D4E">
        <w:rPr>
          <w:lang w:val="es-ES"/>
        </w:rPr>
        <w:tab/>
      </w:r>
      <w:r>
        <w:rPr>
          <w:rStyle w:val="FootnoteReference"/>
        </w:rPr>
        <w:footnoteRef/>
      </w:r>
      <w:r w:rsidRPr="00C73D4E">
        <w:rPr>
          <w:lang w:val="es-ES"/>
        </w:rPr>
        <w:tab/>
        <w:t>ECE/MP.EIA/SEA/2023/8.</w:t>
      </w:r>
    </w:p>
  </w:footnote>
  <w:footnote w:id="21">
    <w:p w14:paraId="1E0FC750" w14:textId="0E9617BA" w:rsidR="003A55C1" w:rsidRPr="00857494" w:rsidRDefault="003A55C1" w:rsidP="003A55C1">
      <w:pPr>
        <w:pStyle w:val="FootnoteText"/>
      </w:pPr>
      <w:r w:rsidRPr="001A6417">
        <w:rPr>
          <w:lang w:val="es-ES"/>
        </w:rPr>
        <w:tab/>
      </w:r>
      <w:r>
        <w:rPr>
          <w:rStyle w:val="FootnoteReference"/>
        </w:rPr>
        <w:footnoteRef/>
      </w:r>
      <w:r>
        <w:tab/>
      </w:r>
      <w:r w:rsidRPr="00857494">
        <w:t>ECE/MP.EIA/IC/2023/8, annex II</w:t>
      </w:r>
      <w:r>
        <w:t xml:space="preserve"> (advance version).</w:t>
      </w:r>
    </w:p>
  </w:footnote>
  <w:footnote w:id="22">
    <w:p w14:paraId="5E5E1802" w14:textId="5B771AB6" w:rsidR="003A55C1" w:rsidRPr="00D2004A" w:rsidRDefault="003A55C1" w:rsidP="003A55C1">
      <w:pPr>
        <w:pStyle w:val="FootnoteText"/>
        <w:rPr>
          <w:lang w:val="es-ES"/>
        </w:rPr>
      </w:pPr>
      <w:r w:rsidRPr="005B57AE">
        <w:tab/>
      </w:r>
      <w:r w:rsidRPr="00C73D4E">
        <w:rPr>
          <w:rStyle w:val="FootnoteReference"/>
        </w:rPr>
        <w:footnoteRef/>
      </w:r>
      <w:r>
        <w:rPr>
          <w:lang w:val="es-ES"/>
        </w:rPr>
        <w:tab/>
      </w:r>
      <w:r w:rsidRPr="00C73D4E">
        <w:rPr>
          <w:lang w:val="es-ES"/>
        </w:rPr>
        <w:t>ECE/MP.EIA/2023/13–ECE/MP.EIA/SEA/2023/13.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6041" w14:textId="06E85EBF" w:rsidR="0000762B" w:rsidRPr="001A6417" w:rsidRDefault="0061590C">
    <w:pPr>
      <w:pStyle w:val="Header"/>
      <w:rPr>
        <w:lang w:val="es-ES"/>
      </w:rPr>
    </w:pPr>
    <w:r>
      <w:fldChar w:fldCharType="begin"/>
    </w:r>
    <w:r w:rsidRPr="001A6417">
      <w:rPr>
        <w:lang w:val="es-ES"/>
      </w:rPr>
      <w:instrText xml:space="preserve"> TITLE  \* MERGEFORMAT </w:instrText>
    </w:r>
    <w:r>
      <w:fldChar w:fldCharType="separate"/>
    </w:r>
    <w:r w:rsidR="00064DEB">
      <w:rPr>
        <w:lang w:val="es-ES"/>
      </w:rPr>
      <w:t>ECE/MP.EIA/2023/4</w:t>
    </w:r>
    <w:r>
      <w:fldChar w:fldCharType="end"/>
    </w:r>
    <w:r w:rsidR="0000762B" w:rsidRPr="001A6417">
      <w:rPr>
        <w:lang w:val="es-ES"/>
      </w:rPr>
      <w:br/>
    </w:r>
    <w:r>
      <w:fldChar w:fldCharType="begin"/>
    </w:r>
    <w:r w:rsidRPr="001A6417">
      <w:rPr>
        <w:lang w:val="es-ES"/>
      </w:rPr>
      <w:instrText xml:space="preserve"> KEYWORDS  \* MERGEFORMAT </w:instrText>
    </w:r>
    <w:r>
      <w:fldChar w:fldCharType="separate"/>
    </w:r>
    <w:r w:rsidR="00064DEB">
      <w:rPr>
        <w:lang w:val="es-ES"/>
      </w:rPr>
      <w:t>ECE/MP.EIA/SEA/2023/4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384DB" w14:textId="4847E1E8" w:rsidR="0000762B" w:rsidRPr="001A6417" w:rsidRDefault="0061590C" w:rsidP="0000762B">
    <w:pPr>
      <w:pStyle w:val="Header"/>
      <w:jc w:val="right"/>
      <w:rPr>
        <w:lang w:val="es-ES"/>
      </w:rPr>
    </w:pPr>
    <w:r>
      <w:fldChar w:fldCharType="begin"/>
    </w:r>
    <w:r w:rsidRPr="001A6417">
      <w:rPr>
        <w:lang w:val="es-ES"/>
      </w:rPr>
      <w:instrText xml:space="preserve"> TITLE  \* MERGEFORMAT </w:instrText>
    </w:r>
    <w:r>
      <w:fldChar w:fldCharType="separate"/>
    </w:r>
    <w:r w:rsidR="00064DEB">
      <w:rPr>
        <w:lang w:val="es-ES"/>
      </w:rPr>
      <w:t>ECE/MP.EIA/2023/4</w:t>
    </w:r>
    <w:r>
      <w:fldChar w:fldCharType="end"/>
    </w:r>
    <w:r w:rsidR="0000762B" w:rsidRPr="001A6417">
      <w:rPr>
        <w:lang w:val="es-ES"/>
      </w:rPr>
      <w:br/>
    </w:r>
    <w:r>
      <w:fldChar w:fldCharType="begin"/>
    </w:r>
    <w:r w:rsidRPr="001A6417">
      <w:rPr>
        <w:lang w:val="es-ES"/>
      </w:rPr>
      <w:instrText xml:space="preserve"> KEYWORDS  \* MERGEFORMAT </w:instrText>
    </w:r>
    <w:r>
      <w:fldChar w:fldCharType="separate"/>
    </w:r>
    <w:r w:rsidR="00064DEB">
      <w:rPr>
        <w:lang w:val="es-ES"/>
      </w:rPr>
      <w:t>ECE/MP.EIA/SEA/2023/4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830D" w14:textId="58C951EA" w:rsidR="002F27EB" w:rsidRPr="001A6417" w:rsidRDefault="002F27EB" w:rsidP="002F27EB">
    <w:pPr>
      <w:pStyle w:val="Header"/>
      <w:rPr>
        <w:lang w:val="es-ES"/>
      </w:rPr>
    </w:pPr>
    <w:r>
      <w:fldChar w:fldCharType="begin"/>
    </w:r>
    <w:r w:rsidRPr="001A6417">
      <w:rPr>
        <w:lang w:val="es-ES"/>
      </w:rPr>
      <w:instrText xml:space="preserve"> TITLE  \* MERGEFORMAT </w:instrText>
    </w:r>
    <w:r>
      <w:fldChar w:fldCharType="separate"/>
    </w:r>
    <w:r w:rsidR="00064DEB">
      <w:rPr>
        <w:lang w:val="es-ES"/>
      </w:rPr>
      <w:t>ECE/MP.EIA/2023/4</w:t>
    </w:r>
    <w:r>
      <w:fldChar w:fldCharType="end"/>
    </w:r>
    <w:r w:rsidRPr="001A6417">
      <w:rPr>
        <w:lang w:val="es-ES"/>
      </w:rPr>
      <w:br/>
    </w:r>
    <w:r>
      <w:fldChar w:fldCharType="begin"/>
    </w:r>
    <w:r w:rsidRPr="001A6417">
      <w:rPr>
        <w:lang w:val="es-ES"/>
      </w:rPr>
      <w:instrText xml:space="preserve"> KEYWORDS  \* MERGEFORMAT </w:instrText>
    </w:r>
    <w:r>
      <w:fldChar w:fldCharType="separate"/>
    </w:r>
    <w:r w:rsidR="00064DEB">
      <w:rPr>
        <w:lang w:val="es-ES"/>
      </w:rPr>
      <w:t>ECE/MP.EIA/SEA/2023/4</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CD38" w14:textId="780BDF55" w:rsidR="00823A07" w:rsidRPr="001A6417" w:rsidRDefault="00823A07" w:rsidP="002F27EB">
    <w:pPr>
      <w:pStyle w:val="Header"/>
      <w:rPr>
        <w:lang w:val="es-ES"/>
      </w:rPr>
    </w:pPr>
    <w:r>
      <w:fldChar w:fldCharType="begin"/>
    </w:r>
    <w:r w:rsidRPr="001A6417">
      <w:rPr>
        <w:lang w:val="es-ES"/>
      </w:rPr>
      <w:instrText xml:space="preserve"> TITLE  \* MERGEFORMAT </w:instrText>
    </w:r>
    <w:r>
      <w:fldChar w:fldCharType="separate"/>
    </w:r>
    <w:r w:rsidR="00064DEB">
      <w:rPr>
        <w:lang w:val="es-ES"/>
      </w:rPr>
      <w:t>ECE/MP.EIA/2023/4</w:t>
    </w:r>
    <w:r>
      <w:fldChar w:fldCharType="end"/>
    </w:r>
    <w:r w:rsidRPr="001A6417">
      <w:rPr>
        <w:lang w:val="es-ES"/>
      </w:rPr>
      <w:br/>
    </w:r>
    <w:r>
      <w:fldChar w:fldCharType="begin"/>
    </w:r>
    <w:r w:rsidRPr="001A6417">
      <w:rPr>
        <w:lang w:val="es-ES"/>
      </w:rPr>
      <w:instrText xml:space="preserve"> KEYWORDS  \* MERGEFORMAT </w:instrText>
    </w:r>
    <w:r>
      <w:fldChar w:fldCharType="separate"/>
    </w:r>
    <w:r w:rsidR="00064DEB">
      <w:rPr>
        <w:lang w:val="es-ES"/>
      </w:rPr>
      <w:t>ECE/MP.EIA/SEA/2023/4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89058401">
    <w:abstractNumId w:val="1"/>
  </w:num>
  <w:num w:numId="2" w16cid:durableId="643661817">
    <w:abstractNumId w:val="0"/>
  </w:num>
  <w:num w:numId="3" w16cid:durableId="1706636470">
    <w:abstractNumId w:val="2"/>
  </w:num>
  <w:num w:numId="4" w16cid:durableId="1837455632">
    <w:abstractNumId w:val="3"/>
  </w:num>
  <w:num w:numId="5" w16cid:durableId="1852379384">
    <w:abstractNumId w:val="8"/>
  </w:num>
  <w:num w:numId="6" w16cid:durableId="1784616837">
    <w:abstractNumId w:val="9"/>
  </w:num>
  <w:num w:numId="7" w16cid:durableId="199904416">
    <w:abstractNumId w:val="7"/>
  </w:num>
  <w:num w:numId="8" w16cid:durableId="2095472019">
    <w:abstractNumId w:val="6"/>
  </w:num>
  <w:num w:numId="9" w16cid:durableId="1125197599">
    <w:abstractNumId w:val="5"/>
  </w:num>
  <w:num w:numId="10" w16cid:durableId="35811216">
    <w:abstractNumId w:val="4"/>
  </w:num>
  <w:num w:numId="11" w16cid:durableId="1996950406">
    <w:abstractNumId w:val="15"/>
  </w:num>
  <w:num w:numId="12" w16cid:durableId="242498986">
    <w:abstractNumId w:val="14"/>
  </w:num>
  <w:num w:numId="13" w16cid:durableId="943419155">
    <w:abstractNumId w:val="10"/>
  </w:num>
  <w:num w:numId="14" w16cid:durableId="1274289037">
    <w:abstractNumId w:val="12"/>
  </w:num>
  <w:num w:numId="15" w16cid:durableId="1553151182">
    <w:abstractNumId w:val="16"/>
  </w:num>
  <w:num w:numId="16" w16cid:durableId="1354260447">
    <w:abstractNumId w:val="13"/>
  </w:num>
  <w:num w:numId="17" w16cid:durableId="1662808372">
    <w:abstractNumId w:val="17"/>
  </w:num>
  <w:num w:numId="18" w16cid:durableId="849835519">
    <w:abstractNumId w:val="18"/>
  </w:num>
  <w:num w:numId="19" w16cid:durableId="765464701">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E6B8AC-E1B5-49CB-83B8-2CB7280B4E56}"/>
    <w:docVar w:name="dgnword-eventsink" w:val="637739216"/>
  </w:docVars>
  <w:rsids>
    <w:rsidRoot w:val="0000762B"/>
    <w:rsid w:val="00002A7D"/>
    <w:rsid w:val="000038A8"/>
    <w:rsid w:val="00006790"/>
    <w:rsid w:val="0000762B"/>
    <w:rsid w:val="00027624"/>
    <w:rsid w:val="000369A1"/>
    <w:rsid w:val="00050F6B"/>
    <w:rsid w:val="000547D7"/>
    <w:rsid w:val="00064DEB"/>
    <w:rsid w:val="000678CD"/>
    <w:rsid w:val="00072C8C"/>
    <w:rsid w:val="00081CE0"/>
    <w:rsid w:val="000833F5"/>
    <w:rsid w:val="00084D30"/>
    <w:rsid w:val="00090320"/>
    <w:rsid w:val="000931C0"/>
    <w:rsid w:val="000A2E09"/>
    <w:rsid w:val="000B175B"/>
    <w:rsid w:val="000B3A0F"/>
    <w:rsid w:val="000E0415"/>
    <w:rsid w:val="000F0EA9"/>
    <w:rsid w:val="000F7715"/>
    <w:rsid w:val="00113096"/>
    <w:rsid w:val="001374B7"/>
    <w:rsid w:val="00156B99"/>
    <w:rsid w:val="00166124"/>
    <w:rsid w:val="0018128D"/>
    <w:rsid w:val="00184DDA"/>
    <w:rsid w:val="001900CD"/>
    <w:rsid w:val="001A0452"/>
    <w:rsid w:val="001A6417"/>
    <w:rsid w:val="001A744A"/>
    <w:rsid w:val="001B4B04"/>
    <w:rsid w:val="001B5875"/>
    <w:rsid w:val="001C4B9C"/>
    <w:rsid w:val="001C6663"/>
    <w:rsid w:val="001C7895"/>
    <w:rsid w:val="001D26DF"/>
    <w:rsid w:val="001F1599"/>
    <w:rsid w:val="001F19C4"/>
    <w:rsid w:val="002043F0"/>
    <w:rsid w:val="00211E0B"/>
    <w:rsid w:val="0022473D"/>
    <w:rsid w:val="00232575"/>
    <w:rsid w:val="00247258"/>
    <w:rsid w:val="00257CAC"/>
    <w:rsid w:val="0027237A"/>
    <w:rsid w:val="002971D0"/>
    <w:rsid w:val="002974E9"/>
    <w:rsid w:val="002A7F94"/>
    <w:rsid w:val="002B109A"/>
    <w:rsid w:val="002C6D45"/>
    <w:rsid w:val="002D6E53"/>
    <w:rsid w:val="002F046D"/>
    <w:rsid w:val="002F27EB"/>
    <w:rsid w:val="002F3023"/>
    <w:rsid w:val="00301764"/>
    <w:rsid w:val="00313F91"/>
    <w:rsid w:val="00315412"/>
    <w:rsid w:val="003229D8"/>
    <w:rsid w:val="00336C97"/>
    <w:rsid w:val="00337F88"/>
    <w:rsid w:val="00342432"/>
    <w:rsid w:val="0035223F"/>
    <w:rsid w:val="00352D4B"/>
    <w:rsid w:val="0035638C"/>
    <w:rsid w:val="003A46BB"/>
    <w:rsid w:val="003A4EC7"/>
    <w:rsid w:val="003A55C1"/>
    <w:rsid w:val="003A7295"/>
    <w:rsid w:val="003B1F60"/>
    <w:rsid w:val="003C2CC4"/>
    <w:rsid w:val="003D22CC"/>
    <w:rsid w:val="003D4B23"/>
    <w:rsid w:val="003E278A"/>
    <w:rsid w:val="003F6EDE"/>
    <w:rsid w:val="00413520"/>
    <w:rsid w:val="004325CB"/>
    <w:rsid w:val="00432771"/>
    <w:rsid w:val="00440A07"/>
    <w:rsid w:val="00462880"/>
    <w:rsid w:val="00476F24"/>
    <w:rsid w:val="00481DB3"/>
    <w:rsid w:val="004B7F1C"/>
    <w:rsid w:val="004C55B0"/>
    <w:rsid w:val="004F6BA0"/>
    <w:rsid w:val="00503BEA"/>
    <w:rsid w:val="00506A83"/>
    <w:rsid w:val="00525A04"/>
    <w:rsid w:val="00533616"/>
    <w:rsid w:val="00535ABA"/>
    <w:rsid w:val="0053768B"/>
    <w:rsid w:val="005420F2"/>
    <w:rsid w:val="0054285C"/>
    <w:rsid w:val="00584173"/>
    <w:rsid w:val="00595520"/>
    <w:rsid w:val="005A44B9"/>
    <w:rsid w:val="005B1BA0"/>
    <w:rsid w:val="005B3DB3"/>
    <w:rsid w:val="005D15CA"/>
    <w:rsid w:val="005F08DF"/>
    <w:rsid w:val="005F3066"/>
    <w:rsid w:val="005F3E61"/>
    <w:rsid w:val="00604DDD"/>
    <w:rsid w:val="006115CC"/>
    <w:rsid w:val="00611FC4"/>
    <w:rsid w:val="0061590C"/>
    <w:rsid w:val="006176FB"/>
    <w:rsid w:val="00617C84"/>
    <w:rsid w:val="00620D32"/>
    <w:rsid w:val="00630FCB"/>
    <w:rsid w:val="00640B26"/>
    <w:rsid w:val="0065766B"/>
    <w:rsid w:val="00666F2D"/>
    <w:rsid w:val="006770B2"/>
    <w:rsid w:val="00686A48"/>
    <w:rsid w:val="006940E1"/>
    <w:rsid w:val="006A3C72"/>
    <w:rsid w:val="006A7392"/>
    <w:rsid w:val="006B03A1"/>
    <w:rsid w:val="006B67D9"/>
    <w:rsid w:val="006C5535"/>
    <w:rsid w:val="006D0589"/>
    <w:rsid w:val="006E564B"/>
    <w:rsid w:val="006E7154"/>
    <w:rsid w:val="007003CD"/>
    <w:rsid w:val="00706D1A"/>
    <w:rsid w:val="0070701E"/>
    <w:rsid w:val="0072632A"/>
    <w:rsid w:val="007358E8"/>
    <w:rsid w:val="00736ECE"/>
    <w:rsid w:val="0074533B"/>
    <w:rsid w:val="007643BC"/>
    <w:rsid w:val="00780C68"/>
    <w:rsid w:val="00782629"/>
    <w:rsid w:val="007959FE"/>
    <w:rsid w:val="007A0CF1"/>
    <w:rsid w:val="007B6BA5"/>
    <w:rsid w:val="007C3390"/>
    <w:rsid w:val="007C42D8"/>
    <w:rsid w:val="007C4F4B"/>
    <w:rsid w:val="007C6173"/>
    <w:rsid w:val="007D49FC"/>
    <w:rsid w:val="007D6C10"/>
    <w:rsid w:val="007D7362"/>
    <w:rsid w:val="007F5CE2"/>
    <w:rsid w:val="007F6611"/>
    <w:rsid w:val="00810BAC"/>
    <w:rsid w:val="008175E9"/>
    <w:rsid w:val="00823A07"/>
    <w:rsid w:val="008242D7"/>
    <w:rsid w:val="0082577B"/>
    <w:rsid w:val="00866893"/>
    <w:rsid w:val="00866F02"/>
    <w:rsid w:val="00867D18"/>
    <w:rsid w:val="00871F9A"/>
    <w:rsid w:val="00871FD5"/>
    <w:rsid w:val="00872417"/>
    <w:rsid w:val="008754A1"/>
    <w:rsid w:val="0088172E"/>
    <w:rsid w:val="00881EFA"/>
    <w:rsid w:val="00884D60"/>
    <w:rsid w:val="008879CB"/>
    <w:rsid w:val="0089619C"/>
    <w:rsid w:val="008979B1"/>
    <w:rsid w:val="008A6B25"/>
    <w:rsid w:val="008A6C4F"/>
    <w:rsid w:val="008B389E"/>
    <w:rsid w:val="008D045E"/>
    <w:rsid w:val="008D3F25"/>
    <w:rsid w:val="008D4D82"/>
    <w:rsid w:val="008E0E46"/>
    <w:rsid w:val="008E7116"/>
    <w:rsid w:val="008F143B"/>
    <w:rsid w:val="008F3882"/>
    <w:rsid w:val="008F4B7C"/>
    <w:rsid w:val="00926E47"/>
    <w:rsid w:val="0094684F"/>
    <w:rsid w:val="00947162"/>
    <w:rsid w:val="009507F6"/>
    <w:rsid w:val="009610D0"/>
    <w:rsid w:val="0096375C"/>
    <w:rsid w:val="00964FC2"/>
    <w:rsid w:val="009662E6"/>
    <w:rsid w:val="0097095E"/>
    <w:rsid w:val="0098592B"/>
    <w:rsid w:val="00985FC4"/>
    <w:rsid w:val="00990766"/>
    <w:rsid w:val="00991261"/>
    <w:rsid w:val="00995079"/>
    <w:rsid w:val="009964C4"/>
    <w:rsid w:val="009A7B81"/>
    <w:rsid w:val="009B08EB"/>
    <w:rsid w:val="009D01C0"/>
    <w:rsid w:val="009D6A08"/>
    <w:rsid w:val="009E0A16"/>
    <w:rsid w:val="009E5A6B"/>
    <w:rsid w:val="009E6CB7"/>
    <w:rsid w:val="009E7970"/>
    <w:rsid w:val="009F2EAC"/>
    <w:rsid w:val="009F57E3"/>
    <w:rsid w:val="009F6CDF"/>
    <w:rsid w:val="00A10F4F"/>
    <w:rsid w:val="00A11067"/>
    <w:rsid w:val="00A1704A"/>
    <w:rsid w:val="00A425EB"/>
    <w:rsid w:val="00A571B3"/>
    <w:rsid w:val="00A637B0"/>
    <w:rsid w:val="00A72F22"/>
    <w:rsid w:val="00A733BC"/>
    <w:rsid w:val="00A748A6"/>
    <w:rsid w:val="00A76A69"/>
    <w:rsid w:val="00A879A4"/>
    <w:rsid w:val="00A91A3C"/>
    <w:rsid w:val="00AA0FF8"/>
    <w:rsid w:val="00AC0488"/>
    <w:rsid w:val="00AC0F2C"/>
    <w:rsid w:val="00AC502A"/>
    <w:rsid w:val="00AF58C1"/>
    <w:rsid w:val="00B04A3F"/>
    <w:rsid w:val="00B06643"/>
    <w:rsid w:val="00B15055"/>
    <w:rsid w:val="00B20551"/>
    <w:rsid w:val="00B30179"/>
    <w:rsid w:val="00B33FC7"/>
    <w:rsid w:val="00B37B15"/>
    <w:rsid w:val="00B45C02"/>
    <w:rsid w:val="00B70B63"/>
    <w:rsid w:val="00B72A1E"/>
    <w:rsid w:val="00B75363"/>
    <w:rsid w:val="00B81E12"/>
    <w:rsid w:val="00BA339B"/>
    <w:rsid w:val="00BC1E7E"/>
    <w:rsid w:val="00BC74E9"/>
    <w:rsid w:val="00BD7DB9"/>
    <w:rsid w:val="00BE36A9"/>
    <w:rsid w:val="00BE618E"/>
    <w:rsid w:val="00BE7BEC"/>
    <w:rsid w:val="00BF0A5A"/>
    <w:rsid w:val="00BF0E63"/>
    <w:rsid w:val="00BF12A3"/>
    <w:rsid w:val="00BF16D7"/>
    <w:rsid w:val="00BF2373"/>
    <w:rsid w:val="00C044E2"/>
    <w:rsid w:val="00C048CB"/>
    <w:rsid w:val="00C066F3"/>
    <w:rsid w:val="00C463DD"/>
    <w:rsid w:val="00C65C34"/>
    <w:rsid w:val="00C745C3"/>
    <w:rsid w:val="00C978F5"/>
    <w:rsid w:val="00CA24A4"/>
    <w:rsid w:val="00CB348D"/>
    <w:rsid w:val="00CD46F5"/>
    <w:rsid w:val="00CE4602"/>
    <w:rsid w:val="00CE4A8F"/>
    <w:rsid w:val="00CF071D"/>
    <w:rsid w:val="00CF3BD3"/>
    <w:rsid w:val="00D0123D"/>
    <w:rsid w:val="00D012F2"/>
    <w:rsid w:val="00D15B04"/>
    <w:rsid w:val="00D2031B"/>
    <w:rsid w:val="00D25FE2"/>
    <w:rsid w:val="00D37DA9"/>
    <w:rsid w:val="00D406A7"/>
    <w:rsid w:val="00D43252"/>
    <w:rsid w:val="00D44D86"/>
    <w:rsid w:val="00D50B7D"/>
    <w:rsid w:val="00D52012"/>
    <w:rsid w:val="00D704E5"/>
    <w:rsid w:val="00D72727"/>
    <w:rsid w:val="00D8695C"/>
    <w:rsid w:val="00D978C6"/>
    <w:rsid w:val="00DA0956"/>
    <w:rsid w:val="00DA357F"/>
    <w:rsid w:val="00DA3E12"/>
    <w:rsid w:val="00DC18AD"/>
    <w:rsid w:val="00DC51F0"/>
    <w:rsid w:val="00DD7535"/>
    <w:rsid w:val="00DF7CAE"/>
    <w:rsid w:val="00E122C0"/>
    <w:rsid w:val="00E126D4"/>
    <w:rsid w:val="00E259F7"/>
    <w:rsid w:val="00E423C0"/>
    <w:rsid w:val="00E51993"/>
    <w:rsid w:val="00E6414C"/>
    <w:rsid w:val="00E7260F"/>
    <w:rsid w:val="00E862AF"/>
    <w:rsid w:val="00E8702D"/>
    <w:rsid w:val="00E905F4"/>
    <w:rsid w:val="00E916A9"/>
    <w:rsid w:val="00E916DE"/>
    <w:rsid w:val="00E925AD"/>
    <w:rsid w:val="00E96630"/>
    <w:rsid w:val="00ED18DC"/>
    <w:rsid w:val="00ED6201"/>
    <w:rsid w:val="00ED7A2A"/>
    <w:rsid w:val="00EF1D7F"/>
    <w:rsid w:val="00F0137E"/>
    <w:rsid w:val="00F04977"/>
    <w:rsid w:val="00F21786"/>
    <w:rsid w:val="00F27D88"/>
    <w:rsid w:val="00F3742B"/>
    <w:rsid w:val="00F41FDB"/>
    <w:rsid w:val="00F56D63"/>
    <w:rsid w:val="00F57888"/>
    <w:rsid w:val="00F609A9"/>
    <w:rsid w:val="00F80C99"/>
    <w:rsid w:val="00F867EC"/>
    <w:rsid w:val="00F91B2B"/>
    <w:rsid w:val="00FC03CD"/>
    <w:rsid w:val="00FC0646"/>
    <w:rsid w:val="00FC68B7"/>
    <w:rsid w:val="00FD207C"/>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F2442"/>
  <w15:docId w15:val="{58DFF65A-8291-48FB-849D-225B52FB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3F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4_GR,Footnote Reference Superscript,BVI fnr,Footnote symbol,Footnote call,SUPERS,(Footnote Reference),Footnote,Voetnootverwijzing,Times 10 Point,Exposant 3 Point,Footnote reference number,note TESI,Footnotes refss"/>
    <w:basedOn w:val="DefaultParagraphFont"/>
    <w:uiPriority w:val="99"/>
    <w:qFormat/>
    <w:rsid w:val="00E925AD"/>
    <w:rPr>
      <w:rFonts w:ascii="Times New Roman" w:hAnsi="Times New Roman"/>
      <w:sz w:val="18"/>
      <w:vertAlign w:val="superscript"/>
    </w:rPr>
  </w:style>
  <w:style w:type="paragraph" w:styleId="FootnoteText">
    <w:name w:val="footnote text"/>
    <w:aliases w:val="5_G,Fußnotentextf,Footnote text,fn,Schriftart: 9 pt,Schriftart: 10 pt,Schriftart: 8 pt,WB-Fußnotentext,o,Podrozdział,Schriftart: 8 p,Char,Tekst przypisu,WB-Fuﬂnotentext,Voetnoottekst Char,Voetnoottekst Char1"/>
    <w:basedOn w:val="Normal"/>
    <w:link w:val="FootnoteTextChar"/>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2971D0"/>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2971D0"/>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H23GChar">
    <w:name w:val="_ H_2/3_G Char"/>
    <w:link w:val="H23G"/>
    <w:rsid w:val="00C65C34"/>
    <w:rPr>
      <w:b/>
      <w:lang w:val="en-GB"/>
    </w:rPr>
  </w:style>
  <w:style w:type="paragraph" w:customStyle="1" w:styleId="ParNoG">
    <w:name w:val="_ParNo_G"/>
    <w:basedOn w:val="Normal"/>
    <w:qFormat/>
    <w:rsid w:val="00A637B0"/>
    <w:pPr>
      <w:numPr>
        <w:numId w:val="19"/>
      </w:numPr>
      <w:tabs>
        <w:tab w:val="left" w:pos="1701"/>
        <w:tab w:val="left" w:pos="2268"/>
        <w:tab w:val="left" w:pos="2835"/>
      </w:tabs>
      <w:spacing w:after="120"/>
      <w:ind w:right="1134"/>
      <w:jc w:val="both"/>
    </w:pPr>
  </w:style>
  <w:style w:type="character" w:customStyle="1" w:styleId="HChGChar">
    <w:name w:val="_ H _Ch_G Char"/>
    <w:link w:val="HChG"/>
    <w:rsid w:val="00E862AF"/>
    <w:rPr>
      <w:b/>
      <w:sz w:val="28"/>
      <w:lang w:val="en-GB"/>
    </w:rPr>
  </w:style>
  <w:style w:type="character" w:customStyle="1" w:styleId="SingleTxtGChar">
    <w:name w:val="_ Single Txt_G Char"/>
    <w:link w:val="SingleTxtG"/>
    <w:rsid w:val="00A571B3"/>
    <w:rPr>
      <w:lang w:val="en-GB"/>
    </w:rPr>
  </w:style>
  <w:style w:type="character" w:customStyle="1" w:styleId="FootnoteTextChar">
    <w:name w:val="Footnote Text Char"/>
    <w:aliases w:val="5_G Char,Fußnotentextf Char,Footnote text Char,fn Char,Schriftart: 9 pt Char,Schriftart: 10 pt Char,Schriftart: 8 pt Char,WB-Fußnotentext Char,o Char,Podrozdział Char,Schriftart: 8 p Char,Char Char,Tekst przypisu Char"/>
    <w:basedOn w:val="DefaultParagraphFont"/>
    <w:link w:val="FootnoteText"/>
    <w:uiPriority w:val="99"/>
    <w:rsid w:val="00872417"/>
    <w:rPr>
      <w:sz w:val="18"/>
      <w:lang w:val="en-GB"/>
    </w:rPr>
  </w:style>
  <w:style w:type="character" w:styleId="CommentReference">
    <w:name w:val="annotation reference"/>
    <w:basedOn w:val="DefaultParagraphFont"/>
    <w:semiHidden/>
    <w:unhideWhenUsed/>
    <w:rsid w:val="000369A1"/>
    <w:rPr>
      <w:sz w:val="16"/>
      <w:szCs w:val="16"/>
    </w:rPr>
  </w:style>
  <w:style w:type="paragraph" w:styleId="CommentText">
    <w:name w:val="annotation text"/>
    <w:basedOn w:val="Normal"/>
    <w:link w:val="CommentTextChar"/>
    <w:unhideWhenUsed/>
    <w:rsid w:val="000369A1"/>
    <w:pPr>
      <w:spacing w:line="240" w:lineRule="auto"/>
    </w:pPr>
  </w:style>
  <w:style w:type="character" w:customStyle="1" w:styleId="CommentTextChar">
    <w:name w:val="Comment Text Char"/>
    <w:basedOn w:val="DefaultParagraphFont"/>
    <w:link w:val="CommentText"/>
    <w:rsid w:val="000369A1"/>
    <w:rPr>
      <w:lang w:val="en-GB"/>
    </w:rPr>
  </w:style>
  <w:style w:type="character" w:styleId="Mention">
    <w:name w:val="Mention"/>
    <w:basedOn w:val="DefaultParagraphFont"/>
    <w:uiPriority w:val="99"/>
    <w:unhideWhenUsed/>
    <w:rsid w:val="000369A1"/>
    <w:rPr>
      <w:color w:val="2B579A"/>
      <w:shd w:val="clear" w:color="auto" w:fill="E1DFDD"/>
    </w:rPr>
  </w:style>
  <w:style w:type="paragraph" w:styleId="CommentSubject">
    <w:name w:val="annotation subject"/>
    <w:basedOn w:val="CommentText"/>
    <w:next w:val="CommentText"/>
    <w:link w:val="CommentSubjectChar"/>
    <w:semiHidden/>
    <w:unhideWhenUsed/>
    <w:rsid w:val="001A6417"/>
    <w:rPr>
      <w:b/>
      <w:bCs/>
    </w:rPr>
  </w:style>
  <w:style w:type="character" w:customStyle="1" w:styleId="CommentSubjectChar">
    <w:name w:val="Comment Subject Char"/>
    <w:basedOn w:val="CommentTextChar"/>
    <w:link w:val="CommentSubject"/>
    <w:semiHidden/>
    <w:rsid w:val="001A6417"/>
    <w:rPr>
      <w:b/>
      <w:bCs/>
      <w:lang w:val="en-GB"/>
    </w:rPr>
  </w:style>
  <w:style w:type="character" w:styleId="UnresolvedMention">
    <w:name w:val="Unresolved Mention"/>
    <w:basedOn w:val="DefaultParagraphFont"/>
    <w:uiPriority w:val="99"/>
    <w:semiHidden/>
    <w:unhideWhenUsed/>
    <w:rsid w:val="00432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14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unece.org/fileadmin/DAM/env/eia/sea_protocol/Summary_opinion_Arm_EIAlaw_ENG_30052014_AS_clea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aCruz\United%20Nations\UNOG_DCM-Macros%20-%20UNECE\Templates\MPEIA\MPEI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2F79B5BE87D40B73359BB004DC9B5" ma:contentTypeVersion="18" ma:contentTypeDescription="Create a new document." ma:contentTypeScope="" ma:versionID="d22e6ad98b7321529a84105081bfcf9c">
  <xsd:schema xmlns:xsd="http://www.w3.org/2001/XMLSchema" xmlns:xs="http://www.w3.org/2001/XMLSchema" xmlns:p="http://schemas.microsoft.com/office/2006/metadata/properties" xmlns:ns2="99a2c2c3-fdcf-4e63-9c12-39b3de610a76" xmlns:ns3="a20aa909-956d-4941-9e8e-d4bf2c5fe97e" xmlns:ns4="985ec44e-1bab-4c0b-9df0-6ba128686fc9" targetNamespace="http://schemas.microsoft.com/office/2006/metadata/properties" ma:root="true" ma:fieldsID="0b3bd6ac9ac9790cf6efe025ca4e12b4" ns2:_="" ns3:_="" ns4:_="">
    <xsd:import namespace="99a2c2c3-fdcf-4e63-9c12-39b3de610a76"/>
    <xsd:import namespace="a20aa909-956d-4941-9e8e-d4bf2c5fe97e"/>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andtime"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2c2c3-fdcf-4e63-9c12-39b3de610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20" nillable="true" ma:displayName="Date and time" ma:format="DateOnly"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0aa909-956d-4941-9e8e-d4bf2c5fe9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b577e23-b539-4cbb-a753-31a04c3d9a02}" ma:internalName="TaxCatchAll" ma:showField="CatchAllData" ma:web="a20aa909-956d-4941-9e8e-d4bf2c5fe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ndtime xmlns="99a2c2c3-fdcf-4e63-9c12-39b3de610a76" xsi:nil="true"/>
    <TaxCatchAll xmlns="985ec44e-1bab-4c0b-9df0-6ba128686fc9" xsi:nil="true"/>
    <lcf76f155ced4ddcb4097134ff3c332f xmlns="99a2c2c3-fdcf-4e63-9c12-39b3de610a7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24629-AD95-4E42-AD72-433E9EC32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2c2c3-fdcf-4e63-9c12-39b3de610a76"/>
    <ds:schemaRef ds:uri="a20aa909-956d-4941-9e8e-d4bf2c5fe97e"/>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181C3B-8B1F-4628-89D0-4A082BFF836A}">
  <ds:schemaRefs>
    <ds:schemaRef ds:uri="http://schemas.microsoft.com/sharepoint/v3/contenttype/forms"/>
  </ds:schemaRefs>
</ds:datastoreItem>
</file>

<file path=customXml/itemProps3.xml><?xml version="1.0" encoding="utf-8"?>
<ds:datastoreItem xmlns:ds="http://schemas.openxmlformats.org/officeDocument/2006/customXml" ds:itemID="{0F1A61BC-AAD5-4C56-9195-13F3108A2AC0}">
  <ds:schemaRefs>
    <ds:schemaRef ds:uri="http://schemas.microsoft.com/office/2006/metadata/properties"/>
    <ds:schemaRef ds:uri="http://schemas.microsoft.com/office/infopath/2007/PartnerControls"/>
    <ds:schemaRef ds:uri="99a2c2c3-fdcf-4e63-9c12-39b3de610a76"/>
    <ds:schemaRef ds:uri="985ec44e-1bab-4c0b-9df0-6ba128686fc9"/>
  </ds:schemaRefs>
</ds:datastoreItem>
</file>

<file path=customXml/itemProps4.xml><?xml version="1.0" encoding="utf-8"?>
<ds:datastoreItem xmlns:ds="http://schemas.openxmlformats.org/officeDocument/2006/customXml" ds:itemID="{65B08157-9019-47F6-847F-D68697B56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MPEIA_E.dotm</Template>
  <TotalTime>0</TotalTime>
  <Pages>7</Pages>
  <Words>2573</Words>
  <Characters>13996</Characters>
  <Application>Microsoft Office Word</Application>
  <DocSecurity>0</DocSecurity>
  <Lines>252</Lines>
  <Paragraphs>83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16515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ECE/MP.EIA/2023/4</dc:title>
  <dc:subject>2319005</dc:subject>
  <dc:creator>Maricar De_La_Cruz</dc:creator>
  <cp:keywords>ECE/MP.EIA/SEA/2023/4</cp:keywords>
  <dc:description>ECE/MP.EIA/2023/4 - ECE/MP.EIA/SEA/2023/4_x000d_
</dc:description>
  <cp:lastModifiedBy>Cecile Pacis</cp:lastModifiedBy>
  <cp:revision>2</cp:revision>
  <cp:lastPrinted>2009-02-18T09:36:00Z</cp:lastPrinted>
  <dcterms:created xsi:type="dcterms:W3CDTF">2023-10-03T10:54:00Z</dcterms:created>
  <dcterms:modified xsi:type="dcterms:W3CDTF">2023-10-03T10:54:00Z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0x010100B302F79B5BE87D40B73359BB004DC9B5</vt:lpwstr>
  </property>
  <property fmtid="{D5CDD505-2E9C-101B-9397-08002B2CF9AE}" pid="3" name="GrammarlyDocumentId">
    <vt:lpwstr>132bc16a-7927-4dd6-b40c-8e3c8ef87f6b</vt:lpwstr>
  </property>
  <property fmtid="{D5CDD505-2E9C-101B-9397-08002B2CF9AE}" pid="4" name="MediaServiceImageTags">
    <vt:lpwstr/>
  </property>
</Properties>
</file>