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14420" w:rsidRPr="00267A6E" w14:paraId="0AF15B4C" w14:textId="77777777" w:rsidTr="00DF5712">
        <w:trPr>
          <w:trHeight w:hRule="exact" w:val="851"/>
        </w:trPr>
        <w:tc>
          <w:tcPr>
            <w:tcW w:w="1276" w:type="dxa"/>
            <w:tcBorders>
              <w:bottom w:val="single" w:sz="4" w:space="0" w:color="auto"/>
            </w:tcBorders>
          </w:tcPr>
          <w:p w14:paraId="5A5B781F" w14:textId="77777777" w:rsidR="00A14420" w:rsidRPr="00267A6E" w:rsidRDefault="00A14420" w:rsidP="003373A7">
            <w:pPr>
              <w:rPr>
                <w:lang w:val="fr-FR"/>
              </w:rPr>
            </w:pPr>
          </w:p>
        </w:tc>
        <w:tc>
          <w:tcPr>
            <w:tcW w:w="2268" w:type="dxa"/>
            <w:tcBorders>
              <w:bottom w:val="single" w:sz="4" w:space="0" w:color="auto"/>
            </w:tcBorders>
            <w:vAlign w:val="bottom"/>
          </w:tcPr>
          <w:p w14:paraId="021C1BE6" w14:textId="77777777" w:rsidR="00A14420" w:rsidRPr="00267A6E" w:rsidRDefault="00A14420" w:rsidP="00DF5712">
            <w:pPr>
              <w:spacing w:after="80" w:line="300" w:lineRule="exact"/>
              <w:rPr>
                <w:sz w:val="28"/>
                <w:lang w:val="fr-FR"/>
              </w:rPr>
            </w:pPr>
            <w:r w:rsidRPr="00267A6E">
              <w:rPr>
                <w:sz w:val="28"/>
                <w:lang w:val="fr-FR"/>
              </w:rPr>
              <w:t>Nations Unies</w:t>
            </w:r>
          </w:p>
        </w:tc>
        <w:tc>
          <w:tcPr>
            <w:tcW w:w="6095" w:type="dxa"/>
            <w:gridSpan w:val="2"/>
            <w:tcBorders>
              <w:bottom w:val="single" w:sz="4" w:space="0" w:color="auto"/>
            </w:tcBorders>
            <w:vAlign w:val="bottom"/>
          </w:tcPr>
          <w:p w14:paraId="0B6709D8" w14:textId="21084FD5" w:rsidR="003373A7" w:rsidRPr="00267A6E" w:rsidRDefault="003373A7" w:rsidP="003373A7">
            <w:pPr>
              <w:jc w:val="right"/>
              <w:rPr>
                <w:lang w:val="fr-FR"/>
              </w:rPr>
            </w:pPr>
            <w:r w:rsidRPr="00267A6E">
              <w:rPr>
                <w:sz w:val="40"/>
                <w:lang w:val="fr-FR"/>
              </w:rPr>
              <w:t>ECE</w:t>
            </w:r>
            <w:r w:rsidRPr="00267A6E">
              <w:rPr>
                <w:lang w:val="fr-FR"/>
              </w:rPr>
              <w:t>/MP</w:t>
            </w:r>
            <w:r w:rsidR="00967A77" w:rsidRPr="00267A6E">
              <w:rPr>
                <w:lang w:val="fr-FR"/>
              </w:rPr>
              <w:t>.</w:t>
            </w:r>
            <w:r w:rsidRPr="00267A6E">
              <w:rPr>
                <w:lang w:val="fr-FR"/>
              </w:rPr>
              <w:t>EIA/2023/14−</w:t>
            </w:r>
            <w:r w:rsidRPr="00267A6E">
              <w:rPr>
                <w:sz w:val="40"/>
                <w:lang w:val="fr-FR"/>
              </w:rPr>
              <w:t>ECE</w:t>
            </w:r>
            <w:r w:rsidRPr="00267A6E">
              <w:rPr>
                <w:lang w:val="fr-FR"/>
              </w:rPr>
              <w:t>/MP</w:t>
            </w:r>
            <w:r w:rsidR="00967A77" w:rsidRPr="00267A6E">
              <w:rPr>
                <w:lang w:val="fr-FR"/>
              </w:rPr>
              <w:t>.</w:t>
            </w:r>
            <w:r w:rsidRPr="00267A6E">
              <w:rPr>
                <w:lang w:val="fr-FR"/>
              </w:rPr>
              <w:t>EIA/SEA/2023/14</w:t>
            </w:r>
          </w:p>
        </w:tc>
      </w:tr>
      <w:tr w:rsidR="00A14420" w:rsidRPr="00267A6E" w14:paraId="552373E0" w14:textId="77777777" w:rsidTr="00DF5712">
        <w:trPr>
          <w:trHeight w:hRule="exact" w:val="2835"/>
        </w:trPr>
        <w:tc>
          <w:tcPr>
            <w:tcW w:w="1276" w:type="dxa"/>
            <w:tcBorders>
              <w:top w:val="single" w:sz="4" w:space="0" w:color="auto"/>
              <w:bottom w:val="single" w:sz="12" w:space="0" w:color="auto"/>
            </w:tcBorders>
          </w:tcPr>
          <w:p w14:paraId="68482314" w14:textId="77777777" w:rsidR="00A14420" w:rsidRPr="00267A6E" w:rsidRDefault="00A14420" w:rsidP="00DF5712">
            <w:pPr>
              <w:spacing w:before="120"/>
              <w:jc w:val="center"/>
              <w:rPr>
                <w:lang w:val="fr-FR"/>
              </w:rPr>
            </w:pPr>
            <w:r w:rsidRPr="00267A6E">
              <w:rPr>
                <w:noProof/>
                <w:lang w:val="fr-FR" w:eastAsia="fr-CH"/>
              </w:rPr>
              <w:drawing>
                <wp:inline distT="0" distB="0" distL="0" distR="0" wp14:anchorId="21721D1F" wp14:editId="31D3E509">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27694DB" w14:textId="77777777" w:rsidR="00A14420" w:rsidRPr="00267A6E" w:rsidRDefault="00A14420" w:rsidP="00DF5712">
            <w:pPr>
              <w:spacing w:before="120" w:line="420" w:lineRule="exact"/>
              <w:rPr>
                <w:b/>
                <w:sz w:val="40"/>
                <w:szCs w:val="40"/>
                <w:lang w:val="fr-FR"/>
              </w:rPr>
            </w:pPr>
            <w:r w:rsidRPr="00267A6E">
              <w:rPr>
                <w:b/>
                <w:sz w:val="40"/>
                <w:szCs w:val="40"/>
                <w:lang w:val="fr-FR"/>
              </w:rPr>
              <w:t>Conseil économique et social</w:t>
            </w:r>
          </w:p>
        </w:tc>
        <w:tc>
          <w:tcPr>
            <w:tcW w:w="2835" w:type="dxa"/>
            <w:tcBorders>
              <w:top w:val="single" w:sz="4" w:space="0" w:color="auto"/>
              <w:bottom w:val="single" w:sz="12" w:space="0" w:color="auto"/>
            </w:tcBorders>
          </w:tcPr>
          <w:p w14:paraId="4F409A66" w14:textId="1E176011" w:rsidR="00A14420" w:rsidRPr="00267A6E" w:rsidRDefault="003373A7" w:rsidP="00DF5712">
            <w:pPr>
              <w:spacing w:before="240"/>
              <w:rPr>
                <w:lang w:val="fr-FR"/>
              </w:rPr>
            </w:pPr>
            <w:r w:rsidRPr="00267A6E">
              <w:rPr>
                <w:lang w:val="fr-FR"/>
              </w:rPr>
              <w:t>Distr</w:t>
            </w:r>
            <w:r w:rsidR="00967A77" w:rsidRPr="00267A6E">
              <w:rPr>
                <w:lang w:val="fr-FR"/>
              </w:rPr>
              <w:t>.</w:t>
            </w:r>
            <w:r w:rsidRPr="00267A6E">
              <w:rPr>
                <w:lang w:val="fr-FR"/>
              </w:rPr>
              <w:t xml:space="preserve"> générale</w:t>
            </w:r>
          </w:p>
          <w:p w14:paraId="702DF0A7" w14:textId="77777777" w:rsidR="003373A7" w:rsidRPr="00267A6E" w:rsidRDefault="003373A7" w:rsidP="003373A7">
            <w:pPr>
              <w:spacing w:line="240" w:lineRule="exact"/>
              <w:rPr>
                <w:lang w:val="fr-FR"/>
              </w:rPr>
            </w:pPr>
            <w:r w:rsidRPr="00267A6E">
              <w:rPr>
                <w:lang w:val="fr-FR"/>
              </w:rPr>
              <w:t>2 octobre 2023</w:t>
            </w:r>
          </w:p>
          <w:p w14:paraId="1009B085" w14:textId="77777777" w:rsidR="003373A7" w:rsidRPr="00267A6E" w:rsidRDefault="003373A7" w:rsidP="003373A7">
            <w:pPr>
              <w:spacing w:line="240" w:lineRule="exact"/>
              <w:rPr>
                <w:lang w:val="fr-FR"/>
              </w:rPr>
            </w:pPr>
            <w:r w:rsidRPr="00267A6E">
              <w:rPr>
                <w:lang w:val="fr-FR"/>
              </w:rPr>
              <w:t>Français</w:t>
            </w:r>
          </w:p>
          <w:p w14:paraId="0A39594C" w14:textId="56591CE5" w:rsidR="003373A7" w:rsidRPr="00267A6E" w:rsidRDefault="003373A7" w:rsidP="003373A7">
            <w:pPr>
              <w:spacing w:line="240" w:lineRule="exact"/>
              <w:rPr>
                <w:lang w:val="fr-FR"/>
              </w:rPr>
            </w:pPr>
            <w:r w:rsidRPr="00267A6E">
              <w:rPr>
                <w:lang w:val="fr-FR"/>
              </w:rPr>
              <w:t>Original</w:t>
            </w:r>
            <w:r w:rsidR="00D82B54" w:rsidRPr="00267A6E">
              <w:rPr>
                <w:lang w:val="fr-FR"/>
              </w:rPr>
              <w:t> :</w:t>
            </w:r>
            <w:r w:rsidRPr="00267A6E">
              <w:rPr>
                <w:lang w:val="fr-FR"/>
              </w:rPr>
              <w:t xml:space="preserve"> anglais</w:t>
            </w:r>
          </w:p>
        </w:tc>
      </w:tr>
    </w:tbl>
    <w:p w14:paraId="4C214C37" w14:textId="53081405" w:rsidR="00C554CE" w:rsidRPr="00267A6E" w:rsidRDefault="00C554CE" w:rsidP="00C554CE">
      <w:pPr>
        <w:spacing w:before="120"/>
        <w:rPr>
          <w:b/>
          <w:sz w:val="28"/>
          <w:szCs w:val="28"/>
          <w:lang w:val="fr-FR"/>
        </w:rPr>
      </w:pPr>
      <w:r w:rsidRPr="00267A6E">
        <w:rPr>
          <w:b/>
          <w:sz w:val="28"/>
          <w:szCs w:val="28"/>
          <w:lang w:val="fr-FR"/>
        </w:rPr>
        <w:t>Commission économique pour l</w:t>
      </w:r>
      <w:r w:rsidR="00D82B54" w:rsidRPr="00267A6E">
        <w:rPr>
          <w:b/>
          <w:sz w:val="28"/>
          <w:szCs w:val="28"/>
          <w:lang w:val="fr-FR"/>
        </w:rPr>
        <w:t>’</w:t>
      </w:r>
      <w:r w:rsidRPr="00267A6E">
        <w:rPr>
          <w:b/>
          <w:sz w:val="28"/>
          <w:szCs w:val="28"/>
          <w:lang w:val="fr-FR"/>
        </w:rPr>
        <w:t>Europe</w:t>
      </w:r>
    </w:p>
    <w:p w14:paraId="086176F7" w14:textId="5812F989" w:rsidR="003373A7" w:rsidRPr="00267A6E" w:rsidRDefault="003373A7" w:rsidP="00C25C7D">
      <w:pPr>
        <w:spacing w:before="120" w:after="120"/>
        <w:ind w:right="3542"/>
        <w:rPr>
          <w:bCs/>
          <w:color w:val="000000"/>
          <w:sz w:val="28"/>
          <w:szCs w:val="28"/>
          <w:lang w:val="fr-FR"/>
        </w:rPr>
      </w:pPr>
      <w:r w:rsidRPr="00267A6E">
        <w:rPr>
          <w:sz w:val="28"/>
          <w:szCs w:val="28"/>
          <w:lang w:val="fr-FR"/>
        </w:rPr>
        <w:t xml:space="preserve">Réunion des Parties à la Convention </w:t>
      </w:r>
      <w:r w:rsidR="00C25C7D" w:rsidRPr="00267A6E">
        <w:rPr>
          <w:sz w:val="28"/>
          <w:szCs w:val="28"/>
          <w:lang w:val="fr-FR"/>
        </w:rPr>
        <w:br/>
      </w:r>
      <w:r w:rsidRPr="00267A6E">
        <w:rPr>
          <w:sz w:val="28"/>
          <w:szCs w:val="28"/>
          <w:lang w:val="fr-FR"/>
        </w:rPr>
        <w:t>sur l</w:t>
      </w:r>
      <w:r w:rsidR="00D82B54" w:rsidRPr="00267A6E">
        <w:rPr>
          <w:sz w:val="28"/>
          <w:szCs w:val="28"/>
          <w:lang w:val="fr-FR"/>
        </w:rPr>
        <w:t>’</w:t>
      </w:r>
      <w:r w:rsidRPr="00267A6E">
        <w:rPr>
          <w:sz w:val="28"/>
          <w:szCs w:val="28"/>
          <w:lang w:val="fr-FR"/>
        </w:rPr>
        <w:t>évaluation de l</w:t>
      </w:r>
      <w:r w:rsidR="00D82B54" w:rsidRPr="00267A6E">
        <w:rPr>
          <w:sz w:val="28"/>
          <w:szCs w:val="28"/>
          <w:lang w:val="fr-FR"/>
        </w:rPr>
        <w:t>’</w:t>
      </w:r>
      <w:r w:rsidRPr="00267A6E">
        <w:rPr>
          <w:sz w:val="28"/>
          <w:szCs w:val="28"/>
          <w:lang w:val="fr-FR"/>
        </w:rPr>
        <w:t>impact sur l</w:t>
      </w:r>
      <w:r w:rsidR="00D82B54" w:rsidRPr="00267A6E">
        <w:rPr>
          <w:sz w:val="28"/>
          <w:szCs w:val="28"/>
          <w:lang w:val="fr-FR"/>
        </w:rPr>
        <w:t>’</w:t>
      </w:r>
      <w:r w:rsidRPr="00267A6E">
        <w:rPr>
          <w:sz w:val="28"/>
          <w:szCs w:val="28"/>
          <w:lang w:val="fr-FR"/>
        </w:rPr>
        <w:t xml:space="preserve">environnement </w:t>
      </w:r>
      <w:r w:rsidR="00C25C7D" w:rsidRPr="00267A6E">
        <w:rPr>
          <w:sz w:val="28"/>
          <w:szCs w:val="28"/>
          <w:lang w:val="fr-FR"/>
        </w:rPr>
        <w:br/>
      </w:r>
      <w:r w:rsidRPr="00267A6E">
        <w:rPr>
          <w:sz w:val="28"/>
          <w:szCs w:val="28"/>
          <w:lang w:val="fr-FR"/>
        </w:rPr>
        <w:t>dans un contexte transfrontière</w:t>
      </w:r>
    </w:p>
    <w:p w14:paraId="1E1D882C" w14:textId="77777777" w:rsidR="003373A7" w:rsidRPr="00267A6E" w:rsidRDefault="003373A7" w:rsidP="003373A7">
      <w:pPr>
        <w:rPr>
          <w:b/>
          <w:color w:val="000000"/>
          <w:lang w:val="fr-FR"/>
        </w:rPr>
      </w:pPr>
      <w:r w:rsidRPr="00267A6E">
        <w:rPr>
          <w:b/>
          <w:bCs/>
          <w:lang w:val="fr-FR"/>
        </w:rPr>
        <w:t>Neuvième session</w:t>
      </w:r>
    </w:p>
    <w:p w14:paraId="6DFDBA6D" w14:textId="69F81BDC" w:rsidR="003373A7" w:rsidRPr="00267A6E" w:rsidRDefault="003373A7" w:rsidP="00C25C7D">
      <w:pPr>
        <w:spacing w:before="120" w:after="120"/>
        <w:ind w:right="2834"/>
        <w:rPr>
          <w:color w:val="000000"/>
          <w:sz w:val="28"/>
          <w:szCs w:val="28"/>
          <w:lang w:val="fr-FR"/>
        </w:rPr>
      </w:pPr>
      <w:r w:rsidRPr="00267A6E">
        <w:rPr>
          <w:sz w:val="28"/>
          <w:szCs w:val="28"/>
          <w:lang w:val="fr-FR"/>
        </w:rPr>
        <w:t>Réunion des Parties à la Convention sur l</w:t>
      </w:r>
      <w:r w:rsidR="00D82B54" w:rsidRPr="00267A6E">
        <w:rPr>
          <w:sz w:val="28"/>
          <w:szCs w:val="28"/>
          <w:lang w:val="fr-FR"/>
        </w:rPr>
        <w:t>’</w:t>
      </w:r>
      <w:r w:rsidRPr="00267A6E">
        <w:rPr>
          <w:sz w:val="28"/>
          <w:szCs w:val="28"/>
          <w:lang w:val="fr-FR"/>
        </w:rPr>
        <w:t xml:space="preserve">évaluation </w:t>
      </w:r>
      <w:r w:rsidRPr="00267A6E">
        <w:rPr>
          <w:spacing w:val="2"/>
          <w:sz w:val="28"/>
          <w:szCs w:val="28"/>
          <w:lang w:val="fr-FR"/>
        </w:rPr>
        <w:t>de l</w:t>
      </w:r>
      <w:r w:rsidR="00D82B54" w:rsidRPr="00267A6E">
        <w:rPr>
          <w:spacing w:val="2"/>
          <w:sz w:val="28"/>
          <w:szCs w:val="28"/>
          <w:lang w:val="fr-FR"/>
        </w:rPr>
        <w:t>’</w:t>
      </w:r>
      <w:r w:rsidRPr="00267A6E">
        <w:rPr>
          <w:spacing w:val="2"/>
          <w:sz w:val="28"/>
          <w:szCs w:val="28"/>
          <w:lang w:val="fr-FR"/>
        </w:rPr>
        <w:t>impact sur l</w:t>
      </w:r>
      <w:r w:rsidR="00D82B54" w:rsidRPr="00267A6E">
        <w:rPr>
          <w:spacing w:val="2"/>
          <w:sz w:val="28"/>
          <w:szCs w:val="28"/>
          <w:lang w:val="fr-FR"/>
        </w:rPr>
        <w:t>’</w:t>
      </w:r>
      <w:r w:rsidRPr="00267A6E">
        <w:rPr>
          <w:spacing w:val="2"/>
          <w:sz w:val="28"/>
          <w:szCs w:val="28"/>
          <w:lang w:val="fr-FR"/>
        </w:rPr>
        <w:t>environnement dans un contexte</w:t>
      </w:r>
      <w:r w:rsidRPr="00267A6E">
        <w:rPr>
          <w:sz w:val="28"/>
          <w:szCs w:val="28"/>
          <w:lang w:val="fr-FR"/>
        </w:rPr>
        <w:t xml:space="preserve"> </w:t>
      </w:r>
      <w:r w:rsidRPr="00267A6E">
        <w:rPr>
          <w:spacing w:val="-2"/>
          <w:sz w:val="28"/>
          <w:szCs w:val="28"/>
          <w:lang w:val="fr-FR"/>
        </w:rPr>
        <w:t>transfrontière agissant comme réunion des Parties</w:t>
      </w:r>
      <w:r w:rsidRPr="00267A6E">
        <w:rPr>
          <w:sz w:val="28"/>
          <w:szCs w:val="28"/>
          <w:lang w:val="fr-FR"/>
        </w:rPr>
        <w:t xml:space="preserve"> au Protocole relatif à l</w:t>
      </w:r>
      <w:r w:rsidR="00D82B54" w:rsidRPr="00267A6E">
        <w:rPr>
          <w:sz w:val="28"/>
          <w:szCs w:val="28"/>
          <w:lang w:val="fr-FR"/>
        </w:rPr>
        <w:t>’</w:t>
      </w:r>
      <w:r w:rsidRPr="00267A6E">
        <w:rPr>
          <w:sz w:val="28"/>
          <w:szCs w:val="28"/>
          <w:lang w:val="fr-FR"/>
        </w:rPr>
        <w:t>évaluation stratégique environnementale</w:t>
      </w:r>
    </w:p>
    <w:p w14:paraId="39E5DB83" w14:textId="77777777" w:rsidR="003373A7" w:rsidRPr="00267A6E" w:rsidRDefault="003373A7" w:rsidP="00C25C7D">
      <w:pPr>
        <w:spacing w:after="120"/>
        <w:rPr>
          <w:b/>
          <w:color w:val="000000"/>
          <w:lang w:val="fr-FR"/>
        </w:rPr>
      </w:pPr>
      <w:r w:rsidRPr="00267A6E">
        <w:rPr>
          <w:b/>
          <w:bCs/>
          <w:lang w:val="fr-FR"/>
        </w:rPr>
        <w:t>Cinquième session</w:t>
      </w:r>
    </w:p>
    <w:p w14:paraId="42230A6E" w14:textId="77777777" w:rsidR="003373A7" w:rsidRPr="00267A6E" w:rsidRDefault="003373A7" w:rsidP="003373A7">
      <w:pPr>
        <w:rPr>
          <w:lang w:val="fr-FR"/>
        </w:rPr>
      </w:pPr>
      <w:r w:rsidRPr="00267A6E">
        <w:rPr>
          <w:lang w:val="fr-FR"/>
        </w:rPr>
        <w:t>Genève, 12-15 décembre 2023</w:t>
      </w:r>
    </w:p>
    <w:p w14:paraId="5553EFA2" w14:textId="4D156490" w:rsidR="003373A7" w:rsidRPr="00267A6E" w:rsidRDefault="003373A7" w:rsidP="00C25C7D">
      <w:pPr>
        <w:spacing w:after="120"/>
        <w:rPr>
          <w:lang w:val="fr-FR"/>
        </w:rPr>
      </w:pPr>
      <w:r w:rsidRPr="00267A6E">
        <w:rPr>
          <w:lang w:val="fr-FR"/>
        </w:rPr>
        <w:t>Point 6 de l</w:t>
      </w:r>
      <w:r w:rsidR="00D82B54" w:rsidRPr="00267A6E">
        <w:rPr>
          <w:lang w:val="fr-FR"/>
        </w:rPr>
        <w:t>’</w:t>
      </w:r>
      <w:r w:rsidRPr="00267A6E">
        <w:rPr>
          <w:lang w:val="fr-FR"/>
        </w:rPr>
        <w:t>ordre du jour provisoire</w:t>
      </w:r>
    </w:p>
    <w:p w14:paraId="41AC5FC0" w14:textId="7FCD20BB" w:rsidR="003373A7" w:rsidRPr="00267A6E" w:rsidRDefault="003373A7" w:rsidP="003373A7">
      <w:pPr>
        <w:ind w:right="3968"/>
        <w:rPr>
          <w:b/>
          <w:bCs/>
          <w:lang w:val="fr-FR"/>
        </w:rPr>
      </w:pPr>
      <w:r w:rsidRPr="00267A6E">
        <w:rPr>
          <w:b/>
          <w:bCs/>
          <w:lang w:val="fr-FR"/>
        </w:rPr>
        <w:t xml:space="preserve">Manifestation de haut niveau sur la contribution </w:t>
      </w:r>
      <w:r w:rsidR="00C25C7D" w:rsidRPr="00267A6E">
        <w:rPr>
          <w:b/>
          <w:bCs/>
          <w:lang w:val="fr-FR"/>
        </w:rPr>
        <w:br/>
      </w:r>
      <w:r w:rsidRPr="00267A6E">
        <w:rPr>
          <w:b/>
          <w:bCs/>
          <w:lang w:val="fr-FR"/>
        </w:rPr>
        <w:t>de la Convention</w:t>
      </w:r>
      <w:r w:rsidRPr="00267A6E">
        <w:rPr>
          <w:lang w:val="fr-FR"/>
        </w:rPr>
        <w:t xml:space="preserve"> </w:t>
      </w:r>
      <w:r w:rsidRPr="00267A6E">
        <w:rPr>
          <w:b/>
          <w:bCs/>
          <w:lang w:val="fr-FR"/>
        </w:rPr>
        <w:t xml:space="preserve">et du Protocole à la transition énergétique, </w:t>
      </w:r>
      <w:r w:rsidR="00C25C7D" w:rsidRPr="00267A6E">
        <w:rPr>
          <w:b/>
          <w:bCs/>
          <w:lang w:val="fr-FR"/>
        </w:rPr>
        <w:br/>
      </w:r>
      <w:r w:rsidRPr="00267A6E">
        <w:rPr>
          <w:b/>
          <w:bCs/>
          <w:lang w:val="fr-FR"/>
        </w:rPr>
        <w:t>à l</w:t>
      </w:r>
      <w:r w:rsidR="00D82B54" w:rsidRPr="00267A6E">
        <w:rPr>
          <w:b/>
          <w:bCs/>
          <w:lang w:val="fr-FR"/>
        </w:rPr>
        <w:t>’</w:t>
      </w:r>
      <w:r w:rsidRPr="00267A6E">
        <w:rPr>
          <w:b/>
          <w:bCs/>
          <w:lang w:val="fr-FR"/>
        </w:rPr>
        <w:t>économie circulaire et au financement vert</w:t>
      </w:r>
    </w:p>
    <w:p w14:paraId="0CE21482" w14:textId="75D97834" w:rsidR="003373A7" w:rsidRPr="00267A6E" w:rsidRDefault="003373A7" w:rsidP="00C25C7D">
      <w:pPr>
        <w:pStyle w:val="HChG"/>
        <w:rPr>
          <w:lang w:val="fr-FR"/>
        </w:rPr>
      </w:pPr>
      <w:r w:rsidRPr="00267A6E">
        <w:rPr>
          <w:lang w:val="fr-FR"/>
        </w:rPr>
        <w:tab/>
      </w:r>
      <w:r w:rsidRPr="00267A6E">
        <w:rPr>
          <w:lang w:val="fr-FR"/>
        </w:rPr>
        <w:tab/>
        <w:t>Transition énergétique, économie circulaire et financement vert</w:t>
      </w:r>
      <w:r w:rsidR="00D82B54" w:rsidRPr="00267A6E">
        <w:rPr>
          <w:lang w:val="fr-FR"/>
        </w:rPr>
        <w:t> :</w:t>
      </w:r>
      <w:r w:rsidRPr="00267A6E">
        <w:rPr>
          <w:lang w:val="fr-FR"/>
        </w:rPr>
        <w:t xml:space="preserve"> rôle de la Convention d</w:t>
      </w:r>
      <w:r w:rsidR="00D82B54" w:rsidRPr="00267A6E">
        <w:rPr>
          <w:lang w:val="fr-FR"/>
        </w:rPr>
        <w:t>’</w:t>
      </w:r>
      <w:r w:rsidRPr="00267A6E">
        <w:rPr>
          <w:lang w:val="fr-FR"/>
        </w:rPr>
        <w:t>Espoo et de son protocole</w:t>
      </w:r>
    </w:p>
    <w:p w14:paraId="583964D7" w14:textId="1ED8E6A1" w:rsidR="003373A7" w:rsidRPr="00267A6E" w:rsidRDefault="003373A7" w:rsidP="00C25C7D">
      <w:pPr>
        <w:pStyle w:val="H1G"/>
        <w:rPr>
          <w:lang w:val="fr-FR"/>
        </w:rPr>
      </w:pPr>
      <w:r w:rsidRPr="00267A6E">
        <w:rPr>
          <w:lang w:val="fr-FR"/>
        </w:rPr>
        <w:tab/>
      </w:r>
      <w:r w:rsidRPr="00267A6E">
        <w:rPr>
          <w:lang w:val="fr-FR"/>
        </w:rPr>
        <w:tab/>
        <w:t>Note établie par le Bureau avec l</w:t>
      </w:r>
      <w:r w:rsidR="00D82B54" w:rsidRPr="00267A6E">
        <w:rPr>
          <w:lang w:val="fr-FR"/>
        </w:rPr>
        <w:t>’</w:t>
      </w:r>
      <w:r w:rsidRPr="00267A6E">
        <w:rPr>
          <w:lang w:val="fr-FR"/>
        </w:rPr>
        <w:t>appui de deux consultants</w:t>
      </w:r>
    </w:p>
    <w:tbl>
      <w:tblPr>
        <w:tblStyle w:val="TableGrid"/>
        <w:tblW w:w="0" w:type="auto"/>
        <w:jc w:val="center"/>
        <w:tblBorders>
          <w:insideH w:val="none" w:sz="0" w:space="0" w:color="auto"/>
          <w:insideV w:val="none" w:sz="0" w:space="0" w:color="auto"/>
        </w:tblBorders>
        <w:tblLook w:val="05E0" w:firstRow="1" w:lastRow="1" w:firstColumn="1" w:lastColumn="1" w:noHBand="0" w:noVBand="1"/>
      </w:tblPr>
      <w:tblGrid>
        <w:gridCol w:w="9628"/>
      </w:tblGrid>
      <w:tr w:rsidR="003373A7" w:rsidRPr="00267A6E" w14:paraId="18FFE983" w14:textId="77777777" w:rsidTr="00C25C7D">
        <w:trPr>
          <w:jc w:val="center"/>
        </w:trPr>
        <w:tc>
          <w:tcPr>
            <w:tcW w:w="9637" w:type="dxa"/>
            <w:tcBorders>
              <w:top w:val="single" w:sz="4" w:space="0" w:color="auto"/>
              <w:bottom w:val="nil"/>
            </w:tcBorders>
            <w:shd w:val="clear" w:color="auto" w:fill="auto"/>
          </w:tcPr>
          <w:p w14:paraId="2C4CCA76" w14:textId="77777777" w:rsidR="003373A7" w:rsidRPr="00267A6E" w:rsidRDefault="003373A7">
            <w:pPr>
              <w:spacing w:before="240" w:after="120"/>
              <w:ind w:left="255"/>
              <w:rPr>
                <w:i/>
                <w:sz w:val="24"/>
                <w:lang w:val="fr-FR"/>
              </w:rPr>
            </w:pPr>
            <w:r w:rsidRPr="00267A6E">
              <w:rPr>
                <w:i/>
                <w:sz w:val="24"/>
                <w:lang w:val="fr-FR"/>
              </w:rPr>
              <w:t>Résumé</w:t>
            </w:r>
          </w:p>
        </w:tc>
      </w:tr>
      <w:tr w:rsidR="003373A7" w:rsidRPr="00267A6E" w14:paraId="28AFD7BD" w14:textId="77777777" w:rsidTr="00C25C7D">
        <w:trPr>
          <w:jc w:val="center"/>
        </w:trPr>
        <w:tc>
          <w:tcPr>
            <w:tcW w:w="9637" w:type="dxa"/>
            <w:tcBorders>
              <w:top w:val="nil"/>
              <w:left w:val="single" w:sz="4" w:space="0" w:color="auto"/>
              <w:bottom w:val="nil"/>
              <w:right w:val="single" w:sz="4" w:space="0" w:color="auto"/>
            </w:tcBorders>
            <w:shd w:val="clear" w:color="auto" w:fill="auto"/>
          </w:tcPr>
          <w:p w14:paraId="2CADF57F" w14:textId="3D1C530F" w:rsidR="003373A7" w:rsidRPr="00267A6E" w:rsidRDefault="003373A7" w:rsidP="00B93CD0">
            <w:pPr>
              <w:pStyle w:val="SingleTxtG"/>
              <w:ind w:firstLine="567"/>
              <w:rPr>
                <w:lang w:val="fr-FR"/>
              </w:rPr>
            </w:pPr>
            <w:r w:rsidRPr="00267A6E">
              <w:rPr>
                <w:lang w:val="fr-FR"/>
              </w:rPr>
              <w:t>Le présent document porte sur le rôle que jouent et pourraient jouer la Convention et son protocole dans la transition énergétique, l</w:t>
            </w:r>
            <w:r w:rsidR="00D82B54" w:rsidRPr="00267A6E">
              <w:rPr>
                <w:lang w:val="fr-FR"/>
              </w:rPr>
              <w:t>’</w:t>
            </w:r>
            <w:r w:rsidRPr="00267A6E">
              <w:rPr>
                <w:lang w:val="fr-FR"/>
              </w:rPr>
              <w:t xml:space="preserve">économie circulaire et le financement vert, </w:t>
            </w:r>
            <w:r w:rsidRPr="00267A6E">
              <w:rPr>
                <w:spacing w:val="-2"/>
                <w:lang w:val="fr-FR"/>
              </w:rPr>
              <w:t>rôle dont il sera débattu à l</w:t>
            </w:r>
            <w:r w:rsidR="00D82B54" w:rsidRPr="00267A6E">
              <w:rPr>
                <w:spacing w:val="-2"/>
                <w:lang w:val="fr-FR"/>
              </w:rPr>
              <w:t>’</w:t>
            </w:r>
            <w:r w:rsidRPr="00267A6E">
              <w:rPr>
                <w:spacing w:val="-2"/>
                <w:lang w:val="fr-FR"/>
              </w:rPr>
              <w:t>occasion d</w:t>
            </w:r>
            <w:r w:rsidR="00D82B54" w:rsidRPr="00267A6E">
              <w:rPr>
                <w:spacing w:val="-2"/>
                <w:lang w:val="fr-FR"/>
              </w:rPr>
              <w:t>’</w:t>
            </w:r>
            <w:r w:rsidRPr="00267A6E">
              <w:rPr>
                <w:spacing w:val="-2"/>
                <w:lang w:val="fr-FR"/>
              </w:rPr>
              <w:t>une manifestation de haut niveau organisée dans le cadre des sessions en cours (14</w:t>
            </w:r>
            <w:r w:rsidR="00C25C7D" w:rsidRPr="00267A6E">
              <w:rPr>
                <w:spacing w:val="-2"/>
                <w:lang w:val="fr-FR"/>
              </w:rPr>
              <w:t> </w:t>
            </w:r>
            <w:r w:rsidRPr="00267A6E">
              <w:rPr>
                <w:spacing w:val="-2"/>
                <w:lang w:val="fr-FR"/>
              </w:rPr>
              <w:t>décembre, de 15</w:t>
            </w:r>
            <w:r w:rsidR="00C25C7D" w:rsidRPr="00267A6E">
              <w:rPr>
                <w:spacing w:val="-2"/>
                <w:lang w:val="fr-FR"/>
              </w:rPr>
              <w:t> </w:t>
            </w:r>
            <w:r w:rsidRPr="00267A6E">
              <w:rPr>
                <w:spacing w:val="-2"/>
                <w:lang w:val="fr-FR"/>
              </w:rPr>
              <w:t>h</w:t>
            </w:r>
            <w:r w:rsidR="00C25C7D" w:rsidRPr="00267A6E">
              <w:rPr>
                <w:spacing w:val="-2"/>
                <w:lang w:val="fr-FR"/>
              </w:rPr>
              <w:t> </w:t>
            </w:r>
            <w:r w:rsidRPr="00267A6E">
              <w:rPr>
                <w:spacing w:val="-2"/>
                <w:lang w:val="fr-FR"/>
              </w:rPr>
              <w:t>30 à 17</w:t>
            </w:r>
            <w:r w:rsidR="00C25C7D" w:rsidRPr="00267A6E">
              <w:rPr>
                <w:spacing w:val="-2"/>
                <w:lang w:val="fr-FR"/>
              </w:rPr>
              <w:t> </w:t>
            </w:r>
            <w:r w:rsidRPr="00267A6E">
              <w:rPr>
                <w:spacing w:val="-2"/>
                <w:lang w:val="fr-FR"/>
              </w:rPr>
              <w:t>h</w:t>
            </w:r>
            <w:r w:rsidR="00C25C7D" w:rsidRPr="00267A6E">
              <w:rPr>
                <w:spacing w:val="-2"/>
                <w:lang w:val="fr-FR"/>
              </w:rPr>
              <w:t> </w:t>
            </w:r>
            <w:r w:rsidRPr="00267A6E">
              <w:rPr>
                <w:spacing w:val="-2"/>
                <w:lang w:val="fr-FR"/>
              </w:rPr>
              <w:t>30)</w:t>
            </w:r>
            <w:r w:rsidR="00967A77" w:rsidRPr="00267A6E">
              <w:rPr>
                <w:spacing w:val="-2"/>
                <w:lang w:val="fr-FR"/>
              </w:rPr>
              <w:t>.</w:t>
            </w:r>
            <w:r w:rsidRPr="00267A6E">
              <w:rPr>
                <w:spacing w:val="-2"/>
                <w:lang w:val="fr-FR"/>
              </w:rPr>
              <w:t xml:space="preserve"> Il a été élaboré conformément au plan de travail</w:t>
            </w:r>
            <w:r w:rsidRPr="00267A6E">
              <w:rPr>
                <w:i/>
                <w:iCs/>
                <w:spacing w:val="-2"/>
                <w:vertAlign w:val="superscript"/>
                <w:lang w:val="fr-FR"/>
              </w:rPr>
              <w:t>a</w:t>
            </w:r>
            <w:r w:rsidRPr="00267A6E">
              <w:rPr>
                <w:spacing w:val="-2"/>
                <w:lang w:val="fr-FR"/>
              </w:rPr>
              <w:t>, en accord avec le Bureau et avec l</w:t>
            </w:r>
            <w:r w:rsidR="00D82B54" w:rsidRPr="00267A6E">
              <w:rPr>
                <w:spacing w:val="-2"/>
                <w:lang w:val="fr-FR"/>
              </w:rPr>
              <w:t>’</w:t>
            </w:r>
            <w:r w:rsidRPr="00267A6E">
              <w:rPr>
                <w:spacing w:val="-2"/>
                <w:lang w:val="fr-FR"/>
              </w:rPr>
              <w:t>appui de consultants détachés auprès du secrétariat et financés par l</w:t>
            </w:r>
            <w:r w:rsidR="00D82B54" w:rsidRPr="00267A6E">
              <w:rPr>
                <w:spacing w:val="-2"/>
                <w:lang w:val="fr-FR"/>
              </w:rPr>
              <w:t>’</w:t>
            </w:r>
            <w:r w:rsidRPr="00267A6E">
              <w:rPr>
                <w:spacing w:val="-2"/>
                <w:lang w:val="fr-FR"/>
              </w:rPr>
              <w:t>Italie, compte tenu des observations formulées par le Groupe de travail de l</w:t>
            </w:r>
            <w:r w:rsidR="00D82B54" w:rsidRPr="00267A6E">
              <w:rPr>
                <w:spacing w:val="-2"/>
                <w:lang w:val="fr-FR"/>
              </w:rPr>
              <w:t>’</w:t>
            </w:r>
            <w:r w:rsidRPr="00267A6E">
              <w:rPr>
                <w:spacing w:val="-2"/>
                <w:lang w:val="fr-FR"/>
              </w:rPr>
              <w:t>évaluation de l</w:t>
            </w:r>
            <w:r w:rsidR="00D82B54" w:rsidRPr="00267A6E">
              <w:rPr>
                <w:spacing w:val="-2"/>
                <w:lang w:val="fr-FR"/>
              </w:rPr>
              <w:t>’</w:t>
            </w:r>
            <w:r w:rsidRPr="00267A6E">
              <w:rPr>
                <w:spacing w:val="-2"/>
                <w:lang w:val="fr-FR"/>
              </w:rPr>
              <w:t>impact sur l</w:t>
            </w:r>
            <w:r w:rsidR="00D82B54" w:rsidRPr="00267A6E">
              <w:rPr>
                <w:spacing w:val="-2"/>
                <w:lang w:val="fr-FR"/>
              </w:rPr>
              <w:t>’</w:t>
            </w:r>
            <w:r w:rsidRPr="00267A6E">
              <w:rPr>
                <w:spacing w:val="-2"/>
                <w:lang w:val="fr-FR"/>
              </w:rPr>
              <w:t>environnement et de l</w:t>
            </w:r>
            <w:r w:rsidR="00D82B54" w:rsidRPr="00267A6E">
              <w:rPr>
                <w:spacing w:val="-2"/>
                <w:lang w:val="fr-FR"/>
              </w:rPr>
              <w:t>’</w:t>
            </w:r>
            <w:r w:rsidRPr="00267A6E">
              <w:rPr>
                <w:spacing w:val="-2"/>
                <w:lang w:val="fr-FR"/>
              </w:rPr>
              <w:t>évaluation</w:t>
            </w:r>
            <w:r w:rsidRPr="00267A6E">
              <w:rPr>
                <w:lang w:val="fr-FR"/>
              </w:rPr>
              <w:t xml:space="preserve"> stratégique environnementale à sa douzième réunion (Genève, 13-15 juin 2023)</w:t>
            </w:r>
            <w:r w:rsidR="00967A77" w:rsidRPr="00267A6E">
              <w:rPr>
                <w:lang w:val="fr-FR"/>
              </w:rPr>
              <w:t>.</w:t>
            </w:r>
          </w:p>
        </w:tc>
      </w:tr>
      <w:tr w:rsidR="003373A7" w:rsidRPr="00267A6E" w14:paraId="722850E1" w14:textId="77777777" w:rsidTr="00C25C7D">
        <w:trPr>
          <w:jc w:val="center"/>
        </w:trPr>
        <w:tc>
          <w:tcPr>
            <w:tcW w:w="9637" w:type="dxa"/>
            <w:tcBorders>
              <w:top w:val="nil"/>
              <w:bottom w:val="nil"/>
            </w:tcBorders>
            <w:shd w:val="clear" w:color="auto" w:fill="auto"/>
          </w:tcPr>
          <w:p w14:paraId="00B7F4F6" w14:textId="55ED5103" w:rsidR="003373A7" w:rsidRPr="00267A6E" w:rsidRDefault="003373A7" w:rsidP="00C25C7D">
            <w:pPr>
              <w:pStyle w:val="SingleTxtG"/>
              <w:keepNext/>
              <w:keepLines/>
              <w:kinsoku/>
              <w:overflowPunct/>
              <w:autoSpaceDE/>
              <w:autoSpaceDN/>
              <w:adjustRightInd/>
              <w:snapToGrid/>
              <w:spacing w:after="60" w:line="220" w:lineRule="atLeast"/>
              <w:ind w:firstLine="567"/>
              <w:rPr>
                <w:rFonts w:eastAsia="Times New Roman"/>
                <w:spacing w:val="-2"/>
                <w:lang w:val="fr-FR" w:eastAsia="fr-FR"/>
              </w:rPr>
            </w:pPr>
            <w:r w:rsidRPr="00267A6E">
              <w:rPr>
                <w:rFonts w:eastAsia="Times New Roman"/>
                <w:spacing w:val="-2"/>
                <w:lang w:val="fr-FR" w:eastAsia="fr-FR"/>
              </w:rPr>
              <w:lastRenderedPageBreak/>
              <w:t>Au cours de la réunion-débat, qui sera encadrée par un modérateur, les intervenants et les représentants devraient</w:t>
            </w:r>
            <w:r w:rsidR="00D82B54" w:rsidRPr="00267A6E">
              <w:rPr>
                <w:rFonts w:eastAsia="Times New Roman"/>
                <w:spacing w:val="-2"/>
                <w:lang w:val="fr-FR" w:eastAsia="fr-FR"/>
              </w:rPr>
              <w:t> :</w:t>
            </w:r>
            <w:r w:rsidRPr="00267A6E">
              <w:rPr>
                <w:rFonts w:eastAsia="Times New Roman"/>
                <w:spacing w:val="-2"/>
                <w:lang w:val="fr-FR" w:eastAsia="fr-FR"/>
              </w:rPr>
              <w:t xml:space="preserve"> se pencher sur les questions clefs accompagnant chacun des trois thèmes présentés dans le présent document</w:t>
            </w:r>
            <w:r w:rsidR="00D82B54" w:rsidRPr="00267A6E">
              <w:rPr>
                <w:rFonts w:eastAsia="Times New Roman"/>
                <w:spacing w:val="-2"/>
                <w:lang w:val="fr-FR" w:eastAsia="fr-FR"/>
              </w:rPr>
              <w:t> ;</w:t>
            </w:r>
            <w:r w:rsidRPr="00267A6E">
              <w:rPr>
                <w:rFonts w:eastAsia="Times New Roman"/>
                <w:spacing w:val="-2"/>
                <w:lang w:val="fr-FR" w:eastAsia="fr-FR"/>
              </w:rPr>
              <w:t xml:space="preserve"> mettre en commun les bonnes pratiques</w:t>
            </w:r>
            <w:r w:rsidR="00D82B54" w:rsidRPr="00267A6E">
              <w:rPr>
                <w:rFonts w:eastAsia="Times New Roman"/>
                <w:spacing w:val="-2"/>
                <w:lang w:val="fr-FR" w:eastAsia="fr-FR"/>
              </w:rPr>
              <w:t> ;</w:t>
            </w:r>
            <w:r w:rsidRPr="00267A6E">
              <w:rPr>
                <w:rFonts w:eastAsia="Times New Roman"/>
                <w:spacing w:val="-2"/>
                <w:lang w:val="fr-FR" w:eastAsia="fr-FR"/>
              </w:rPr>
              <w:t> examiner les moyens de mieux faire connaître le(s) instrument(s) dans ce contexte et d</w:t>
            </w:r>
            <w:r w:rsidR="00D82B54" w:rsidRPr="00267A6E">
              <w:rPr>
                <w:rFonts w:eastAsia="Times New Roman"/>
                <w:spacing w:val="-2"/>
                <w:lang w:val="fr-FR" w:eastAsia="fr-FR"/>
              </w:rPr>
              <w:t>’</w:t>
            </w:r>
            <w:r w:rsidRPr="00267A6E">
              <w:rPr>
                <w:rFonts w:eastAsia="Times New Roman"/>
                <w:spacing w:val="-2"/>
                <w:lang w:val="fr-FR" w:eastAsia="fr-FR"/>
              </w:rPr>
              <w:t>en étendre l</w:t>
            </w:r>
            <w:r w:rsidR="00D82B54" w:rsidRPr="00267A6E">
              <w:rPr>
                <w:rFonts w:eastAsia="Times New Roman"/>
                <w:spacing w:val="-2"/>
                <w:lang w:val="fr-FR" w:eastAsia="fr-FR"/>
              </w:rPr>
              <w:t>’</w:t>
            </w:r>
            <w:r w:rsidRPr="00267A6E">
              <w:rPr>
                <w:rFonts w:eastAsia="Times New Roman"/>
                <w:spacing w:val="-2"/>
                <w:lang w:val="fr-FR" w:eastAsia="fr-FR"/>
              </w:rPr>
              <w:t>application</w:t>
            </w:r>
            <w:r w:rsidR="00967A77" w:rsidRPr="00267A6E">
              <w:rPr>
                <w:rFonts w:eastAsia="Times New Roman"/>
                <w:spacing w:val="-2"/>
                <w:lang w:val="fr-FR" w:eastAsia="fr-FR"/>
              </w:rPr>
              <w:t>.</w:t>
            </w:r>
            <w:r w:rsidRPr="00267A6E">
              <w:rPr>
                <w:rFonts w:eastAsia="Times New Roman"/>
                <w:spacing w:val="-2"/>
                <w:lang w:val="fr-FR" w:eastAsia="fr-FR"/>
              </w:rPr>
              <w:t xml:space="preserve"> Les délégations souhaitant faire de brèves déclarations (3</w:t>
            </w:r>
            <w:r w:rsidR="00C25C7D" w:rsidRPr="00267A6E">
              <w:rPr>
                <w:rFonts w:eastAsia="Times New Roman"/>
                <w:spacing w:val="-2"/>
                <w:lang w:val="fr-FR" w:eastAsia="fr-FR"/>
              </w:rPr>
              <w:t> </w:t>
            </w:r>
            <w:r w:rsidRPr="00267A6E">
              <w:rPr>
                <w:rFonts w:eastAsia="Times New Roman"/>
                <w:spacing w:val="-2"/>
                <w:lang w:val="fr-FR" w:eastAsia="fr-FR"/>
              </w:rPr>
              <w:t>minutes) sont priées d</w:t>
            </w:r>
            <w:r w:rsidR="00D82B54" w:rsidRPr="00267A6E">
              <w:rPr>
                <w:rFonts w:eastAsia="Times New Roman"/>
                <w:spacing w:val="-2"/>
                <w:lang w:val="fr-FR" w:eastAsia="fr-FR"/>
              </w:rPr>
              <w:t>’</w:t>
            </w:r>
            <w:r w:rsidRPr="00267A6E">
              <w:rPr>
                <w:rFonts w:eastAsia="Times New Roman"/>
                <w:spacing w:val="-2"/>
                <w:lang w:val="fr-FR" w:eastAsia="fr-FR"/>
              </w:rPr>
              <w:t>en communiquer le texte avant les sessions</w:t>
            </w:r>
            <w:r w:rsidR="00967A77" w:rsidRPr="00267A6E">
              <w:rPr>
                <w:rFonts w:eastAsia="Times New Roman"/>
                <w:spacing w:val="-2"/>
                <w:lang w:val="fr-FR" w:eastAsia="fr-FR"/>
              </w:rPr>
              <w:t>.</w:t>
            </w:r>
            <w:r w:rsidRPr="00267A6E">
              <w:rPr>
                <w:rFonts w:eastAsia="Times New Roman"/>
                <w:spacing w:val="-2"/>
                <w:lang w:val="fr-FR" w:eastAsia="fr-FR"/>
              </w:rPr>
              <w:t xml:space="preserve"> Un projet de programme sera disponible dans un document distinct (ECE/M</w:t>
            </w:r>
            <w:r w:rsidRPr="00267A6E">
              <w:rPr>
                <w:rFonts w:eastAsia="Times New Roman"/>
                <w:spacing w:val="-2"/>
                <w:lang w:val="fr-FR" w:eastAsia="fr-FR"/>
              </w:rPr>
              <w:t>P</w:t>
            </w:r>
            <w:r w:rsidR="00967A77" w:rsidRPr="00267A6E">
              <w:rPr>
                <w:rFonts w:eastAsia="Times New Roman"/>
                <w:spacing w:val="-2"/>
                <w:lang w:val="fr-FR" w:eastAsia="fr-FR"/>
              </w:rPr>
              <w:t>.</w:t>
            </w:r>
            <w:r w:rsidRPr="00267A6E">
              <w:rPr>
                <w:rFonts w:eastAsia="Times New Roman"/>
                <w:spacing w:val="-2"/>
                <w:lang w:val="fr-FR" w:eastAsia="fr-FR"/>
              </w:rPr>
              <w:t>EIA/2023/INF</w:t>
            </w:r>
            <w:r w:rsidR="00967A77" w:rsidRPr="00267A6E">
              <w:rPr>
                <w:rFonts w:eastAsia="Times New Roman"/>
                <w:spacing w:val="-2"/>
                <w:lang w:val="fr-FR" w:eastAsia="fr-FR"/>
              </w:rPr>
              <w:t>.</w:t>
            </w:r>
            <w:r w:rsidRPr="00267A6E">
              <w:rPr>
                <w:rFonts w:eastAsia="Times New Roman"/>
                <w:spacing w:val="-2"/>
                <w:lang w:val="fr-FR" w:eastAsia="fr-FR"/>
              </w:rPr>
              <w:t>10, à paraître)</w:t>
            </w:r>
            <w:r w:rsidR="00967A77" w:rsidRPr="00267A6E">
              <w:rPr>
                <w:rFonts w:eastAsia="Times New Roman"/>
                <w:spacing w:val="-2"/>
                <w:lang w:val="fr-FR" w:eastAsia="fr-FR"/>
              </w:rPr>
              <w:t>.</w:t>
            </w:r>
          </w:p>
          <w:p w14:paraId="2C3D3B23" w14:textId="77777777" w:rsidR="003373A7" w:rsidRPr="00267A6E" w:rsidRDefault="003373A7" w:rsidP="00C25C7D">
            <w:pPr>
              <w:pStyle w:val="SingleTxtG"/>
              <w:keepNext/>
              <w:keepLines/>
              <w:kinsoku/>
              <w:overflowPunct/>
              <w:autoSpaceDE/>
              <w:autoSpaceDN/>
              <w:adjustRightInd/>
              <w:snapToGrid/>
              <w:spacing w:after="60" w:line="220" w:lineRule="atLeast"/>
              <w:rPr>
                <w:rFonts w:eastAsia="Times New Roman"/>
                <w:lang w:val="fr-FR" w:eastAsia="fr-FR"/>
              </w:rPr>
            </w:pPr>
            <w:r w:rsidRPr="00267A6E">
              <w:rPr>
                <w:rFonts w:eastAsia="Times New Roman"/>
                <w:lang w:val="fr-FR" w:eastAsia="fr-FR"/>
              </w:rPr>
              <w:t>_______________</w:t>
            </w:r>
          </w:p>
          <w:p w14:paraId="2318314E" w14:textId="305BDA2B" w:rsidR="003373A7" w:rsidRPr="00267A6E" w:rsidRDefault="003373A7" w:rsidP="002B4E10">
            <w:pPr>
              <w:pStyle w:val="SingleTxtG"/>
              <w:keepNext/>
              <w:keepLines/>
              <w:kinsoku/>
              <w:overflowPunct/>
              <w:autoSpaceDE/>
              <w:autoSpaceDN/>
              <w:adjustRightInd/>
              <w:snapToGrid/>
              <w:spacing w:after="60" w:line="220" w:lineRule="atLeast"/>
              <w:ind w:firstLine="170"/>
              <w:rPr>
                <w:rFonts w:eastAsia="Times New Roman"/>
                <w:spacing w:val="-2"/>
                <w:sz w:val="18"/>
                <w:szCs w:val="18"/>
                <w:lang w:val="fr-FR" w:eastAsia="fr-FR"/>
              </w:rPr>
            </w:pPr>
            <w:r w:rsidRPr="00267A6E">
              <w:rPr>
                <w:rFonts w:eastAsia="Times New Roman"/>
                <w:i/>
                <w:iCs/>
                <w:spacing w:val="-2"/>
                <w:sz w:val="18"/>
                <w:szCs w:val="18"/>
                <w:vertAlign w:val="superscript"/>
                <w:lang w:val="fr-FR"/>
              </w:rPr>
              <w:t>a</w:t>
            </w:r>
            <w:r w:rsidR="00B93CD0" w:rsidRPr="00267A6E">
              <w:rPr>
                <w:rFonts w:eastAsia="Times New Roman"/>
                <w:spacing w:val="-2"/>
                <w:sz w:val="18"/>
                <w:szCs w:val="18"/>
                <w:lang w:val="fr-FR"/>
              </w:rPr>
              <w:t xml:space="preserve">  </w:t>
            </w:r>
            <w:hyperlink r:id="rId9" w:history="1">
              <w:r w:rsidRPr="00267A6E">
                <w:rPr>
                  <w:rStyle w:val="Hyperlink"/>
                  <w:rFonts w:eastAsia="Times New Roman"/>
                  <w:spacing w:val="-2"/>
                  <w:sz w:val="18"/>
                  <w:szCs w:val="18"/>
                  <w:lang w:val="fr-FR"/>
                </w:rPr>
                <w:t>ECE/MP</w:t>
              </w:r>
              <w:r w:rsidR="00967A77" w:rsidRPr="00267A6E">
                <w:rPr>
                  <w:rStyle w:val="Hyperlink"/>
                  <w:rFonts w:eastAsia="Times New Roman"/>
                  <w:spacing w:val="-2"/>
                  <w:sz w:val="18"/>
                  <w:szCs w:val="18"/>
                  <w:lang w:val="fr-FR"/>
                </w:rPr>
                <w:t>.</w:t>
              </w:r>
              <w:r w:rsidRPr="00267A6E">
                <w:rPr>
                  <w:rStyle w:val="Hyperlink"/>
                  <w:rFonts w:eastAsia="Times New Roman"/>
                  <w:spacing w:val="-2"/>
                  <w:sz w:val="18"/>
                  <w:szCs w:val="18"/>
                  <w:lang w:val="fr-FR"/>
                </w:rPr>
                <w:t>E</w:t>
              </w:r>
              <w:r w:rsidRPr="00267A6E">
                <w:rPr>
                  <w:rStyle w:val="Hyperlink"/>
                  <w:rFonts w:eastAsia="Times New Roman"/>
                  <w:spacing w:val="-2"/>
                  <w:sz w:val="18"/>
                  <w:szCs w:val="18"/>
                  <w:lang w:val="fr-FR"/>
                </w:rPr>
                <w:t>IA/30/Add</w:t>
              </w:r>
              <w:r w:rsidR="00967A77" w:rsidRPr="00267A6E">
                <w:rPr>
                  <w:rStyle w:val="Hyperlink"/>
                  <w:rFonts w:eastAsia="Times New Roman"/>
                  <w:spacing w:val="-2"/>
                  <w:sz w:val="18"/>
                  <w:szCs w:val="18"/>
                  <w:lang w:val="fr-FR"/>
                </w:rPr>
                <w:t>.</w:t>
              </w:r>
              <w:r w:rsidRPr="00267A6E">
                <w:rPr>
                  <w:rStyle w:val="Hyperlink"/>
                  <w:rFonts w:eastAsia="Times New Roman"/>
                  <w:spacing w:val="-2"/>
                  <w:sz w:val="18"/>
                  <w:szCs w:val="18"/>
                  <w:lang w:val="fr-FR"/>
                </w:rPr>
                <w:t>1</w:t>
              </w:r>
            </w:hyperlink>
            <w:r w:rsidRPr="00267A6E">
              <w:rPr>
                <w:rFonts w:eastAsia="Times New Roman"/>
                <w:color w:val="0000FF"/>
                <w:spacing w:val="-2"/>
                <w:sz w:val="18"/>
                <w:szCs w:val="18"/>
                <w:lang w:val="fr-FR"/>
              </w:rPr>
              <w:t>–</w:t>
            </w:r>
            <w:hyperlink r:id="rId10" w:history="1">
              <w:r w:rsidRPr="00267A6E">
                <w:rPr>
                  <w:rStyle w:val="Hyperlink"/>
                  <w:rFonts w:eastAsia="Times New Roman"/>
                  <w:spacing w:val="-2"/>
                  <w:sz w:val="18"/>
                  <w:szCs w:val="18"/>
                  <w:lang w:val="fr-FR"/>
                </w:rPr>
                <w:t>ECE/MP</w:t>
              </w:r>
              <w:r w:rsidR="00967A77" w:rsidRPr="00267A6E">
                <w:rPr>
                  <w:rStyle w:val="Hyperlink"/>
                  <w:rFonts w:eastAsia="Times New Roman"/>
                  <w:spacing w:val="-2"/>
                  <w:sz w:val="18"/>
                  <w:szCs w:val="18"/>
                  <w:lang w:val="fr-FR"/>
                </w:rPr>
                <w:t>.</w:t>
              </w:r>
              <w:r w:rsidRPr="00267A6E">
                <w:rPr>
                  <w:rStyle w:val="Hyperlink"/>
                  <w:rFonts w:eastAsia="Times New Roman"/>
                  <w:spacing w:val="-2"/>
                  <w:sz w:val="18"/>
                  <w:szCs w:val="18"/>
                  <w:lang w:val="fr-FR"/>
                </w:rPr>
                <w:t>EIA/SEA/13/Add</w:t>
              </w:r>
              <w:r w:rsidR="00967A77" w:rsidRPr="00267A6E">
                <w:rPr>
                  <w:rStyle w:val="Hyperlink"/>
                  <w:rFonts w:eastAsia="Times New Roman"/>
                  <w:spacing w:val="-2"/>
                  <w:sz w:val="18"/>
                  <w:szCs w:val="18"/>
                  <w:lang w:val="fr-FR"/>
                </w:rPr>
                <w:t>.</w:t>
              </w:r>
              <w:r w:rsidRPr="00267A6E">
                <w:rPr>
                  <w:rStyle w:val="Hyperlink"/>
                  <w:rFonts w:eastAsia="Times New Roman"/>
                  <w:spacing w:val="-2"/>
                  <w:sz w:val="18"/>
                  <w:szCs w:val="18"/>
                  <w:lang w:val="fr-FR"/>
                </w:rPr>
                <w:t>1</w:t>
              </w:r>
            </w:hyperlink>
            <w:r w:rsidRPr="00267A6E">
              <w:rPr>
                <w:rFonts w:eastAsia="Times New Roman"/>
                <w:spacing w:val="-2"/>
                <w:sz w:val="18"/>
                <w:szCs w:val="18"/>
                <w:lang w:val="fr-FR"/>
              </w:rPr>
              <w:t>, décision VIII/2–IV/2, annexe</w:t>
            </w:r>
            <w:r w:rsidR="00014B0A" w:rsidRPr="00267A6E">
              <w:rPr>
                <w:rFonts w:eastAsia="Times New Roman"/>
                <w:spacing w:val="-2"/>
                <w:sz w:val="18"/>
                <w:szCs w:val="18"/>
                <w:lang w:val="fr-FR"/>
              </w:rPr>
              <w:t> </w:t>
            </w:r>
            <w:r w:rsidRPr="00267A6E">
              <w:rPr>
                <w:rFonts w:eastAsia="Times New Roman"/>
                <w:spacing w:val="-2"/>
                <w:sz w:val="18"/>
                <w:szCs w:val="18"/>
                <w:lang w:val="fr-FR"/>
              </w:rPr>
              <w:t>I, sect</w:t>
            </w:r>
            <w:r w:rsidR="00967A77" w:rsidRPr="00267A6E">
              <w:rPr>
                <w:rFonts w:eastAsia="Times New Roman"/>
                <w:spacing w:val="-2"/>
                <w:sz w:val="18"/>
                <w:szCs w:val="18"/>
                <w:lang w:val="fr-FR"/>
              </w:rPr>
              <w:t>.</w:t>
            </w:r>
            <w:r w:rsidR="00014B0A" w:rsidRPr="00267A6E">
              <w:rPr>
                <w:rFonts w:eastAsia="Times New Roman"/>
                <w:spacing w:val="-2"/>
                <w:sz w:val="18"/>
                <w:szCs w:val="18"/>
                <w:lang w:val="fr-FR"/>
              </w:rPr>
              <w:t> </w:t>
            </w:r>
            <w:r w:rsidRPr="00267A6E">
              <w:rPr>
                <w:rFonts w:eastAsia="Times New Roman"/>
                <w:spacing w:val="-2"/>
                <w:sz w:val="18"/>
                <w:szCs w:val="18"/>
                <w:lang w:val="fr-FR"/>
              </w:rPr>
              <w:t>III</w:t>
            </w:r>
            <w:r w:rsidR="00967A77" w:rsidRPr="00267A6E">
              <w:rPr>
                <w:rFonts w:eastAsia="Times New Roman"/>
                <w:spacing w:val="-2"/>
                <w:sz w:val="18"/>
                <w:szCs w:val="18"/>
                <w:lang w:val="fr-FR"/>
              </w:rPr>
              <w:t>.</w:t>
            </w:r>
            <w:r w:rsidRPr="00267A6E">
              <w:rPr>
                <w:rFonts w:eastAsia="Times New Roman"/>
                <w:spacing w:val="-2"/>
                <w:sz w:val="18"/>
                <w:szCs w:val="18"/>
                <w:lang w:val="fr-FR"/>
              </w:rPr>
              <w:t>B</w:t>
            </w:r>
            <w:r w:rsidR="00967A77" w:rsidRPr="00267A6E">
              <w:rPr>
                <w:rFonts w:eastAsia="Times New Roman"/>
                <w:spacing w:val="-2"/>
                <w:sz w:val="18"/>
                <w:szCs w:val="18"/>
                <w:lang w:val="fr-FR"/>
              </w:rPr>
              <w:t>.</w:t>
            </w:r>
            <w:r w:rsidRPr="00267A6E">
              <w:rPr>
                <w:rFonts w:eastAsia="Times New Roman"/>
                <w:spacing w:val="-2"/>
                <w:sz w:val="18"/>
                <w:szCs w:val="18"/>
                <w:lang w:val="fr-FR"/>
              </w:rPr>
              <w:t>1</w:t>
            </w:r>
            <w:r w:rsidR="00967A77" w:rsidRPr="00267A6E">
              <w:rPr>
                <w:rFonts w:eastAsia="Times New Roman"/>
                <w:spacing w:val="-2"/>
                <w:sz w:val="18"/>
                <w:szCs w:val="18"/>
                <w:lang w:val="fr-FR"/>
              </w:rPr>
              <w:t>.</w:t>
            </w:r>
          </w:p>
        </w:tc>
      </w:tr>
      <w:tr w:rsidR="003373A7" w:rsidRPr="00267A6E" w14:paraId="3FC44990" w14:textId="77777777" w:rsidTr="00C25C7D">
        <w:trPr>
          <w:jc w:val="center"/>
        </w:trPr>
        <w:tc>
          <w:tcPr>
            <w:tcW w:w="9637" w:type="dxa"/>
            <w:tcBorders>
              <w:top w:val="nil"/>
            </w:tcBorders>
            <w:shd w:val="clear" w:color="auto" w:fill="auto"/>
          </w:tcPr>
          <w:p w14:paraId="7CF435E3" w14:textId="77777777" w:rsidR="003373A7" w:rsidRPr="00267A6E" w:rsidRDefault="003373A7">
            <w:pPr>
              <w:rPr>
                <w:lang w:val="fr-FR"/>
              </w:rPr>
            </w:pPr>
          </w:p>
        </w:tc>
      </w:tr>
    </w:tbl>
    <w:p w14:paraId="5DFF9D7C" w14:textId="77777777" w:rsidR="003373A7" w:rsidRPr="00267A6E" w:rsidRDefault="003373A7" w:rsidP="00C25C7D">
      <w:pPr>
        <w:pStyle w:val="SingleTxtG"/>
        <w:rPr>
          <w:lang w:val="fr-FR"/>
        </w:rPr>
      </w:pPr>
    </w:p>
    <w:p w14:paraId="65E83B93" w14:textId="19425F61" w:rsidR="00C25C7D" w:rsidRPr="00267A6E" w:rsidRDefault="00C25C7D">
      <w:pPr>
        <w:suppressAutoHyphens w:val="0"/>
        <w:kinsoku/>
        <w:overflowPunct/>
        <w:autoSpaceDE/>
        <w:autoSpaceDN/>
        <w:adjustRightInd/>
        <w:snapToGrid/>
        <w:spacing w:after="200" w:line="276" w:lineRule="auto"/>
        <w:rPr>
          <w:lang w:val="fr-FR"/>
        </w:rPr>
      </w:pPr>
      <w:r w:rsidRPr="00267A6E">
        <w:rPr>
          <w:lang w:val="fr-FR"/>
        </w:rPr>
        <w:br w:type="page"/>
      </w:r>
    </w:p>
    <w:p w14:paraId="01EDA0D6" w14:textId="3BE5AE74" w:rsidR="003373A7" w:rsidRPr="00267A6E" w:rsidRDefault="003373A7" w:rsidP="00C25C7D">
      <w:pPr>
        <w:pStyle w:val="HChG"/>
        <w:rPr>
          <w:lang w:val="fr-FR"/>
        </w:rPr>
      </w:pPr>
      <w:r w:rsidRPr="00267A6E">
        <w:rPr>
          <w:lang w:val="fr-FR"/>
        </w:rPr>
        <w:lastRenderedPageBreak/>
        <w:tab/>
        <w:t>I</w:t>
      </w:r>
      <w:r w:rsidR="00967A77" w:rsidRPr="00267A6E">
        <w:rPr>
          <w:lang w:val="fr-FR"/>
        </w:rPr>
        <w:t>.</w:t>
      </w:r>
      <w:r w:rsidRPr="00267A6E">
        <w:rPr>
          <w:lang w:val="fr-FR"/>
        </w:rPr>
        <w:tab/>
        <w:t>Introduction</w:t>
      </w:r>
    </w:p>
    <w:p w14:paraId="143FEC57" w14:textId="5D22F733" w:rsidR="003373A7" w:rsidRPr="00267A6E" w:rsidRDefault="003373A7" w:rsidP="00C25C7D">
      <w:pPr>
        <w:pStyle w:val="H1G"/>
        <w:rPr>
          <w:lang w:val="fr-FR"/>
        </w:rPr>
      </w:pPr>
      <w:r w:rsidRPr="00267A6E">
        <w:rPr>
          <w:lang w:val="fr-FR"/>
        </w:rPr>
        <w:tab/>
        <w:t>A</w:t>
      </w:r>
      <w:r w:rsidR="00967A77" w:rsidRPr="00267A6E">
        <w:rPr>
          <w:lang w:val="fr-FR"/>
        </w:rPr>
        <w:t>.</w:t>
      </w:r>
      <w:r w:rsidRPr="00267A6E">
        <w:rPr>
          <w:lang w:val="fr-FR"/>
        </w:rPr>
        <w:tab/>
        <w:t>Objectifs</w:t>
      </w:r>
    </w:p>
    <w:p w14:paraId="735A7ABB" w14:textId="2BB0D30B" w:rsidR="003373A7" w:rsidRPr="00267A6E" w:rsidRDefault="003373A7" w:rsidP="006528B0">
      <w:pPr>
        <w:pStyle w:val="SingleTxtG"/>
        <w:rPr>
          <w:lang w:val="fr-FR"/>
        </w:rPr>
      </w:pPr>
      <w:r w:rsidRPr="00267A6E">
        <w:rPr>
          <w:lang w:val="fr-FR"/>
        </w:rPr>
        <w:t>1</w:t>
      </w:r>
      <w:r w:rsidR="00967A77" w:rsidRPr="00267A6E">
        <w:rPr>
          <w:lang w:val="fr-FR"/>
        </w:rPr>
        <w:t>.</w:t>
      </w:r>
      <w:r w:rsidRPr="00267A6E">
        <w:rPr>
          <w:lang w:val="fr-FR"/>
        </w:rPr>
        <w:tab/>
        <w:t>Le présent document a été élaboré au titre de la Convention sur l</w:t>
      </w:r>
      <w:r w:rsidR="00D82B54" w:rsidRPr="00267A6E">
        <w:rPr>
          <w:lang w:val="fr-FR"/>
        </w:rPr>
        <w:t>’</w:t>
      </w:r>
      <w:r w:rsidRPr="00267A6E">
        <w:rPr>
          <w:lang w:val="fr-FR"/>
        </w:rPr>
        <w:t>évaluation de l</w:t>
      </w:r>
      <w:r w:rsidR="00D82B54" w:rsidRPr="00267A6E">
        <w:rPr>
          <w:lang w:val="fr-FR"/>
        </w:rPr>
        <w:t>’</w:t>
      </w:r>
      <w:r w:rsidRPr="00267A6E">
        <w:rPr>
          <w:lang w:val="fr-FR"/>
        </w:rPr>
        <w:t>impact sur l</w:t>
      </w:r>
      <w:r w:rsidR="00D82B54" w:rsidRPr="00267A6E">
        <w:rPr>
          <w:lang w:val="fr-FR"/>
        </w:rPr>
        <w:t>’</w:t>
      </w:r>
      <w:r w:rsidRPr="00267A6E">
        <w:rPr>
          <w:lang w:val="fr-FR"/>
        </w:rPr>
        <w:t>environnement dans un contexte transfrontière (Convention d</w:t>
      </w:r>
      <w:r w:rsidR="00D82B54" w:rsidRPr="00267A6E">
        <w:rPr>
          <w:lang w:val="fr-FR"/>
        </w:rPr>
        <w:t>’</w:t>
      </w:r>
      <w:r w:rsidRPr="00267A6E">
        <w:rPr>
          <w:lang w:val="fr-FR"/>
        </w:rPr>
        <w:t>Espoo) et du Protocole relatif à l</w:t>
      </w:r>
      <w:r w:rsidR="00D82B54" w:rsidRPr="00267A6E">
        <w:rPr>
          <w:lang w:val="fr-FR"/>
        </w:rPr>
        <w:t>’</w:t>
      </w:r>
      <w:r w:rsidRPr="00267A6E">
        <w:rPr>
          <w:lang w:val="fr-FR"/>
        </w:rPr>
        <w:t>évaluation stratégique environnementale afin de mettre en lumière le rôle que jouent et pourraient jouer ces instruments dans la transition énergétique, l</w:t>
      </w:r>
      <w:r w:rsidR="00D82B54" w:rsidRPr="00267A6E">
        <w:rPr>
          <w:lang w:val="fr-FR"/>
        </w:rPr>
        <w:t>’</w:t>
      </w:r>
      <w:r w:rsidRPr="00267A6E">
        <w:rPr>
          <w:lang w:val="fr-FR"/>
        </w:rPr>
        <w:t>économie circulaire et le financement vert</w:t>
      </w:r>
      <w:r w:rsidR="00967A77" w:rsidRPr="00267A6E">
        <w:rPr>
          <w:lang w:val="fr-FR"/>
        </w:rPr>
        <w:t>.</w:t>
      </w:r>
      <w:r w:rsidRPr="00267A6E">
        <w:rPr>
          <w:lang w:val="fr-FR"/>
        </w:rPr>
        <w:t xml:space="preserve"> Il répond aux objectifs prioritaires énoncés dans la stratégie à long terme et le plan d</w:t>
      </w:r>
      <w:r w:rsidR="00D82B54" w:rsidRPr="00267A6E">
        <w:rPr>
          <w:lang w:val="fr-FR"/>
        </w:rPr>
        <w:t>’</w:t>
      </w:r>
      <w:r w:rsidRPr="00267A6E">
        <w:rPr>
          <w:lang w:val="fr-FR"/>
        </w:rPr>
        <w:t>action pour la Convention et le Protocole (document adopté en 2020), à savoir notamment la promotion du rôle que ces instruments peuvent jouer et la pleine exploitation de leur potentiel aux fins du respect des engagements et priorités fixés aux</w:t>
      </w:r>
      <w:r w:rsidR="008D7609" w:rsidRPr="00267A6E">
        <w:rPr>
          <w:lang w:val="fr-FR"/>
        </w:rPr>
        <w:t xml:space="preserve"> </w:t>
      </w:r>
      <w:r w:rsidRPr="00267A6E">
        <w:rPr>
          <w:lang w:val="fr-FR"/>
        </w:rPr>
        <w:t>niveaux mondial et national, en particulier en ce qui concerne les changements climatiques et l</w:t>
      </w:r>
      <w:r w:rsidR="00D82B54" w:rsidRPr="00267A6E">
        <w:rPr>
          <w:lang w:val="fr-FR"/>
        </w:rPr>
        <w:t>’</w:t>
      </w:r>
      <w:r w:rsidRPr="00267A6E">
        <w:rPr>
          <w:lang w:val="fr-FR"/>
        </w:rPr>
        <w:t>économie circulaire, de l</w:t>
      </w:r>
      <w:r w:rsidR="00D82B54" w:rsidRPr="00267A6E">
        <w:rPr>
          <w:lang w:val="fr-FR"/>
        </w:rPr>
        <w:t>’</w:t>
      </w:r>
      <w:r w:rsidRPr="00267A6E">
        <w:rPr>
          <w:lang w:val="fr-FR"/>
        </w:rPr>
        <w:t>élaboration de bonnes pratiques relatives à l</w:t>
      </w:r>
      <w:r w:rsidR="00D82B54" w:rsidRPr="00267A6E">
        <w:rPr>
          <w:lang w:val="fr-FR"/>
        </w:rPr>
        <w:t>’</w:t>
      </w:r>
      <w:r w:rsidRPr="00267A6E">
        <w:rPr>
          <w:lang w:val="fr-FR"/>
        </w:rPr>
        <w:t>énergie et de la réalisation des objectifs de développement durable</w:t>
      </w:r>
      <w:r w:rsidRPr="00267A6E">
        <w:rPr>
          <w:rStyle w:val="FootnoteReference"/>
          <w:lang w:val="fr-FR"/>
        </w:rPr>
        <w:footnoteReference w:id="2"/>
      </w:r>
      <w:r w:rsidR="00967A77" w:rsidRPr="00267A6E">
        <w:rPr>
          <w:lang w:val="fr-FR"/>
        </w:rPr>
        <w:t>.</w:t>
      </w:r>
    </w:p>
    <w:p w14:paraId="71234075" w14:textId="37714600" w:rsidR="003373A7" w:rsidRPr="00267A6E" w:rsidRDefault="003373A7" w:rsidP="006528B0">
      <w:pPr>
        <w:pStyle w:val="SingleTxtG"/>
        <w:rPr>
          <w:lang w:val="fr-FR"/>
        </w:rPr>
      </w:pPr>
      <w:r w:rsidRPr="00267A6E">
        <w:rPr>
          <w:lang w:val="fr-FR"/>
        </w:rPr>
        <w:t>2</w:t>
      </w:r>
      <w:r w:rsidR="00967A77" w:rsidRPr="00267A6E">
        <w:rPr>
          <w:lang w:val="fr-FR"/>
        </w:rPr>
        <w:t>.</w:t>
      </w:r>
      <w:r w:rsidRPr="00267A6E">
        <w:rPr>
          <w:lang w:val="fr-FR"/>
        </w:rPr>
        <w:tab/>
        <w:t>L</w:t>
      </w:r>
      <w:r w:rsidR="00D82B54" w:rsidRPr="00267A6E">
        <w:rPr>
          <w:lang w:val="fr-FR"/>
        </w:rPr>
        <w:t>’</w:t>
      </w:r>
      <w:r w:rsidRPr="00267A6E">
        <w:rPr>
          <w:lang w:val="fr-FR"/>
        </w:rPr>
        <w:t>accent est mis sur ces trois thèmes interdépendants notamment parce qu</w:t>
      </w:r>
      <w:r w:rsidR="00D82B54" w:rsidRPr="00267A6E">
        <w:rPr>
          <w:lang w:val="fr-FR"/>
        </w:rPr>
        <w:t>’</w:t>
      </w:r>
      <w:r w:rsidRPr="00267A6E">
        <w:rPr>
          <w:lang w:val="fr-FR"/>
        </w:rPr>
        <w:t>ils sont d</w:t>
      </w:r>
      <w:r w:rsidR="00D82B54" w:rsidRPr="00267A6E">
        <w:rPr>
          <w:lang w:val="fr-FR"/>
        </w:rPr>
        <w:t>’</w:t>
      </w:r>
      <w:r w:rsidRPr="00267A6E">
        <w:rPr>
          <w:lang w:val="fr-FR"/>
        </w:rPr>
        <w:t>actualité et qu</w:t>
      </w:r>
      <w:r w:rsidR="00D82B54" w:rsidRPr="00267A6E">
        <w:rPr>
          <w:lang w:val="fr-FR"/>
        </w:rPr>
        <w:t>’</w:t>
      </w:r>
      <w:r w:rsidRPr="00267A6E">
        <w:rPr>
          <w:lang w:val="fr-FR"/>
        </w:rPr>
        <w:t>ils contribuent au respect des engagements pris au niveau mondial dans le cadre de l</w:t>
      </w:r>
      <w:r w:rsidR="00D82B54" w:rsidRPr="00267A6E">
        <w:rPr>
          <w:lang w:val="fr-FR"/>
        </w:rPr>
        <w:t>’</w:t>
      </w:r>
      <w:r w:rsidRPr="00267A6E">
        <w:rPr>
          <w:lang w:val="fr-FR"/>
        </w:rPr>
        <w:t>Accord de Paris et du Programme de développement durable à l</w:t>
      </w:r>
      <w:r w:rsidR="00D82B54" w:rsidRPr="00267A6E">
        <w:rPr>
          <w:lang w:val="fr-FR"/>
        </w:rPr>
        <w:t>’</w:t>
      </w:r>
      <w:r w:rsidRPr="00267A6E">
        <w:rPr>
          <w:lang w:val="fr-FR"/>
        </w:rPr>
        <w:t>horizon 2030, y</w:t>
      </w:r>
      <w:r w:rsidR="00014B0A" w:rsidRPr="00267A6E">
        <w:rPr>
          <w:lang w:val="fr-FR"/>
        </w:rPr>
        <w:t> </w:t>
      </w:r>
      <w:r w:rsidRPr="00267A6E">
        <w:rPr>
          <w:lang w:val="fr-FR"/>
        </w:rPr>
        <w:t>compris les objectifs de développement durable n</w:t>
      </w:r>
      <w:r w:rsidRPr="00267A6E">
        <w:rPr>
          <w:vertAlign w:val="superscript"/>
          <w:lang w:val="fr-FR"/>
        </w:rPr>
        <w:t>os</w:t>
      </w:r>
      <w:r w:rsidR="00014B0A" w:rsidRPr="00267A6E">
        <w:rPr>
          <w:lang w:val="fr-FR"/>
        </w:rPr>
        <w:t> </w:t>
      </w:r>
      <w:r w:rsidRPr="00267A6E">
        <w:rPr>
          <w:lang w:val="fr-FR"/>
        </w:rPr>
        <w:t>7 et 13, relatifs respectivement à l</w:t>
      </w:r>
      <w:r w:rsidR="00D82B54" w:rsidRPr="00267A6E">
        <w:rPr>
          <w:lang w:val="fr-FR"/>
        </w:rPr>
        <w:t>’</w:t>
      </w:r>
      <w:r w:rsidRPr="00267A6E">
        <w:rPr>
          <w:lang w:val="fr-FR"/>
        </w:rPr>
        <w:t>énergie et à l</w:t>
      </w:r>
      <w:r w:rsidR="00D82B54" w:rsidRPr="00267A6E">
        <w:rPr>
          <w:lang w:val="fr-FR"/>
        </w:rPr>
        <w:t>’</w:t>
      </w:r>
      <w:r w:rsidRPr="00267A6E">
        <w:rPr>
          <w:lang w:val="fr-FR"/>
        </w:rPr>
        <w:t>action climatique</w:t>
      </w:r>
      <w:r w:rsidR="00967A77" w:rsidRPr="00267A6E">
        <w:rPr>
          <w:lang w:val="fr-FR"/>
        </w:rPr>
        <w:t>.</w:t>
      </w:r>
      <w:bookmarkStart w:id="0" w:name="_Hlk135663826"/>
    </w:p>
    <w:bookmarkEnd w:id="0"/>
    <w:p w14:paraId="706CB153" w14:textId="336597F4" w:rsidR="003373A7" w:rsidRPr="00267A6E" w:rsidRDefault="003373A7" w:rsidP="006528B0">
      <w:pPr>
        <w:pStyle w:val="SingleTxtG"/>
        <w:rPr>
          <w:lang w:val="fr-FR"/>
        </w:rPr>
      </w:pPr>
      <w:r w:rsidRPr="00267A6E">
        <w:rPr>
          <w:lang w:val="fr-FR"/>
        </w:rPr>
        <w:t>3</w:t>
      </w:r>
      <w:r w:rsidR="00967A77" w:rsidRPr="00267A6E">
        <w:rPr>
          <w:lang w:val="fr-FR"/>
        </w:rPr>
        <w:t>.</w:t>
      </w:r>
      <w:r w:rsidRPr="00267A6E">
        <w:rPr>
          <w:lang w:val="fr-FR"/>
        </w:rPr>
        <w:tab/>
        <w:t>De nombreux pays poursuivent leur transition énergétique, et des politiques ou des instruments juridiques sont en place ou en cours d</w:t>
      </w:r>
      <w:r w:rsidR="00D82B54" w:rsidRPr="00267A6E">
        <w:rPr>
          <w:lang w:val="fr-FR"/>
        </w:rPr>
        <w:t>’</w:t>
      </w:r>
      <w:r w:rsidRPr="00267A6E">
        <w:rPr>
          <w:lang w:val="fr-FR"/>
        </w:rPr>
        <w:t>élaboration, tant au niveau national qu</w:t>
      </w:r>
      <w:r w:rsidR="00D82B54" w:rsidRPr="00267A6E">
        <w:rPr>
          <w:lang w:val="fr-FR"/>
        </w:rPr>
        <w:t>’</w:t>
      </w:r>
      <w:r w:rsidRPr="00267A6E">
        <w:rPr>
          <w:lang w:val="fr-FR"/>
        </w:rPr>
        <w:t>au niveau régional, aux fins de la promotion de l</w:t>
      </w:r>
      <w:r w:rsidR="00D82B54" w:rsidRPr="00267A6E">
        <w:rPr>
          <w:lang w:val="fr-FR"/>
        </w:rPr>
        <w:t>’</w:t>
      </w:r>
      <w:r w:rsidRPr="00267A6E">
        <w:rPr>
          <w:lang w:val="fr-FR"/>
        </w:rPr>
        <w:t>économie circulaire et du financement vert, ce qui témoigne d</w:t>
      </w:r>
      <w:r w:rsidR="00D82B54" w:rsidRPr="00267A6E">
        <w:rPr>
          <w:lang w:val="fr-FR"/>
        </w:rPr>
        <w:t>’</w:t>
      </w:r>
      <w:r w:rsidRPr="00267A6E">
        <w:rPr>
          <w:lang w:val="fr-FR"/>
        </w:rPr>
        <w:t>un fort soutien international en faveur de la durabilité environnementale et sociale et de la réalisation des objectifs de développement durable</w:t>
      </w:r>
      <w:r w:rsidR="00967A77" w:rsidRPr="00267A6E">
        <w:rPr>
          <w:lang w:val="fr-FR"/>
        </w:rPr>
        <w:t>.</w:t>
      </w:r>
      <w:r w:rsidRPr="00267A6E">
        <w:rPr>
          <w:lang w:val="fr-FR"/>
        </w:rPr>
        <w:t xml:space="preserve"> La Convention et le </w:t>
      </w:r>
      <w:r w:rsidRPr="00267A6E">
        <w:rPr>
          <w:spacing w:val="-2"/>
          <w:lang w:val="fr-FR"/>
        </w:rPr>
        <w:t>Protocole peuvent contribuer de manière significative à faire respecter les obligations associées à ces thèmes et à assurer leur compa</w:t>
      </w:r>
      <w:r w:rsidR="00014B0A" w:rsidRPr="00267A6E">
        <w:rPr>
          <w:spacing w:val="-2"/>
          <w:lang w:val="fr-FR"/>
        </w:rPr>
        <w:t>ti</w:t>
      </w:r>
      <w:r w:rsidRPr="00267A6E">
        <w:rPr>
          <w:spacing w:val="-2"/>
          <w:lang w:val="fr-FR"/>
        </w:rPr>
        <w:t>bilité</w:t>
      </w:r>
      <w:r w:rsidR="00967A77" w:rsidRPr="00267A6E">
        <w:rPr>
          <w:spacing w:val="-2"/>
          <w:lang w:val="fr-FR"/>
        </w:rPr>
        <w:t>.</w:t>
      </w:r>
      <w:r w:rsidRPr="00267A6E">
        <w:rPr>
          <w:spacing w:val="-2"/>
          <w:lang w:val="fr-FR"/>
        </w:rPr>
        <w:t xml:space="preserve"> Le présent document décrit le rôle que ces instruments pourraient jouer dans la transition vers une énergie durable, dans la promotion d</w:t>
      </w:r>
      <w:r w:rsidR="00D82B54" w:rsidRPr="00267A6E">
        <w:rPr>
          <w:spacing w:val="-2"/>
          <w:lang w:val="fr-FR"/>
        </w:rPr>
        <w:t>’</w:t>
      </w:r>
      <w:r w:rsidRPr="00267A6E">
        <w:rPr>
          <w:spacing w:val="-2"/>
          <w:lang w:val="fr-FR"/>
        </w:rPr>
        <w:t>une économie circulaire et dans la réalisation des objectifs d</w:t>
      </w:r>
      <w:r w:rsidR="00D82B54" w:rsidRPr="00267A6E">
        <w:rPr>
          <w:spacing w:val="-2"/>
          <w:lang w:val="fr-FR"/>
        </w:rPr>
        <w:t>’</w:t>
      </w:r>
      <w:r w:rsidRPr="00267A6E">
        <w:rPr>
          <w:spacing w:val="-2"/>
          <w:lang w:val="fr-FR"/>
        </w:rPr>
        <w:t>un financement vert</w:t>
      </w:r>
      <w:r w:rsidR="00967A77" w:rsidRPr="00267A6E">
        <w:rPr>
          <w:spacing w:val="-2"/>
          <w:lang w:val="fr-FR"/>
        </w:rPr>
        <w:t>.</w:t>
      </w:r>
    </w:p>
    <w:p w14:paraId="14DBC1DA" w14:textId="31604AB1" w:rsidR="003373A7" w:rsidRPr="00267A6E" w:rsidRDefault="003373A7" w:rsidP="006528B0">
      <w:pPr>
        <w:pStyle w:val="SingleTxtG"/>
        <w:rPr>
          <w:lang w:val="fr-FR"/>
        </w:rPr>
      </w:pPr>
      <w:r w:rsidRPr="00267A6E">
        <w:rPr>
          <w:lang w:val="fr-FR"/>
        </w:rPr>
        <w:t>4</w:t>
      </w:r>
      <w:r w:rsidR="00967A77" w:rsidRPr="00267A6E">
        <w:rPr>
          <w:lang w:val="fr-FR"/>
        </w:rPr>
        <w:t>.</w:t>
      </w:r>
      <w:r w:rsidRPr="00267A6E">
        <w:rPr>
          <w:lang w:val="fr-FR"/>
        </w:rPr>
        <w:tab/>
        <w:t>Le présent document constitue un point de départ pour les débats et aborde les principaux points et questions qui serviront de fil conducteur aux discussions consacrées à chacun des trois thèmes sur lesquels se pencheront les intervenants et les participants</w:t>
      </w:r>
      <w:r w:rsidR="00967A77" w:rsidRPr="00267A6E">
        <w:rPr>
          <w:lang w:val="fr-FR"/>
        </w:rPr>
        <w:t>.</w:t>
      </w:r>
      <w:r w:rsidRPr="00267A6E">
        <w:rPr>
          <w:lang w:val="fr-FR"/>
        </w:rPr>
        <w:t xml:space="preserve"> Il est destiné à faire connaître les deux instruments et à promouvoir leur application effective par les Parties, les futures Parties et les parties prenantes tant à l</w:t>
      </w:r>
      <w:r w:rsidR="00D82B54" w:rsidRPr="00267A6E">
        <w:rPr>
          <w:lang w:val="fr-FR"/>
        </w:rPr>
        <w:t>’</w:t>
      </w:r>
      <w:r w:rsidRPr="00267A6E">
        <w:rPr>
          <w:lang w:val="fr-FR"/>
        </w:rPr>
        <w:t xml:space="preserve">intérieur de la région de la </w:t>
      </w:r>
      <w:r w:rsidRPr="00267A6E">
        <w:rPr>
          <w:spacing w:val="-2"/>
          <w:lang w:val="fr-FR"/>
        </w:rPr>
        <w:t>Commission économique pour l</w:t>
      </w:r>
      <w:r w:rsidR="00D82B54" w:rsidRPr="00267A6E">
        <w:rPr>
          <w:spacing w:val="-2"/>
          <w:lang w:val="fr-FR"/>
        </w:rPr>
        <w:t>’</w:t>
      </w:r>
      <w:r w:rsidRPr="00267A6E">
        <w:rPr>
          <w:spacing w:val="-2"/>
          <w:lang w:val="fr-FR"/>
        </w:rPr>
        <w:t>Europe (CEE) qu</w:t>
      </w:r>
      <w:r w:rsidR="00D82B54" w:rsidRPr="00267A6E">
        <w:rPr>
          <w:spacing w:val="-2"/>
          <w:lang w:val="fr-FR"/>
        </w:rPr>
        <w:t>’</w:t>
      </w:r>
      <w:r w:rsidRPr="00267A6E">
        <w:rPr>
          <w:spacing w:val="-2"/>
          <w:lang w:val="fr-FR"/>
        </w:rPr>
        <w:t>au-delà, notamment les organisations partenaires et les institutions financières internationales concernées</w:t>
      </w:r>
      <w:r w:rsidR="00967A77" w:rsidRPr="00267A6E">
        <w:rPr>
          <w:spacing w:val="-2"/>
          <w:lang w:val="fr-FR"/>
        </w:rPr>
        <w:t>.</w:t>
      </w:r>
      <w:r w:rsidRPr="00267A6E">
        <w:rPr>
          <w:spacing w:val="-2"/>
          <w:lang w:val="fr-FR"/>
        </w:rPr>
        <w:t xml:space="preserve"> Il peut donc contribuer à l</w:t>
      </w:r>
      <w:r w:rsidR="00D82B54" w:rsidRPr="00267A6E">
        <w:rPr>
          <w:spacing w:val="-2"/>
          <w:lang w:val="fr-FR"/>
        </w:rPr>
        <w:t>’</w:t>
      </w:r>
      <w:r w:rsidRPr="00267A6E">
        <w:rPr>
          <w:spacing w:val="-2"/>
          <w:lang w:val="fr-FR"/>
        </w:rPr>
        <w:t>orientation des activités qui seront menées au titre de la Convention et du Protocole afin de mieux relever les défis (décrits dans les sections</w:t>
      </w:r>
      <w:r w:rsidR="009E2DDA" w:rsidRPr="00267A6E">
        <w:rPr>
          <w:spacing w:val="-2"/>
          <w:lang w:val="fr-FR"/>
        </w:rPr>
        <w:t> </w:t>
      </w:r>
      <w:r w:rsidRPr="00267A6E">
        <w:rPr>
          <w:spacing w:val="-2"/>
          <w:lang w:val="fr-FR"/>
        </w:rPr>
        <w:t>II à IV) associés à la transition énergétique, à l</w:t>
      </w:r>
      <w:r w:rsidR="00D82B54" w:rsidRPr="00267A6E">
        <w:rPr>
          <w:spacing w:val="-2"/>
          <w:lang w:val="fr-FR"/>
        </w:rPr>
        <w:t>’</w:t>
      </w:r>
      <w:r w:rsidRPr="00267A6E">
        <w:rPr>
          <w:spacing w:val="-2"/>
          <w:lang w:val="fr-FR"/>
        </w:rPr>
        <w:t>économie circulaire et au financement vert</w:t>
      </w:r>
      <w:r w:rsidR="00967A77" w:rsidRPr="00267A6E">
        <w:rPr>
          <w:spacing w:val="-2"/>
          <w:lang w:val="fr-FR"/>
        </w:rPr>
        <w:t>.</w:t>
      </w:r>
      <w:r w:rsidRPr="00267A6E">
        <w:rPr>
          <w:spacing w:val="-2"/>
          <w:lang w:val="fr-FR"/>
        </w:rPr>
        <w:t xml:space="preserve"> Il a été établi avec l</w:t>
      </w:r>
      <w:r w:rsidR="00D82B54" w:rsidRPr="00267A6E">
        <w:rPr>
          <w:spacing w:val="-2"/>
          <w:lang w:val="fr-FR"/>
        </w:rPr>
        <w:t>’</w:t>
      </w:r>
      <w:r w:rsidRPr="00267A6E">
        <w:rPr>
          <w:spacing w:val="-2"/>
          <w:lang w:val="fr-FR"/>
        </w:rPr>
        <w:t>aide de consultants financés par l</w:t>
      </w:r>
      <w:r w:rsidR="00D82B54" w:rsidRPr="00267A6E">
        <w:rPr>
          <w:spacing w:val="-2"/>
          <w:lang w:val="fr-FR"/>
        </w:rPr>
        <w:t>’</w:t>
      </w:r>
      <w:r w:rsidRPr="00267A6E">
        <w:rPr>
          <w:spacing w:val="-2"/>
          <w:lang w:val="fr-FR"/>
        </w:rPr>
        <w:t>Italie, en consultation avec le Bureau</w:t>
      </w:r>
      <w:r w:rsidRPr="00267A6E">
        <w:rPr>
          <w:rStyle w:val="FootnoteReference"/>
          <w:spacing w:val="-2"/>
          <w:lang w:val="fr-FR"/>
        </w:rPr>
        <w:footnoteReference w:id="3"/>
      </w:r>
      <w:r w:rsidRPr="00267A6E">
        <w:rPr>
          <w:spacing w:val="-2"/>
          <w:lang w:val="fr-FR"/>
        </w:rPr>
        <w:t xml:space="preserve"> et le Groupe de travail de l</w:t>
      </w:r>
      <w:r w:rsidR="00D82B54" w:rsidRPr="00267A6E">
        <w:rPr>
          <w:spacing w:val="-2"/>
          <w:lang w:val="fr-FR"/>
        </w:rPr>
        <w:t>’</w:t>
      </w:r>
      <w:r w:rsidRPr="00267A6E">
        <w:rPr>
          <w:spacing w:val="-2"/>
          <w:lang w:val="fr-FR"/>
        </w:rPr>
        <w:t>évaluation de l</w:t>
      </w:r>
      <w:r w:rsidR="00D82B54" w:rsidRPr="00267A6E">
        <w:rPr>
          <w:spacing w:val="-2"/>
          <w:lang w:val="fr-FR"/>
        </w:rPr>
        <w:t>’</w:t>
      </w:r>
      <w:r w:rsidRPr="00267A6E">
        <w:rPr>
          <w:spacing w:val="-2"/>
          <w:lang w:val="fr-FR"/>
        </w:rPr>
        <w:t>impact sur l</w:t>
      </w:r>
      <w:r w:rsidR="00D82B54" w:rsidRPr="00267A6E">
        <w:rPr>
          <w:spacing w:val="-2"/>
          <w:lang w:val="fr-FR"/>
        </w:rPr>
        <w:t>’</w:t>
      </w:r>
      <w:r w:rsidRPr="00267A6E">
        <w:rPr>
          <w:spacing w:val="-2"/>
          <w:lang w:val="fr-FR"/>
        </w:rPr>
        <w:t>environnement et de l</w:t>
      </w:r>
      <w:r w:rsidR="00D82B54" w:rsidRPr="00267A6E">
        <w:rPr>
          <w:spacing w:val="-2"/>
          <w:lang w:val="fr-FR"/>
        </w:rPr>
        <w:t>’</w:t>
      </w:r>
      <w:r w:rsidRPr="00267A6E">
        <w:rPr>
          <w:spacing w:val="-2"/>
          <w:lang w:val="fr-FR"/>
        </w:rPr>
        <w:t>évaluation stratégique environnementale</w:t>
      </w:r>
      <w:r w:rsidRPr="00267A6E">
        <w:rPr>
          <w:rStyle w:val="FootnoteReference"/>
          <w:spacing w:val="-2"/>
          <w:lang w:val="fr-FR"/>
        </w:rPr>
        <w:footnoteReference w:id="4"/>
      </w:r>
      <w:r w:rsidR="00967A77" w:rsidRPr="00267A6E">
        <w:rPr>
          <w:spacing w:val="-2"/>
          <w:lang w:val="fr-FR"/>
        </w:rPr>
        <w:t>.</w:t>
      </w:r>
      <w:r w:rsidRPr="00267A6E">
        <w:rPr>
          <w:spacing w:val="-2"/>
          <w:lang w:val="fr-FR"/>
        </w:rPr>
        <w:t xml:space="preserve"> Son élaboration a été appuyée par le secrétariat</w:t>
      </w:r>
      <w:r w:rsidR="00967A77" w:rsidRPr="00267A6E">
        <w:rPr>
          <w:spacing w:val="-2"/>
          <w:lang w:val="fr-FR"/>
        </w:rPr>
        <w:t>.</w:t>
      </w:r>
    </w:p>
    <w:p w14:paraId="4DA8960C" w14:textId="6C9A2713" w:rsidR="003373A7" w:rsidRPr="00267A6E" w:rsidRDefault="003373A7" w:rsidP="006528B0">
      <w:pPr>
        <w:pStyle w:val="SingleTxtG"/>
        <w:rPr>
          <w:spacing w:val="-2"/>
          <w:lang w:val="fr-FR"/>
        </w:rPr>
      </w:pPr>
      <w:r w:rsidRPr="00267A6E">
        <w:rPr>
          <w:spacing w:val="-2"/>
          <w:lang w:val="fr-FR"/>
        </w:rPr>
        <w:t>5</w:t>
      </w:r>
      <w:r w:rsidR="00967A77" w:rsidRPr="00267A6E">
        <w:rPr>
          <w:spacing w:val="-2"/>
          <w:lang w:val="fr-FR"/>
        </w:rPr>
        <w:t>.</w:t>
      </w:r>
      <w:r w:rsidRPr="00267A6E">
        <w:rPr>
          <w:spacing w:val="-2"/>
          <w:lang w:val="fr-FR"/>
        </w:rPr>
        <w:tab/>
        <w:t>Les principales dispositions de la Convention et du Protocole sont brièvement exposées dans la sous-section</w:t>
      </w:r>
      <w:r w:rsidR="00790A5F" w:rsidRPr="00267A6E">
        <w:rPr>
          <w:spacing w:val="-2"/>
          <w:lang w:val="fr-FR"/>
        </w:rPr>
        <w:t> </w:t>
      </w:r>
      <w:r w:rsidRPr="00267A6E">
        <w:rPr>
          <w:spacing w:val="-2"/>
          <w:lang w:val="fr-FR"/>
        </w:rPr>
        <w:t>I</w:t>
      </w:r>
      <w:r w:rsidR="00967A77" w:rsidRPr="00267A6E">
        <w:rPr>
          <w:spacing w:val="-2"/>
          <w:lang w:val="fr-FR"/>
        </w:rPr>
        <w:t>.</w:t>
      </w:r>
      <w:r w:rsidRPr="00267A6E">
        <w:rPr>
          <w:spacing w:val="-2"/>
          <w:lang w:val="fr-FR"/>
        </w:rPr>
        <w:t>B, chaque thème étant ensuite présenté dans les sections</w:t>
      </w:r>
      <w:r w:rsidR="00790A5F" w:rsidRPr="00267A6E">
        <w:rPr>
          <w:spacing w:val="-2"/>
          <w:lang w:val="fr-FR"/>
        </w:rPr>
        <w:t> </w:t>
      </w:r>
      <w:r w:rsidRPr="00267A6E">
        <w:rPr>
          <w:spacing w:val="-2"/>
          <w:lang w:val="fr-FR"/>
        </w:rPr>
        <w:t>II à IV</w:t>
      </w:r>
      <w:r w:rsidR="00967A77" w:rsidRPr="00267A6E">
        <w:rPr>
          <w:spacing w:val="-2"/>
          <w:lang w:val="fr-FR"/>
        </w:rPr>
        <w:t>.</w:t>
      </w:r>
      <w:r w:rsidRPr="00267A6E">
        <w:rPr>
          <w:spacing w:val="-2"/>
          <w:lang w:val="fr-FR"/>
        </w:rPr>
        <w:t xml:space="preserve"> L</w:t>
      </w:r>
      <w:r w:rsidR="00D82B54" w:rsidRPr="00267A6E">
        <w:rPr>
          <w:spacing w:val="-2"/>
          <w:lang w:val="fr-FR"/>
        </w:rPr>
        <w:t>’</w:t>
      </w:r>
      <w:r w:rsidRPr="00267A6E">
        <w:rPr>
          <w:spacing w:val="-2"/>
          <w:lang w:val="fr-FR"/>
        </w:rPr>
        <w:t>examen de chacun des trois thèmes est divisé en cinq sous-sections</w:t>
      </w:r>
      <w:r w:rsidR="00D82B54" w:rsidRPr="00267A6E">
        <w:rPr>
          <w:spacing w:val="-2"/>
          <w:lang w:val="fr-FR"/>
        </w:rPr>
        <w:t> :</w:t>
      </w:r>
    </w:p>
    <w:p w14:paraId="2CCC15D4" w14:textId="3070CFEA" w:rsidR="00C25C7D" w:rsidRPr="00267A6E" w:rsidRDefault="003373A7" w:rsidP="0054012C">
      <w:pPr>
        <w:pStyle w:val="SingleTxtG"/>
        <w:ind w:firstLine="567"/>
        <w:rPr>
          <w:lang w:val="fr-FR"/>
        </w:rPr>
      </w:pPr>
      <w:r w:rsidRPr="00267A6E">
        <w:rPr>
          <w:lang w:val="fr-FR"/>
        </w:rPr>
        <w:t>a)</w:t>
      </w:r>
      <w:r w:rsidRPr="00267A6E">
        <w:rPr>
          <w:lang w:val="fr-FR"/>
        </w:rPr>
        <w:tab/>
        <w:t>Une présentation du concept</w:t>
      </w:r>
      <w:r w:rsidR="00D82B54" w:rsidRPr="00267A6E">
        <w:rPr>
          <w:lang w:val="fr-FR"/>
        </w:rPr>
        <w:t> ;</w:t>
      </w:r>
    </w:p>
    <w:p w14:paraId="1C218B68" w14:textId="57B48229" w:rsidR="00C25C7D" w:rsidRPr="00267A6E" w:rsidRDefault="003373A7" w:rsidP="004D5ED6">
      <w:pPr>
        <w:pStyle w:val="SingleTxtG"/>
        <w:ind w:firstLine="567"/>
        <w:rPr>
          <w:lang w:val="fr-FR"/>
        </w:rPr>
      </w:pPr>
      <w:r w:rsidRPr="00267A6E">
        <w:rPr>
          <w:lang w:val="fr-FR"/>
        </w:rPr>
        <w:t>b)</w:t>
      </w:r>
      <w:r w:rsidRPr="00267A6E">
        <w:rPr>
          <w:lang w:val="fr-FR"/>
        </w:rPr>
        <w:tab/>
        <w:t>Une brève description du cadre de politique générale</w:t>
      </w:r>
      <w:r w:rsidR="00D82B54" w:rsidRPr="00267A6E">
        <w:rPr>
          <w:lang w:val="fr-FR"/>
        </w:rPr>
        <w:t> ;</w:t>
      </w:r>
    </w:p>
    <w:p w14:paraId="37CC0AC5" w14:textId="65F5223D" w:rsidR="00C25C7D" w:rsidRPr="00267A6E" w:rsidRDefault="003373A7" w:rsidP="004D5ED6">
      <w:pPr>
        <w:pStyle w:val="SingleTxtG"/>
        <w:ind w:firstLine="567"/>
        <w:rPr>
          <w:lang w:val="fr-FR"/>
        </w:rPr>
      </w:pPr>
      <w:r w:rsidRPr="00267A6E">
        <w:rPr>
          <w:lang w:val="fr-FR"/>
        </w:rPr>
        <w:t>c)</w:t>
      </w:r>
      <w:r w:rsidRPr="00267A6E">
        <w:rPr>
          <w:lang w:val="fr-FR"/>
        </w:rPr>
        <w:tab/>
        <w:t>Une présentation du rôle ainsi que des avantages avérés et potentiels de la Convention et du Protocole</w:t>
      </w:r>
      <w:r w:rsidR="00D82B54" w:rsidRPr="00267A6E">
        <w:rPr>
          <w:lang w:val="fr-FR"/>
        </w:rPr>
        <w:t> ;</w:t>
      </w:r>
    </w:p>
    <w:p w14:paraId="594B9C01" w14:textId="1644356B" w:rsidR="003373A7" w:rsidRPr="00267A6E" w:rsidRDefault="003373A7" w:rsidP="004D5ED6">
      <w:pPr>
        <w:pStyle w:val="SingleTxtG"/>
        <w:ind w:firstLine="567"/>
        <w:rPr>
          <w:lang w:val="fr-FR"/>
        </w:rPr>
      </w:pPr>
      <w:r w:rsidRPr="00267A6E">
        <w:rPr>
          <w:lang w:val="fr-FR"/>
        </w:rPr>
        <w:t>d)</w:t>
      </w:r>
      <w:r w:rsidRPr="00267A6E">
        <w:rPr>
          <w:lang w:val="fr-FR"/>
        </w:rPr>
        <w:tab/>
        <w:t xml:space="preserve">Une description des domaines dans lesquels le rôle de la Convention et du Protocole doit être examiné plus avant et </w:t>
      </w:r>
      <w:r w:rsidR="00790A5F" w:rsidRPr="00267A6E">
        <w:rPr>
          <w:lang w:val="fr-FR"/>
        </w:rPr>
        <w:t>d</w:t>
      </w:r>
      <w:r w:rsidRPr="00267A6E">
        <w:rPr>
          <w:lang w:val="fr-FR"/>
        </w:rPr>
        <w:t>es principaux points et questions qui pourraient servir de fil conducteur aux discussions menées pendant la manifestation de haut niveau</w:t>
      </w:r>
      <w:r w:rsidR="00D82B54" w:rsidRPr="00267A6E">
        <w:rPr>
          <w:lang w:val="fr-FR"/>
        </w:rPr>
        <w:t> ;</w:t>
      </w:r>
    </w:p>
    <w:p w14:paraId="44ACC24F" w14:textId="7538758F" w:rsidR="003373A7" w:rsidRPr="00267A6E" w:rsidRDefault="003373A7" w:rsidP="004D5ED6">
      <w:pPr>
        <w:pStyle w:val="SingleTxtG"/>
        <w:ind w:firstLine="567"/>
        <w:rPr>
          <w:rFonts w:cs="Segoe UI"/>
          <w:szCs w:val="18"/>
          <w:lang w:val="fr-FR"/>
        </w:rPr>
      </w:pPr>
      <w:r w:rsidRPr="00267A6E">
        <w:rPr>
          <w:lang w:val="fr-FR"/>
        </w:rPr>
        <w:t>e)</w:t>
      </w:r>
      <w:r w:rsidRPr="00267A6E">
        <w:rPr>
          <w:lang w:val="fr-FR"/>
        </w:rPr>
        <w:tab/>
        <w:t>Une évaluation axée sur les points forts des instruments, les aspirations à de nouvelles améliorations, les possibilités de renforcer le rôle de ces instruments</w:t>
      </w:r>
      <w:r w:rsidR="00790A5F" w:rsidRPr="00267A6E">
        <w:rPr>
          <w:lang w:val="fr-FR"/>
        </w:rPr>
        <w:t xml:space="preserve"> </w:t>
      </w:r>
      <w:r w:rsidRPr="00267A6E">
        <w:rPr>
          <w:lang w:val="fr-FR"/>
        </w:rPr>
        <w:t>et les solutions envisageables pour parvenir à ce résultat</w:t>
      </w:r>
      <w:r w:rsidR="005D1331" w:rsidRPr="00267A6E">
        <w:rPr>
          <w:lang w:val="fr-FR"/>
        </w:rPr>
        <w:t>.</w:t>
      </w:r>
    </w:p>
    <w:p w14:paraId="32A7296A" w14:textId="5481ABB5" w:rsidR="003373A7" w:rsidRPr="00267A6E" w:rsidRDefault="003373A7" w:rsidP="006528B0">
      <w:pPr>
        <w:pStyle w:val="H1G"/>
        <w:rPr>
          <w:lang w:val="fr-FR"/>
        </w:rPr>
      </w:pPr>
      <w:r w:rsidRPr="00267A6E">
        <w:rPr>
          <w:lang w:val="fr-FR"/>
        </w:rPr>
        <w:tab/>
        <w:t>B</w:t>
      </w:r>
      <w:r w:rsidR="005D1331" w:rsidRPr="00267A6E">
        <w:rPr>
          <w:lang w:val="fr-FR"/>
        </w:rPr>
        <w:t>.</w:t>
      </w:r>
      <w:r w:rsidRPr="00267A6E">
        <w:rPr>
          <w:lang w:val="fr-FR"/>
        </w:rPr>
        <w:tab/>
        <w:t>Dispositions pertinentes de la Convention et du Protocole et pratiques y</w:t>
      </w:r>
      <w:r w:rsidR="006528B0" w:rsidRPr="00267A6E">
        <w:rPr>
          <w:lang w:val="fr-FR"/>
        </w:rPr>
        <w:t> </w:t>
      </w:r>
      <w:r w:rsidRPr="00267A6E">
        <w:rPr>
          <w:lang w:val="fr-FR"/>
        </w:rPr>
        <w:t>afférentes</w:t>
      </w:r>
    </w:p>
    <w:p w14:paraId="51ECA3BE" w14:textId="46C706C3" w:rsidR="003373A7" w:rsidRPr="00267A6E" w:rsidRDefault="003373A7" w:rsidP="006528B0">
      <w:pPr>
        <w:pStyle w:val="SingleTxtG"/>
        <w:rPr>
          <w:lang w:val="fr-FR"/>
        </w:rPr>
      </w:pPr>
      <w:r w:rsidRPr="00267A6E">
        <w:rPr>
          <w:lang w:val="fr-FR"/>
        </w:rPr>
        <w:t>6</w:t>
      </w:r>
      <w:r w:rsidR="00967A77" w:rsidRPr="00267A6E">
        <w:rPr>
          <w:lang w:val="fr-FR"/>
        </w:rPr>
        <w:t>.</w:t>
      </w:r>
      <w:r w:rsidRPr="00267A6E">
        <w:rPr>
          <w:lang w:val="fr-FR"/>
        </w:rPr>
        <w:tab/>
        <w:t>La Convention et le Protocole ont été élaborés sous les auspices de la CEE</w:t>
      </w:r>
      <w:r w:rsidR="00967A77" w:rsidRPr="00267A6E">
        <w:rPr>
          <w:lang w:val="fr-FR"/>
        </w:rPr>
        <w:t>.</w:t>
      </w:r>
      <w:r w:rsidRPr="00267A6E">
        <w:rPr>
          <w:lang w:val="fr-FR"/>
        </w:rPr>
        <w:t xml:space="preserve"> Le</w:t>
      </w:r>
      <w:r w:rsidR="00FF635A" w:rsidRPr="00267A6E">
        <w:rPr>
          <w:lang w:val="fr-FR"/>
        </w:rPr>
        <w:t> </w:t>
      </w:r>
      <w:r w:rsidRPr="00267A6E">
        <w:rPr>
          <w:lang w:val="fr-FR"/>
        </w:rPr>
        <w:t>Protocole est accessible à tous les États Membres de l</w:t>
      </w:r>
      <w:r w:rsidR="00D82B54" w:rsidRPr="00267A6E">
        <w:rPr>
          <w:lang w:val="fr-FR"/>
        </w:rPr>
        <w:t>’</w:t>
      </w:r>
      <w:r w:rsidRPr="00267A6E">
        <w:rPr>
          <w:lang w:val="fr-FR"/>
        </w:rPr>
        <w:t>ONU, et la Convention devrait devenir un instrument de portée mondiale dans les prochaines années</w:t>
      </w:r>
      <w:r w:rsidR="00967A77" w:rsidRPr="00267A6E">
        <w:rPr>
          <w:lang w:val="fr-FR"/>
        </w:rPr>
        <w:t>.</w:t>
      </w:r>
      <w:r w:rsidRPr="00267A6E">
        <w:rPr>
          <w:lang w:val="fr-FR"/>
        </w:rPr>
        <w:t xml:space="preserve"> Ces deux instruments offrent des cadres juridiques internationaux et des procédures pratiques bien établies visant à prévenir, à maîtriser et à atténuer les impacts transfrontières néfastes que certains projets sont susceptibles d</w:t>
      </w:r>
      <w:r w:rsidR="00D82B54" w:rsidRPr="00267A6E">
        <w:rPr>
          <w:lang w:val="fr-FR"/>
        </w:rPr>
        <w:t>’</w:t>
      </w:r>
      <w:r w:rsidRPr="00267A6E">
        <w:rPr>
          <w:lang w:val="fr-FR"/>
        </w:rPr>
        <w:t>avoir sur l</w:t>
      </w:r>
      <w:r w:rsidR="00D82B54" w:rsidRPr="00267A6E">
        <w:rPr>
          <w:lang w:val="fr-FR"/>
        </w:rPr>
        <w:t>’</w:t>
      </w:r>
      <w:r w:rsidRPr="00267A6E">
        <w:rPr>
          <w:lang w:val="fr-FR"/>
        </w:rPr>
        <w:t>environnement, et à faire en sorte que les considérations d</w:t>
      </w:r>
      <w:r w:rsidR="00D82B54" w:rsidRPr="00267A6E">
        <w:rPr>
          <w:lang w:val="fr-FR"/>
        </w:rPr>
        <w:t>’</w:t>
      </w:r>
      <w:r w:rsidRPr="00267A6E">
        <w:rPr>
          <w:lang w:val="fr-FR"/>
        </w:rPr>
        <w:t>environnement, y compris de santé, soient entièrement prises en compte dans les plans et les programmes, et éventuellement dans les politiques et les textes de loi</w:t>
      </w:r>
      <w:r w:rsidR="00967A77" w:rsidRPr="00267A6E">
        <w:rPr>
          <w:lang w:val="fr-FR"/>
        </w:rPr>
        <w:t>.</w:t>
      </w:r>
      <w:r w:rsidRPr="00267A6E">
        <w:rPr>
          <w:lang w:val="fr-FR"/>
        </w:rPr>
        <w:t xml:space="preserve"> Ils s</w:t>
      </w:r>
      <w:r w:rsidR="00D82B54" w:rsidRPr="00267A6E">
        <w:rPr>
          <w:lang w:val="fr-FR"/>
        </w:rPr>
        <w:t>’</w:t>
      </w:r>
      <w:r w:rsidRPr="00267A6E">
        <w:rPr>
          <w:lang w:val="fr-FR"/>
        </w:rPr>
        <w:t>appliquent à de multiples secteurs économiques, contribuent à la gouvernance environnementale et à la transparence dans la planification et la prise de décisions grâce à leurs prescriptions en matière de participation du public et de consultation des parties prenantes, et favorisent la coopération internationale</w:t>
      </w:r>
      <w:r w:rsidR="00967A77" w:rsidRPr="00267A6E">
        <w:rPr>
          <w:lang w:val="fr-FR"/>
        </w:rPr>
        <w:t>.</w:t>
      </w:r>
      <w:r w:rsidRPr="00267A6E">
        <w:rPr>
          <w:lang w:val="fr-FR"/>
        </w:rPr>
        <w:t xml:space="preserve"> Les évaluations de l</w:t>
      </w:r>
      <w:r w:rsidR="00D82B54" w:rsidRPr="00267A6E">
        <w:rPr>
          <w:lang w:val="fr-FR"/>
        </w:rPr>
        <w:t>’</w:t>
      </w:r>
      <w:r w:rsidRPr="00267A6E">
        <w:rPr>
          <w:lang w:val="fr-FR"/>
        </w:rPr>
        <w:t>impact transfrontière sur l</w:t>
      </w:r>
      <w:r w:rsidR="00D82B54" w:rsidRPr="00267A6E">
        <w:rPr>
          <w:lang w:val="fr-FR"/>
        </w:rPr>
        <w:t>’</w:t>
      </w:r>
      <w:r w:rsidRPr="00267A6E">
        <w:rPr>
          <w:lang w:val="fr-FR"/>
        </w:rPr>
        <w:t>environnement, régies par la Convention, et les évaluations stratégiques environnementales, régies par le Protocole, sont largement utilisées par les Parties pour rendre les projets, plans et programmes plus respectueux de l</w:t>
      </w:r>
      <w:r w:rsidR="00D82B54" w:rsidRPr="00267A6E">
        <w:rPr>
          <w:lang w:val="fr-FR"/>
        </w:rPr>
        <w:t>’</w:t>
      </w:r>
      <w:r w:rsidRPr="00267A6E">
        <w:rPr>
          <w:lang w:val="fr-FR"/>
        </w:rPr>
        <w:t>environnement, notamment dans le domaine de l</w:t>
      </w:r>
      <w:r w:rsidR="00D82B54" w:rsidRPr="00267A6E">
        <w:rPr>
          <w:lang w:val="fr-FR"/>
        </w:rPr>
        <w:t>’</w:t>
      </w:r>
      <w:r w:rsidRPr="00267A6E">
        <w:rPr>
          <w:lang w:val="fr-FR"/>
        </w:rPr>
        <w:t>énergie, et peuvent jouer un rôle de plus en plus important dans la promotion de la transition énergétique et d</w:t>
      </w:r>
      <w:r w:rsidR="00D82B54" w:rsidRPr="00267A6E">
        <w:rPr>
          <w:lang w:val="fr-FR"/>
        </w:rPr>
        <w:t>’</w:t>
      </w:r>
      <w:r w:rsidRPr="00267A6E">
        <w:rPr>
          <w:lang w:val="fr-FR"/>
        </w:rPr>
        <w:t>une économie circulaire, ainsi que dans la création de conditions propices au financement vert</w:t>
      </w:r>
      <w:r w:rsidR="00967A77" w:rsidRPr="00267A6E">
        <w:rPr>
          <w:lang w:val="fr-FR"/>
        </w:rPr>
        <w:t>.</w:t>
      </w:r>
    </w:p>
    <w:p w14:paraId="7E52A0DD" w14:textId="29E99371" w:rsidR="003373A7" w:rsidRPr="00267A6E" w:rsidRDefault="003373A7" w:rsidP="006528B0">
      <w:pPr>
        <w:pStyle w:val="SingleTxtG"/>
        <w:rPr>
          <w:lang w:val="fr-FR"/>
        </w:rPr>
      </w:pPr>
      <w:r w:rsidRPr="00267A6E">
        <w:rPr>
          <w:lang w:val="fr-FR"/>
        </w:rPr>
        <w:t>7</w:t>
      </w:r>
      <w:r w:rsidR="00967A77" w:rsidRPr="00267A6E">
        <w:rPr>
          <w:lang w:val="fr-FR"/>
        </w:rPr>
        <w:t>.</w:t>
      </w:r>
      <w:r w:rsidRPr="00267A6E">
        <w:rPr>
          <w:lang w:val="fr-FR"/>
        </w:rPr>
        <w:tab/>
        <w:t>La section ci-après contient une brève présentation des dispositions pertinentes de la Convention et du Protocole</w:t>
      </w:r>
      <w:r w:rsidR="00967A77" w:rsidRPr="00267A6E">
        <w:rPr>
          <w:lang w:val="fr-FR"/>
        </w:rPr>
        <w:t>.</w:t>
      </w:r>
    </w:p>
    <w:p w14:paraId="42F22D41" w14:textId="66D5B86C" w:rsidR="003373A7" w:rsidRPr="00267A6E" w:rsidRDefault="003373A7" w:rsidP="006528B0">
      <w:pPr>
        <w:pStyle w:val="H23G"/>
        <w:rPr>
          <w:lang w:val="fr-FR"/>
        </w:rPr>
      </w:pPr>
      <w:bookmarkStart w:id="1" w:name="_Hlk134453093"/>
      <w:r w:rsidRPr="00267A6E">
        <w:rPr>
          <w:lang w:val="fr-FR"/>
        </w:rPr>
        <w:tab/>
        <w:t>1</w:t>
      </w:r>
      <w:r w:rsidR="00967A77" w:rsidRPr="00267A6E">
        <w:rPr>
          <w:lang w:val="fr-FR"/>
        </w:rPr>
        <w:t>.</w:t>
      </w:r>
      <w:r w:rsidRPr="00267A6E">
        <w:rPr>
          <w:lang w:val="fr-FR"/>
        </w:rPr>
        <w:tab/>
        <w:t>Convention d</w:t>
      </w:r>
      <w:r w:rsidR="00D82B54" w:rsidRPr="00267A6E">
        <w:rPr>
          <w:lang w:val="fr-FR"/>
        </w:rPr>
        <w:t>’</w:t>
      </w:r>
      <w:r w:rsidRPr="00267A6E">
        <w:rPr>
          <w:lang w:val="fr-FR"/>
        </w:rPr>
        <w:t>Espoo</w:t>
      </w:r>
    </w:p>
    <w:bookmarkEnd w:id="1"/>
    <w:p w14:paraId="5FBEF0E6" w14:textId="35033687" w:rsidR="003373A7" w:rsidRPr="00267A6E" w:rsidRDefault="003373A7" w:rsidP="006528B0">
      <w:pPr>
        <w:pStyle w:val="SingleTxtG"/>
        <w:rPr>
          <w:lang w:val="fr-FR"/>
        </w:rPr>
      </w:pPr>
      <w:r w:rsidRPr="00267A6E">
        <w:rPr>
          <w:lang w:val="fr-FR"/>
        </w:rPr>
        <w:t>8</w:t>
      </w:r>
      <w:r w:rsidR="00967A77" w:rsidRPr="00267A6E">
        <w:rPr>
          <w:lang w:val="fr-FR"/>
        </w:rPr>
        <w:t>.</w:t>
      </w:r>
      <w:r w:rsidRPr="00267A6E">
        <w:rPr>
          <w:lang w:val="fr-FR"/>
        </w:rPr>
        <w:tab/>
        <w:t>En vertu de la Convention d</w:t>
      </w:r>
      <w:r w:rsidR="00D82B54" w:rsidRPr="00267A6E">
        <w:rPr>
          <w:lang w:val="fr-FR"/>
        </w:rPr>
        <w:t>’</w:t>
      </w:r>
      <w:r w:rsidRPr="00267A6E">
        <w:rPr>
          <w:lang w:val="fr-FR"/>
        </w:rPr>
        <w:t>Espoo (1991), les Parties sont tenues d</w:t>
      </w:r>
      <w:r w:rsidR="00D82B54" w:rsidRPr="00267A6E">
        <w:rPr>
          <w:lang w:val="fr-FR"/>
        </w:rPr>
        <w:t>’</w:t>
      </w:r>
      <w:r w:rsidRPr="00267A6E">
        <w:rPr>
          <w:lang w:val="fr-FR"/>
        </w:rPr>
        <w:t>évaluer les impacts transfrontières que les projets relevant de son champ d</w:t>
      </w:r>
      <w:r w:rsidR="00D82B54" w:rsidRPr="00267A6E">
        <w:rPr>
          <w:lang w:val="fr-FR"/>
        </w:rPr>
        <w:t>’</w:t>
      </w:r>
      <w:r w:rsidRPr="00267A6E">
        <w:rPr>
          <w:lang w:val="fr-FR"/>
        </w:rPr>
        <w:t>application, initiés par la « Partie d</w:t>
      </w:r>
      <w:r w:rsidR="00D82B54" w:rsidRPr="00267A6E">
        <w:rPr>
          <w:lang w:val="fr-FR"/>
        </w:rPr>
        <w:t>’</w:t>
      </w:r>
      <w:r w:rsidRPr="00267A6E">
        <w:rPr>
          <w:lang w:val="fr-FR"/>
        </w:rPr>
        <w:t>origine », sont susceptibles d</w:t>
      </w:r>
      <w:r w:rsidR="00D82B54" w:rsidRPr="00267A6E">
        <w:rPr>
          <w:lang w:val="fr-FR"/>
        </w:rPr>
        <w:t>’</w:t>
      </w:r>
      <w:r w:rsidRPr="00267A6E">
        <w:rPr>
          <w:lang w:val="fr-FR"/>
        </w:rPr>
        <w:t>avoir sur l</w:t>
      </w:r>
      <w:r w:rsidR="00D82B54" w:rsidRPr="00267A6E">
        <w:rPr>
          <w:lang w:val="fr-FR"/>
        </w:rPr>
        <w:t>’</w:t>
      </w:r>
      <w:r w:rsidRPr="00267A6E">
        <w:rPr>
          <w:lang w:val="fr-FR"/>
        </w:rPr>
        <w:t>environnement d</w:t>
      </w:r>
      <w:r w:rsidR="00D82B54" w:rsidRPr="00267A6E">
        <w:rPr>
          <w:lang w:val="fr-FR"/>
        </w:rPr>
        <w:t>’</w:t>
      </w:r>
      <w:r w:rsidRPr="00267A6E">
        <w:rPr>
          <w:lang w:val="fr-FR"/>
        </w:rPr>
        <w:t xml:space="preserve">une ou de plusieurs autres </w:t>
      </w:r>
      <w:r w:rsidR="008F0FF9" w:rsidRPr="00267A6E">
        <w:rPr>
          <w:lang w:val="fr-FR"/>
        </w:rPr>
        <w:t>P</w:t>
      </w:r>
      <w:r w:rsidRPr="00267A6E">
        <w:rPr>
          <w:lang w:val="fr-FR"/>
        </w:rPr>
        <w:t>arties, les « Parties touchées »</w:t>
      </w:r>
      <w:r w:rsidR="00967A77" w:rsidRPr="00267A6E">
        <w:rPr>
          <w:lang w:val="fr-FR"/>
        </w:rPr>
        <w:t>.</w:t>
      </w:r>
      <w:r w:rsidRPr="00267A6E">
        <w:rPr>
          <w:lang w:val="fr-FR"/>
        </w:rPr>
        <w:t xml:space="preserve"> La Convention met en pratique les engagements que tous les États Membres de l</w:t>
      </w:r>
      <w:r w:rsidR="00D82B54" w:rsidRPr="00267A6E">
        <w:rPr>
          <w:lang w:val="fr-FR"/>
        </w:rPr>
        <w:t>’</w:t>
      </w:r>
      <w:r w:rsidRPr="00267A6E">
        <w:rPr>
          <w:lang w:val="fr-FR"/>
        </w:rPr>
        <w:t>ONU ont pris, dans le cadre des principes de la Déclaration de Rio de 1992, de «</w:t>
      </w:r>
      <w:r w:rsidR="008F0FF9" w:rsidRPr="00267A6E">
        <w:rPr>
          <w:lang w:val="fr-FR"/>
        </w:rPr>
        <w:t> </w:t>
      </w:r>
      <w:r w:rsidRPr="00267A6E">
        <w:rPr>
          <w:lang w:val="fr-FR"/>
        </w:rPr>
        <w:t>prévenir suffisamment à l</w:t>
      </w:r>
      <w:r w:rsidR="00D82B54" w:rsidRPr="00267A6E">
        <w:rPr>
          <w:lang w:val="fr-FR"/>
        </w:rPr>
        <w:t>’</w:t>
      </w:r>
      <w:r w:rsidRPr="00267A6E">
        <w:rPr>
          <w:lang w:val="fr-FR"/>
        </w:rPr>
        <w:t>avance les États susceptibles d</w:t>
      </w:r>
      <w:r w:rsidR="00D82B54" w:rsidRPr="00267A6E">
        <w:rPr>
          <w:lang w:val="fr-FR"/>
        </w:rPr>
        <w:t>’</w:t>
      </w:r>
      <w:r w:rsidRPr="00267A6E">
        <w:rPr>
          <w:lang w:val="fr-FR"/>
        </w:rPr>
        <w:t>être affectés et leur communiquer toutes informations pertinentes sur les activités qui peuvent avoir des effets transfrontières sérieusement nocifs sur l</w:t>
      </w:r>
      <w:r w:rsidR="00D82B54" w:rsidRPr="00267A6E">
        <w:rPr>
          <w:lang w:val="fr-FR"/>
        </w:rPr>
        <w:t>’</w:t>
      </w:r>
      <w:r w:rsidRPr="00267A6E">
        <w:rPr>
          <w:lang w:val="fr-FR"/>
        </w:rPr>
        <w:t>environnement</w:t>
      </w:r>
      <w:r w:rsidR="008F0FF9" w:rsidRPr="00267A6E">
        <w:rPr>
          <w:lang w:val="fr-FR"/>
        </w:rPr>
        <w:t> </w:t>
      </w:r>
      <w:r w:rsidRPr="00267A6E">
        <w:rPr>
          <w:lang w:val="fr-FR"/>
        </w:rPr>
        <w:t>» et de «</w:t>
      </w:r>
      <w:r w:rsidR="008F0FF9" w:rsidRPr="00267A6E">
        <w:rPr>
          <w:lang w:val="fr-FR"/>
        </w:rPr>
        <w:t> </w:t>
      </w:r>
      <w:r w:rsidRPr="00267A6E">
        <w:rPr>
          <w:lang w:val="fr-FR"/>
        </w:rPr>
        <w:t>mener des consultations avec ces États rapidement et de bonne foi »</w:t>
      </w:r>
      <w:r w:rsidRPr="00267A6E">
        <w:rPr>
          <w:rStyle w:val="FootnoteReference"/>
          <w:lang w:val="fr-FR"/>
        </w:rPr>
        <w:footnoteReference w:id="5"/>
      </w:r>
      <w:r w:rsidRPr="00267A6E">
        <w:rPr>
          <w:lang w:val="fr-FR"/>
        </w:rPr>
        <w:t xml:space="preserve"> à propos de telles activités</w:t>
      </w:r>
      <w:r w:rsidR="00967A77" w:rsidRPr="00267A6E">
        <w:rPr>
          <w:lang w:val="fr-FR"/>
        </w:rPr>
        <w:t>.</w:t>
      </w:r>
      <w:r w:rsidRPr="00267A6E">
        <w:rPr>
          <w:lang w:val="fr-FR"/>
        </w:rPr>
        <w:t xml:space="preserve"> Elle</w:t>
      </w:r>
      <w:r w:rsidR="008F0FF9" w:rsidRPr="00267A6E">
        <w:rPr>
          <w:lang w:val="fr-FR"/>
        </w:rPr>
        <w:t> </w:t>
      </w:r>
      <w:r w:rsidRPr="00267A6E">
        <w:rPr>
          <w:lang w:val="fr-FR"/>
        </w:rPr>
        <w:t>est entrée en vigueur en 1997</w:t>
      </w:r>
      <w:r w:rsidR="00967A77" w:rsidRPr="00267A6E">
        <w:rPr>
          <w:lang w:val="fr-FR"/>
        </w:rPr>
        <w:t>.</w:t>
      </w:r>
      <w:r w:rsidRPr="00267A6E">
        <w:rPr>
          <w:lang w:val="fr-FR"/>
        </w:rPr>
        <w:t xml:space="preserve"> Des informations à jour sur l</w:t>
      </w:r>
      <w:r w:rsidR="00D82B54" w:rsidRPr="00267A6E">
        <w:rPr>
          <w:lang w:val="fr-FR"/>
        </w:rPr>
        <w:t>’</w:t>
      </w:r>
      <w:r w:rsidRPr="00267A6E">
        <w:rPr>
          <w:lang w:val="fr-FR"/>
        </w:rPr>
        <w:t>état actuel de la ratification de la Convention et des deux amendements sont disponibles en ligne</w:t>
      </w:r>
      <w:r w:rsidRPr="00267A6E">
        <w:rPr>
          <w:rStyle w:val="FootnoteReference"/>
          <w:lang w:val="fr-FR"/>
        </w:rPr>
        <w:footnoteReference w:id="6"/>
      </w:r>
      <w:r w:rsidR="00967A77" w:rsidRPr="00267A6E">
        <w:rPr>
          <w:lang w:val="fr-FR"/>
        </w:rPr>
        <w:t>.</w:t>
      </w:r>
    </w:p>
    <w:p w14:paraId="3B2CA30A" w14:textId="28B94C53" w:rsidR="003373A7" w:rsidRPr="00267A6E" w:rsidRDefault="003373A7" w:rsidP="006528B0">
      <w:pPr>
        <w:pStyle w:val="SingleTxtG"/>
        <w:rPr>
          <w:lang w:val="fr-FR"/>
        </w:rPr>
      </w:pPr>
      <w:r w:rsidRPr="00267A6E">
        <w:rPr>
          <w:lang w:val="fr-FR"/>
        </w:rPr>
        <w:t>9</w:t>
      </w:r>
      <w:r w:rsidR="00967A77" w:rsidRPr="00267A6E">
        <w:rPr>
          <w:lang w:val="fr-FR"/>
        </w:rPr>
        <w:t>.</w:t>
      </w:r>
      <w:r w:rsidRPr="00267A6E">
        <w:rPr>
          <w:lang w:val="fr-FR"/>
        </w:rPr>
        <w:tab/>
        <w:t>Sont résumées ci-après les principales prescriptions procédurales de la Convention d</w:t>
      </w:r>
      <w:r w:rsidR="00D82B54" w:rsidRPr="00267A6E">
        <w:rPr>
          <w:lang w:val="fr-FR"/>
        </w:rPr>
        <w:t>’</w:t>
      </w:r>
      <w:r w:rsidRPr="00267A6E">
        <w:rPr>
          <w:lang w:val="fr-FR"/>
        </w:rPr>
        <w:t>Espoo, accompagnées d</w:t>
      </w:r>
      <w:r w:rsidR="00D82B54" w:rsidRPr="00267A6E">
        <w:rPr>
          <w:lang w:val="fr-FR"/>
        </w:rPr>
        <w:t>’</w:t>
      </w:r>
      <w:r w:rsidRPr="00267A6E">
        <w:rPr>
          <w:lang w:val="fr-FR"/>
        </w:rPr>
        <w:t>informations sur les bonnes pratiques, les outils et les mesures recommandés pour leur application pratique</w:t>
      </w:r>
      <w:r w:rsidRPr="00267A6E">
        <w:rPr>
          <w:rStyle w:val="FootnoteReference"/>
          <w:lang w:val="fr-FR"/>
        </w:rPr>
        <w:footnoteReference w:id="7"/>
      </w:r>
      <w:r w:rsidR="00D82B54" w:rsidRPr="00267A6E">
        <w:rPr>
          <w:lang w:val="fr-FR"/>
        </w:rPr>
        <w:t> :</w:t>
      </w:r>
    </w:p>
    <w:p w14:paraId="2831727F" w14:textId="5EBFEE78" w:rsidR="00C25C7D" w:rsidRPr="00267A6E" w:rsidRDefault="003373A7" w:rsidP="004D5ED6">
      <w:pPr>
        <w:pStyle w:val="SingleTxtG"/>
        <w:ind w:firstLine="567"/>
        <w:rPr>
          <w:lang w:val="fr-FR"/>
        </w:rPr>
      </w:pPr>
      <w:r w:rsidRPr="00267A6E">
        <w:rPr>
          <w:lang w:val="fr-FR"/>
        </w:rPr>
        <w:t>a)</w:t>
      </w:r>
      <w:r w:rsidRPr="00267A6E">
        <w:rPr>
          <w:lang w:val="fr-FR"/>
        </w:rPr>
        <w:tab/>
        <w:t>Prescriptions relatives à l</w:t>
      </w:r>
      <w:r w:rsidR="00D82B54" w:rsidRPr="00267A6E">
        <w:rPr>
          <w:lang w:val="fr-FR"/>
        </w:rPr>
        <w:t>’</w:t>
      </w:r>
      <w:r w:rsidRPr="00267A6E">
        <w:rPr>
          <w:lang w:val="fr-FR"/>
        </w:rPr>
        <w:t>évaluation de l</w:t>
      </w:r>
      <w:r w:rsidR="00D82B54" w:rsidRPr="00267A6E">
        <w:rPr>
          <w:lang w:val="fr-FR"/>
        </w:rPr>
        <w:t>’</w:t>
      </w:r>
      <w:r w:rsidRPr="00267A6E">
        <w:rPr>
          <w:lang w:val="fr-FR"/>
        </w:rPr>
        <w:t>impact sur l</w:t>
      </w:r>
      <w:r w:rsidR="00D82B54" w:rsidRPr="00267A6E">
        <w:rPr>
          <w:lang w:val="fr-FR"/>
        </w:rPr>
        <w:t>’</w:t>
      </w:r>
      <w:r w:rsidRPr="00267A6E">
        <w:rPr>
          <w:lang w:val="fr-FR"/>
        </w:rPr>
        <w:t>environnement</w:t>
      </w:r>
      <w:r w:rsidR="00D82B54" w:rsidRPr="00267A6E">
        <w:rPr>
          <w:lang w:val="fr-FR"/>
        </w:rPr>
        <w:t> :</w:t>
      </w:r>
      <w:r w:rsidRPr="00267A6E">
        <w:rPr>
          <w:lang w:val="fr-FR"/>
        </w:rPr>
        <w:t xml:space="preserve"> une Partie doit mettre en place une procédure d</w:t>
      </w:r>
      <w:r w:rsidR="00D82B54" w:rsidRPr="00267A6E">
        <w:rPr>
          <w:lang w:val="fr-FR"/>
        </w:rPr>
        <w:t>’</w:t>
      </w:r>
      <w:r w:rsidRPr="00267A6E">
        <w:rPr>
          <w:lang w:val="fr-FR"/>
        </w:rPr>
        <w:t>évaluation de l</w:t>
      </w:r>
      <w:r w:rsidR="00D82B54" w:rsidRPr="00267A6E">
        <w:rPr>
          <w:lang w:val="fr-FR"/>
        </w:rPr>
        <w:t>’</w:t>
      </w:r>
      <w:r w:rsidRPr="00267A6E">
        <w:rPr>
          <w:lang w:val="fr-FR"/>
        </w:rPr>
        <w:t>impact sur l</w:t>
      </w:r>
      <w:r w:rsidR="00D82B54" w:rsidRPr="00267A6E">
        <w:rPr>
          <w:lang w:val="fr-FR"/>
        </w:rPr>
        <w:t>’</w:t>
      </w:r>
      <w:r w:rsidRPr="00267A6E">
        <w:rPr>
          <w:lang w:val="fr-FR"/>
        </w:rPr>
        <w:t>environnement en ce qui concerne les activités proposées inscrites sur la liste figurant à l</w:t>
      </w:r>
      <w:r w:rsidR="00D82B54" w:rsidRPr="00267A6E">
        <w:rPr>
          <w:lang w:val="fr-FR"/>
        </w:rPr>
        <w:t>’</w:t>
      </w:r>
      <w:r w:rsidR="007E1922" w:rsidRPr="00267A6E">
        <w:rPr>
          <w:lang w:val="fr-FR"/>
        </w:rPr>
        <w:t>Appendice </w:t>
      </w:r>
      <w:r w:rsidRPr="00267A6E">
        <w:rPr>
          <w:lang w:val="fr-FR"/>
        </w:rPr>
        <w:t>I de la Convention qui sont susceptibles d</w:t>
      </w:r>
      <w:r w:rsidR="00D82B54" w:rsidRPr="00267A6E">
        <w:rPr>
          <w:lang w:val="fr-FR"/>
        </w:rPr>
        <w:t>’</w:t>
      </w:r>
      <w:r w:rsidRPr="00267A6E">
        <w:rPr>
          <w:lang w:val="fr-FR"/>
        </w:rPr>
        <w:t>avoir un impact transfrontière préjudiciable important (</w:t>
      </w:r>
      <w:r w:rsidR="00D82B54" w:rsidRPr="00267A6E">
        <w:rPr>
          <w:lang w:val="fr-FR"/>
        </w:rPr>
        <w:t>art</w:t>
      </w:r>
      <w:r w:rsidR="00967A77" w:rsidRPr="00267A6E">
        <w:rPr>
          <w:lang w:val="fr-FR"/>
        </w:rPr>
        <w:t>.</w:t>
      </w:r>
      <w:r w:rsidR="00D82B54" w:rsidRPr="00267A6E">
        <w:rPr>
          <w:lang w:val="fr-FR"/>
        </w:rPr>
        <w:t> </w:t>
      </w:r>
      <w:r w:rsidRPr="00267A6E">
        <w:rPr>
          <w:lang w:val="fr-FR"/>
        </w:rPr>
        <w:t>2 (</w:t>
      </w:r>
      <w:r w:rsidR="00D82B54" w:rsidRPr="00267A6E">
        <w:rPr>
          <w:lang w:val="fr-FR"/>
        </w:rPr>
        <w:t>par</w:t>
      </w:r>
      <w:r w:rsidR="00967A77" w:rsidRPr="00267A6E">
        <w:rPr>
          <w:lang w:val="fr-FR"/>
        </w:rPr>
        <w:t>.</w:t>
      </w:r>
      <w:r w:rsidR="00D82B54" w:rsidRPr="00267A6E">
        <w:rPr>
          <w:lang w:val="fr-FR"/>
        </w:rPr>
        <w:t> </w:t>
      </w:r>
      <w:r w:rsidRPr="00267A6E">
        <w:rPr>
          <w:lang w:val="fr-FR"/>
        </w:rPr>
        <w:t>2)) et avant que ne soit prise la décision d</w:t>
      </w:r>
      <w:r w:rsidR="00D82B54" w:rsidRPr="00267A6E">
        <w:rPr>
          <w:lang w:val="fr-FR"/>
        </w:rPr>
        <w:t>’</w:t>
      </w:r>
      <w:r w:rsidRPr="00267A6E">
        <w:rPr>
          <w:lang w:val="fr-FR"/>
        </w:rPr>
        <w:t>autoriser ou d</w:t>
      </w:r>
      <w:r w:rsidR="00D82B54" w:rsidRPr="00267A6E">
        <w:rPr>
          <w:lang w:val="fr-FR"/>
        </w:rPr>
        <w:t>’</w:t>
      </w:r>
      <w:r w:rsidRPr="00267A6E">
        <w:rPr>
          <w:lang w:val="fr-FR"/>
        </w:rPr>
        <w:t>entreprendre une telle activité (</w:t>
      </w:r>
      <w:r w:rsidR="00D82B54" w:rsidRPr="00267A6E">
        <w:rPr>
          <w:lang w:val="fr-FR"/>
        </w:rPr>
        <w:t>art</w:t>
      </w:r>
      <w:r w:rsidR="00967A77" w:rsidRPr="00267A6E">
        <w:rPr>
          <w:lang w:val="fr-FR"/>
        </w:rPr>
        <w:t>.</w:t>
      </w:r>
      <w:r w:rsidR="00D82B54" w:rsidRPr="00267A6E">
        <w:rPr>
          <w:lang w:val="fr-FR"/>
        </w:rPr>
        <w:t> </w:t>
      </w:r>
      <w:r w:rsidRPr="00267A6E">
        <w:rPr>
          <w:lang w:val="fr-FR"/>
        </w:rPr>
        <w:t>2 (</w:t>
      </w:r>
      <w:r w:rsidR="00D82B54" w:rsidRPr="00267A6E">
        <w:rPr>
          <w:lang w:val="fr-FR"/>
        </w:rPr>
        <w:t>par</w:t>
      </w:r>
      <w:r w:rsidR="00967A77" w:rsidRPr="00267A6E">
        <w:rPr>
          <w:lang w:val="fr-FR"/>
        </w:rPr>
        <w:t>.</w:t>
      </w:r>
      <w:r w:rsidR="00D82B54" w:rsidRPr="00267A6E">
        <w:rPr>
          <w:lang w:val="fr-FR"/>
        </w:rPr>
        <w:t> </w:t>
      </w:r>
      <w:r w:rsidRPr="00267A6E">
        <w:rPr>
          <w:lang w:val="fr-FR"/>
        </w:rPr>
        <w:t>3))</w:t>
      </w:r>
      <w:r w:rsidR="00D82B54" w:rsidRPr="00267A6E">
        <w:rPr>
          <w:lang w:val="fr-FR"/>
        </w:rPr>
        <w:t> ;</w:t>
      </w:r>
    </w:p>
    <w:p w14:paraId="14286F16" w14:textId="3D59ABBA" w:rsidR="003373A7" w:rsidRPr="00267A6E" w:rsidRDefault="003373A7" w:rsidP="004D5ED6">
      <w:pPr>
        <w:pStyle w:val="SingleTxtG"/>
        <w:ind w:firstLine="567"/>
        <w:rPr>
          <w:lang w:val="fr-FR"/>
        </w:rPr>
      </w:pPr>
      <w:r w:rsidRPr="00267A6E">
        <w:rPr>
          <w:lang w:val="fr-FR"/>
        </w:rPr>
        <w:t>b)</w:t>
      </w:r>
      <w:r w:rsidRPr="00267A6E">
        <w:rPr>
          <w:lang w:val="fr-FR"/>
        </w:rPr>
        <w:tab/>
        <w:t>Au sens de l</w:t>
      </w:r>
      <w:r w:rsidR="00D82B54" w:rsidRPr="00267A6E">
        <w:rPr>
          <w:lang w:val="fr-FR"/>
        </w:rPr>
        <w:t>’article</w:t>
      </w:r>
      <w:r w:rsidR="000567B0" w:rsidRPr="00267A6E">
        <w:rPr>
          <w:lang w:val="fr-FR"/>
        </w:rPr>
        <w:t xml:space="preserve"> </w:t>
      </w:r>
      <w:r w:rsidRPr="00267A6E">
        <w:rPr>
          <w:lang w:val="fr-FR"/>
        </w:rPr>
        <w:t>premier (</w:t>
      </w:r>
      <w:r w:rsidR="000567B0" w:rsidRPr="00267A6E">
        <w:rPr>
          <w:lang w:val="fr-FR"/>
        </w:rPr>
        <w:t>al. </w:t>
      </w:r>
      <w:r w:rsidRPr="00267A6E">
        <w:rPr>
          <w:lang w:val="fr-FR"/>
        </w:rPr>
        <w:t xml:space="preserve">vii) de la Convention, « le terme </w:t>
      </w:r>
      <w:r w:rsidR="000567B0" w:rsidRPr="00267A6E">
        <w:rPr>
          <w:lang w:val="fr-FR"/>
        </w:rPr>
        <w:t>“</w:t>
      </w:r>
      <w:r w:rsidRPr="00267A6E">
        <w:rPr>
          <w:lang w:val="fr-FR"/>
        </w:rPr>
        <w:t>impact</w:t>
      </w:r>
      <w:r w:rsidR="000567B0" w:rsidRPr="00267A6E">
        <w:rPr>
          <w:lang w:val="fr-FR"/>
        </w:rPr>
        <w:t>”</w:t>
      </w:r>
      <w:r w:rsidRPr="00267A6E">
        <w:rPr>
          <w:lang w:val="fr-FR"/>
        </w:rPr>
        <w:t xml:space="preserve"> désigne tout effet d</w:t>
      </w:r>
      <w:r w:rsidR="00D82B54" w:rsidRPr="00267A6E">
        <w:rPr>
          <w:lang w:val="fr-FR"/>
        </w:rPr>
        <w:t>’</w:t>
      </w:r>
      <w:r w:rsidRPr="00267A6E">
        <w:rPr>
          <w:lang w:val="fr-FR"/>
        </w:rPr>
        <w:t>une activité proposée sur l</w:t>
      </w:r>
      <w:r w:rsidR="00D82B54" w:rsidRPr="00267A6E">
        <w:rPr>
          <w:lang w:val="fr-FR"/>
        </w:rPr>
        <w:t>’</w:t>
      </w:r>
      <w:r w:rsidRPr="00267A6E">
        <w:rPr>
          <w:lang w:val="fr-FR"/>
        </w:rPr>
        <w:t>environnement, notamment sur la santé et la sécurité, la flore, la faune, le sol, l</w:t>
      </w:r>
      <w:r w:rsidR="00D82B54" w:rsidRPr="00267A6E">
        <w:rPr>
          <w:lang w:val="fr-FR"/>
        </w:rPr>
        <w:t>’</w:t>
      </w:r>
      <w:r w:rsidRPr="00267A6E">
        <w:rPr>
          <w:lang w:val="fr-FR"/>
        </w:rPr>
        <w:t>air, l</w:t>
      </w:r>
      <w:r w:rsidR="00D82B54" w:rsidRPr="00267A6E">
        <w:rPr>
          <w:lang w:val="fr-FR"/>
        </w:rPr>
        <w:t>’</w:t>
      </w:r>
      <w:r w:rsidRPr="00267A6E">
        <w:rPr>
          <w:lang w:val="fr-FR"/>
        </w:rPr>
        <w:t>eau, le climat, le paysage et les monuments historiques ou autres constructions, ou l</w:t>
      </w:r>
      <w:r w:rsidR="00D82B54" w:rsidRPr="00267A6E">
        <w:rPr>
          <w:lang w:val="fr-FR"/>
        </w:rPr>
        <w:t>’</w:t>
      </w:r>
      <w:r w:rsidRPr="00267A6E">
        <w:rPr>
          <w:lang w:val="fr-FR"/>
        </w:rPr>
        <w:t>interaction entre ces facteurs</w:t>
      </w:r>
      <w:r w:rsidR="00D82B54" w:rsidRPr="00267A6E">
        <w:rPr>
          <w:lang w:val="fr-FR"/>
        </w:rPr>
        <w:t> ;</w:t>
      </w:r>
      <w:r w:rsidRPr="00267A6E">
        <w:rPr>
          <w:lang w:val="fr-FR"/>
        </w:rPr>
        <w:t xml:space="preserve"> il désigne également les effets sur le patrimoine culturel ou les conditions socioéconomiques qui résultent de modifications de ces facteurs »</w:t>
      </w:r>
      <w:r w:rsidR="00D82B54" w:rsidRPr="00267A6E">
        <w:rPr>
          <w:lang w:val="fr-FR"/>
        </w:rPr>
        <w:t> ;</w:t>
      </w:r>
    </w:p>
    <w:p w14:paraId="6E3A559D" w14:textId="1723AF3E" w:rsidR="003373A7" w:rsidRPr="00267A6E" w:rsidRDefault="003373A7" w:rsidP="004D5ED6">
      <w:pPr>
        <w:pStyle w:val="SingleTxtG"/>
        <w:ind w:firstLine="567"/>
        <w:rPr>
          <w:lang w:val="fr-FR"/>
        </w:rPr>
      </w:pPr>
      <w:r w:rsidRPr="00267A6E">
        <w:rPr>
          <w:lang w:val="fr-FR"/>
        </w:rPr>
        <w:t>c)</w:t>
      </w:r>
      <w:r w:rsidRPr="00267A6E">
        <w:rPr>
          <w:lang w:val="fr-FR"/>
        </w:rPr>
        <w:tab/>
        <w:t>Prescriptions relatives à la notification</w:t>
      </w:r>
      <w:r w:rsidR="00D82B54" w:rsidRPr="00267A6E">
        <w:rPr>
          <w:lang w:val="fr-FR"/>
        </w:rPr>
        <w:t> :</w:t>
      </w:r>
      <w:r w:rsidRPr="00267A6E">
        <w:rPr>
          <w:lang w:val="fr-FR"/>
        </w:rPr>
        <w:t xml:space="preserve"> la Partie d</w:t>
      </w:r>
      <w:r w:rsidR="00D82B54" w:rsidRPr="00267A6E">
        <w:rPr>
          <w:lang w:val="fr-FR"/>
        </w:rPr>
        <w:t>’</w:t>
      </w:r>
      <w:r w:rsidRPr="00267A6E">
        <w:rPr>
          <w:lang w:val="fr-FR"/>
        </w:rPr>
        <w:t>origine est tenue de notifier dès que possible aux Parties touchées toute activité proposée inscrite sur la liste figurant à l</w:t>
      </w:r>
      <w:r w:rsidR="00D82B54" w:rsidRPr="00267A6E">
        <w:rPr>
          <w:lang w:val="fr-FR"/>
        </w:rPr>
        <w:t>’</w:t>
      </w:r>
      <w:r w:rsidR="007E1922" w:rsidRPr="00267A6E">
        <w:rPr>
          <w:lang w:val="fr-FR"/>
        </w:rPr>
        <w:t>Appendice </w:t>
      </w:r>
      <w:r w:rsidRPr="00267A6E">
        <w:rPr>
          <w:lang w:val="fr-FR"/>
        </w:rPr>
        <w:t>I qui est susceptible d</w:t>
      </w:r>
      <w:r w:rsidR="00D82B54" w:rsidRPr="00267A6E">
        <w:rPr>
          <w:lang w:val="fr-FR"/>
        </w:rPr>
        <w:t>’</w:t>
      </w:r>
      <w:r w:rsidRPr="00267A6E">
        <w:rPr>
          <w:lang w:val="fr-FR"/>
        </w:rPr>
        <w:t>avoir un impact transfrontière préjudiciable important, la Convention précisant le contenu minimum de la notification et la procédure que les Parties concernées doivent suivre (</w:t>
      </w:r>
      <w:r w:rsidR="00D82B54" w:rsidRPr="00267A6E">
        <w:rPr>
          <w:lang w:val="fr-FR"/>
        </w:rPr>
        <w:t>art</w:t>
      </w:r>
      <w:r w:rsidR="00967A77" w:rsidRPr="00267A6E">
        <w:rPr>
          <w:lang w:val="fr-FR"/>
        </w:rPr>
        <w:t>.</w:t>
      </w:r>
      <w:r w:rsidR="00D82B54" w:rsidRPr="00267A6E">
        <w:rPr>
          <w:lang w:val="fr-FR"/>
        </w:rPr>
        <w:t> </w:t>
      </w:r>
      <w:r w:rsidRPr="00267A6E">
        <w:rPr>
          <w:lang w:val="fr-FR"/>
        </w:rPr>
        <w:t>2 (</w:t>
      </w:r>
      <w:r w:rsidR="00D82B54" w:rsidRPr="00267A6E">
        <w:rPr>
          <w:lang w:val="fr-FR"/>
        </w:rPr>
        <w:t>par</w:t>
      </w:r>
      <w:r w:rsidR="00967A77" w:rsidRPr="00267A6E">
        <w:rPr>
          <w:lang w:val="fr-FR"/>
        </w:rPr>
        <w:t>.</w:t>
      </w:r>
      <w:r w:rsidR="00D82B54" w:rsidRPr="00267A6E">
        <w:rPr>
          <w:lang w:val="fr-FR"/>
        </w:rPr>
        <w:t> </w:t>
      </w:r>
      <w:r w:rsidRPr="00267A6E">
        <w:rPr>
          <w:lang w:val="fr-FR"/>
        </w:rPr>
        <w:t>4) et 3)</w:t>
      </w:r>
      <w:r w:rsidRPr="00267A6E">
        <w:rPr>
          <w:sz w:val="18"/>
          <w:szCs w:val="18"/>
          <w:vertAlign w:val="superscript"/>
          <w:lang w:val="fr-FR"/>
        </w:rPr>
        <w:footnoteReference w:id="8"/>
      </w:r>
      <w:r w:rsidR="00D82B54" w:rsidRPr="00267A6E">
        <w:rPr>
          <w:lang w:val="fr-FR"/>
        </w:rPr>
        <w:t> ;</w:t>
      </w:r>
    </w:p>
    <w:p w14:paraId="4EF351D5" w14:textId="0D33E141" w:rsidR="003373A7" w:rsidRPr="00267A6E" w:rsidRDefault="003373A7" w:rsidP="004D5ED6">
      <w:pPr>
        <w:pStyle w:val="SingleTxtG"/>
        <w:ind w:firstLine="567"/>
        <w:rPr>
          <w:lang w:val="fr-FR"/>
        </w:rPr>
      </w:pPr>
      <w:r w:rsidRPr="00267A6E">
        <w:rPr>
          <w:lang w:val="fr-FR"/>
        </w:rPr>
        <w:t>d)</w:t>
      </w:r>
      <w:r w:rsidRPr="00267A6E">
        <w:rPr>
          <w:lang w:val="fr-FR"/>
        </w:rPr>
        <w:tab/>
        <w:t>Prescriptions en matière de procédure</w:t>
      </w:r>
      <w:r w:rsidR="00D82B54" w:rsidRPr="00267A6E">
        <w:rPr>
          <w:lang w:val="fr-FR"/>
        </w:rPr>
        <w:t> :</w:t>
      </w:r>
      <w:r w:rsidRPr="00267A6E">
        <w:rPr>
          <w:lang w:val="fr-FR"/>
        </w:rPr>
        <w:t xml:space="preserve"> il est obligatoire d</w:t>
      </w:r>
      <w:r w:rsidR="00D82B54" w:rsidRPr="00267A6E">
        <w:rPr>
          <w:lang w:val="fr-FR"/>
        </w:rPr>
        <w:t>’</w:t>
      </w:r>
      <w:r w:rsidRPr="00267A6E">
        <w:rPr>
          <w:lang w:val="fr-FR"/>
        </w:rPr>
        <w:t>établir un dossier d</w:t>
      </w:r>
      <w:r w:rsidR="00D82B54" w:rsidRPr="00267A6E">
        <w:rPr>
          <w:lang w:val="fr-FR"/>
        </w:rPr>
        <w:t>’</w:t>
      </w:r>
      <w:r w:rsidRPr="00267A6E">
        <w:rPr>
          <w:lang w:val="fr-FR"/>
        </w:rPr>
        <w:t>évaluation de l</w:t>
      </w:r>
      <w:r w:rsidR="00D82B54" w:rsidRPr="00267A6E">
        <w:rPr>
          <w:lang w:val="fr-FR"/>
        </w:rPr>
        <w:t>’</w:t>
      </w:r>
      <w:r w:rsidRPr="00267A6E">
        <w:rPr>
          <w:lang w:val="fr-FR"/>
        </w:rPr>
        <w:t>impact sur l</w:t>
      </w:r>
      <w:r w:rsidR="00D82B54" w:rsidRPr="00267A6E">
        <w:rPr>
          <w:lang w:val="fr-FR"/>
        </w:rPr>
        <w:t>’</w:t>
      </w:r>
      <w:r w:rsidRPr="00267A6E">
        <w:rPr>
          <w:lang w:val="fr-FR"/>
        </w:rPr>
        <w:t>environnement contenant, au minimum, les renseignements énumérés à l</w:t>
      </w:r>
      <w:r w:rsidR="00D82B54" w:rsidRPr="00267A6E">
        <w:rPr>
          <w:lang w:val="fr-FR"/>
        </w:rPr>
        <w:t>’</w:t>
      </w:r>
      <w:r w:rsidR="007E1922" w:rsidRPr="00267A6E">
        <w:rPr>
          <w:lang w:val="fr-FR"/>
        </w:rPr>
        <w:t>Appendice </w:t>
      </w:r>
      <w:r w:rsidRPr="00267A6E">
        <w:rPr>
          <w:lang w:val="fr-FR"/>
        </w:rPr>
        <w:t>II de la Convention</w:t>
      </w:r>
      <w:r w:rsidR="00967A77" w:rsidRPr="00267A6E">
        <w:rPr>
          <w:lang w:val="fr-FR"/>
        </w:rPr>
        <w:t>.</w:t>
      </w:r>
      <w:r w:rsidRPr="00267A6E">
        <w:rPr>
          <w:lang w:val="fr-FR"/>
        </w:rPr>
        <w:t xml:space="preserve"> Le dossier doit comprendre des renseignements sur l</w:t>
      </w:r>
      <w:r w:rsidR="00D82B54" w:rsidRPr="00267A6E">
        <w:rPr>
          <w:lang w:val="fr-FR"/>
        </w:rPr>
        <w:t>’</w:t>
      </w:r>
      <w:r w:rsidRPr="00267A6E">
        <w:rPr>
          <w:lang w:val="fr-FR"/>
        </w:rPr>
        <w:t>activité proposée et les solutions de remplacement, l</w:t>
      </w:r>
      <w:r w:rsidR="00D82B54" w:rsidRPr="00267A6E">
        <w:rPr>
          <w:lang w:val="fr-FR"/>
        </w:rPr>
        <w:t>’</w:t>
      </w:r>
      <w:r w:rsidRPr="00267A6E">
        <w:rPr>
          <w:lang w:val="fr-FR"/>
        </w:rPr>
        <w:t>environnement susceptible d</w:t>
      </w:r>
      <w:r w:rsidR="00D82B54" w:rsidRPr="00267A6E">
        <w:rPr>
          <w:lang w:val="fr-FR"/>
        </w:rPr>
        <w:t>’</w:t>
      </w:r>
      <w:r w:rsidRPr="00267A6E">
        <w:rPr>
          <w:lang w:val="fr-FR"/>
        </w:rPr>
        <w:t>être touché, l</w:t>
      </w:r>
      <w:r w:rsidR="00D82B54" w:rsidRPr="00267A6E">
        <w:rPr>
          <w:lang w:val="fr-FR"/>
        </w:rPr>
        <w:t>’</w:t>
      </w:r>
      <w:r w:rsidRPr="00267A6E">
        <w:rPr>
          <w:lang w:val="fr-FR"/>
        </w:rPr>
        <w:t>impact environnemental potentiel, les mesures correctives, les méthodes de prévision, les hypothèses de base retenues et les données utilisées, les lacunes en matière d</w:t>
      </w:r>
      <w:r w:rsidR="00D82B54" w:rsidRPr="00267A6E">
        <w:rPr>
          <w:lang w:val="fr-FR"/>
        </w:rPr>
        <w:t>’</w:t>
      </w:r>
      <w:r w:rsidRPr="00267A6E">
        <w:rPr>
          <w:lang w:val="fr-FR"/>
        </w:rPr>
        <w:t>information, un résumé non technique et, s</w:t>
      </w:r>
      <w:r w:rsidR="00D82B54" w:rsidRPr="00267A6E">
        <w:rPr>
          <w:lang w:val="fr-FR"/>
        </w:rPr>
        <w:t>’</w:t>
      </w:r>
      <w:r w:rsidRPr="00267A6E">
        <w:rPr>
          <w:lang w:val="fr-FR"/>
        </w:rPr>
        <w:t>il y a lieu, un aperçu des programmes de surveillance (</w:t>
      </w:r>
      <w:r w:rsidR="00D82B54" w:rsidRPr="00267A6E">
        <w:rPr>
          <w:lang w:val="fr-FR"/>
        </w:rPr>
        <w:t>art</w:t>
      </w:r>
      <w:r w:rsidR="00967A77" w:rsidRPr="00267A6E">
        <w:rPr>
          <w:lang w:val="fr-FR"/>
        </w:rPr>
        <w:t>.</w:t>
      </w:r>
      <w:r w:rsidR="00D82B54" w:rsidRPr="00267A6E">
        <w:rPr>
          <w:lang w:val="fr-FR"/>
        </w:rPr>
        <w:t> </w:t>
      </w:r>
      <w:r w:rsidRPr="00267A6E">
        <w:rPr>
          <w:lang w:val="fr-FR"/>
        </w:rPr>
        <w:t xml:space="preserve">4 et </w:t>
      </w:r>
      <w:r w:rsidR="007E1922" w:rsidRPr="00267A6E">
        <w:rPr>
          <w:lang w:val="fr-FR"/>
        </w:rPr>
        <w:t>Appendice </w:t>
      </w:r>
      <w:r w:rsidRPr="00267A6E">
        <w:rPr>
          <w:lang w:val="fr-FR"/>
        </w:rPr>
        <w:t>II)</w:t>
      </w:r>
      <w:r w:rsidR="00967A77" w:rsidRPr="00267A6E">
        <w:rPr>
          <w:lang w:val="fr-FR"/>
        </w:rPr>
        <w:t>.</w:t>
      </w:r>
      <w:r w:rsidRPr="00267A6E">
        <w:rPr>
          <w:lang w:val="fr-FR"/>
        </w:rPr>
        <w:t xml:space="preserve"> La Directive concernant l</w:t>
      </w:r>
      <w:r w:rsidR="00D82B54" w:rsidRPr="00267A6E">
        <w:rPr>
          <w:lang w:val="fr-FR"/>
        </w:rPr>
        <w:t>’</w:t>
      </w:r>
      <w:r w:rsidRPr="00267A6E">
        <w:rPr>
          <w:lang w:val="fr-FR"/>
        </w:rPr>
        <w:t>application concrète de la Convention d</w:t>
      </w:r>
      <w:r w:rsidR="00D82B54" w:rsidRPr="00267A6E">
        <w:rPr>
          <w:lang w:val="fr-FR"/>
        </w:rPr>
        <w:t>’</w:t>
      </w:r>
      <w:r w:rsidRPr="00267A6E">
        <w:rPr>
          <w:lang w:val="fr-FR"/>
        </w:rPr>
        <w:t>Espoo (ci-après, « la Directive »)</w:t>
      </w:r>
      <w:r w:rsidRPr="00267A6E">
        <w:rPr>
          <w:rStyle w:val="FootnoteReference"/>
          <w:lang w:val="fr-FR"/>
        </w:rPr>
        <w:footnoteReference w:id="9"/>
      </w:r>
      <w:r w:rsidRPr="00267A6E">
        <w:rPr>
          <w:lang w:val="fr-FR"/>
        </w:rPr>
        <w:t xml:space="preserve"> préconise la conduite d</w:t>
      </w:r>
      <w:r w:rsidR="00D82B54" w:rsidRPr="00267A6E">
        <w:rPr>
          <w:lang w:val="fr-FR"/>
        </w:rPr>
        <w:t>’</w:t>
      </w:r>
      <w:r w:rsidRPr="00267A6E">
        <w:rPr>
          <w:lang w:val="fr-FR"/>
        </w:rPr>
        <w:t>une procédure de cadrage</w:t>
      </w:r>
      <w:r w:rsidR="00967A77" w:rsidRPr="00267A6E">
        <w:rPr>
          <w:lang w:val="fr-FR"/>
        </w:rPr>
        <w:t>.</w:t>
      </w:r>
      <w:r w:rsidRPr="00267A6E">
        <w:rPr>
          <w:lang w:val="fr-FR"/>
        </w:rPr>
        <w:t xml:space="preserve"> En outre, aux termes du deuxième amendement à la Convention d</w:t>
      </w:r>
      <w:r w:rsidR="00D82B54" w:rsidRPr="00267A6E">
        <w:rPr>
          <w:lang w:val="fr-FR"/>
        </w:rPr>
        <w:t>’</w:t>
      </w:r>
      <w:r w:rsidRPr="00267A6E">
        <w:rPr>
          <w:lang w:val="fr-FR"/>
        </w:rPr>
        <w:t>Espoo, lorsqu</w:t>
      </w:r>
      <w:r w:rsidR="00D82B54" w:rsidRPr="00267A6E">
        <w:rPr>
          <w:lang w:val="fr-FR"/>
        </w:rPr>
        <w:t>’</w:t>
      </w:r>
      <w:r w:rsidRPr="00267A6E">
        <w:rPr>
          <w:lang w:val="fr-FR"/>
        </w:rPr>
        <w:t>une Partie d</w:t>
      </w:r>
      <w:r w:rsidR="00D82B54" w:rsidRPr="00267A6E">
        <w:rPr>
          <w:lang w:val="fr-FR"/>
        </w:rPr>
        <w:t>’</w:t>
      </w:r>
      <w:r w:rsidRPr="00267A6E">
        <w:rPr>
          <w:lang w:val="fr-FR"/>
        </w:rPr>
        <w:t>origine mène « une procédure en vue de déterminer le contenu du dossier d</w:t>
      </w:r>
      <w:r w:rsidR="00D82B54" w:rsidRPr="00267A6E">
        <w:rPr>
          <w:lang w:val="fr-FR"/>
        </w:rPr>
        <w:t>’</w:t>
      </w:r>
      <w:r w:rsidRPr="00267A6E">
        <w:rPr>
          <w:lang w:val="fr-FR"/>
        </w:rPr>
        <w:t>évaluation de l</w:t>
      </w:r>
      <w:r w:rsidR="00D82B54" w:rsidRPr="00267A6E">
        <w:rPr>
          <w:lang w:val="fr-FR"/>
        </w:rPr>
        <w:t>’</w:t>
      </w:r>
      <w:r w:rsidRPr="00267A6E">
        <w:rPr>
          <w:lang w:val="fr-FR"/>
        </w:rPr>
        <w:t>impact sur l</w:t>
      </w:r>
      <w:r w:rsidR="00D82B54" w:rsidRPr="00267A6E">
        <w:rPr>
          <w:lang w:val="fr-FR"/>
        </w:rPr>
        <w:t>’</w:t>
      </w:r>
      <w:r w:rsidRPr="00267A6E">
        <w:rPr>
          <w:lang w:val="fr-FR"/>
        </w:rPr>
        <w:t>environnement, la Partie touchée doit, dans les limites qui conviennent, avoir la possibilité de participer à cette procédure »</w:t>
      </w:r>
      <w:r w:rsidRPr="00267A6E">
        <w:rPr>
          <w:rStyle w:val="FootnoteReference"/>
          <w:lang w:val="fr-FR"/>
        </w:rPr>
        <w:footnoteReference w:id="10"/>
      </w:r>
      <w:r w:rsidR="00D82B54" w:rsidRPr="00267A6E">
        <w:rPr>
          <w:lang w:val="fr-FR"/>
        </w:rPr>
        <w:t> ;</w:t>
      </w:r>
      <w:bookmarkStart w:id="2" w:name="_Ref138082203"/>
      <w:bookmarkStart w:id="3" w:name="_Ref138928272"/>
      <w:bookmarkEnd w:id="2"/>
      <w:bookmarkEnd w:id="3"/>
    </w:p>
    <w:p w14:paraId="67974480" w14:textId="516E532C" w:rsidR="003373A7" w:rsidRPr="00267A6E" w:rsidRDefault="003373A7" w:rsidP="004D5ED6">
      <w:pPr>
        <w:pStyle w:val="SingleTxtG"/>
        <w:ind w:firstLine="567"/>
        <w:rPr>
          <w:lang w:val="fr-FR"/>
        </w:rPr>
      </w:pPr>
      <w:r w:rsidRPr="00267A6E">
        <w:rPr>
          <w:lang w:val="fr-FR"/>
        </w:rPr>
        <w:t>e)</w:t>
      </w:r>
      <w:r w:rsidRPr="00267A6E">
        <w:rPr>
          <w:lang w:val="fr-FR"/>
        </w:rPr>
        <w:tab/>
        <w:t>Prescriptions relatives à la consultation</w:t>
      </w:r>
      <w:r w:rsidR="00D82B54" w:rsidRPr="00267A6E">
        <w:rPr>
          <w:lang w:val="fr-FR"/>
        </w:rPr>
        <w:t> :</w:t>
      </w:r>
      <w:r w:rsidRPr="00267A6E">
        <w:rPr>
          <w:lang w:val="fr-FR"/>
        </w:rPr>
        <w:t xml:space="preserve"> la Partie d</w:t>
      </w:r>
      <w:r w:rsidR="00D82B54" w:rsidRPr="00267A6E">
        <w:rPr>
          <w:lang w:val="fr-FR"/>
        </w:rPr>
        <w:t>’</w:t>
      </w:r>
      <w:r w:rsidRPr="00267A6E">
        <w:rPr>
          <w:lang w:val="fr-FR"/>
        </w:rPr>
        <w:t>origine doit engager, sans délai excessif, des consultations avec la Partie touchée sur la base du dossier d</w:t>
      </w:r>
      <w:r w:rsidR="00D82B54" w:rsidRPr="00267A6E">
        <w:rPr>
          <w:lang w:val="fr-FR"/>
        </w:rPr>
        <w:t>’</w:t>
      </w:r>
      <w:r w:rsidRPr="00267A6E">
        <w:rPr>
          <w:lang w:val="fr-FR"/>
        </w:rPr>
        <w:t>évaluation de l</w:t>
      </w:r>
      <w:r w:rsidR="00D82B54" w:rsidRPr="00267A6E">
        <w:rPr>
          <w:lang w:val="fr-FR"/>
        </w:rPr>
        <w:t>’</w:t>
      </w:r>
      <w:r w:rsidRPr="00267A6E">
        <w:rPr>
          <w:lang w:val="fr-FR"/>
        </w:rPr>
        <w:t>impact sur l</w:t>
      </w:r>
      <w:r w:rsidR="00D82B54" w:rsidRPr="00267A6E">
        <w:rPr>
          <w:lang w:val="fr-FR"/>
        </w:rPr>
        <w:t>’</w:t>
      </w:r>
      <w:r w:rsidRPr="00267A6E">
        <w:rPr>
          <w:lang w:val="fr-FR"/>
        </w:rPr>
        <w:t>environnement au sujet notamment de l</w:t>
      </w:r>
      <w:r w:rsidR="00D82B54" w:rsidRPr="00267A6E">
        <w:rPr>
          <w:lang w:val="fr-FR"/>
        </w:rPr>
        <w:t>’</w:t>
      </w:r>
      <w:r w:rsidRPr="00267A6E">
        <w:rPr>
          <w:lang w:val="fr-FR"/>
        </w:rPr>
        <w:t>impact transfrontière que l</w:t>
      </w:r>
      <w:r w:rsidR="00D82B54" w:rsidRPr="00267A6E">
        <w:rPr>
          <w:lang w:val="fr-FR"/>
        </w:rPr>
        <w:t>’</w:t>
      </w:r>
      <w:r w:rsidRPr="00267A6E">
        <w:rPr>
          <w:lang w:val="fr-FR"/>
        </w:rPr>
        <w:t>activité proposée pourrait avoir et des mesures propres à permettre de réduire cet impact ou de l</w:t>
      </w:r>
      <w:r w:rsidR="00D82B54" w:rsidRPr="00267A6E">
        <w:rPr>
          <w:lang w:val="fr-FR"/>
        </w:rPr>
        <w:t>’</w:t>
      </w:r>
      <w:r w:rsidRPr="00267A6E">
        <w:rPr>
          <w:lang w:val="fr-FR"/>
        </w:rPr>
        <w:t>éliminer (</w:t>
      </w:r>
      <w:r w:rsidR="00D82B54" w:rsidRPr="00267A6E">
        <w:rPr>
          <w:lang w:val="fr-FR"/>
        </w:rPr>
        <w:t>art</w:t>
      </w:r>
      <w:r w:rsidR="00967A77" w:rsidRPr="00267A6E">
        <w:rPr>
          <w:lang w:val="fr-FR"/>
        </w:rPr>
        <w:t>.</w:t>
      </w:r>
      <w:r w:rsidR="00D82B54" w:rsidRPr="00267A6E">
        <w:rPr>
          <w:lang w:val="fr-FR"/>
        </w:rPr>
        <w:t> </w:t>
      </w:r>
      <w:r w:rsidRPr="00267A6E">
        <w:rPr>
          <w:lang w:val="fr-FR"/>
        </w:rPr>
        <w:t>5)</w:t>
      </w:r>
      <w:r w:rsidR="00D82B54" w:rsidRPr="00267A6E">
        <w:rPr>
          <w:lang w:val="fr-FR"/>
        </w:rPr>
        <w:t> ;</w:t>
      </w:r>
    </w:p>
    <w:p w14:paraId="312BC076" w14:textId="5F6B79EF" w:rsidR="003373A7" w:rsidRPr="00267A6E" w:rsidRDefault="003373A7" w:rsidP="004D5ED6">
      <w:pPr>
        <w:pStyle w:val="SingleTxtG"/>
        <w:ind w:firstLine="567"/>
        <w:rPr>
          <w:lang w:val="fr-FR"/>
        </w:rPr>
      </w:pPr>
      <w:r w:rsidRPr="00267A6E">
        <w:rPr>
          <w:lang w:val="fr-FR"/>
        </w:rPr>
        <w:t>f)</w:t>
      </w:r>
      <w:r w:rsidRPr="00267A6E">
        <w:rPr>
          <w:lang w:val="fr-FR"/>
        </w:rPr>
        <w:tab/>
        <w:t>Prescriptions relatives à la participation du public</w:t>
      </w:r>
      <w:r w:rsidR="00D82B54" w:rsidRPr="00267A6E">
        <w:rPr>
          <w:lang w:val="fr-FR"/>
        </w:rPr>
        <w:t> :</w:t>
      </w:r>
      <w:r w:rsidRPr="00267A6E">
        <w:rPr>
          <w:lang w:val="fr-FR"/>
        </w:rPr>
        <w:t xml:space="preserve"> les Parties concernées sont tenues d</w:t>
      </w:r>
      <w:r w:rsidR="00D82B54" w:rsidRPr="00267A6E">
        <w:rPr>
          <w:lang w:val="fr-FR"/>
        </w:rPr>
        <w:t>’</w:t>
      </w:r>
      <w:r w:rsidRPr="00267A6E">
        <w:rPr>
          <w:lang w:val="fr-FR"/>
        </w:rPr>
        <w:t>offrir au public des zones susceptibles d</w:t>
      </w:r>
      <w:r w:rsidR="00D82B54" w:rsidRPr="00267A6E">
        <w:rPr>
          <w:lang w:val="fr-FR"/>
        </w:rPr>
        <w:t>’</w:t>
      </w:r>
      <w:r w:rsidRPr="00267A6E">
        <w:rPr>
          <w:lang w:val="fr-FR"/>
        </w:rPr>
        <w:t>être touchées par l</w:t>
      </w:r>
      <w:r w:rsidR="00D82B54" w:rsidRPr="00267A6E">
        <w:rPr>
          <w:lang w:val="fr-FR"/>
        </w:rPr>
        <w:t>’</w:t>
      </w:r>
      <w:r w:rsidRPr="00267A6E">
        <w:rPr>
          <w:lang w:val="fr-FR"/>
        </w:rPr>
        <w:t>activité proposée une possibilité de participer à la procédure transfrontière qui soit équivalente à celle offerte au public de la Partie d</w:t>
      </w:r>
      <w:r w:rsidR="00D82B54" w:rsidRPr="00267A6E">
        <w:rPr>
          <w:lang w:val="fr-FR"/>
        </w:rPr>
        <w:t>’</w:t>
      </w:r>
      <w:r w:rsidRPr="00267A6E">
        <w:rPr>
          <w:lang w:val="fr-FR"/>
        </w:rPr>
        <w:t>origine (</w:t>
      </w:r>
      <w:r w:rsidR="00D82B54" w:rsidRPr="00267A6E">
        <w:rPr>
          <w:lang w:val="fr-FR"/>
        </w:rPr>
        <w:t>art</w:t>
      </w:r>
      <w:r w:rsidR="00967A77" w:rsidRPr="00267A6E">
        <w:rPr>
          <w:lang w:val="fr-FR"/>
        </w:rPr>
        <w:t>.</w:t>
      </w:r>
      <w:r w:rsidR="00D82B54" w:rsidRPr="00267A6E">
        <w:rPr>
          <w:lang w:val="fr-FR"/>
        </w:rPr>
        <w:t> </w:t>
      </w:r>
      <w:r w:rsidRPr="00267A6E">
        <w:rPr>
          <w:lang w:val="fr-FR"/>
        </w:rPr>
        <w:t>2 (</w:t>
      </w:r>
      <w:r w:rsidR="00D82B54" w:rsidRPr="00267A6E">
        <w:rPr>
          <w:lang w:val="fr-FR"/>
        </w:rPr>
        <w:t>par</w:t>
      </w:r>
      <w:r w:rsidR="00967A77" w:rsidRPr="00267A6E">
        <w:rPr>
          <w:lang w:val="fr-FR"/>
        </w:rPr>
        <w:t>.</w:t>
      </w:r>
      <w:r w:rsidR="00D82B54" w:rsidRPr="00267A6E">
        <w:rPr>
          <w:lang w:val="fr-FR"/>
        </w:rPr>
        <w:t> </w:t>
      </w:r>
      <w:r w:rsidRPr="00267A6E">
        <w:rPr>
          <w:lang w:val="fr-FR"/>
        </w:rPr>
        <w:t xml:space="preserve">6), </w:t>
      </w:r>
      <w:r w:rsidR="00D82B54" w:rsidRPr="00267A6E">
        <w:rPr>
          <w:lang w:val="fr-FR"/>
        </w:rPr>
        <w:t>art</w:t>
      </w:r>
      <w:r w:rsidR="00967A77" w:rsidRPr="00267A6E">
        <w:rPr>
          <w:lang w:val="fr-FR"/>
        </w:rPr>
        <w:t>.</w:t>
      </w:r>
      <w:r w:rsidR="00D82B54" w:rsidRPr="00267A6E">
        <w:rPr>
          <w:lang w:val="fr-FR"/>
        </w:rPr>
        <w:t> </w:t>
      </w:r>
      <w:r w:rsidRPr="00267A6E">
        <w:rPr>
          <w:lang w:val="fr-FR"/>
        </w:rPr>
        <w:t>3 (</w:t>
      </w:r>
      <w:r w:rsidR="00D82B54" w:rsidRPr="00267A6E">
        <w:rPr>
          <w:lang w:val="fr-FR"/>
        </w:rPr>
        <w:t>par</w:t>
      </w:r>
      <w:r w:rsidR="00967A77" w:rsidRPr="00267A6E">
        <w:rPr>
          <w:lang w:val="fr-FR"/>
        </w:rPr>
        <w:t>.</w:t>
      </w:r>
      <w:r w:rsidR="00D82B54" w:rsidRPr="00267A6E">
        <w:rPr>
          <w:lang w:val="fr-FR"/>
        </w:rPr>
        <w:t> </w:t>
      </w:r>
      <w:r w:rsidRPr="00267A6E">
        <w:rPr>
          <w:lang w:val="fr-FR"/>
        </w:rPr>
        <w:t xml:space="preserve">8) et </w:t>
      </w:r>
      <w:r w:rsidR="00D82B54" w:rsidRPr="00267A6E">
        <w:rPr>
          <w:lang w:val="fr-FR"/>
        </w:rPr>
        <w:t>art</w:t>
      </w:r>
      <w:r w:rsidR="00967A77" w:rsidRPr="00267A6E">
        <w:rPr>
          <w:lang w:val="fr-FR"/>
        </w:rPr>
        <w:t>.</w:t>
      </w:r>
      <w:r w:rsidR="00D82B54" w:rsidRPr="00267A6E">
        <w:rPr>
          <w:lang w:val="fr-FR"/>
        </w:rPr>
        <w:t> </w:t>
      </w:r>
      <w:r w:rsidRPr="00267A6E">
        <w:rPr>
          <w:lang w:val="fr-FR"/>
        </w:rPr>
        <w:t>4 (</w:t>
      </w:r>
      <w:r w:rsidR="00D82B54" w:rsidRPr="00267A6E">
        <w:rPr>
          <w:lang w:val="fr-FR"/>
        </w:rPr>
        <w:t>par</w:t>
      </w:r>
      <w:r w:rsidR="00967A77" w:rsidRPr="00267A6E">
        <w:rPr>
          <w:lang w:val="fr-FR"/>
        </w:rPr>
        <w:t>.</w:t>
      </w:r>
      <w:r w:rsidR="00D82B54" w:rsidRPr="00267A6E">
        <w:rPr>
          <w:lang w:val="fr-FR"/>
        </w:rPr>
        <w:t> </w:t>
      </w:r>
      <w:r w:rsidRPr="00267A6E">
        <w:rPr>
          <w:lang w:val="fr-FR"/>
        </w:rPr>
        <w:t>2))</w:t>
      </w:r>
      <w:r w:rsidR="00D82B54" w:rsidRPr="00267A6E">
        <w:rPr>
          <w:lang w:val="fr-FR"/>
        </w:rPr>
        <w:t> ;</w:t>
      </w:r>
    </w:p>
    <w:p w14:paraId="76834029" w14:textId="619D76FA" w:rsidR="003373A7" w:rsidRPr="00267A6E" w:rsidRDefault="003373A7" w:rsidP="004D5ED6">
      <w:pPr>
        <w:pStyle w:val="SingleTxtG"/>
        <w:ind w:firstLine="567"/>
        <w:rPr>
          <w:lang w:val="fr-FR"/>
        </w:rPr>
      </w:pPr>
      <w:r w:rsidRPr="00267A6E">
        <w:rPr>
          <w:lang w:val="fr-FR"/>
        </w:rPr>
        <w:t>g)</w:t>
      </w:r>
      <w:r w:rsidRPr="00267A6E">
        <w:rPr>
          <w:lang w:val="fr-FR"/>
        </w:rPr>
        <w:tab/>
        <w:t>Décision définitive</w:t>
      </w:r>
      <w:r w:rsidR="00D82B54" w:rsidRPr="00267A6E">
        <w:rPr>
          <w:lang w:val="fr-FR"/>
        </w:rPr>
        <w:t> :</w:t>
      </w:r>
      <w:r w:rsidRPr="00267A6E">
        <w:rPr>
          <w:lang w:val="fr-FR"/>
        </w:rPr>
        <w:t xml:space="preserve"> les prescriptions relatives à la décision définitive au sujet de l</w:t>
      </w:r>
      <w:r w:rsidR="00D82B54" w:rsidRPr="00267A6E">
        <w:rPr>
          <w:lang w:val="fr-FR"/>
        </w:rPr>
        <w:t>’</w:t>
      </w:r>
      <w:r w:rsidRPr="00267A6E">
        <w:rPr>
          <w:lang w:val="fr-FR"/>
        </w:rPr>
        <w:t xml:space="preserve">activité proposée impliquent que soient pris en considération les résultats de </w:t>
      </w:r>
      <w:r w:rsidR="002212F9" w:rsidRPr="00267A6E">
        <w:rPr>
          <w:lang w:val="fr-FR"/>
        </w:rPr>
        <w:t>l’</w:t>
      </w:r>
      <w:r w:rsidRPr="00267A6E">
        <w:rPr>
          <w:lang w:val="fr-FR"/>
        </w:rPr>
        <w:t>évaluation de l</w:t>
      </w:r>
      <w:r w:rsidR="00D82B54" w:rsidRPr="00267A6E">
        <w:rPr>
          <w:lang w:val="fr-FR"/>
        </w:rPr>
        <w:t>’</w:t>
      </w:r>
      <w:r w:rsidRPr="00267A6E">
        <w:rPr>
          <w:lang w:val="fr-FR"/>
        </w:rPr>
        <w:t>impact sur l</w:t>
      </w:r>
      <w:r w:rsidR="00D82B54" w:rsidRPr="00267A6E">
        <w:rPr>
          <w:lang w:val="fr-FR"/>
        </w:rPr>
        <w:t>’</w:t>
      </w:r>
      <w:r w:rsidRPr="00267A6E">
        <w:rPr>
          <w:lang w:val="fr-FR"/>
        </w:rPr>
        <w:t>environnement, y compris le dossier correspondant, ainsi que les observations reçues à son sujet en application de l</w:t>
      </w:r>
      <w:r w:rsidR="00D82B54" w:rsidRPr="00267A6E">
        <w:rPr>
          <w:lang w:val="fr-FR"/>
        </w:rPr>
        <w:t>’article </w:t>
      </w:r>
      <w:r w:rsidRPr="00267A6E">
        <w:rPr>
          <w:lang w:val="fr-FR"/>
        </w:rPr>
        <w:t>3 (</w:t>
      </w:r>
      <w:r w:rsidR="00D82B54" w:rsidRPr="00267A6E">
        <w:rPr>
          <w:lang w:val="fr-FR"/>
        </w:rPr>
        <w:t>par</w:t>
      </w:r>
      <w:r w:rsidR="00967A77" w:rsidRPr="00267A6E">
        <w:rPr>
          <w:lang w:val="fr-FR"/>
        </w:rPr>
        <w:t>.</w:t>
      </w:r>
      <w:r w:rsidR="00D82B54" w:rsidRPr="00267A6E">
        <w:rPr>
          <w:lang w:val="fr-FR"/>
        </w:rPr>
        <w:t> </w:t>
      </w:r>
      <w:r w:rsidRPr="00267A6E">
        <w:rPr>
          <w:lang w:val="fr-FR"/>
        </w:rPr>
        <w:t>8) et de l</w:t>
      </w:r>
      <w:r w:rsidR="00D82B54" w:rsidRPr="00267A6E">
        <w:rPr>
          <w:lang w:val="fr-FR"/>
        </w:rPr>
        <w:t>’article </w:t>
      </w:r>
      <w:r w:rsidRPr="00267A6E">
        <w:rPr>
          <w:lang w:val="fr-FR"/>
        </w:rPr>
        <w:t>4 (</w:t>
      </w:r>
      <w:r w:rsidR="00D82B54" w:rsidRPr="00267A6E">
        <w:rPr>
          <w:lang w:val="fr-FR"/>
        </w:rPr>
        <w:t>par</w:t>
      </w:r>
      <w:r w:rsidR="00967A77" w:rsidRPr="00267A6E">
        <w:rPr>
          <w:lang w:val="fr-FR"/>
        </w:rPr>
        <w:t>.</w:t>
      </w:r>
      <w:r w:rsidR="00D82B54" w:rsidRPr="00267A6E">
        <w:rPr>
          <w:lang w:val="fr-FR"/>
        </w:rPr>
        <w:t> </w:t>
      </w:r>
      <w:r w:rsidRPr="00267A6E">
        <w:rPr>
          <w:lang w:val="fr-FR"/>
        </w:rPr>
        <w:t>2) et l</w:t>
      </w:r>
      <w:r w:rsidR="00D82B54" w:rsidRPr="00267A6E">
        <w:rPr>
          <w:lang w:val="fr-FR"/>
        </w:rPr>
        <w:t>’</w:t>
      </w:r>
      <w:r w:rsidRPr="00267A6E">
        <w:rPr>
          <w:lang w:val="fr-FR"/>
        </w:rPr>
        <w:t>issue des consultations visées à l</w:t>
      </w:r>
      <w:r w:rsidR="00D82B54" w:rsidRPr="00267A6E">
        <w:rPr>
          <w:lang w:val="fr-FR"/>
        </w:rPr>
        <w:t>’article </w:t>
      </w:r>
      <w:r w:rsidRPr="00267A6E">
        <w:rPr>
          <w:lang w:val="fr-FR"/>
        </w:rPr>
        <w:t>5 (</w:t>
      </w:r>
      <w:r w:rsidR="00D82B54" w:rsidRPr="00267A6E">
        <w:rPr>
          <w:lang w:val="fr-FR"/>
        </w:rPr>
        <w:t>art</w:t>
      </w:r>
      <w:r w:rsidR="00967A77" w:rsidRPr="00267A6E">
        <w:rPr>
          <w:lang w:val="fr-FR"/>
        </w:rPr>
        <w:t>.</w:t>
      </w:r>
      <w:r w:rsidR="00D82B54" w:rsidRPr="00267A6E">
        <w:rPr>
          <w:lang w:val="fr-FR"/>
        </w:rPr>
        <w:t> </w:t>
      </w:r>
      <w:r w:rsidRPr="00267A6E">
        <w:rPr>
          <w:lang w:val="fr-FR"/>
        </w:rPr>
        <w:t>6 (</w:t>
      </w:r>
      <w:r w:rsidR="00D82B54" w:rsidRPr="00267A6E">
        <w:rPr>
          <w:lang w:val="fr-FR"/>
        </w:rPr>
        <w:t>par</w:t>
      </w:r>
      <w:r w:rsidR="00967A77" w:rsidRPr="00267A6E">
        <w:rPr>
          <w:lang w:val="fr-FR"/>
        </w:rPr>
        <w:t>.</w:t>
      </w:r>
      <w:r w:rsidR="00D82B54" w:rsidRPr="00267A6E">
        <w:rPr>
          <w:lang w:val="fr-FR"/>
        </w:rPr>
        <w:t> </w:t>
      </w:r>
      <w:r w:rsidRPr="00267A6E">
        <w:rPr>
          <w:lang w:val="fr-FR"/>
        </w:rPr>
        <w:t>1)), et que « la Partie d</w:t>
      </w:r>
      <w:r w:rsidR="00D82B54" w:rsidRPr="00267A6E">
        <w:rPr>
          <w:lang w:val="fr-FR"/>
        </w:rPr>
        <w:t>’</w:t>
      </w:r>
      <w:r w:rsidRPr="00267A6E">
        <w:rPr>
          <w:lang w:val="fr-FR"/>
        </w:rPr>
        <w:t>origine communique à la Partie touchée la décision définitive prise au sujet de l</w:t>
      </w:r>
      <w:r w:rsidR="00D82B54" w:rsidRPr="00267A6E">
        <w:rPr>
          <w:lang w:val="fr-FR"/>
        </w:rPr>
        <w:t>’</w:t>
      </w:r>
      <w:r w:rsidRPr="00267A6E">
        <w:rPr>
          <w:lang w:val="fr-FR"/>
        </w:rPr>
        <w:t>activité proposée ainsi que les motifs et considérations sur lesquels elle repose » (</w:t>
      </w:r>
      <w:r w:rsidR="00D82B54" w:rsidRPr="00267A6E">
        <w:rPr>
          <w:lang w:val="fr-FR"/>
        </w:rPr>
        <w:t>art</w:t>
      </w:r>
      <w:r w:rsidR="00967A77" w:rsidRPr="00267A6E">
        <w:rPr>
          <w:lang w:val="fr-FR"/>
        </w:rPr>
        <w:t>.</w:t>
      </w:r>
      <w:r w:rsidR="00D82B54" w:rsidRPr="00267A6E">
        <w:rPr>
          <w:lang w:val="fr-FR"/>
        </w:rPr>
        <w:t> </w:t>
      </w:r>
      <w:r w:rsidRPr="00267A6E">
        <w:rPr>
          <w:lang w:val="fr-FR"/>
        </w:rPr>
        <w:t>6 (</w:t>
      </w:r>
      <w:r w:rsidR="00D82B54" w:rsidRPr="00267A6E">
        <w:rPr>
          <w:lang w:val="fr-FR"/>
        </w:rPr>
        <w:t>par</w:t>
      </w:r>
      <w:r w:rsidR="00967A77" w:rsidRPr="00267A6E">
        <w:rPr>
          <w:lang w:val="fr-FR"/>
        </w:rPr>
        <w:t>.</w:t>
      </w:r>
      <w:r w:rsidR="00D82B54" w:rsidRPr="00267A6E">
        <w:rPr>
          <w:lang w:val="fr-FR"/>
        </w:rPr>
        <w:t> </w:t>
      </w:r>
      <w:r w:rsidRPr="00267A6E">
        <w:rPr>
          <w:lang w:val="fr-FR"/>
        </w:rPr>
        <w:t>2))</w:t>
      </w:r>
      <w:r w:rsidR="00D82B54" w:rsidRPr="00267A6E">
        <w:rPr>
          <w:lang w:val="fr-FR"/>
        </w:rPr>
        <w:t> ;</w:t>
      </w:r>
    </w:p>
    <w:p w14:paraId="2441682C" w14:textId="6EF0DD86" w:rsidR="003373A7" w:rsidRPr="00267A6E" w:rsidRDefault="003373A7" w:rsidP="004D5ED6">
      <w:pPr>
        <w:pStyle w:val="SingleTxtG"/>
        <w:ind w:firstLine="567"/>
        <w:rPr>
          <w:lang w:val="fr-FR"/>
        </w:rPr>
      </w:pPr>
      <w:r w:rsidRPr="00267A6E">
        <w:rPr>
          <w:lang w:val="fr-FR"/>
        </w:rPr>
        <w:t>h)</w:t>
      </w:r>
      <w:r w:rsidRPr="00267A6E">
        <w:rPr>
          <w:lang w:val="fr-FR"/>
        </w:rPr>
        <w:tab/>
        <w:t>Analyse a posteriori</w:t>
      </w:r>
      <w:r w:rsidR="00D82B54" w:rsidRPr="00267A6E">
        <w:rPr>
          <w:lang w:val="fr-FR"/>
        </w:rPr>
        <w:t> :</w:t>
      </w:r>
      <w:r w:rsidRPr="00267A6E">
        <w:rPr>
          <w:lang w:val="fr-FR"/>
        </w:rPr>
        <w:t xml:space="preserve"> l</w:t>
      </w:r>
      <w:r w:rsidR="00D82B54" w:rsidRPr="00267A6E">
        <w:rPr>
          <w:lang w:val="fr-FR"/>
        </w:rPr>
        <w:t>’article </w:t>
      </w:r>
      <w:r w:rsidRPr="00267A6E">
        <w:rPr>
          <w:lang w:val="fr-FR"/>
        </w:rPr>
        <w:t>7 (</w:t>
      </w:r>
      <w:r w:rsidR="00D82B54" w:rsidRPr="00267A6E">
        <w:rPr>
          <w:lang w:val="fr-FR"/>
        </w:rPr>
        <w:t>par</w:t>
      </w:r>
      <w:r w:rsidR="00967A77" w:rsidRPr="00267A6E">
        <w:rPr>
          <w:lang w:val="fr-FR"/>
        </w:rPr>
        <w:t>.</w:t>
      </w:r>
      <w:r w:rsidR="00D82B54" w:rsidRPr="00267A6E">
        <w:rPr>
          <w:lang w:val="fr-FR"/>
        </w:rPr>
        <w:t> </w:t>
      </w:r>
      <w:r w:rsidRPr="00267A6E">
        <w:rPr>
          <w:lang w:val="fr-FR"/>
        </w:rPr>
        <w:t>1) de la Convention vise à faciliter l</w:t>
      </w:r>
      <w:r w:rsidR="00D82B54" w:rsidRPr="00267A6E">
        <w:rPr>
          <w:lang w:val="fr-FR"/>
        </w:rPr>
        <w:t>’</w:t>
      </w:r>
      <w:r w:rsidRPr="00267A6E">
        <w:rPr>
          <w:lang w:val="fr-FR"/>
        </w:rPr>
        <w:t>analyse a posteriori, sous réserve de l</w:t>
      </w:r>
      <w:r w:rsidR="00D82B54" w:rsidRPr="00267A6E">
        <w:rPr>
          <w:lang w:val="fr-FR"/>
        </w:rPr>
        <w:t>’</w:t>
      </w:r>
      <w:r w:rsidRPr="00267A6E">
        <w:rPr>
          <w:lang w:val="fr-FR"/>
        </w:rPr>
        <w:t>accord des Parties concernées, dans le but d</w:t>
      </w:r>
      <w:r w:rsidR="00D82B54" w:rsidRPr="00267A6E">
        <w:rPr>
          <w:lang w:val="fr-FR"/>
        </w:rPr>
        <w:t>’</w:t>
      </w:r>
      <w:r w:rsidRPr="00267A6E">
        <w:rPr>
          <w:lang w:val="fr-FR"/>
        </w:rPr>
        <w:t>atteindre les objectifs énumérés à l</w:t>
      </w:r>
      <w:r w:rsidR="00D82B54" w:rsidRPr="00267A6E">
        <w:rPr>
          <w:lang w:val="fr-FR"/>
        </w:rPr>
        <w:t>’</w:t>
      </w:r>
      <w:r w:rsidR="007E1922" w:rsidRPr="00267A6E">
        <w:rPr>
          <w:lang w:val="fr-FR"/>
        </w:rPr>
        <w:t>Appendice </w:t>
      </w:r>
      <w:r w:rsidRPr="00267A6E">
        <w:rPr>
          <w:lang w:val="fr-FR"/>
        </w:rPr>
        <w:t>V</w:t>
      </w:r>
      <w:r w:rsidR="00967A77" w:rsidRPr="00267A6E">
        <w:rPr>
          <w:lang w:val="fr-FR"/>
        </w:rPr>
        <w:t>.</w:t>
      </w:r>
    </w:p>
    <w:p w14:paraId="7C461C73" w14:textId="116ED8F4" w:rsidR="003373A7" w:rsidRPr="00267A6E" w:rsidRDefault="003373A7" w:rsidP="006528B0">
      <w:pPr>
        <w:pStyle w:val="SingleTxtG"/>
        <w:rPr>
          <w:lang w:val="fr-FR"/>
        </w:rPr>
      </w:pPr>
      <w:r w:rsidRPr="00267A6E">
        <w:rPr>
          <w:lang w:val="fr-FR"/>
        </w:rPr>
        <w:t>10</w:t>
      </w:r>
      <w:r w:rsidR="00967A77" w:rsidRPr="00267A6E">
        <w:rPr>
          <w:lang w:val="fr-FR"/>
        </w:rPr>
        <w:t>.</w:t>
      </w:r>
      <w:r w:rsidRPr="00267A6E">
        <w:rPr>
          <w:lang w:val="fr-FR"/>
        </w:rPr>
        <w:tab/>
        <w:t>Conformément à l</w:t>
      </w:r>
      <w:r w:rsidR="00D82B54" w:rsidRPr="00267A6E">
        <w:rPr>
          <w:lang w:val="fr-FR"/>
        </w:rPr>
        <w:t>’article </w:t>
      </w:r>
      <w:r w:rsidRPr="00267A6E">
        <w:rPr>
          <w:lang w:val="fr-FR"/>
        </w:rPr>
        <w:t>8 de la Convention, les Parties concernées peuvent conclure des accords entre elles, et la Directive précise que ces accords devraient tenir compte d</w:t>
      </w:r>
      <w:r w:rsidR="00D82B54" w:rsidRPr="00267A6E">
        <w:rPr>
          <w:lang w:val="fr-FR"/>
        </w:rPr>
        <w:t>’</w:t>
      </w:r>
      <w:r w:rsidRPr="00267A6E">
        <w:rPr>
          <w:lang w:val="fr-FR"/>
        </w:rPr>
        <w:t>autres parties prenantes telles que le promoteur, les institutions financières internationales et les organisations non gouvernementales (ONG)</w:t>
      </w:r>
      <w:r w:rsidRPr="00267A6E">
        <w:rPr>
          <w:rStyle w:val="FootnoteReference"/>
          <w:lang w:val="fr-FR"/>
        </w:rPr>
        <w:footnoteReference w:id="11"/>
      </w:r>
      <w:r w:rsidR="00967A77" w:rsidRPr="00267A6E">
        <w:rPr>
          <w:lang w:val="fr-FR"/>
        </w:rPr>
        <w:t>.</w:t>
      </w:r>
      <w:r w:rsidRPr="00267A6E">
        <w:rPr>
          <w:lang w:val="fr-FR"/>
        </w:rPr>
        <w:t xml:space="preserve"> Ces accords comprennent des dispositions pratiques concernant la répartition et la ventilation des coûts et couvrant des questions telles que la traduction, les auditions et les études complémentaires</w:t>
      </w:r>
      <w:r w:rsidR="00967A77" w:rsidRPr="00267A6E">
        <w:rPr>
          <w:lang w:val="fr-FR"/>
        </w:rPr>
        <w:t>.</w:t>
      </w:r>
      <w:r w:rsidRPr="00267A6E">
        <w:rPr>
          <w:lang w:val="fr-FR"/>
        </w:rPr>
        <w:t xml:space="preserve"> Ils peuvent donc servir de modèles à la collaboration dans le cadre d</w:t>
      </w:r>
      <w:r w:rsidR="00D82B54" w:rsidRPr="00267A6E">
        <w:rPr>
          <w:lang w:val="fr-FR"/>
        </w:rPr>
        <w:t>’</w:t>
      </w:r>
      <w:r w:rsidRPr="00267A6E">
        <w:rPr>
          <w:lang w:val="fr-FR"/>
        </w:rPr>
        <w:t>initiatives axées sur la transition énergétique, l</w:t>
      </w:r>
      <w:r w:rsidR="00D82B54" w:rsidRPr="00267A6E">
        <w:rPr>
          <w:lang w:val="fr-FR"/>
        </w:rPr>
        <w:t>’</w:t>
      </w:r>
      <w:r w:rsidRPr="00267A6E">
        <w:rPr>
          <w:lang w:val="fr-FR"/>
        </w:rPr>
        <w:t>économie circulaire ou le financement vert</w:t>
      </w:r>
      <w:r w:rsidR="00967A77" w:rsidRPr="00267A6E">
        <w:rPr>
          <w:lang w:val="fr-FR"/>
        </w:rPr>
        <w:t>.</w:t>
      </w:r>
    </w:p>
    <w:p w14:paraId="28BE5806" w14:textId="4A2D87D9" w:rsidR="003373A7" w:rsidRPr="00267A6E" w:rsidRDefault="003373A7" w:rsidP="006528B0">
      <w:pPr>
        <w:pStyle w:val="SingleTxtG"/>
        <w:rPr>
          <w:lang w:val="fr-FR"/>
        </w:rPr>
      </w:pPr>
      <w:r w:rsidRPr="00267A6E">
        <w:rPr>
          <w:lang w:val="fr-FR"/>
        </w:rPr>
        <w:t>11</w:t>
      </w:r>
      <w:r w:rsidR="00967A77" w:rsidRPr="00267A6E">
        <w:rPr>
          <w:lang w:val="fr-FR"/>
        </w:rPr>
        <w:t>.</w:t>
      </w:r>
      <w:r w:rsidRPr="00267A6E">
        <w:rPr>
          <w:lang w:val="fr-FR"/>
        </w:rPr>
        <w:tab/>
        <w:t>La Directive présente deux situations qui peuvent donner lieu à des évaluations de l</w:t>
      </w:r>
      <w:r w:rsidR="00D82B54" w:rsidRPr="00267A6E">
        <w:rPr>
          <w:lang w:val="fr-FR"/>
        </w:rPr>
        <w:t>’</w:t>
      </w:r>
      <w:r w:rsidRPr="00267A6E">
        <w:rPr>
          <w:lang w:val="fr-FR"/>
        </w:rPr>
        <w:t>impact sur l</w:t>
      </w:r>
      <w:r w:rsidR="00D82B54" w:rsidRPr="00267A6E">
        <w:rPr>
          <w:lang w:val="fr-FR"/>
        </w:rPr>
        <w:t>’</w:t>
      </w:r>
      <w:r w:rsidRPr="00267A6E">
        <w:rPr>
          <w:lang w:val="fr-FR"/>
        </w:rPr>
        <w:t>environnement conjointes</w:t>
      </w:r>
      <w:r w:rsidR="00D82B54" w:rsidRPr="00267A6E">
        <w:rPr>
          <w:lang w:val="fr-FR"/>
        </w:rPr>
        <w:t> :</w:t>
      </w:r>
      <w:r w:rsidRPr="00267A6E">
        <w:rPr>
          <w:lang w:val="fr-FR"/>
        </w:rPr>
        <w:t xml:space="preserve"> des projets conjoints ayant des incidences sur l</w:t>
      </w:r>
      <w:r w:rsidR="00D82B54" w:rsidRPr="00267A6E">
        <w:rPr>
          <w:lang w:val="fr-FR"/>
        </w:rPr>
        <w:t>’</w:t>
      </w:r>
      <w:r w:rsidRPr="00267A6E">
        <w:rPr>
          <w:lang w:val="fr-FR"/>
        </w:rPr>
        <w:t>une des deux Parties d</w:t>
      </w:r>
      <w:r w:rsidR="00D82B54" w:rsidRPr="00267A6E">
        <w:rPr>
          <w:lang w:val="fr-FR"/>
        </w:rPr>
        <w:t>’</w:t>
      </w:r>
      <w:r w:rsidRPr="00267A6E">
        <w:rPr>
          <w:lang w:val="fr-FR"/>
        </w:rPr>
        <w:t>origine ou sur les deux</w:t>
      </w:r>
      <w:r w:rsidR="00D82B54" w:rsidRPr="00267A6E">
        <w:rPr>
          <w:lang w:val="fr-FR"/>
        </w:rPr>
        <w:t> ;</w:t>
      </w:r>
      <w:r w:rsidRPr="00267A6E">
        <w:rPr>
          <w:lang w:val="fr-FR"/>
        </w:rPr>
        <w:t xml:space="preserve"> des projets conjoints ayant des impacts non seulement sur les deux Parties d</w:t>
      </w:r>
      <w:r w:rsidR="00D82B54" w:rsidRPr="00267A6E">
        <w:rPr>
          <w:lang w:val="fr-FR"/>
        </w:rPr>
        <w:t>’</w:t>
      </w:r>
      <w:r w:rsidRPr="00267A6E">
        <w:rPr>
          <w:lang w:val="fr-FR"/>
        </w:rPr>
        <w:t>origine, mais également sur d</w:t>
      </w:r>
      <w:r w:rsidR="00D82B54" w:rsidRPr="00267A6E">
        <w:rPr>
          <w:lang w:val="fr-FR"/>
        </w:rPr>
        <w:t>’</w:t>
      </w:r>
      <w:r w:rsidRPr="00267A6E">
        <w:rPr>
          <w:lang w:val="fr-FR"/>
        </w:rPr>
        <w:t>autres Parties</w:t>
      </w:r>
      <w:r w:rsidRPr="00267A6E">
        <w:rPr>
          <w:rStyle w:val="FootnoteReference"/>
          <w:lang w:val="fr-FR"/>
        </w:rPr>
        <w:footnoteReference w:id="12"/>
      </w:r>
      <w:r w:rsidR="00967A77" w:rsidRPr="00267A6E">
        <w:rPr>
          <w:lang w:val="fr-FR"/>
        </w:rPr>
        <w:t>.</w:t>
      </w:r>
      <w:r w:rsidRPr="00267A6E">
        <w:rPr>
          <w:lang w:val="fr-FR"/>
        </w:rPr>
        <w:t xml:space="preserve"> Certains projets axés sur la transition énergétique entreront dans cette catégorie (construction de nouvelles infrastructures électriques, par exemple) et, en appelant une collaboration sur certains éléments d</w:t>
      </w:r>
      <w:r w:rsidR="00D82B54" w:rsidRPr="00267A6E">
        <w:rPr>
          <w:lang w:val="fr-FR"/>
        </w:rPr>
        <w:t>’</w:t>
      </w:r>
      <w:r w:rsidRPr="00267A6E">
        <w:rPr>
          <w:lang w:val="fr-FR"/>
        </w:rPr>
        <w:t>une évaluation transfrontière de l</w:t>
      </w:r>
      <w:r w:rsidR="00D82B54" w:rsidRPr="00267A6E">
        <w:rPr>
          <w:lang w:val="fr-FR"/>
        </w:rPr>
        <w:t>’</w:t>
      </w:r>
      <w:r w:rsidRPr="00267A6E">
        <w:rPr>
          <w:lang w:val="fr-FR"/>
        </w:rPr>
        <w:t>impact sur l</w:t>
      </w:r>
      <w:r w:rsidR="00D82B54" w:rsidRPr="00267A6E">
        <w:rPr>
          <w:lang w:val="fr-FR"/>
        </w:rPr>
        <w:t>’</w:t>
      </w:r>
      <w:r w:rsidRPr="00267A6E">
        <w:rPr>
          <w:lang w:val="fr-FR"/>
        </w:rPr>
        <w:t>environnement, pourraient contribuer à la mise en place d</w:t>
      </w:r>
      <w:r w:rsidR="00D82B54" w:rsidRPr="00267A6E">
        <w:rPr>
          <w:lang w:val="fr-FR"/>
        </w:rPr>
        <w:t>’</w:t>
      </w:r>
      <w:r w:rsidRPr="00267A6E">
        <w:rPr>
          <w:lang w:val="fr-FR"/>
        </w:rPr>
        <w:t>une économie circulaire, les déchets issus d</w:t>
      </w:r>
      <w:r w:rsidR="00D82B54" w:rsidRPr="00267A6E">
        <w:rPr>
          <w:lang w:val="fr-FR"/>
        </w:rPr>
        <w:t>’</w:t>
      </w:r>
      <w:r w:rsidRPr="00267A6E">
        <w:rPr>
          <w:lang w:val="fr-FR"/>
        </w:rPr>
        <w:t>un projet devenant la matière première d</w:t>
      </w:r>
      <w:r w:rsidR="00D82B54" w:rsidRPr="00267A6E">
        <w:rPr>
          <w:lang w:val="fr-FR"/>
        </w:rPr>
        <w:t>’</w:t>
      </w:r>
      <w:r w:rsidRPr="00267A6E">
        <w:rPr>
          <w:lang w:val="fr-FR"/>
        </w:rPr>
        <w:t>un autre projet, mené dans un pays différent</w:t>
      </w:r>
      <w:r w:rsidR="00967A77" w:rsidRPr="00267A6E">
        <w:rPr>
          <w:lang w:val="fr-FR"/>
        </w:rPr>
        <w:t>.</w:t>
      </w:r>
    </w:p>
    <w:p w14:paraId="2943958E" w14:textId="48958D73" w:rsidR="003373A7" w:rsidRPr="00267A6E" w:rsidRDefault="003373A7" w:rsidP="006528B0">
      <w:pPr>
        <w:pStyle w:val="H23G"/>
        <w:rPr>
          <w:lang w:val="fr-FR"/>
        </w:rPr>
      </w:pPr>
      <w:r w:rsidRPr="00267A6E">
        <w:rPr>
          <w:lang w:val="fr-FR"/>
        </w:rPr>
        <w:tab/>
        <w:t>2</w:t>
      </w:r>
      <w:r w:rsidR="00967A77" w:rsidRPr="00267A6E">
        <w:rPr>
          <w:lang w:val="fr-FR"/>
        </w:rPr>
        <w:t>.</w:t>
      </w:r>
      <w:r w:rsidRPr="00267A6E">
        <w:rPr>
          <w:lang w:val="fr-FR"/>
        </w:rPr>
        <w:tab/>
        <w:t>Protocole relatif à l</w:t>
      </w:r>
      <w:r w:rsidR="00D82B54" w:rsidRPr="00267A6E">
        <w:rPr>
          <w:lang w:val="fr-FR"/>
        </w:rPr>
        <w:t>’</w:t>
      </w:r>
      <w:r w:rsidRPr="00267A6E">
        <w:rPr>
          <w:lang w:val="fr-FR"/>
        </w:rPr>
        <w:t>évaluation stratégique environnementale</w:t>
      </w:r>
    </w:p>
    <w:p w14:paraId="20CD24FB" w14:textId="6788297F" w:rsidR="003373A7" w:rsidRPr="00267A6E" w:rsidRDefault="003373A7" w:rsidP="006528B0">
      <w:pPr>
        <w:pStyle w:val="SingleTxtG"/>
        <w:rPr>
          <w:lang w:val="fr-FR"/>
        </w:rPr>
      </w:pPr>
      <w:r w:rsidRPr="00267A6E">
        <w:rPr>
          <w:lang w:val="fr-FR"/>
        </w:rPr>
        <w:t>12</w:t>
      </w:r>
      <w:r w:rsidR="00967A77" w:rsidRPr="00267A6E">
        <w:rPr>
          <w:lang w:val="fr-FR"/>
        </w:rPr>
        <w:t>.</w:t>
      </w:r>
      <w:r w:rsidRPr="00267A6E">
        <w:rPr>
          <w:lang w:val="fr-FR"/>
        </w:rPr>
        <w:tab/>
        <w:t>Le Protocole de 2003 relatif à l</w:t>
      </w:r>
      <w:r w:rsidR="00D82B54" w:rsidRPr="00267A6E">
        <w:rPr>
          <w:lang w:val="fr-FR"/>
        </w:rPr>
        <w:t>’</w:t>
      </w:r>
      <w:r w:rsidRPr="00267A6E">
        <w:rPr>
          <w:lang w:val="fr-FR"/>
        </w:rPr>
        <w:t>évaluation stratégique environnementale contribue aussi à jeter les bases du développement durable</w:t>
      </w:r>
      <w:r w:rsidR="00D82B54" w:rsidRPr="00267A6E">
        <w:rPr>
          <w:lang w:val="fr-FR"/>
        </w:rPr>
        <w:t> :</w:t>
      </w:r>
      <w:r w:rsidRPr="00267A6E">
        <w:rPr>
          <w:lang w:val="fr-FR"/>
        </w:rPr>
        <w:t xml:space="preserve"> il fait obligation aux Parties d</w:t>
      </w:r>
      <w:r w:rsidR="00D82B54" w:rsidRPr="00267A6E">
        <w:rPr>
          <w:lang w:val="fr-FR"/>
        </w:rPr>
        <w:t>’</w:t>
      </w:r>
      <w:r w:rsidRPr="00267A6E">
        <w:rPr>
          <w:lang w:val="fr-FR"/>
        </w:rPr>
        <w:t>appliquer la procédure d</w:t>
      </w:r>
      <w:r w:rsidR="00D82B54" w:rsidRPr="00267A6E">
        <w:rPr>
          <w:lang w:val="fr-FR"/>
        </w:rPr>
        <w:t>’</w:t>
      </w:r>
      <w:r w:rsidRPr="00267A6E">
        <w:rPr>
          <w:lang w:val="fr-FR"/>
        </w:rPr>
        <w:t>évaluation stratégique environnementale à un large éventail de plans et de programmes sectoriels et recommande (à l</w:t>
      </w:r>
      <w:r w:rsidR="00D82B54" w:rsidRPr="00267A6E">
        <w:rPr>
          <w:lang w:val="fr-FR"/>
        </w:rPr>
        <w:t>’article </w:t>
      </w:r>
      <w:r w:rsidRPr="00267A6E">
        <w:rPr>
          <w:lang w:val="fr-FR"/>
        </w:rPr>
        <w:t>13) d</w:t>
      </w:r>
      <w:r w:rsidR="00D82B54" w:rsidRPr="00267A6E">
        <w:rPr>
          <w:lang w:val="fr-FR"/>
        </w:rPr>
        <w:t>’</w:t>
      </w:r>
      <w:r w:rsidRPr="00267A6E">
        <w:rPr>
          <w:lang w:val="fr-FR"/>
        </w:rPr>
        <w:t>en faire autant pour les politiques et les textes de loi pertinents, le cas échéant</w:t>
      </w:r>
      <w:r w:rsidR="00967A77" w:rsidRPr="00267A6E">
        <w:rPr>
          <w:lang w:val="fr-FR"/>
        </w:rPr>
        <w:t>.</w:t>
      </w:r>
      <w:r w:rsidRPr="00267A6E">
        <w:rPr>
          <w:lang w:val="fr-FR"/>
        </w:rPr>
        <w:t xml:space="preserve"> Le Protocole est entré en vigueur le 11</w:t>
      </w:r>
      <w:r w:rsidR="002212F9" w:rsidRPr="00267A6E">
        <w:rPr>
          <w:lang w:val="fr-FR"/>
        </w:rPr>
        <w:t> </w:t>
      </w:r>
      <w:r w:rsidRPr="00267A6E">
        <w:rPr>
          <w:lang w:val="fr-FR"/>
        </w:rPr>
        <w:t>juillet 2010</w:t>
      </w:r>
      <w:r w:rsidR="00967A77" w:rsidRPr="00267A6E">
        <w:rPr>
          <w:lang w:val="fr-FR"/>
        </w:rPr>
        <w:t>.</w:t>
      </w:r>
      <w:r w:rsidRPr="00267A6E">
        <w:rPr>
          <w:lang w:val="fr-FR"/>
        </w:rPr>
        <w:t xml:space="preserve"> Des informations à jour sur l</w:t>
      </w:r>
      <w:r w:rsidR="00D82B54" w:rsidRPr="00267A6E">
        <w:rPr>
          <w:lang w:val="fr-FR"/>
        </w:rPr>
        <w:t>’</w:t>
      </w:r>
      <w:r w:rsidRPr="00267A6E">
        <w:rPr>
          <w:lang w:val="fr-FR"/>
        </w:rPr>
        <w:t>état actuel des ratifications sont disponibles en ligne</w:t>
      </w:r>
      <w:r w:rsidRPr="00267A6E">
        <w:rPr>
          <w:rStyle w:val="FootnoteReference"/>
          <w:lang w:val="fr-FR"/>
        </w:rPr>
        <w:footnoteReference w:id="13"/>
      </w:r>
      <w:r w:rsidR="00967A77" w:rsidRPr="00267A6E">
        <w:rPr>
          <w:lang w:val="fr-FR"/>
        </w:rPr>
        <w:t>.</w:t>
      </w:r>
    </w:p>
    <w:p w14:paraId="79107417" w14:textId="1DCF37A4" w:rsidR="003373A7" w:rsidRPr="00267A6E" w:rsidRDefault="003373A7" w:rsidP="006528B0">
      <w:pPr>
        <w:pStyle w:val="SingleTxtG"/>
        <w:rPr>
          <w:lang w:val="fr-FR"/>
        </w:rPr>
      </w:pPr>
      <w:r w:rsidRPr="00267A6E">
        <w:rPr>
          <w:lang w:val="fr-FR"/>
        </w:rPr>
        <w:t>13</w:t>
      </w:r>
      <w:r w:rsidR="00967A77" w:rsidRPr="00267A6E">
        <w:rPr>
          <w:lang w:val="fr-FR"/>
        </w:rPr>
        <w:t>.</w:t>
      </w:r>
      <w:r w:rsidRPr="00267A6E">
        <w:rPr>
          <w:lang w:val="fr-FR"/>
        </w:rPr>
        <w:tab/>
        <w:t>Sont résumées ci-après les principales prescriptions procédurales du Protocole</w:t>
      </w:r>
      <w:r w:rsidRPr="00267A6E">
        <w:rPr>
          <w:rStyle w:val="FootnoteReference"/>
          <w:lang w:val="fr-FR"/>
        </w:rPr>
        <w:footnoteReference w:id="14"/>
      </w:r>
      <w:r w:rsidRPr="00267A6E">
        <w:rPr>
          <w:lang w:val="fr-FR"/>
        </w:rPr>
        <w:t>, accompagnées d</w:t>
      </w:r>
      <w:r w:rsidR="00D82B54" w:rsidRPr="00267A6E">
        <w:rPr>
          <w:lang w:val="fr-FR"/>
        </w:rPr>
        <w:t>’</w:t>
      </w:r>
      <w:r w:rsidRPr="00267A6E">
        <w:rPr>
          <w:lang w:val="fr-FR"/>
        </w:rPr>
        <w:t>informations sur les bonnes pratiques, les outils et les mesures recommandés pour leur application pratique</w:t>
      </w:r>
      <w:r w:rsidRPr="00267A6E">
        <w:rPr>
          <w:rStyle w:val="FootnoteReference"/>
          <w:lang w:val="fr-FR"/>
        </w:rPr>
        <w:footnoteReference w:id="15"/>
      </w:r>
      <w:r w:rsidR="00D82B54" w:rsidRPr="00267A6E">
        <w:rPr>
          <w:lang w:val="fr-FR"/>
        </w:rPr>
        <w:t> :</w:t>
      </w:r>
      <w:bookmarkStart w:id="4" w:name="_Ref138084593"/>
      <w:bookmarkStart w:id="5" w:name="_Ref146870685"/>
      <w:bookmarkEnd w:id="4"/>
      <w:bookmarkEnd w:id="5"/>
    </w:p>
    <w:p w14:paraId="07429E6E" w14:textId="5DC4F32A" w:rsidR="003373A7" w:rsidRPr="00267A6E" w:rsidRDefault="003373A7" w:rsidP="004D5ED6">
      <w:pPr>
        <w:pStyle w:val="SingleTxtG"/>
        <w:ind w:firstLine="567"/>
        <w:rPr>
          <w:lang w:val="fr-FR"/>
        </w:rPr>
      </w:pPr>
      <w:r w:rsidRPr="00267A6E">
        <w:rPr>
          <w:lang w:val="fr-FR"/>
        </w:rPr>
        <w:t>a)</w:t>
      </w:r>
      <w:r w:rsidRPr="00267A6E">
        <w:rPr>
          <w:lang w:val="fr-FR"/>
        </w:rPr>
        <w:tab/>
        <w:t>Prescriptions relatives à l</w:t>
      </w:r>
      <w:r w:rsidR="00D82B54" w:rsidRPr="00267A6E">
        <w:rPr>
          <w:lang w:val="fr-FR"/>
        </w:rPr>
        <w:t>’</w:t>
      </w:r>
      <w:r w:rsidRPr="00267A6E">
        <w:rPr>
          <w:lang w:val="fr-FR"/>
        </w:rPr>
        <w:t>évaluation stratégique environnementale</w:t>
      </w:r>
      <w:r w:rsidR="00D82B54" w:rsidRPr="00267A6E">
        <w:rPr>
          <w:lang w:val="fr-FR"/>
        </w:rPr>
        <w:t> :</w:t>
      </w:r>
      <w:r w:rsidRPr="00267A6E">
        <w:rPr>
          <w:lang w:val="fr-FR"/>
        </w:rPr>
        <w:t xml:space="preserve"> aux</w:t>
      </w:r>
      <w:r w:rsidR="00F609E1" w:rsidRPr="00267A6E">
        <w:rPr>
          <w:lang w:val="fr-FR"/>
        </w:rPr>
        <w:t> </w:t>
      </w:r>
      <w:r w:rsidRPr="00267A6E">
        <w:rPr>
          <w:lang w:val="fr-FR"/>
        </w:rPr>
        <w:t>termes de l</w:t>
      </w:r>
      <w:r w:rsidR="00D82B54" w:rsidRPr="00267A6E">
        <w:rPr>
          <w:lang w:val="fr-FR"/>
        </w:rPr>
        <w:t>’article </w:t>
      </w:r>
      <w:r w:rsidRPr="00267A6E">
        <w:rPr>
          <w:lang w:val="fr-FR"/>
        </w:rPr>
        <w:t>4 (</w:t>
      </w:r>
      <w:r w:rsidR="00D82B54" w:rsidRPr="00267A6E">
        <w:rPr>
          <w:lang w:val="fr-FR"/>
        </w:rPr>
        <w:t>par</w:t>
      </w:r>
      <w:r w:rsidR="00967A77" w:rsidRPr="00267A6E">
        <w:rPr>
          <w:lang w:val="fr-FR"/>
        </w:rPr>
        <w:t>.</w:t>
      </w:r>
      <w:r w:rsidR="00D82B54" w:rsidRPr="00267A6E">
        <w:rPr>
          <w:lang w:val="fr-FR"/>
        </w:rPr>
        <w:t> </w:t>
      </w:r>
      <w:r w:rsidRPr="00267A6E">
        <w:rPr>
          <w:lang w:val="fr-FR"/>
        </w:rPr>
        <w:t>1) du Protocole, « chaque Partie veille à ce qu</w:t>
      </w:r>
      <w:r w:rsidR="00D82B54" w:rsidRPr="00267A6E">
        <w:rPr>
          <w:lang w:val="fr-FR"/>
        </w:rPr>
        <w:t>’</w:t>
      </w:r>
      <w:r w:rsidRPr="00267A6E">
        <w:rPr>
          <w:lang w:val="fr-FR"/>
        </w:rPr>
        <w:t xml:space="preserve">une évaluation stratégique environnementale soit effectuée pour les plans et programmes visés aux </w:t>
      </w:r>
      <w:r w:rsidR="00D82B54" w:rsidRPr="00267A6E">
        <w:rPr>
          <w:lang w:val="fr-FR"/>
        </w:rPr>
        <w:t>paragraphes </w:t>
      </w:r>
      <w:r w:rsidRPr="00267A6E">
        <w:rPr>
          <w:lang w:val="fr-FR"/>
        </w:rPr>
        <w:t>2, 3 et 4 susceptibles d</w:t>
      </w:r>
      <w:r w:rsidR="00D82B54" w:rsidRPr="00267A6E">
        <w:rPr>
          <w:lang w:val="fr-FR"/>
        </w:rPr>
        <w:t>’</w:t>
      </w:r>
      <w:r w:rsidRPr="00267A6E">
        <w:rPr>
          <w:lang w:val="fr-FR"/>
        </w:rPr>
        <w:t>avoir des effets notables sur l</w:t>
      </w:r>
      <w:r w:rsidR="00D82B54" w:rsidRPr="00267A6E">
        <w:rPr>
          <w:lang w:val="fr-FR"/>
        </w:rPr>
        <w:t>’</w:t>
      </w:r>
      <w:r w:rsidRPr="00267A6E">
        <w:rPr>
          <w:lang w:val="fr-FR"/>
        </w:rPr>
        <w:t>environnement, y compris sur la santé »</w:t>
      </w:r>
      <w:r w:rsidR="00967A77" w:rsidRPr="00267A6E">
        <w:rPr>
          <w:lang w:val="fr-FR"/>
        </w:rPr>
        <w:t>.</w:t>
      </w:r>
      <w:r w:rsidRPr="00267A6E">
        <w:rPr>
          <w:lang w:val="fr-FR"/>
        </w:rPr>
        <w:t xml:space="preserve"> L</w:t>
      </w:r>
      <w:r w:rsidR="00D82B54" w:rsidRPr="00267A6E">
        <w:rPr>
          <w:lang w:val="fr-FR"/>
        </w:rPr>
        <w:t>’article </w:t>
      </w:r>
      <w:r w:rsidRPr="00267A6E">
        <w:rPr>
          <w:lang w:val="fr-FR"/>
        </w:rPr>
        <w:t>4 détermine les plans et programmes qui sont couverts par le Protocole</w:t>
      </w:r>
      <w:r w:rsidR="00967A77" w:rsidRPr="00267A6E">
        <w:rPr>
          <w:lang w:val="fr-FR"/>
        </w:rPr>
        <w:t>.</w:t>
      </w:r>
      <w:r w:rsidRPr="00267A6E">
        <w:rPr>
          <w:lang w:val="fr-FR"/>
        </w:rPr>
        <w:t xml:space="preserve"> L</w:t>
      </w:r>
      <w:r w:rsidR="00D82B54" w:rsidRPr="00267A6E">
        <w:rPr>
          <w:lang w:val="fr-FR"/>
        </w:rPr>
        <w:t>’article </w:t>
      </w:r>
      <w:r w:rsidRPr="00267A6E">
        <w:rPr>
          <w:lang w:val="fr-FR"/>
        </w:rPr>
        <w:t>13 (</w:t>
      </w:r>
      <w:r w:rsidR="00D82B54" w:rsidRPr="00267A6E">
        <w:rPr>
          <w:lang w:val="fr-FR"/>
        </w:rPr>
        <w:t>par</w:t>
      </w:r>
      <w:r w:rsidR="00967A77" w:rsidRPr="00267A6E">
        <w:rPr>
          <w:lang w:val="fr-FR"/>
        </w:rPr>
        <w:t>.</w:t>
      </w:r>
      <w:r w:rsidR="00D82B54" w:rsidRPr="00267A6E">
        <w:rPr>
          <w:lang w:val="fr-FR"/>
        </w:rPr>
        <w:t> </w:t>
      </w:r>
      <w:r w:rsidRPr="00267A6E">
        <w:rPr>
          <w:lang w:val="fr-FR"/>
        </w:rPr>
        <w:t>1 et 2) invite les Parties à s</w:t>
      </w:r>
      <w:r w:rsidR="00D82B54" w:rsidRPr="00267A6E">
        <w:rPr>
          <w:lang w:val="fr-FR"/>
        </w:rPr>
        <w:t>’</w:t>
      </w:r>
      <w:r w:rsidRPr="00267A6E">
        <w:rPr>
          <w:lang w:val="fr-FR"/>
        </w:rPr>
        <w:t>efforcer d</w:t>
      </w:r>
      <w:r w:rsidR="00D82B54" w:rsidRPr="00267A6E">
        <w:rPr>
          <w:lang w:val="fr-FR"/>
        </w:rPr>
        <w:t>’</w:t>
      </w:r>
      <w:r w:rsidRPr="00267A6E">
        <w:rPr>
          <w:lang w:val="fr-FR"/>
        </w:rPr>
        <w:t xml:space="preserve">appliquer le Protocole dans le processus </w:t>
      </w:r>
      <w:r w:rsidR="00F609E1" w:rsidRPr="00267A6E">
        <w:rPr>
          <w:lang w:val="fr-FR"/>
        </w:rPr>
        <w:t>d</w:t>
      </w:r>
      <w:r w:rsidR="00D82B54" w:rsidRPr="00267A6E">
        <w:rPr>
          <w:lang w:val="fr-FR"/>
        </w:rPr>
        <w:t>’</w:t>
      </w:r>
      <w:r w:rsidRPr="00267A6E">
        <w:rPr>
          <w:lang w:val="fr-FR"/>
        </w:rPr>
        <w:t>élaboration de leurs projets de politiques et de textes de loi qui sont susceptibles d</w:t>
      </w:r>
      <w:r w:rsidR="00D82B54" w:rsidRPr="00267A6E">
        <w:rPr>
          <w:lang w:val="fr-FR"/>
        </w:rPr>
        <w:t>’</w:t>
      </w:r>
      <w:r w:rsidRPr="00267A6E">
        <w:rPr>
          <w:lang w:val="fr-FR"/>
        </w:rPr>
        <w:t>avoir des effets notables sur l</w:t>
      </w:r>
      <w:r w:rsidR="00D82B54" w:rsidRPr="00267A6E">
        <w:rPr>
          <w:lang w:val="fr-FR"/>
        </w:rPr>
        <w:t>’</w:t>
      </w:r>
      <w:r w:rsidRPr="00267A6E">
        <w:rPr>
          <w:lang w:val="fr-FR"/>
        </w:rPr>
        <w:t>environnement, y compris sur la santé</w:t>
      </w:r>
      <w:r w:rsidR="00D82B54" w:rsidRPr="00267A6E">
        <w:rPr>
          <w:lang w:val="fr-FR"/>
        </w:rPr>
        <w:t> ;</w:t>
      </w:r>
    </w:p>
    <w:p w14:paraId="21C4900B" w14:textId="1D5323D5" w:rsidR="003373A7" w:rsidRPr="00267A6E" w:rsidRDefault="003373A7" w:rsidP="004D5ED6">
      <w:pPr>
        <w:pStyle w:val="SingleTxtG"/>
        <w:ind w:firstLine="567"/>
        <w:rPr>
          <w:lang w:val="fr-FR"/>
        </w:rPr>
      </w:pPr>
      <w:r w:rsidRPr="00267A6E">
        <w:rPr>
          <w:lang w:val="fr-FR"/>
        </w:rPr>
        <w:t>b)</w:t>
      </w:r>
      <w:r w:rsidRPr="00267A6E">
        <w:rPr>
          <w:lang w:val="fr-FR"/>
        </w:rPr>
        <w:tab/>
        <w:t>À l</w:t>
      </w:r>
      <w:r w:rsidR="00D82B54" w:rsidRPr="00267A6E">
        <w:rPr>
          <w:lang w:val="fr-FR"/>
        </w:rPr>
        <w:t>’article </w:t>
      </w:r>
      <w:r w:rsidRPr="00267A6E">
        <w:rPr>
          <w:lang w:val="fr-FR"/>
        </w:rPr>
        <w:t>2 (</w:t>
      </w:r>
      <w:r w:rsidR="00D82B54" w:rsidRPr="00267A6E">
        <w:rPr>
          <w:lang w:val="fr-FR"/>
        </w:rPr>
        <w:t>par</w:t>
      </w:r>
      <w:r w:rsidR="00967A77" w:rsidRPr="00267A6E">
        <w:rPr>
          <w:lang w:val="fr-FR"/>
        </w:rPr>
        <w:t>.</w:t>
      </w:r>
      <w:r w:rsidR="00D82B54" w:rsidRPr="00267A6E">
        <w:rPr>
          <w:lang w:val="fr-FR"/>
        </w:rPr>
        <w:t> </w:t>
      </w:r>
      <w:r w:rsidRPr="00267A6E">
        <w:rPr>
          <w:lang w:val="fr-FR"/>
        </w:rPr>
        <w:t>7), il est déterminé que «</w:t>
      </w:r>
      <w:r w:rsidR="0098531C" w:rsidRPr="00267A6E">
        <w:rPr>
          <w:lang w:val="fr-FR"/>
        </w:rPr>
        <w:t> </w:t>
      </w:r>
      <w:r w:rsidRPr="00267A6E">
        <w:rPr>
          <w:lang w:val="fr-FR"/>
        </w:rPr>
        <w:t>l</w:t>
      </w:r>
      <w:r w:rsidR="00D82B54" w:rsidRPr="00267A6E">
        <w:rPr>
          <w:lang w:val="fr-FR"/>
        </w:rPr>
        <w:t>’</w:t>
      </w:r>
      <w:r w:rsidRPr="00267A6E">
        <w:rPr>
          <w:lang w:val="fr-FR"/>
        </w:rPr>
        <w:t xml:space="preserve">expression </w:t>
      </w:r>
      <w:r w:rsidR="0098531C" w:rsidRPr="00267A6E">
        <w:rPr>
          <w:lang w:val="fr-FR"/>
        </w:rPr>
        <w:t>“</w:t>
      </w:r>
      <w:r w:rsidRPr="00267A6E">
        <w:rPr>
          <w:lang w:val="fr-FR"/>
        </w:rPr>
        <w:t>effet sur l</w:t>
      </w:r>
      <w:r w:rsidR="00D82B54" w:rsidRPr="00267A6E">
        <w:rPr>
          <w:lang w:val="fr-FR"/>
        </w:rPr>
        <w:t>’</w:t>
      </w:r>
      <w:r w:rsidRPr="00267A6E">
        <w:rPr>
          <w:lang w:val="fr-FR"/>
        </w:rPr>
        <w:t>environnement, y compris sur la santé</w:t>
      </w:r>
      <w:r w:rsidR="0098531C" w:rsidRPr="00267A6E">
        <w:rPr>
          <w:lang w:val="fr-FR"/>
        </w:rPr>
        <w:t>”</w:t>
      </w:r>
      <w:r w:rsidRPr="00267A6E">
        <w:rPr>
          <w:lang w:val="fr-FR"/>
        </w:rPr>
        <w:t xml:space="preserve"> désigne tout effet sur l</w:t>
      </w:r>
      <w:r w:rsidR="00D82B54" w:rsidRPr="00267A6E">
        <w:rPr>
          <w:lang w:val="fr-FR"/>
        </w:rPr>
        <w:t>’</w:t>
      </w:r>
      <w:r w:rsidRPr="00267A6E">
        <w:rPr>
          <w:lang w:val="fr-FR"/>
        </w:rPr>
        <w:t>environnement, y compris sur la santé de l</w:t>
      </w:r>
      <w:r w:rsidR="00D82B54" w:rsidRPr="00267A6E">
        <w:rPr>
          <w:lang w:val="fr-FR"/>
        </w:rPr>
        <w:t>’</w:t>
      </w:r>
      <w:r w:rsidRPr="00267A6E">
        <w:rPr>
          <w:lang w:val="fr-FR"/>
        </w:rPr>
        <w:t>homme, la flore, la faune, la diversité biologique, les sols, le climat, l</w:t>
      </w:r>
      <w:r w:rsidR="00D82B54" w:rsidRPr="00267A6E">
        <w:rPr>
          <w:lang w:val="fr-FR"/>
        </w:rPr>
        <w:t>’</w:t>
      </w:r>
      <w:r w:rsidRPr="00267A6E">
        <w:rPr>
          <w:lang w:val="fr-FR"/>
        </w:rPr>
        <w:t>air, l</w:t>
      </w:r>
      <w:r w:rsidR="00D82B54" w:rsidRPr="00267A6E">
        <w:rPr>
          <w:lang w:val="fr-FR"/>
        </w:rPr>
        <w:t>’</w:t>
      </w:r>
      <w:r w:rsidRPr="00267A6E">
        <w:rPr>
          <w:lang w:val="fr-FR"/>
        </w:rPr>
        <w:t>eau, les paysages, les sites naturels, les biens matériels, le patrimoine culturel et l</w:t>
      </w:r>
      <w:r w:rsidR="00D82B54" w:rsidRPr="00267A6E">
        <w:rPr>
          <w:lang w:val="fr-FR"/>
        </w:rPr>
        <w:t>’</w:t>
      </w:r>
      <w:r w:rsidRPr="00267A6E">
        <w:rPr>
          <w:lang w:val="fr-FR"/>
        </w:rPr>
        <w:t>interaction entre ces facteurs</w:t>
      </w:r>
      <w:r w:rsidR="0098531C" w:rsidRPr="00267A6E">
        <w:rPr>
          <w:lang w:val="fr-FR"/>
        </w:rPr>
        <w:t> </w:t>
      </w:r>
      <w:r w:rsidRPr="00267A6E">
        <w:rPr>
          <w:lang w:val="fr-FR"/>
        </w:rPr>
        <w:t>»</w:t>
      </w:r>
      <w:r w:rsidR="00D82B54" w:rsidRPr="00267A6E">
        <w:rPr>
          <w:lang w:val="fr-FR"/>
        </w:rPr>
        <w:t> ;</w:t>
      </w:r>
    </w:p>
    <w:p w14:paraId="0CD6C4AD" w14:textId="5667A1C7" w:rsidR="003373A7" w:rsidRPr="00267A6E" w:rsidRDefault="003373A7" w:rsidP="004D5ED6">
      <w:pPr>
        <w:pStyle w:val="SingleTxtG"/>
        <w:ind w:firstLine="567"/>
        <w:rPr>
          <w:lang w:val="fr-FR"/>
        </w:rPr>
      </w:pPr>
      <w:r w:rsidRPr="00267A6E">
        <w:rPr>
          <w:lang w:val="fr-FR"/>
        </w:rPr>
        <w:t>c)</w:t>
      </w:r>
      <w:r w:rsidRPr="00267A6E">
        <w:rPr>
          <w:lang w:val="fr-FR"/>
        </w:rPr>
        <w:tab/>
        <w:t>Prescriptions en matière de procédure</w:t>
      </w:r>
      <w:r w:rsidR="00D82B54" w:rsidRPr="00267A6E">
        <w:rPr>
          <w:lang w:val="fr-FR"/>
        </w:rPr>
        <w:t> :</w:t>
      </w:r>
      <w:r w:rsidRPr="00267A6E">
        <w:rPr>
          <w:lang w:val="fr-FR"/>
        </w:rPr>
        <w:t xml:space="preserve"> les Parties entreprennent un processus de « vérification préliminaire » pour déterminer quels plans et programmes sont couverts par le Protocole (</w:t>
      </w:r>
      <w:r w:rsidR="00D82B54" w:rsidRPr="00267A6E">
        <w:rPr>
          <w:lang w:val="fr-FR"/>
        </w:rPr>
        <w:t>art</w:t>
      </w:r>
      <w:r w:rsidR="00967A77" w:rsidRPr="00267A6E">
        <w:rPr>
          <w:lang w:val="fr-FR"/>
        </w:rPr>
        <w:t>.</w:t>
      </w:r>
      <w:r w:rsidR="00D82B54" w:rsidRPr="00267A6E">
        <w:rPr>
          <w:lang w:val="fr-FR"/>
        </w:rPr>
        <w:t> </w:t>
      </w:r>
      <w:r w:rsidRPr="00267A6E">
        <w:rPr>
          <w:lang w:val="fr-FR"/>
        </w:rPr>
        <w:t>4 et 5 (</w:t>
      </w:r>
      <w:r w:rsidR="00D82B54" w:rsidRPr="00267A6E">
        <w:rPr>
          <w:lang w:val="fr-FR"/>
        </w:rPr>
        <w:t>par</w:t>
      </w:r>
      <w:r w:rsidR="00967A77" w:rsidRPr="00267A6E">
        <w:rPr>
          <w:lang w:val="fr-FR"/>
        </w:rPr>
        <w:t>.</w:t>
      </w:r>
      <w:r w:rsidR="00D82B54" w:rsidRPr="00267A6E">
        <w:rPr>
          <w:lang w:val="fr-FR"/>
        </w:rPr>
        <w:t> </w:t>
      </w:r>
      <w:r w:rsidRPr="00267A6E">
        <w:rPr>
          <w:lang w:val="fr-FR"/>
        </w:rPr>
        <w:t>1) et annexe</w:t>
      </w:r>
      <w:r w:rsidR="00436B02" w:rsidRPr="00267A6E">
        <w:rPr>
          <w:lang w:val="fr-FR"/>
        </w:rPr>
        <w:t> </w:t>
      </w:r>
      <w:r w:rsidRPr="00267A6E">
        <w:rPr>
          <w:lang w:val="fr-FR"/>
        </w:rPr>
        <w:t>III) ainsi qu</w:t>
      </w:r>
      <w:r w:rsidR="00D82B54" w:rsidRPr="00267A6E">
        <w:rPr>
          <w:lang w:val="fr-FR"/>
        </w:rPr>
        <w:t>’</w:t>
      </w:r>
      <w:r w:rsidRPr="00267A6E">
        <w:rPr>
          <w:lang w:val="fr-FR"/>
        </w:rPr>
        <w:t>un processus de « délimitation du champ d</w:t>
      </w:r>
      <w:r w:rsidR="00D82B54" w:rsidRPr="00267A6E">
        <w:rPr>
          <w:lang w:val="fr-FR"/>
        </w:rPr>
        <w:t>’</w:t>
      </w:r>
      <w:r w:rsidRPr="00267A6E">
        <w:rPr>
          <w:lang w:val="fr-FR"/>
        </w:rPr>
        <w:t xml:space="preserve">application » pour déterminer les informations à consigner dans le rapport environnemental établi « conformément au </w:t>
      </w:r>
      <w:r w:rsidR="00D82B54" w:rsidRPr="00267A6E">
        <w:rPr>
          <w:lang w:val="fr-FR"/>
        </w:rPr>
        <w:t>paragraphe </w:t>
      </w:r>
      <w:r w:rsidRPr="00267A6E">
        <w:rPr>
          <w:lang w:val="fr-FR"/>
        </w:rPr>
        <w:t>2 de l</w:t>
      </w:r>
      <w:r w:rsidR="00D82B54" w:rsidRPr="00267A6E">
        <w:rPr>
          <w:lang w:val="fr-FR"/>
        </w:rPr>
        <w:t>’article </w:t>
      </w:r>
      <w:r w:rsidRPr="00267A6E">
        <w:rPr>
          <w:lang w:val="fr-FR"/>
        </w:rPr>
        <w:t>7 » (</w:t>
      </w:r>
      <w:r w:rsidR="00D82B54" w:rsidRPr="00267A6E">
        <w:rPr>
          <w:lang w:val="fr-FR"/>
        </w:rPr>
        <w:t>art</w:t>
      </w:r>
      <w:r w:rsidR="00967A77" w:rsidRPr="00267A6E">
        <w:rPr>
          <w:lang w:val="fr-FR"/>
        </w:rPr>
        <w:t>.</w:t>
      </w:r>
      <w:r w:rsidR="00D82B54" w:rsidRPr="00267A6E">
        <w:rPr>
          <w:lang w:val="fr-FR"/>
        </w:rPr>
        <w:t> </w:t>
      </w:r>
      <w:r w:rsidRPr="00267A6E">
        <w:rPr>
          <w:lang w:val="fr-FR"/>
        </w:rPr>
        <w:t>6 (</w:t>
      </w:r>
      <w:r w:rsidR="00D82B54" w:rsidRPr="00267A6E">
        <w:rPr>
          <w:lang w:val="fr-FR"/>
        </w:rPr>
        <w:t>par</w:t>
      </w:r>
      <w:r w:rsidR="00967A77" w:rsidRPr="00267A6E">
        <w:rPr>
          <w:lang w:val="fr-FR"/>
        </w:rPr>
        <w:t>.</w:t>
      </w:r>
      <w:r w:rsidR="00D82B54" w:rsidRPr="00267A6E">
        <w:rPr>
          <w:lang w:val="fr-FR"/>
        </w:rPr>
        <w:t> </w:t>
      </w:r>
      <w:r w:rsidRPr="00267A6E">
        <w:rPr>
          <w:lang w:val="fr-FR"/>
        </w:rPr>
        <w:t>1)), et élaborent un « rapport environnemental » comprenant les informations spécifiées à l</w:t>
      </w:r>
      <w:r w:rsidR="00D82B54" w:rsidRPr="00267A6E">
        <w:rPr>
          <w:lang w:val="fr-FR"/>
        </w:rPr>
        <w:t>’</w:t>
      </w:r>
      <w:r w:rsidRPr="00267A6E">
        <w:rPr>
          <w:lang w:val="fr-FR"/>
        </w:rPr>
        <w:t>annexe</w:t>
      </w:r>
      <w:r w:rsidR="00436B02" w:rsidRPr="00267A6E">
        <w:rPr>
          <w:lang w:val="fr-FR"/>
        </w:rPr>
        <w:t> </w:t>
      </w:r>
      <w:r w:rsidRPr="00267A6E">
        <w:rPr>
          <w:lang w:val="fr-FR"/>
        </w:rPr>
        <w:t>IV qui peuvent être raisonnablement exigées pour déterminer, décrire et évaluer les effets notables probables sur l</w:t>
      </w:r>
      <w:r w:rsidR="00D82B54" w:rsidRPr="00267A6E">
        <w:rPr>
          <w:lang w:val="fr-FR"/>
        </w:rPr>
        <w:t>’</w:t>
      </w:r>
      <w:r w:rsidRPr="00267A6E">
        <w:rPr>
          <w:lang w:val="fr-FR"/>
        </w:rPr>
        <w:t>environnement, y compris sur la santé, de la mise en œuvre du plan ou du programme et des solutions de remplacement raisonnables (</w:t>
      </w:r>
      <w:r w:rsidR="00D82B54" w:rsidRPr="00267A6E">
        <w:rPr>
          <w:lang w:val="fr-FR"/>
        </w:rPr>
        <w:t>art</w:t>
      </w:r>
      <w:r w:rsidR="00967A77" w:rsidRPr="00267A6E">
        <w:rPr>
          <w:lang w:val="fr-FR"/>
        </w:rPr>
        <w:t>.</w:t>
      </w:r>
      <w:r w:rsidR="00D82B54" w:rsidRPr="00267A6E">
        <w:rPr>
          <w:lang w:val="fr-FR"/>
        </w:rPr>
        <w:t> </w:t>
      </w:r>
      <w:r w:rsidRPr="00267A6E">
        <w:rPr>
          <w:lang w:val="fr-FR"/>
        </w:rPr>
        <w:t>7 (</w:t>
      </w:r>
      <w:r w:rsidR="00D82B54" w:rsidRPr="00267A6E">
        <w:rPr>
          <w:lang w:val="fr-FR"/>
        </w:rPr>
        <w:t>par</w:t>
      </w:r>
      <w:r w:rsidR="00967A77" w:rsidRPr="00267A6E">
        <w:rPr>
          <w:lang w:val="fr-FR"/>
        </w:rPr>
        <w:t>.</w:t>
      </w:r>
      <w:r w:rsidR="00D82B54" w:rsidRPr="00267A6E">
        <w:rPr>
          <w:lang w:val="fr-FR"/>
        </w:rPr>
        <w:t> </w:t>
      </w:r>
      <w:r w:rsidRPr="00267A6E">
        <w:rPr>
          <w:lang w:val="fr-FR"/>
        </w:rPr>
        <w:t>2))</w:t>
      </w:r>
      <w:r w:rsidR="00D82B54" w:rsidRPr="00267A6E">
        <w:rPr>
          <w:lang w:val="fr-FR"/>
        </w:rPr>
        <w:t> ;</w:t>
      </w:r>
    </w:p>
    <w:p w14:paraId="2643C9AF" w14:textId="61E99619" w:rsidR="003373A7" w:rsidRPr="00267A6E" w:rsidRDefault="003373A7" w:rsidP="004D5ED6">
      <w:pPr>
        <w:pStyle w:val="SingleTxtG"/>
        <w:ind w:firstLine="567"/>
        <w:rPr>
          <w:lang w:val="fr-FR"/>
        </w:rPr>
      </w:pPr>
      <w:r w:rsidRPr="00267A6E">
        <w:rPr>
          <w:lang w:val="fr-FR"/>
        </w:rPr>
        <w:t>d)</w:t>
      </w:r>
      <w:r w:rsidRPr="00267A6E">
        <w:rPr>
          <w:lang w:val="fr-FR"/>
        </w:rPr>
        <w:tab/>
        <w:t>Prescriptions relatives à la consultation</w:t>
      </w:r>
      <w:r w:rsidR="00D82B54" w:rsidRPr="00267A6E">
        <w:rPr>
          <w:lang w:val="fr-FR"/>
        </w:rPr>
        <w:t> :</w:t>
      </w:r>
      <w:r w:rsidRPr="00267A6E">
        <w:rPr>
          <w:lang w:val="fr-FR"/>
        </w:rPr>
        <w:t xml:space="preserve"> chaque Partie doit veiller à ce que les autorités responsables de l</w:t>
      </w:r>
      <w:r w:rsidR="00D82B54" w:rsidRPr="00267A6E">
        <w:rPr>
          <w:lang w:val="fr-FR"/>
        </w:rPr>
        <w:t>’</w:t>
      </w:r>
      <w:r w:rsidRPr="00267A6E">
        <w:rPr>
          <w:lang w:val="fr-FR"/>
        </w:rPr>
        <w:t>environnement et de la santé visées à l</w:t>
      </w:r>
      <w:r w:rsidR="00D82B54" w:rsidRPr="00267A6E">
        <w:rPr>
          <w:lang w:val="fr-FR"/>
        </w:rPr>
        <w:t>’article </w:t>
      </w:r>
      <w:r w:rsidRPr="00267A6E">
        <w:rPr>
          <w:lang w:val="fr-FR"/>
        </w:rPr>
        <w:t>9 (</w:t>
      </w:r>
      <w:r w:rsidR="00D82B54" w:rsidRPr="00267A6E">
        <w:rPr>
          <w:lang w:val="fr-FR"/>
        </w:rPr>
        <w:t>par</w:t>
      </w:r>
      <w:r w:rsidR="00967A77" w:rsidRPr="00267A6E">
        <w:rPr>
          <w:lang w:val="fr-FR"/>
        </w:rPr>
        <w:t>.</w:t>
      </w:r>
      <w:r w:rsidR="00D82B54" w:rsidRPr="00267A6E">
        <w:rPr>
          <w:lang w:val="fr-FR"/>
        </w:rPr>
        <w:t> </w:t>
      </w:r>
      <w:r w:rsidRPr="00267A6E">
        <w:rPr>
          <w:lang w:val="fr-FR"/>
        </w:rPr>
        <w:t>1) soient consultées au sujet des décisions relatives à la vérification préliminaire et à la délimitation du champ de l</w:t>
      </w:r>
      <w:r w:rsidR="00D82B54" w:rsidRPr="00267A6E">
        <w:rPr>
          <w:lang w:val="fr-FR"/>
        </w:rPr>
        <w:t>’</w:t>
      </w:r>
      <w:r w:rsidRPr="00267A6E">
        <w:rPr>
          <w:lang w:val="fr-FR"/>
        </w:rPr>
        <w:t>évaluation (</w:t>
      </w:r>
      <w:r w:rsidR="00D82B54" w:rsidRPr="00267A6E">
        <w:rPr>
          <w:lang w:val="fr-FR"/>
        </w:rPr>
        <w:t>art</w:t>
      </w:r>
      <w:r w:rsidR="00967A77" w:rsidRPr="00267A6E">
        <w:rPr>
          <w:lang w:val="fr-FR"/>
        </w:rPr>
        <w:t>.</w:t>
      </w:r>
      <w:r w:rsidR="00D82B54" w:rsidRPr="00267A6E">
        <w:rPr>
          <w:lang w:val="fr-FR"/>
        </w:rPr>
        <w:t> </w:t>
      </w:r>
      <w:r w:rsidRPr="00267A6E">
        <w:rPr>
          <w:lang w:val="fr-FR"/>
        </w:rPr>
        <w:t>5 (</w:t>
      </w:r>
      <w:r w:rsidR="00D82B54" w:rsidRPr="00267A6E">
        <w:rPr>
          <w:lang w:val="fr-FR"/>
        </w:rPr>
        <w:t>par</w:t>
      </w:r>
      <w:r w:rsidR="00967A77" w:rsidRPr="00267A6E">
        <w:rPr>
          <w:lang w:val="fr-FR"/>
        </w:rPr>
        <w:t>.</w:t>
      </w:r>
      <w:r w:rsidR="00D82B54" w:rsidRPr="00267A6E">
        <w:rPr>
          <w:lang w:val="fr-FR"/>
        </w:rPr>
        <w:t> </w:t>
      </w:r>
      <w:r w:rsidRPr="00267A6E">
        <w:rPr>
          <w:lang w:val="fr-FR"/>
        </w:rPr>
        <w:t>2)), et ces mêmes autorités doivent avoir accès au projet de rapport environnemental et être autorisées à donner leur avis « de manière effective, en temps voulu et le plus tôt possible » (</w:t>
      </w:r>
      <w:r w:rsidR="00D82B54" w:rsidRPr="00267A6E">
        <w:rPr>
          <w:lang w:val="fr-FR"/>
        </w:rPr>
        <w:t>art</w:t>
      </w:r>
      <w:r w:rsidR="00967A77" w:rsidRPr="00267A6E">
        <w:rPr>
          <w:lang w:val="fr-FR"/>
        </w:rPr>
        <w:t>.</w:t>
      </w:r>
      <w:r w:rsidR="00D82B54" w:rsidRPr="00267A6E">
        <w:rPr>
          <w:lang w:val="fr-FR"/>
        </w:rPr>
        <w:t> </w:t>
      </w:r>
      <w:r w:rsidRPr="00267A6E">
        <w:rPr>
          <w:lang w:val="fr-FR"/>
        </w:rPr>
        <w:t>9 (</w:t>
      </w:r>
      <w:r w:rsidR="00D82B54" w:rsidRPr="00267A6E">
        <w:rPr>
          <w:lang w:val="fr-FR"/>
        </w:rPr>
        <w:t>par</w:t>
      </w:r>
      <w:r w:rsidR="00967A77" w:rsidRPr="00267A6E">
        <w:rPr>
          <w:lang w:val="fr-FR"/>
        </w:rPr>
        <w:t>.</w:t>
      </w:r>
      <w:r w:rsidR="00D82B54" w:rsidRPr="00267A6E">
        <w:rPr>
          <w:lang w:val="fr-FR"/>
        </w:rPr>
        <w:t> </w:t>
      </w:r>
      <w:r w:rsidRPr="00267A6E">
        <w:rPr>
          <w:lang w:val="fr-FR"/>
        </w:rPr>
        <w:t>3))</w:t>
      </w:r>
      <w:r w:rsidR="00D82B54" w:rsidRPr="00267A6E">
        <w:rPr>
          <w:lang w:val="fr-FR"/>
        </w:rPr>
        <w:t> ;</w:t>
      </w:r>
    </w:p>
    <w:p w14:paraId="119D1831" w14:textId="4C4AED58" w:rsidR="003373A7" w:rsidRPr="00267A6E" w:rsidRDefault="003373A7" w:rsidP="004D5ED6">
      <w:pPr>
        <w:pStyle w:val="SingleTxtG"/>
        <w:ind w:firstLine="567"/>
        <w:rPr>
          <w:lang w:val="fr-FR"/>
        </w:rPr>
      </w:pPr>
      <w:r w:rsidRPr="00267A6E">
        <w:rPr>
          <w:lang w:val="fr-FR"/>
        </w:rPr>
        <w:t>e)</w:t>
      </w:r>
      <w:r w:rsidRPr="00267A6E">
        <w:rPr>
          <w:lang w:val="fr-FR"/>
        </w:rPr>
        <w:tab/>
        <w:t>Prescriptions relatives à la participation du public</w:t>
      </w:r>
      <w:r w:rsidR="00D82B54" w:rsidRPr="00267A6E">
        <w:rPr>
          <w:lang w:val="fr-FR"/>
        </w:rPr>
        <w:t> :</w:t>
      </w:r>
      <w:r w:rsidRPr="00267A6E">
        <w:rPr>
          <w:lang w:val="fr-FR"/>
        </w:rPr>
        <w:t xml:space="preserve"> chaque Partie veille à ce que « le public ait la possibilité de participer de manière effective, en temps voulu et le plus tôt possible, lorsque toutes les options sont encore envisageables », à l</w:t>
      </w:r>
      <w:r w:rsidR="00D82B54" w:rsidRPr="00267A6E">
        <w:rPr>
          <w:lang w:val="fr-FR"/>
        </w:rPr>
        <w:t>’</w:t>
      </w:r>
      <w:r w:rsidRPr="00267A6E">
        <w:rPr>
          <w:lang w:val="fr-FR"/>
        </w:rPr>
        <w:t>évaluation stratégique environnementale (</w:t>
      </w:r>
      <w:r w:rsidR="00D82B54" w:rsidRPr="00267A6E">
        <w:rPr>
          <w:lang w:val="fr-FR"/>
        </w:rPr>
        <w:t>art</w:t>
      </w:r>
      <w:r w:rsidR="00967A77" w:rsidRPr="00267A6E">
        <w:rPr>
          <w:lang w:val="fr-FR"/>
        </w:rPr>
        <w:t>.</w:t>
      </w:r>
      <w:r w:rsidR="00D82B54" w:rsidRPr="00267A6E">
        <w:rPr>
          <w:lang w:val="fr-FR"/>
        </w:rPr>
        <w:t> </w:t>
      </w:r>
      <w:r w:rsidRPr="00267A6E">
        <w:rPr>
          <w:lang w:val="fr-FR"/>
        </w:rPr>
        <w:t>8 (</w:t>
      </w:r>
      <w:r w:rsidR="00D82B54" w:rsidRPr="00267A6E">
        <w:rPr>
          <w:lang w:val="fr-FR"/>
        </w:rPr>
        <w:t>par</w:t>
      </w:r>
      <w:r w:rsidR="00967A77" w:rsidRPr="00267A6E">
        <w:rPr>
          <w:lang w:val="fr-FR"/>
        </w:rPr>
        <w:t>.</w:t>
      </w:r>
      <w:r w:rsidR="00D82B54" w:rsidRPr="00267A6E">
        <w:rPr>
          <w:lang w:val="fr-FR"/>
        </w:rPr>
        <w:t> </w:t>
      </w:r>
      <w:r w:rsidRPr="00267A6E">
        <w:rPr>
          <w:lang w:val="fr-FR"/>
        </w:rPr>
        <w:t>1))</w:t>
      </w:r>
      <w:r w:rsidR="00967A77" w:rsidRPr="00267A6E">
        <w:rPr>
          <w:lang w:val="fr-FR"/>
        </w:rPr>
        <w:t>.</w:t>
      </w:r>
      <w:r w:rsidRPr="00267A6E">
        <w:rPr>
          <w:lang w:val="fr-FR"/>
        </w:rPr>
        <w:t xml:space="preserve"> En particulier, les Parties tâchent de donner au public concerné la possibilité de participer à la vérification préliminaire des plans et programmes (</w:t>
      </w:r>
      <w:r w:rsidR="00D82B54" w:rsidRPr="00267A6E">
        <w:rPr>
          <w:lang w:val="fr-FR"/>
        </w:rPr>
        <w:t>art</w:t>
      </w:r>
      <w:r w:rsidR="00967A77" w:rsidRPr="00267A6E">
        <w:rPr>
          <w:lang w:val="fr-FR"/>
        </w:rPr>
        <w:t>.</w:t>
      </w:r>
      <w:r w:rsidR="00D82B54" w:rsidRPr="00267A6E">
        <w:rPr>
          <w:lang w:val="fr-FR"/>
        </w:rPr>
        <w:t> </w:t>
      </w:r>
      <w:r w:rsidRPr="00267A6E">
        <w:rPr>
          <w:lang w:val="fr-FR"/>
        </w:rPr>
        <w:t>5 (</w:t>
      </w:r>
      <w:r w:rsidR="00D82B54" w:rsidRPr="00267A6E">
        <w:rPr>
          <w:lang w:val="fr-FR"/>
        </w:rPr>
        <w:t>par</w:t>
      </w:r>
      <w:r w:rsidR="00967A77" w:rsidRPr="00267A6E">
        <w:rPr>
          <w:lang w:val="fr-FR"/>
        </w:rPr>
        <w:t>.</w:t>
      </w:r>
      <w:r w:rsidR="00D82B54" w:rsidRPr="00267A6E">
        <w:rPr>
          <w:lang w:val="fr-FR"/>
        </w:rPr>
        <w:t> </w:t>
      </w:r>
      <w:r w:rsidRPr="00267A6E">
        <w:rPr>
          <w:lang w:val="fr-FR"/>
        </w:rPr>
        <w:t>3)), à la détermination des informations à consigner dans le rapport environnemental (</w:t>
      </w:r>
      <w:r w:rsidR="00D82B54" w:rsidRPr="00267A6E">
        <w:rPr>
          <w:lang w:val="fr-FR"/>
        </w:rPr>
        <w:t>art</w:t>
      </w:r>
      <w:r w:rsidR="00967A77" w:rsidRPr="00267A6E">
        <w:rPr>
          <w:lang w:val="fr-FR"/>
        </w:rPr>
        <w:t>.</w:t>
      </w:r>
      <w:r w:rsidR="00D82B54" w:rsidRPr="00267A6E">
        <w:rPr>
          <w:lang w:val="fr-FR"/>
        </w:rPr>
        <w:t> </w:t>
      </w:r>
      <w:r w:rsidRPr="00267A6E">
        <w:rPr>
          <w:lang w:val="fr-FR"/>
        </w:rPr>
        <w:t>6 (</w:t>
      </w:r>
      <w:r w:rsidR="00D82B54" w:rsidRPr="00267A6E">
        <w:rPr>
          <w:lang w:val="fr-FR"/>
        </w:rPr>
        <w:t>par</w:t>
      </w:r>
      <w:r w:rsidR="00967A77" w:rsidRPr="00267A6E">
        <w:rPr>
          <w:lang w:val="fr-FR"/>
        </w:rPr>
        <w:t>.</w:t>
      </w:r>
      <w:r w:rsidR="00D82B54" w:rsidRPr="00267A6E">
        <w:rPr>
          <w:lang w:val="fr-FR"/>
        </w:rPr>
        <w:t> </w:t>
      </w:r>
      <w:r w:rsidRPr="00267A6E">
        <w:rPr>
          <w:lang w:val="fr-FR"/>
        </w:rPr>
        <w:t>3)) et à l</w:t>
      </w:r>
      <w:r w:rsidR="00D82B54" w:rsidRPr="00267A6E">
        <w:rPr>
          <w:lang w:val="fr-FR"/>
        </w:rPr>
        <w:t>’</w:t>
      </w:r>
      <w:r w:rsidRPr="00267A6E">
        <w:rPr>
          <w:lang w:val="fr-FR"/>
        </w:rPr>
        <w:t>élaboration du projet de rapport environnemental (</w:t>
      </w:r>
      <w:r w:rsidR="00D82B54" w:rsidRPr="00267A6E">
        <w:rPr>
          <w:lang w:val="fr-FR"/>
        </w:rPr>
        <w:t>art</w:t>
      </w:r>
      <w:r w:rsidR="00967A77" w:rsidRPr="00267A6E">
        <w:rPr>
          <w:lang w:val="fr-FR"/>
        </w:rPr>
        <w:t>.</w:t>
      </w:r>
      <w:r w:rsidR="00D82B54" w:rsidRPr="00267A6E">
        <w:rPr>
          <w:lang w:val="fr-FR"/>
        </w:rPr>
        <w:t> </w:t>
      </w:r>
      <w:r w:rsidRPr="00267A6E">
        <w:rPr>
          <w:lang w:val="fr-FR"/>
        </w:rPr>
        <w:t>8 (</w:t>
      </w:r>
      <w:r w:rsidR="00D82B54" w:rsidRPr="00267A6E">
        <w:rPr>
          <w:lang w:val="fr-FR"/>
        </w:rPr>
        <w:t>par</w:t>
      </w:r>
      <w:r w:rsidR="00967A77" w:rsidRPr="00267A6E">
        <w:rPr>
          <w:lang w:val="fr-FR"/>
        </w:rPr>
        <w:t>.</w:t>
      </w:r>
      <w:r w:rsidR="00D82B54" w:rsidRPr="00267A6E">
        <w:rPr>
          <w:lang w:val="fr-FR"/>
        </w:rPr>
        <w:t> </w:t>
      </w:r>
      <w:r w:rsidRPr="00267A6E">
        <w:rPr>
          <w:lang w:val="fr-FR"/>
        </w:rPr>
        <w:t>4))</w:t>
      </w:r>
      <w:r w:rsidR="00967A77" w:rsidRPr="00267A6E">
        <w:rPr>
          <w:lang w:val="fr-FR"/>
        </w:rPr>
        <w:t>.</w:t>
      </w:r>
      <w:r w:rsidRPr="00267A6E">
        <w:rPr>
          <w:lang w:val="fr-FR"/>
        </w:rPr>
        <w:t xml:space="preserve"> Elles doivent veiller à ce que le public concerné (y compris les ONG intéressées) soit identifié et que « les dispositions précises à prendre pour informer le public et consulter le public concerné soient arrêtées et rendues publiques » (</w:t>
      </w:r>
      <w:r w:rsidR="00D82B54" w:rsidRPr="00267A6E">
        <w:rPr>
          <w:lang w:val="fr-FR"/>
        </w:rPr>
        <w:t>art</w:t>
      </w:r>
      <w:r w:rsidR="00967A77" w:rsidRPr="00267A6E">
        <w:rPr>
          <w:lang w:val="fr-FR"/>
        </w:rPr>
        <w:t>.</w:t>
      </w:r>
      <w:r w:rsidR="00D82B54" w:rsidRPr="00267A6E">
        <w:rPr>
          <w:lang w:val="fr-FR"/>
        </w:rPr>
        <w:t> </w:t>
      </w:r>
      <w:r w:rsidRPr="00267A6E">
        <w:rPr>
          <w:lang w:val="fr-FR"/>
        </w:rPr>
        <w:t>8 (</w:t>
      </w:r>
      <w:r w:rsidR="00D82B54" w:rsidRPr="00267A6E">
        <w:rPr>
          <w:lang w:val="fr-FR"/>
        </w:rPr>
        <w:t>par</w:t>
      </w:r>
      <w:r w:rsidR="00967A77" w:rsidRPr="00267A6E">
        <w:rPr>
          <w:lang w:val="fr-FR"/>
        </w:rPr>
        <w:t>.</w:t>
      </w:r>
      <w:r w:rsidR="00D82B54" w:rsidRPr="00267A6E">
        <w:rPr>
          <w:lang w:val="fr-FR"/>
        </w:rPr>
        <w:t> </w:t>
      </w:r>
      <w:r w:rsidRPr="00267A6E">
        <w:rPr>
          <w:lang w:val="fr-FR"/>
        </w:rPr>
        <w:t>5))</w:t>
      </w:r>
      <w:r w:rsidR="00D82B54" w:rsidRPr="00267A6E">
        <w:rPr>
          <w:lang w:val="fr-FR"/>
        </w:rPr>
        <w:t> ;</w:t>
      </w:r>
    </w:p>
    <w:p w14:paraId="52B5CC91" w14:textId="75D7D0E8" w:rsidR="003373A7" w:rsidRPr="00267A6E" w:rsidRDefault="003373A7" w:rsidP="004D5ED6">
      <w:pPr>
        <w:pStyle w:val="SingleTxtG"/>
        <w:ind w:firstLine="567"/>
        <w:rPr>
          <w:lang w:val="fr-FR"/>
        </w:rPr>
      </w:pPr>
      <w:r w:rsidRPr="00267A6E">
        <w:rPr>
          <w:lang w:val="fr-FR"/>
        </w:rPr>
        <w:t>f)</w:t>
      </w:r>
      <w:r w:rsidRPr="00267A6E">
        <w:rPr>
          <w:lang w:val="fr-FR"/>
        </w:rPr>
        <w:tab/>
        <w:t>Consultations transfrontières</w:t>
      </w:r>
      <w:r w:rsidR="00D82B54" w:rsidRPr="00267A6E">
        <w:rPr>
          <w:lang w:val="fr-FR"/>
        </w:rPr>
        <w:t> :</w:t>
      </w:r>
      <w:r w:rsidRPr="00267A6E">
        <w:rPr>
          <w:lang w:val="fr-FR"/>
        </w:rPr>
        <w:t xml:space="preserve"> l</w:t>
      </w:r>
      <w:r w:rsidR="00D82B54" w:rsidRPr="00267A6E">
        <w:rPr>
          <w:lang w:val="fr-FR"/>
        </w:rPr>
        <w:t>’article </w:t>
      </w:r>
      <w:r w:rsidRPr="00267A6E">
        <w:rPr>
          <w:lang w:val="fr-FR"/>
        </w:rPr>
        <w:t>10 prévoit l</w:t>
      </w:r>
      <w:r w:rsidR="00D82B54" w:rsidRPr="00267A6E">
        <w:rPr>
          <w:lang w:val="fr-FR"/>
        </w:rPr>
        <w:t>’</w:t>
      </w:r>
      <w:r w:rsidRPr="00267A6E">
        <w:rPr>
          <w:lang w:val="fr-FR"/>
        </w:rPr>
        <w:t>obligation de mener des consultations transfrontières « [l]orsqu</w:t>
      </w:r>
      <w:r w:rsidR="00D82B54" w:rsidRPr="00267A6E">
        <w:rPr>
          <w:lang w:val="fr-FR"/>
        </w:rPr>
        <w:t>’</w:t>
      </w:r>
      <w:r w:rsidRPr="00267A6E">
        <w:rPr>
          <w:lang w:val="fr-FR"/>
        </w:rPr>
        <w:t>une Partie d</w:t>
      </w:r>
      <w:r w:rsidR="00D82B54" w:rsidRPr="00267A6E">
        <w:rPr>
          <w:lang w:val="fr-FR"/>
        </w:rPr>
        <w:t>’</w:t>
      </w:r>
      <w:r w:rsidRPr="00267A6E">
        <w:rPr>
          <w:lang w:val="fr-FR"/>
        </w:rPr>
        <w:t>origine considère que la mise en œuvre d</w:t>
      </w:r>
      <w:r w:rsidR="00D82B54" w:rsidRPr="00267A6E">
        <w:rPr>
          <w:lang w:val="fr-FR"/>
        </w:rPr>
        <w:t>’</w:t>
      </w:r>
      <w:r w:rsidRPr="00267A6E">
        <w:rPr>
          <w:lang w:val="fr-FR"/>
        </w:rPr>
        <w:t>un plan ou d</w:t>
      </w:r>
      <w:r w:rsidR="00D82B54" w:rsidRPr="00267A6E">
        <w:rPr>
          <w:lang w:val="fr-FR"/>
        </w:rPr>
        <w:t>’</w:t>
      </w:r>
      <w:r w:rsidRPr="00267A6E">
        <w:rPr>
          <w:lang w:val="fr-FR"/>
        </w:rPr>
        <w:t>un programme est susceptible d</w:t>
      </w:r>
      <w:r w:rsidR="00D82B54" w:rsidRPr="00267A6E">
        <w:rPr>
          <w:lang w:val="fr-FR"/>
        </w:rPr>
        <w:t>’</w:t>
      </w:r>
      <w:r w:rsidRPr="00267A6E">
        <w:rPr>
          <w:lang w:val="fr-FR"/>
        </w:rPr>
        <w:t>avoir des effets transfrontières notables sur l</w:t>
      </w:r>
      <w:r w:rsidR="00D82B54" w:rsidRPr="00267A6E">
        <w:rPr>
          <w:lang w:val="fr-FR"/>
        </w:rPr>
        <w:t>’</w:t>
      </w:r>
      <w:r w:rsidRPr="00267A6E">
        <w:rPr>
          <w:lang w:val="fr-FR"/>
        </w:rPr>
        <w:t>environnement, y compris sur la santé, ou lorsqu</w:t>
      </w:r>
      <w:r w:rsidR="00D82B54" w:rsidRPr="00267A6E">
        <w:rPr>
          <w:lang w:val="fr-FR"/>
        </w:rPr>
        <w:t>’</w:t>
      </w:r>
      <w:r w:rsidRPr="00267A6E">
        <w:rPr>
          <w:lang w:val="fr-FR"/>
        </w:rPr>
        <w:t>une Partie susceptible d</w:t>
      </w:r>
      <w:r w:rsidR="00D82B54" w:rsidRPr="00267A6E">
        <w:rPr>
          <w:lang w:val="fr-FR"/>
        </w:rPr>
        <w:t>’</w:t>
      </w:r>
      <w:r w:rsidRPr="00267A6E">
        <w:rPr>
          <w:lang w:val="fr-FR"/>
        </w:rPr>
        <w:t>être touchée [</w:t>
      </w:r>
      <w:r w:rsidR="00967A77" w:rsidRPr="00267A6E">
        <w:rPr>
          <w:lang w:val="fr-FR"/>
        </w:rPr>
        <w:t>...</w:t>
      </w:r>
      <w:r w:rsidRPr="00267A6E">
        <w:rPr>
          <w:lang w:val="fr-FR"/>
        </w:rPr>
        <w:t>] en fait la demande »</w:t>
      </w:r>
      <w:r w:rsidR="00D82B54" w:rsidRPr="00267A6E">
        <w:rPr>
          <w:lang w:val="fr-FR"/>
        </w:rPr>
        <w:t> ;</w:t>
      </w:r>
    </w:p>
    <w:p w14:paraId="2375BC6E" w14:textId="14475B3F" w:rsidR="003373A7" w:rsidRPr="00267A6E" w:rsidRDefault="003373A7" w:rsidP="004D5ED6">
      <w:pPr>
        <w:pStyle w:val="SingleTxtG"/>
        <w:ind w:firstLine="567"/>
        <w:rPr>
          <w:lang w:val="fr-FR"/>
        </w:rPr>
      </w:pPr>
      <w:r w:rsidRPr="00267A6E">
        <w:rPr>
          <w:lang w:val="fr-FR"/>
        </w:rPr>
        <w:t>g)</w:t>
      </w:r>
      <w:r w:rsidRPr="00267A6E">
        <w:rPr>
          <w:lang w:val="fr-FR"/>
        </w:rPr>
        <w:tab/>
        <w:t>Décision définitive</w:t>
      </w:r>
      <w:r w:rsidR="00D82B54" w:rsidRPr="00267A6E">
        <w:rPr>
          <w:lang w:val="fr-FR"/>
        </w:rPr>
        <w:t> :</w:t>
      </w:r>
      <w:r w:rsidRPr="00267A6E">
        <w:rPr>
          <w:lang w:val="fr-FR"/>
        </w:rPr>
        <w:t xml:space="preserve"> l</w:t>
      </w:r>
      <w:r w:rsidR="00D82B54" w:rsidRPr="00267A6E">
        <w:rPr>
          <w:lang w:val="fr-FR"/>
        </w:rPr>
        <w:t>’article </w:t>
      </w:r>
      <w:r w:rsidRPr="00267A6E">
        <w:rPr>
          <w:lang w:val="fr-FR"/>
        </w:rPr>
        <w:t>11 (</w:t>
      </w:r>
      <w:r w:rsidR="00D82B54" w:rsidRPr="00267A6E">
        <w:rPr>
          <w:lang w:val="fr-FR"/>
        </w:rPr>
        <w:t>par</w:t>
      </w:r>
      <w:r w:rsidR="00967A77" w:rsidRPr="00267A6E">
        <w:rPr>
          <w:lang w:val="fr-FR"/>
        </w:rPr>
        <w:t>.</w:t>
      </w:r>
      <w:r w:rsidR="00D82B54" w:rsidRPr="00267A6E">
        <w:rPr>
          <w:lang w:val="fr-FR"/>
        </w:rPr>
        <w:t> </w:t>
      </w:r>
      <w:r w:rsidRPr="00267A6E">
        <w:rPr>
          <w:lang w:val="fr-FR"/>
        </w:rPr>
        <w:t>1) dispose que la décision des Parties d</w:t>
      </w:r>
      <w:r w:rsidR="00D82B54" w:rsidRPr="00267A6E">
        <w:rPr>
          <w:lang w:val="fr-FR"/>
        </w:rPr>
        <w:t>’</w:t>
      </w:r>
      <w:r w:rsidRPr="00267A6E">
        <w:rPr>
          <w:lang w:val="fr-FR"/>
        </w:rPr>
        <w:t>adopter un plan ou un programme doit tenir « dûment compte » des conclusions de l</w:t>
      </w:r>
      <w:r w:rsidR="00D82B54" w:rsidRPr="00267A6E">
        <w:rPr>
          <w:lang w:val="fr-FR"/>
        </w:rPr>
        <w:t>’</w:t>
      </w:r>
      <w:r w:rsidRPr="00267A6E">
        <w:rPr>
          <w:lang w:val="fr-FR"/>
        </w:rPr>
        <w:t>évaluation stratégique environnementale, y compris, le cas échéant, des consultations transfrontières</w:t>
      </w:r>
      <w:r w:rsidR="00967A77" w:rsidRPr="00267A6E">
        <w:rPr>
          <w:lang w:val="fr-FR"/>
        </w:rPr>
        <w:t>.</w:t>
      </w:r>
      <w:r w:rsidRPr="00267A6E">
        <w:rPr>
          <w:lang w:val="fr-FR"/>
        </w:rPr>
        <w:t xml:space="preserve"> Les autorités doivent préciser la manière dont les considérations environnementales, notamment en ce qui concerne la santé, ont été intégrées et les observations ont été prises en considération ainsi que « les raisons de [l</w:t>
      </w:r>
      <w:r w:rsidR="00D82B54" w:rsidRPr="00267A6E">
        <w:rPr>
          <w:lang w:val="fr-FR"/>
        </w:rPr>
        <w:t>’</w:t>
      </w:r>
      <w:r w:rsidRPr="00267A6E">
        <w:rPr>
          <w:lang w:val="fr-FR"/>
        </w:rPr>
        <w:t>]adoption [du plan ou programme] compte tenu des autres solutions raisonnables qui avaient été envisagées » (</w:t>
      </w:r>
      <w:r w:rsidR="00D82B54" w:rsidRPr="00267A6E">
        <w:rPr>
          <w:lang w:val="fr-FR"/>
        </w:rPr>
        <w:t>art</w:t>
      </w:r>
      <w:r w:rsidR="00967A77" w:rsidRPr="00267A6E">
        <w:rPr>
          <w:lang w:val="fr-FR"/>
        </w:rPr>
        <w:t>.</w:t>
      </w:r>
      <w:r w:rsidR="00D82B54" w:rsidRPr="00267A6E">
        <w:rPr>
          <w:lang w:val="fr-FR"/>
        </w:rPr>
        <w:t> </w:t>
      </w:r>
      <w:r w:rsidRPr="00267A6E">
        <w:rPr>
          <w:lang w:val="fr-FR"/>
        </w:rPr>
        <w:t>11 (</w:t>
      </w:r>
      <w:r w:rsidR="00D82B54" w:rsidRPr="00267A6E">
        <w:rPr>
          <w:lang w:val="fr-FR"/>
        </w:rPr>
        <w:t>par</w:t>
      </w:r>
      <w:r w:rsidR="00967A77" w:rsidRPr="00267A6E">
        <w:rPr>
          <w:lang w:val="fr-FR"/>
        </w:rPr>
        <w:t>.</w:t>
      </w:r>
      <w:r w:rsidR="00D82B54" w:rsidRPr="00267A6E">
        <w:rPr>
          <w:lang w:val="fr-FR"/>
        </w:rPr>
        <w:t> </w:t>
      </w:r>
      <w:r w:rsidRPr="00267A6E">
        <w:rPr>
          <w:lang w:val="fr-FR"/>
        </w:rPr>
        <w:t>2))</w:t>
      </w:r>
      <w:r w:rsidR="00D82B54" w:rsidRPr="00267A6E">
        <w:rPr>
          <w:lang w:val="fr-FR"/>
        </w:rPr>
        <w:t> ;</w:t>
      </w:r>
    </w:p>
    <w:p w14:paraId="76CA950F" w14:textId="1D9C7969" w:rsidR="003373A7" w:rsidRPr="00267A6E" w:rsidRDefault="003373A7" w:rsidP="004D5ED6">
      <w:pPr>
        <w:pStyle w:val="SingleTxtG"/>
        <w:ind w:firstLine="567"/>
        <w:rPr>
          <w:lang w:val="fr-FR"/>
        </w:rPr>
      </w:pPr>
      <w:r w:rsidRPr="00267A6E">
        <w:rPr>
          <w:lang w:val="fr-FR"/>
        </w:rPr>
        <w:t>h)</w:t>
      </w:r>
      <w:r w:rsidRPr="00267A6E">
        <w:rPr>
          <w:lang w:val="fr-FR"/>
        </w:rPr>
        <w:tab/>
        <w:t>Suivi</w:t>
      </w:r>
      <w:r w:rsidR="00D82B54" w:rsidRPr="00267A6E">
        <w:rPr>
          <w:lang w:val="fr-FR"/>
        </w:rPr>
        <w:t> :</w:t>
      </w:r>
      <w:r w:rsidRPr="00267A6E">
        <w:rPr>
          <w:lang w:val="fr-FR"/>
        </w:rPr>
        <w:t xml:space="preserve"> chaque Partie est tenue d</w:t>
      </w:r>
      <w:r w:rsidR="00D82B54" w:rsidRPr="00267A6E">
        <w:rPr>
          <w:lang w:val="fr-FR"/>
        </w:rPr>
        <w:t>’</w:t>
      </w:r>
      <w:r w:rsidRPr="00267A6E">
        <w:rPr>
          <w:lang w:val="fr-FR"/>
        </w:rPr>
        <w:t>assurer le suivi des effets notables sur l</w:t>
      </w:r>
      <w:r w:rsidR="00D82B54" w:rsidRPr="00267A6E">
        <w:rPr>
          <w:lang w:val="fr-FR"/>
        </w:rPr>
        <w:t>’</w:t>
      </w:r>
      <w:r w:rsidRPr="00267A6E">
        <w:rPr>
          <w:lang w:val="fr-FR"/>
        </w:rPr>
        <w:t>environnement, y compris sur la santé, de la mise en œuvre des plans et programmes adoptés au titre du Protocole (</w:t>
      </w:r>
      <w:r w:rsidR="00D82B54" w:rsidRPr="00267A6E">
        <w:rPr>
          <w:lang w:val="fr-FR"/>
        </w:rPr>
        <w:t>art</w:t>
      </w:r>
      <w:r w:rsidR="00967A77" w:rsidRPr="00267A6E">
        <w:rPr>
          <w:lang w:val="fr-FR"/>
        </w:rPr>
        <w:t>.</w:t>
      </w:r>
      <w:r w:rsidR="00D82B54" w:rsidRPr="00267A6E">
        <w:rPr>
          <w:lang w:val="fr-FR"/>
        </w:rPr>
        <w:t> </w:t>
      </w:r>
      <w:r w:rsidRPr="00267A6E">
        <w:rPr>
          <w:lang w:val="fr-FR"/>
        </w:rPr>
        <w:t>12 (</w:t>
      </w:r>
      <w:r w:rsidR="00D82B54" w:rsidRPr="00267A6E">
        <w:rPr>
          <w:lang w:val="fr-FR"/>
        </w:rPr>
        <w:t>par</w:t>
      </w:r>
      <w:r w:rsidR="00967A77" w:rsidRPr="00267A6E">
        <w:rPr>
          <w:lang w:val="fr-FR"/>
        </w:rPr>
        <w:t>.</w:t>
      </w:r>
      <w:r w:rsidR="00D82B54" w:rsidRPr="00267A6E">
        <w:rPr>
          <w:lang w:val="fr-FR"/>
        </w:rPr>
        <w:t> </w:t>
      </w:r>
      <w:r w:rsidRPr="00267A6E">
        <w:rPr>
          <w:lang w:val="fr-FR"/>
        </w:rPr>
        <w:t>1))</w:t>
      </w:r>
      <w:r w:rsidR="00967A77" w:rsidRPr="00267A6E">
        <w:rPr>
          <w:lang w:val="fr-FR"/>
        </w:rPr>
        <w:t>.</w:t>
      </w:r>
    </w:p>
    <w:p w14:paraId="54C55D21" w14:textId="2F3C7883" w:rsidR="003373A7" w:rsidRPr="00267A6E" w:rsidRDefault="003373A7" w:rsidP="006528B0">
      <w:pPr>
        <w:pStyle w:val="SingleTxtG"/>
        <w:rPr>
          <w:lang w:val="fr-FR"/>
        </w:rPr>
      </w:pPr>
      <w:r w:rsidRPr="00267A6E">
        <w:rPr>
          <w:lang w:val="fr-FR"/>
        </w:rPr>
        <w:t>14</w:t>
      </w:r>
      <w:r w:rsidR="00967A77" w:rsidRPr="00267A6E">
        <w:rPr>
          <w:lang w:val="fr-FR"/>
        </w:rPr>
        <w:t>.</w:t>
      </w:r>
      <w:r w:rsidRPr="00267A6E">
        <w:rPr>
          <w:lang w:val="fr-FR"/>
        </w:rPr>
        <w:tab/>
        <w:t>Le Manuel pratique destiné à appuyer l</w:t>
      </w:r>
      <w:r w:rsidR="00D82B54" w:rsidRPr="00267A6E">
        <w:rPr>
          <w:lang w:val="fr-FR"/>
        </w:rPr>
        <w:t>’</w:t>
      </w:r>
      <w:r w:rsidRPr="00267A6E">
        <w:rPr>
          <w:lang w:val="fr-FR"/>
        </w:rPr>
        <w:t>application du Protocole relatif à l</w:t>
      </w:r>
      <w:r w:rsidR="00D82B54" w:rsidRPr="00267A6E">
        <w:rPr>
          <w:lang w:val="fr-FR"/>
        </w:rPr>
        <w:t>’</w:t>
      </w:r>
      <w:r w:rsidRPr="00267A6E">
        <w:rPr>
          <w:lang w:val="fr-FR"/>
        </w:rPr>
        <w:t>évaluation stratégique environnementale</w:t>
      </w:r>
      <w:r w:rsidRPr="00267A6E">
        <w:rPr>
          <w:vertAlign w:val="superscript"/>
          <w:lang w:val="fr-FR"/>
        </w:rPr>
        <w:t xml:space="preserve">14 </w:t>
      </w:r>
      <w:r w:rsidRPr="00267A6E">
        <w:rPr>
          <w:lang w:val="fr-FR"/>
        </w:rPr>
        <w:t>souligne le rôle que ce processus peut jouer dans l</w:t>
      </w:r>
      <w:r w:rsidR="00D82B54" w:rsidRPr="00267A6E">
        <w:rPr>
          <w:lang w:val="fr-FR"/>
        </w:rPr>
        <w:t>’</w:t>
      </w:r>
      <w:r w:rsidRPr="00267A6E">
        <w:rPr>
          <w:lang w:val="fr-FR"/>
        </w:rPr>
        <w:t>examen de solutions de remplacement et dans la prise de décisions en faveur du développement durable</w:t>
      </w:r>
      <w:r w:rsidR="00967A77" w:rsidRPr="00267A6E">
        <w:rPr>
          <w:lang w:val="fr-FR"/>
        </w:rPr>
        <w:t>.</w:t>
      </w:r>
    </w:p>
    <w:p w14:paraId="32929E6B" w14:textId="0C0A4B74" w:rsidR="003373A7" w:rsidRPr="00267A6E" w:rsidRDefault="003373A7" w:rsidP="006528B0">
      <w:pPr>
        <w:pStyle w:val="HChG"/>
        <w:rPr>
          <w:lang w:val="fr-FR"/>
        </w:rPr>
      </w:pPr>
      <w:r w:rsidRPr="00267A6E">
        <w:rPr>
          <w:lang w:val="fr-FR"/>
        </w:rPr>
        <w:tab/>
        <w:t>II</w:t>
      </w:r>
      <w:r w:rsidR="00967A77" w:rsidRPr="00267A6E">
        <w:rPr>
          <w:lang w:val="fr-FR"/>
        </w:rPr>
        <w:t>.</w:t>
      </w:r>
      <w:r w:rsidRPr="00267A6E">
        <w:rPr>
          <w:lang w:val="fr-FR"/>
        </w:rPr>
        <w:tab/>
        <w:t>Transition énergétique</w:t>
      </w:r>
    </w:p>
    <w:p w14:paraId="4ABCFA72" w14:textId="70B7CB24" w:rsidR="00C25C7D" w:rsidRPr="00267A6E" w:rsidRDefault="003373A7" w:rsidP="006528B0">
      <w:pPr>
        <w:pStyle w:val="H1G"/>
        <w:rPr>
          <w:lang w:val="fr-FR"/>
        </w:rPr>
      </w:pPr>
      <w:r w:rsidRPr="00267A6E">
        <w:rPr>
          <w:lang w:val="fr-FR"/>
        </w:rPr>
        <w:tab/>
        <w:t>A</w:t>
      </w:r>
      <w:r w:rsidR="00967A77" w:rsidRPr="00267A6E">
        <w:rPr>
          <w:lang w:val="fr-FR"/>
        </w:rPr>
        <w:t>.</w:t>
      </w:r>
      <w:r w:rsidRPr="00267A6E">
        <w:rPr>
          <w:lang w:val="fr-FR"/>
        </w:rPr>
        <w:tab/>
        <w:t>Présentation du concept</w:t>
      </w:r>
    </w:p>
    <w:p w14:paraId="142CDD56" w14:textId="7A20B5D0" w:rsidR="003373A7" w:rsidRPr="00267A6E" w:rsidRDefault="003373A7" w:rsidP="006528B0">
      <w:pPr>
        <w:pStyle w:val="SingleTxtG"/>
        <w:rPr>
          <w:lang w:val="fr-FR"/>
        </w:rPr>
      </w:pPr>
      <w:r w:rsidRPr="00267A6E">
        <w:rPr>
          <w:lang w:val="fr-FR"/>
        </w:rPr>
        <w:t>15</w:t>
      </w:r>
      <w:r w:rsidR="00967A77" w:rsidRPr="00267A6E">
        <w:rPr>
          <w:lang w:val="fr-FR"/>
        </w:rPr>
        <w:t>.</w:t>
      </w:r>
      <w:r w:rsidRPr="00267A6E">
        <w:rPr>
          <w:lang w:val="fr-FR"/>
        </w:rPr>
        <w:tab/>
        <w:t>Dans son sixième rapport d</w:t>
      </w:r>
      <w:r w:rsidR="00D82B54" w:rsidRPr="00267A6E">
        <w:rPr>
          <w:lang w:val="fr-FR"/>
        </w:rPr>
        <w:t>’</w:t>
      </w:r>
      <w:r w:rsidRPr="00267A6E">
        <w:rPr>
          <w:lang w:val="fr-FR"/>
        </w:rPr>
        <w:t>évaluation, le Groupe d</w:t>
      </w:r>
      <w:r w:rsidR="00D82B54" w:rsidRPr="00267A6E">
        <w:rPr>
          <w:lang w:val="fr-FR"/>
        </w:rPr>
        <w:t>’</w:t>
      </w:r>
      <w:r w:rsidRPr="00267A6E">
        <w:rPr>
          <w:lang w:val="fr-FR"/>
        </w:rPr>
        <w:t>experts intergouvernemental sur l</w:t>
      </w:r>
      <w:r w:rsidR="00D82B54" w:rsidRPr="00267A6E">
        <w:rPr>
          <w:lang w:val="fr-FR"/>
        </w:rPr>
        <w:t>’</w:t>
      </w:r>
      <w:r w:rsidRPr="00267A6E">
        <w:rPr>
          <w:lang w:val="fr-FR"/>
        </w:rPr>
        <w:t>évolution du climat définit la « transition » comme le passage d</w:t>
      </w:r>
      <w:r w:rsidR="00D82B54" w:rsidRPr="00267A6E">
        <w:rPr>
          <w:lang w:val="fr-FR"/>
        </w:rPr>
        <w:t>’</w:t>
      </w:r>
      <w:r w:rsidRPr="00267A6E">
        <w:rPr>
          <w:lang w:val="fr-FR"/>
        </w:rPr>
        <w:t>un état à un autre ou d</w:t>
      </w:r>
      <w:r w:rsidR="00D82B54" w:rsidRPr="00267A6E">
        <w:rPr>
          <w:lang w:val="fr-FR"/>
        </w:rPr>
        <w:t>’</w:t>
      </w:r>
      <w:r w:rsidRPr="00267A6E">
        <w:rPr>
          <w:lang w:val="fr-FR"/>
        </w:rPr>
        <w:t>une condition à une autre dans un laps de temps donné</w:t>
      </w:r>
      <w:r w:rsidR="00967A77" w:rsidRPr="00267A6E">
        <w:rPr>
          <w:lang w:val="fr-FR"/>
        </w:rPr>
        <w:t>.</w:t>
      </w:r>
      <w:r w:rsidRPr="00267A6E">
        <w:rPr>
          <w:lang w:val="fr-FR"/>
        </w:rPr>
        <w:t xml:space="preserve"> La transition peut concerner des individus, des entreprises, des villes, des régions et des nations, et peut être progressive ou radicale</w:t>
      </w:r>
      <w:r w:rsidRPr="00267A6E">
        <w:rPr>
          <w:rStyle w:val="FootnoteReference"/>
          <w:lang w:val="fr-FR"/>
        </w:rPr>
        <w:footnoteReference w:id="16"/>
      </w:r>
      <w:r w:rsidR="00967A77" w:rsidRPr="00267A6E">
        <w:rPr>
          <w:lang w:val="fr-FR"/>
        </w:rPr>
        <w:t>.</w:t>
      </w:r>
      <w:r w:rsidRPr="00267A6E">
        <w:rPr>
          <w:lang w:val="fr-FR"/>
        </w:rPr>
        <w:t xml:space="preserve"> L</w:t>
      </w:r>
      <w:r w:rsidR="00D82B54" w:rsidRPr="00267A6E">
        <w:rPr>
          <w:lang w:val="fr-FR"/>
        </w:rPr>
        <w:t>’</w:t>
      </w:r>
      <w:r w:rsidRPr="00267A6E">
        <w:rPr>
          <w:lang w:val="fr-FR"/>
        </w:rPr>
        <w:t xml:space="preserve">objectif de développement durable </w:t>
      </w:r>
      <w:r w:rsidR="00D82B54" w:rsidRPr="00267A6E">
        <w:rPr>
          <w:lang w:val="fr-FR"/>
        </w:rPr>
        <w:t>n</w:t>
      </w:r>
      <w:r w:rsidR="00D82B54" w:rsidRPr="00267A6E">
        <w:rPr>
          <w:vertAlign w:val="superscript"/>
          <w:lang w:val="fr-FR"/>
        </w:rPr>
        <w:t>o</w:t>
      </w:r>
      <w:r w:rsidR="001A647B" w:rsidRPr="00267A6E">
        <w:rPr>
          <w:lang w:val="fr-FR"/>
        </w:rPr>
        <w:t> </w:t>
      </w:r>
      <w:r w:rsidRPr="00267A6E">
        <w:rPr>
          <w:lang w:val="fr-FR"/>
        </w:rPr>
        <w:t>7, qui doit être atteint à l</w:t>
      </w:r>
      <w:r w:rsidR="00D82B54" w:rsidRPr="00267A6E">
        <w:rPr>
          <w:lang w:val="fr-FR"/>
        </w:rPr>
        <w:t>’</w:t>
      </w:r>
      <w:r w:rsidRPr="00267A6E">
        <w:rPr>
          <w:lang w:val="fr-FR"/>
        </w:rPr>
        <w:t>horizon 2030, consiste à garantir l</w:t>
      </w:r>
      <w:r w:rsidR="00D82B54" w:rsidRPr="00267A6E">
        <w:rPr>
          <w:lang w:val="fr-FR"/>
        </w:rPr>
        <w:t>’</w:t>
      </w:r>
      <w:r w:rsidRPr="00267A6E">
        <w:rPr>
          <w:lang w:val="fr-FR"/>
        </w:rPr>
        <w:t>accès de tous à l</w:t>
      </w:r>
      <w:r w:rsidR="00D82B54" w:rsidRPr="00267A6E">
        <w:rPr>
          <w:lang w:val="fr-FR"/>
        </w:rPr>
        <w:t>’</w:t>
      </w:r>
      <w:r w:rsidRPr="00267A6E">
        <w:rPr>
          <w:lang w:val="fr-FR"/>
        </w:rPr>
        <w:t>énergie, à accroître nettement la part de l</w:t>
      </w:r>
      <w:r w:rsidR="00D82B54" w:rsidRPr="00267A6E">
        <w:rPr>
          <w:lang w:val="fr-FR"/>
        </w:rPr>
        <w:t>’</w:t>
      </w:r>
      <w:r w:rsidRPr="00267A6E">
        <w:rPr>
          <w:lang w:val="fr-FR"/>
        </w:rPr>
        <w:t>énergie renouvelable, à multiplier par deux le taux d</w:t>
      </w:r>
      <w:r w:rsidR="00D82B54" w:rsidRPr="00267A6E">
        <w:rPr>
          <w:lang w:val="fr-FR"/>
        </w:rPr>
        <w:t>’</w:t>
      </w:r>
      <w:r w:rsidRPr="00267A6E">
        <w:rPr>
          <w:lang w:val="fr-FR"/>
        </w:rPr>
        <w:t>amélioration de l</w:t>
      </w:r>
      <w:r w:rsidR="00D82B54" w:rsidRPr="00267A6E">
        <w:rPr>
          <w:lang w:val="fr-FR"/>
        </w:rPr>
        <w:t>’</w:t>
      </w:r>
      <w:r w:rsidRPr="00267A6E">
        <w:rPr>
          <w:lang w:val="fr-FR"/>
        </w:rPr>
        <w:t>efficacité énergétique, à renforcer la coopération internationale en vue de faciliter l</w:t>
      </w:r>
      <w:r w:rsidR="00D82B54" w:rsidRPr="00267A6E">
        <w:rPr>
          <w:lang w:val="fr-FR"/>
        </w:rPr>
        <w:t>’</w:t>
      </w:r>
      <w:r w:rsidRPr="00267A6E">
        <w:rPr>
          <w:lang w:val="fr-FR"/>
        </w:rPr>
        <w:t>accès à l</w:t>
      </w:r>
      <w:r w:rsidR="00D82B54" w:rsidRPr="00267A6E">
        <w:rPr>
          <w:lang w:val="fr-FR"/>
        </w:rPr>
        <w:t>’</w:t>
      </w:r>
      <w:r w:rsidRPr="00267A6E">
        <w:rPr>
          <w:lang w:val="fr-FR"/>
        </w:rPr>
        <w:t>énergie propre et à développer l</w:t>
      </w:r>
      <w:r w:rsidR="00D82B54" w:rsidRPr="00267A6E">
        <w:rPr>
          <w:lang w:val="fr-FR"/>
        </w:rPr>
        <w:t>’</w:t>
      </w:r>
      <w:r w:rsidRPr="00267A6E">
        <w:rPr>
          <w:lang w:val="fr-FR"/>
        </w:rPr>
        <w:t>infrastructure et à améliorer la technologie afin de fournir des services énergétiques modernes et durables à tous les habitants des pays en développement</w:t>
      </w:r>
      <w:r w:rsidRPr="00267A6E">
        <w:rPr>
          <w:rStyle w:val="FootnoteReference"/>
          <w:lang w:val="fr-FR"/>
        </w:rPr>
        <w:footnoteReference w:id="17"/>
      </w:r>
      <w:r w:rsidR="00967A77" w:rsidRPr="00267A6E">
        <w:rPr>
          <w:lang w:val="fr-FR"/>
        </w:rPr>
        <w:t>.</w:t>
      </w:r>
      <w:r w:rsidRPr="00267A6E">
        <w:rPr>
          <w:lang w:val="fr-FR"/>
        </w:rPr>
        <w:t xml:space="preserve"> L</w:t>
      </w:r>
      <w:r w:rsidR="00D82B54" w:rsidRPr="00267A6E">
        <w:rPr>
          <w:lang w:val="fr-FR"/>
        </w:rPr>
        <w:t>’</w:t>
      </w:r>
      <w:r w:rsidRPr="00267A6E">
        <w:rPr>
          <w:lang w:val="fr-FR"/>
        </w:rPr>
        <w:t>un des piliers de la transition énergétique est le passage, à l</w:t>
      </w:r>
      <w:r w:rsidR="00D82B54" w:rsidRPr="00267A6E">
        <w:rPr>
          <w:lang w:val="fr-FR"/>
        </w:rPr>
        <w:t>’</w:t>
      </w:r>
      <w:r w:rsidRPr="00267A6E">
        <w:rPr>
          <w:lang w:val="fr-FR"/>
        </w:rPr>
        <w:t>échelle mondiale, aux énergies renouvelables (et donc à des émissions de carbone faibles ou nulles), mais on considère souvent que cette transition englobe également les évolutions nécessaires des systèmes de distribution de l</w:t>
      </w:r>
      <w:r w:rsidR="00D82B54" w:rsidRPr="00267A6E">
        <w:rPr>
          <w:lang w:val="fr-FR"/>
        </w:rPr>
        <w:t>’</w:t>
      </w:r>
      <w:r w:rsidRPr="00267A6E">
        <w:rPr>
          <w:lang w:val="fr-FR"/>
        </w:rPr>
        <w:t>énergie (par exemple, les réseaux électriques intelligents) et des comportements de consommation</w:t>
      </w:r>
      <w:r w:rsidR="00967A77" w:rsidRPr="00267A6E">
        <w:rPr>
          <w:lang w:val="fr-FR"/>
        </w:rPr>
        <w:t>.</w:t>
      </w:r>
    </w:p>
    <w:p w14:paraId="1833DDB3" w14:textId="1B37C05A" w:rsidR="003373A7" w:rsidRPr="00267A6E" w:rsidRDefault="003373A7" w:rsidP="006528B0">
      <w:pPr>
        <w:pStyle w:val="H1G"/>
        <w:rPr>
          <w:lang w:val="fr-FR"/>
        </w:rPr>
      </w:pPr>
      <w:r w:rsidRPr="00267A6E">
        <w:rPr>
          <w:lang w:val="fr-FR"/>
        </w:rPr>
        <w:tab/>
        <w:t>B</w:t>
      </w:r>
      <w:r w:rsidR="00967A77" w:rsidRPr="00267A6E">
        <w:rPr>
          <w:lang w:val="fr-FR"/>
        </w:rPr>
        <w:t>.</w:t>
      </w:r>
      <w:r w:rsidRPr="00267A6E">
        <w:rPr>
          <w:lang w:val="fr-FR"/>
        </w:rPr>
        <w:tab/>
        <w:t>Cadres de politique générale et objectifs de la transition énergétique</w:t>
      </w:r>
    </w:p>
    <w:p w14:paraId="18CCCB03" w14:textId="021EB41C" w:rsidR="003373A7" w:rsidRPr="00267A6E" w:rsidRDefault="003373A7" w:rsidP="006528B0">
      <w:pPr>
        <w:pStyle w:val="SingleTxtG"/>
        <w:rPr>
          <w:lang w:val="fr-FR"/>
        </w:rPr>
      </w:pPr>
      <w:r w:rsidRPr="00267A6E">
        <w:rPr>
          <w:lang w:val="fr-FR"/>
        </w:rPr>
        <w:t>16</w:t>
      </w:r>
      <w:r w:rsidR="00967A77" w:rsidRPr="00267A6E">
        <w:rPr>
          <w:lang w:val="fr-FR"/>
        </w:rPr>
        <w:t>.</w:t>
      </w:r>
      <w:r w:rsidRPr="00267A6E">
        <w:rPr>
          <w:lang w:val="fr-FR"/>
        </w:rPr>
        <w:tab/>
        <w:t>Au titre de l</w:t>
      </w:r>
      <w:r w:rsidR="00D82B54" w:rsidRPr="00267A6E">
        <w:rPr>
          <w:lang w:val="fr-FR"/>
        </w:rPr>
        <w:t>’</w:t>
      </w:r>
      <w:r w:rsidRPr="00267A6E">
        <w:rPr>
          <w:lang w:val="fr-FR"/>
        </w:rPr>
        <w:t xml:space="preserve">objectif de développement durable </w:t>
      </w:r>
      <w:r w:rsidR="00D82B54" w:rsidRPr="00267A6E">
        <w:rPr>
          <w:lang w:val="fr-FR"/>
        </w:rPr>
        <w:t>n</w:t>
      </w:r>
      <w:r w:rsidR="00D82B54" w:rsidRPr="00267A6E">
        <w:rPr>
          <w:vertAlign w:val="superscript"/>
          <w:lang w:val="fr-FR"/>
        </w:rPr>
        <w:t>o</w:t>
      </w:r>
      <w:r w:rsidR="00954CDD" w:rsidRPr="00267A6E">
        <w:rPr>
          <w:lang w:val="fr-FR"/>
        </w:rPr>
        <w:t> </w:t>
      </w:r>
      <w:r w:rsidRPr="00267A6E">
        <w:rPr>
          <w:lang w:val="fr-FR"/>
        </w:rPr>
        <w:t>13, les États se sont engagés à « prendre d</w:t>
      </w:r>
      <w:r w:rsidR="00D82B54" w:rsidRPr="00267A6E">
        <w:rPr>
          <w:lang w:val="fr-FR"/>
        </w:rPr>
        <w:t>’</w:t>
      </w:r>
      <w:r w:rsidRPr="00267A6E">
        <w:rPr>
          <w:lang w:val="fr-FR"/>
        </w:rPr>
        <w:t>urgence des mesures pour lutter contre les changements climatiques et leurs répercussions »</w:t>
      </w:r>
      <w:r w:rsidRPr="00267A6E">
        <w:rPr>
          <w:rStyle w:val="FootnoteReference"/>
          <w:lang w:val="fr-FR"/>
        </w:rPr>
        <w:footnoteReference w:id="18"/>
      </w:r>
      <w:r w:rsidR="00967A77" w:rsidRPr="00267A6E">
        <w:rPr>
          <w:lang w:val="fr-FR"/>
        </w:rPr>
        <w:t>.</w:t>
      </w:r>
      <w:r w:rsidRPr="00267A6E">
        <w:rPr>
          <w:lang w:val="fr-FR"/>
        </w:rPr>
        <w:t xml:space="preserve"> À l</w:t>
      </w:r>
      <w:r w:rsidR="00D82B54" w:rsidRPr="00267A6E">
        <w:rPr>
          <w:lang w:val="fr-FR"/>
        </w:rPr>
        <w:t>’</w:t>
      </w:r>
      <w:r w:rsidRPr="00267A6E">
        <w:rPr>
          <w:lang w:val="fr-FR"/>
        </w:rPr>
        <w:t>appui de cet objectif, l</w:t>
      </w:r>
      <w:r w:rsidR="00D82B54" w:rsidRPr="00267A6E">
        <w:rPr>
          <w:lang w:val="fr-FR"/>
        </w:rPr>
        <w:t>’</w:t>
      </w:r>
      <w:r w:rsidRPr="00267A6E">
        <w:rPr>
          <w:lang w:val="fr-FR"/>
        </w:rPr>
        <w:t>Accord de Paris de 2015</w:t>
      </w:r>
      <w:r w:rsidRPr="00267A6E">
        <w:rPr>
          <w:rStyle w:val="FootnoteReference"/>
          <w:lang w:val="fr-FR"/>
        </w:rPr>
        <w:footnoteReference w:id="19"/>
      </w:r>
      <w:r w:rsidRPr="00267A6E">
        <w:rPr>
          <w:lang w:val="fr-FR"/>
        </w:rPr>
        <w:t>, adopté à la vingt et unième session de la Conférence des Parties à la Convention-cadre des Nations Unies sur les changements climatiques (CCNUCC) (Paris, 30 novembre-11 décembre 2015), vise à réduire les émissions de dioxyde de carbone (CO</w:t>
      </w:r>
      <w:r w:rsidRPr="00267A6E">
        <w:rPr>
          <w:vertAlign w:val="subscript"/>
          <w:lang w:val="fr-FR"/>
        </w:rPr>
        <w:t>2</w:t>
      </w:r>
      <w:r w:rsidRPr="00267A6E">
        <w:rPr>
          <w:lang w:val="fr-FR"/>
        </w:rPr>
        <w:t>) liées à l</w:t>
      </w:r>
      <w:r w:rsidR="00D82B54" w:rsidRPr="00267A6E">
        <w:rPr>
          <w:lang w:val="fr-FR"/>
        </w:rPr>
        <w:t>’</w:t>
      </w:r>
      <w:r w:rsidRPr="00267A6E">
        <w:rPr>
          <w:lang w:val="fr-FR"/>
        </w:rPr>
        <w:t>énergie afin de contenir l</w:t>
      </w:r>
      <w:r w:rsidR="00D82B54" w:rsidRPr="00267A6E">
        <w:rPr>
          <w:lang w:val="fr-FR"/>
        </w:rPr>
        <w:t>’</w:t>
      </w:r>
      <w:r w:rsidRPr="00267A6E">
        <w:rPr>
          <w:lang w:val="fr-FR"/>
        </w:rPr>
        <w:t>élévation de la température moyenne de la planète nettement en dessous de 2</w:t>
      </w:r>
      <w:r w:rsidR="00E83878" w:rsidRPr="00267A6E">
        <w:rPr>
          <w:lang w:val="fr-FR"/>
        </w:rPr>
        <w:t> </w:t>
      </w:r>
      <w:r w:rsidR="00E83878" w:rsidRPr="00267A6E">
        <w:rPr>
          <w:szCs w:val="18"/>
          <w:lang w:val="fr-FR"/>
        </w:rPr>
        <w:t>°</w:t>
      </w:r>
      <w:r w:rsidRPr="00267A6E">
        <w:rPr>
          <w:lang w:val="fr-FR"/>
        </w:rPr>
        <w:t>C et de poursuivre l</w:t>
      </w:r>
      <w:r w:rsidR="00D82B54" w:rsidRPr="00267A6E">
        <w:rPr>
          <w:lang w:val="fr-FR"/>
        </w:rPr>
        <w:t>’</w:t>
      </w:r>
      <w:r w:rsidRPr="00267A6E">
        <w:rPr>
          <w:lang w:val="fr-FR"/>
        </w:rPr>
        <w:t>action menée pour limiter l</w:t>
      </w:r>
      <w:r w:rsidR="00D82B54" w:rsidRPr="00267A6E">
        <w:rPr>
          <w:lang w:val="fr-FR"/>
        </w:rPr>
        <w:t>’</w:t>
      </w:r>
      <w:r w:rsidRPr="00267A6E">
        <w:rPr>
          <w:lang w:val="fr-FR"/>
        </w:rPr>
        <w:t>élévation des température</w:t>
      </w:r>
      <w:r w:rsidR="00954CDD" w:rsidRPr="00267A6E">
        <w:rPr>
          <w:lang w:val="fr-FR"/>
        </w:rPr>
        <w:t>s</w:t>
      </w:r>
      <w:r w:rsidRPr="00267A6E">
        <w:rPr>
          <w:lang w:val="fr-FR"/>
        </w:rPr>
        <w:t xml:space="preserve"> à 1,5</w:t>
      </w:r>
      <w:r w:rsidR="00E83878" w:rsidRPr="00267A6E">
        <w:rPr>
          <w:lang w:val="fr-FR"/>
        </w:rPr>
        <w:t> </w:t>
      </w:r>
      <w:r w:rsidR="00E83878" w:rsidRPr="00267A6E">
        <w:rPr>
          <w:szCs w:val="18"/>
          <w:lang w:val="fr-FR"/>
        </w:rPr>
        <w:t>°</w:t>
      </w:r>
      <w:r w:rsidRPr="00267A6E">
        <w:rPr>
          <w:lang w:val="fr-FR"/>
        </w:rPr>
        <w:t>C par rapport aux niveaux préindustriels</w:t>
      </w:r>
      <w:r w:rsidR="00967A77" w:rsidRPr="00267A6E">
        <w:rPr>
          <w:lang w:val="fr-FR"/>
        </w:rPr>
        <w:t>.</w:t>
      </w:r>
      <w:r w:rsidRPr="00267A6E">
        <w:rPr>
          <w:lang w:val="fr-FR"/>
        </w:rPr>
        <w:t xml:space="preserve"> À la vingt-sixième session de la Conférence des Parties à la CCNUCC, qui s</w:t>
      </w:r>
      <w:r w:rsidR="00D82B54" w:rsidRPr="00267A6E">
        <w:rPr>
          <w:lang w:val="fr-FR"/>
        </w:rPr>
        <w:t>’</w:t>
      </w:r>
      <w:r w:rsidRPr="00267A6E">
        <w:rPr>
          <w:lang w:val="fr-FR"/>
        </w:rPr>
        <w:t>est tenue à Glasgow (Royaume-Uni de Grande-Bretagne et d</w:t>
      </w:r>
      <w:r w:rsidR="00D82B54" w:rsidRPr="00267A6E">
        <w:rPr>
          <w:lang w:val="fr-FR"/>
        </w:rPr>
        <w:t>’</w:t>
      </w:r>
      <w:r w:rsidRPr="00267A6E">
        <w:rPr>
          <w:lang w:val="fr-FR"/>
        </w:rPr>
        <w:t>Irlande du Nord) du 31</w:t>
      </w:r>
      <w:r w:rsidR="00E83878" w:rsidRPr="00267A6E">
        <w:rPr>
          <w:lang w:val="fr-FR"/>
        </w:rPr>
        <w:t> </w:t>
      </w:r>
      <w:r w:rsidRPr="00267A6E">
        <w:rPr>
          <w:lang w:val="fr-FR"/>
        </w:rPr>
        <w:t>octobre au 12 novembre 2021</w:t>
      </w:r>
      <w:r w:rsidRPr="00267A6E">
        <w:rPr>
          <w:rStyle w:val="FootnoteReference"/>
          <w:lang w:val="fr-FR"/>
        </w:rPr>
        <w:footnoteReference w:id="20"/>
      </w:r>
      <w:r w:rsidRPr="00267A6E">
        <w:rPr>
          <w:lang w:val="fr-FR"/>
        </w:rPr>
        <w:t>, les États ont été invités à élaborer plus rapidement des plans plus ambitieux en matière de climat (contributions déterminées au niveau national)</w:t>
      </w:r>
      <w:r w:rsidR="00967A77" w:rsidRPr="00267A6E">
        <w:rPr>
          <w:lang w:val="fr-FR"/>
        </w:rPr>
        <w:t>.</w:t>
      </w:r>
      <w:r w:rsidRPr="00267A6E">
        <w:rPr>
          <w:lang w:val="fr-FR"/>
        </w:rPr>
        <w:t xml:space="preserve"> À</w:t>
      </w:r>
      <w:r w:rsidR="00E83878" w:rsidRPr="00267A6E">
        <w:rPr>
          <w:lang w:val="fr-FR"/>
        </w:rPr>
        <w:t> </w:t>
      </w:r>
      <w:r w:rsidRPr="00267A6E">
        <w:rPr>
          <w:lang w:val="fr-FR"/>
        </w:rPr>
        <w:t>la vingt-septième session de la Conférence des Parties à la CCNUCC (Charm el-Cheikh, Égypte, 6 novembre-20 novembre 2022) l</w:t>
      </w:r>
      <w:r w:rsidR="00D82B54" w:rsidRPr="00267A6E">
        <w:rPr>
          <w:lang w:val="fr-FR"/>
        </w:rPr>
        <w:t>’</w:t>
      </w:r>
      <w:r w:rsidRPr="00267A6E">
        <w:rPr>
          <w:lang w:val="fr-FR"/>
        </w:rPr>
        <w:t>accent a été mis sur le passage à l</w:t>
      </w:r>
      <w:r w:rsidR="00D82B54" w:rsidRPr="00267A6E">
        <w:rPr>
          <w:lang w:val="fr-FR"/>
        </w:rPr>
        <w:t>’</w:t>
      </w:r>
      <w:r w:rsidRPr="00267A6E">
        <w:rPr>
          <w:lang w:val="fr-FR"/>
        </w:rPr>
        <w:t>action</w:t>
      </w:r>
      <w:r w:rsidRPr="00267A6E">
        <w:rPr>
          <w:rStyle w:val="FootnoteReference"/>
          <w:lang w:val="fr-FR"/>
        </w:rPr>
        <w:footnoteReference w:id="21"/>
      </w:r>
      <w:r w:rsidR="00967A77" w:rsidRPr="00267A6E">
        <w:rPr>
          <w:lang w:val="fr-FR"/>
        </w:rPr>
        <w:t>.</w:t>
      </w:r>
      <w:r w:rsidRPr="00267A6E">
        <w:rPr>
          <w:lang w:val="fr-FR"/>
        </w:rPr>
        <w:t xml:space="preserve"> Ainsi, le </w:t>
      </w:r>
      <w:r w:rsidR="00D82B54" w:rsidRPr="00267A6E">
        <w:rPr>
          <w:lang w:val="fr-FR"/>
        </w:rPr>
        <w:t>paragraphe </w:t>
      </w:r>
      <w:r w:rsidRPr="00267A6E">
        <w:rPr>
          <w:lang w:val="fr-FR"/>
        </w:rPr>
        <w:t>9 du Plan de mise en œuvre de Charm el-Cheikh souligne que la Conférence des Parties « [c]onstate que la crise énergétique mondiale sans précédent indique qu</w:t>
      </w:r>
      <w:r w:rsidR="00D82B54" w:rsidRPr="00267A6E">
        <w:rPr>
          <w:lang w:val="fr-FR"/>
        </w:rPr>
        <w:t>’</w:t>
      </w:r>
      <w:r w:rsidRPr="00267A6E">
        <w:rPr>
          <w:lang w:val="fr-FR"/>
        </w:rPr>
        <w:t>il est urgent de transformer rapidement les systèmes énergétiques afin de les rendre plus sûrs, plus fiables et plus résilients, notamment en accélérant les processus propres et justes de transition vers les énergies renouvelables au cours de cette décennie cruciale d</w:t>
      </w:r>
      <w:r w:rsidR="00D82B54" w:rsidRPr="00267A6E">
        <w:rPr>
          <w:lang w:val="fr-FR"/>
        </w:rPr>
        <w:t>’</w:t>
      </w:r>
      <w:r w:rsidRPr="00267A6E">
        <w:rPr>
          <w:lang w:val="fr-FR"/>
        </w:rPr>
        <w:t>action »</w:t>
      </w:r>
      <w:r w:rsidRPr="00267A6E">
        <w:rPr>
          <w:rStyle w:val="FootnoteReference"/>
          <w:lang w:val="fr-FR"/>
        </w:rPr>
        <w:footnoteReference w:id="22"/>
      </w:r>
      <w:r w:rsidR="00967A77" w:rsidRPr="00267A6E">
        <w:rPr>
          <w:lang w:val="fr-FR"/>
        </w:rPr>
        <w:t>.</w:t>
      </w:r>
      <w:r w:rsidRPr="00267A6E">
        <w:rPr>
          <w:lang w:val="fr-FR"/>
        </w:rPr>
        <w:t xml:space="preserve"> Les</w:t>
      </w:r>
      <w:r w:rsidR="00E83878" w:rsidRPr="00267A6E">
        <w:rPr>
          <w:lang w:val="fr-FR"/>
        </w:rPr>
        <w:t> </w:t>
      </w:r>
      <w:r w:rsidRPr="00267A6E">
        <w:rPr>
          <w:lang w:val="fr-FR"/>
        </w:rPr>
        <w:t>négociations menées au titre de la CCNUCC et les décisions connexes prises par la Conférence des Parties ces dernières années mettent fortement l</w:t>
      </w:r>
      <w:r w:rsidR="00D82B54" w:rsidRPr="00267A6E">
        <w:rPr>
          <w:lang w:val="fr-FR"/>
        </w:rPr>
        <w:t>’</w:t>
      </w:r>
      <w:r w:rsidRPr="00267A6E">
        <w:rPr>
          <w:lang w:val="fr-FR"/>
        </w:rPr>
        <w:t>accent sur la nécessité d</w:t>
      </w:r>
      <w:r w:rsidR="00D82B54" w:rsidRPr="00267A6E">
        <w:rPr>
          <w:lang w:val="fr-FR"/>
        </w:rPr>
        <w:t>’</w:t>
      </w:r>
      <w:r w:rsidRPr="00267A6E">
        <w:rPr>
          <w:lang w:val="fr-FR"/>
        </w:rPr>
        <w:t>une transition vers des énergies propres</w:t>
      </w:r>
      <w:r w:rsidR="00967A77" w:rsidRPr="00267A6E">
        <w:rPr>
          <w:lang w:val="fr-FR"/>
        </w:rPr>
        <w:t>.</w:t>
      </w:r>
    </w:p>
    <w:p w14:paraId="0394E14C" w14:textId="31A735C6" w:rsidR="003373A7" w:rsidRPr="00267A6E" w:rsidRDefault="003373A7" w:rsidP="00103F7F">
      <w:pPr>
        <w:pStyle w:val="SingleTxtG"/>
        <w:keepLines/>
        <w:rPr>
          <w:lang w:val="fr-FR"/>
        </w:rPr>
      </w:pPr>
      <w:r w:rsidRPr="00267A6E">
        <w:rPr>
          <w:lang w:val="fr-FR"/>
        </w:rPr>
        <w:t>17</w:t>
      </w:r>
      <w:r w:rsidR="00967A77" w:rsidRPr="00267A6E">
        <w:rPr>
          <w:lang w:val="fr-FR"/>
        </w:rPr>
        <w:t>.</w:t>
      </w:r>
      <w:r w:rsidRPr="00267A6E">
        <w:rPr>
          <w:lang w:val="fr-FR"/>
        </w:rPr>
        <w:tab/>
        <w:t>Selon la Energy Transitions Commission, il faudra investir, à l</w:t>
      </w:r>
      <w:r w:rsidR="00D82B54" w:rsidRPr="00267A6E">
        <w:rPr>
          <w:lang w:val="fr-FR"/>
        </w:rPr>
        <w:t>’</w:t>
      </w:r>
      <w:r w:rsidRPr="00267A6E">
        <w:rPr>
          <w:lang w:val="fr-FR"/>
        </w:rPr>
        <w:t>échelle mondiale, environ 3</w:t>
      </w:r>
      <w:r w:rsidR="00614A43" w:rsidRPr="00267A6E">
        <w:rPr>
          <w:lang w:val="fr-FR"/>
        </w:rPr>
        <w:t> </w:t>
      </w:r>
      <w:r w:rsidRPr="00267A6E">
        <w:rPr>
          <w:lang w:val="fr-FR"/>
        </w:rPr>
        <w:t>500 milliards de dollars par an entre 2023 et 2050 (contre 900 à 1 200 milliards de dollars à l</w:t>
      </w:r>
      <w:r w:rsidR="00D82B54" w:rsidRPr="00267A6E">
        <w:rPr>
          <w:lang w:val="fr-FR"/>
        </w:rPr>
        <w:t>’</w:t>
      </w:r>
      <w:r w:rsidRPr="00267A6E">
        <w:rPr>
          <w:lang w:val="fr-FR"/>
        </w:rPr>
        <w:t>heure actuelle) pour mener à bien la transition énergétique</w:t>
      </w:r>
      <w:r w:rsidRPr="00267A6E">
        <w:rPr>
          <w:rStyle w:val="FootnoteReference"/>
          <w:lang w:val="fr-FR"/>
        </w:rPr>
        <w:footnoteReference w:id="23"/>
      </w:r>
      <w:r w:rsidR="00967A77" w:rsidRPr="00267A6E">
        <w:rPr>
          <w:lang w:val="fr-FR"/>
        </w:rPr>
        <w:t>.</w:t>
      </w:r>
      <w:r w:rsidRPr="00267A6E">
        <w:rPr>
          <w:lang w:val="fr-FR"/>
        </w:rPr>
        <w:t xml:space="preserve"> La Convention et le Protocole joueront donc un rôle essentiel dans l</w:t>
      </w:r>
      <w:r w:rsidR="00D82B54" w:rsidRPr="00267A6E">
        <w:rPr>
          <w:lang w:val="fr-FR"/>
        </w:rPr>
        <w:t>’</w:t>
      </w:r>
      <w:r w:rsidRPr="00267A6E">
        <w:rPr>
          <w:lang w:val="fr-FR"/>
        </w:rPr>
        <w:t>évaluation des incidences que pourraient avoir les plans, programmes et projets dans lesquels s</w:t>
      </w:r>
      <w:r w:rsidR="00D82B54" w:rsidRPr="00267A6E">
        <w:rPr>
          <w:lang w:val="fr-FR"/>
        </w:rPr>
        <w:t>’</w:t>
      </w:r>
      <w:r w:rsidRPr="00267A6E">
        <w:rPr>
          <w:lang w:val="fr-FR"/>
        </w:rPr>
        <w:t>inscriront ces investissements</w:t>
      </w:r>
      <w:r w:rsidR="00967A77" w:rsidRPr="00267A6E">
        <w:rPr>
          <w:lang w:val="fr-FR"/>
        </w:rPr>
        <w:t>.</w:t>
      </w:r>
      <w:r w:rsidRPr="00267A6E">
        <w:rPr>
          <w:lang w:val="fr-FR"/>
        </w:rPr>
        <w:t xml:space="preserve"> De</w:t>
      </w:r>
      <w:r w:rsidR="0063530B" w:rsidRPr="00267A6E">
        <w:rPr>
          <w:lang w:val="fr-FR"/>
        </w:rPr>
        <w:t> </w:t>
      </w:r>
      <w:r w:rsidRPr="00267A6E">
        <w:rPr>
          <w:lang w:val="fr-FR"/>
        </w:rPr>
        <w:t>surcroît, les investissements en faveur de la transition énergétique, de l</w:t>
      </w:r>
      <w:r w:rsidR="00D82B54" w:rsidRPr="00267A6E">
        <w:rPr>
          <w:lang w:val="fr-FR"/>
        </w:rPr>
        <w:t>’</w:t>
      </w:r>
      <w:r w:rsidRPr="00267A6E">
        <w:rPr>
          <w:lang w:val="fr-FR"/>
        </w:rPr>
        <w:t>économie circulaire et du financement vert sont souvent étroitement liés</w:t>
      </w:r>
      <w:r w:rsidR="00967A77" w:rsidRPr="00267A6E">
        <w:rPr>
          <w:lang w:val="fr-FR"/>
        </w:rPr>
        <w:t>.</w:t>
      </w:r>
      <w:r w:rsidRPr="00267A6E">
        <w:rPr>
          <w:lang w:val="fr-FR"/>
        </w:rPr>
        <w:t xml:space="preserve"> Ainsi, le pacte vert pour l</w:t>
      </w:r>
      <w:r w:rsidR="00D82B54" w:rsidRPr="00267A6E">
        <w:rPr>
          <w:lang w:val="fr-FR"/>
        </w:rPr>
        <w:t>’</w:t>
      </w:r>
      <w:r w:rsidRPr="00267A6E">
        <w:rPr>
          <w:lang w:val="fr-FR"/>
        </w:rPr>
        <w:t>Europe, qui est un exemple de stratégie d</w:t>
      </w:r>
      <w:r w:rsidR="00D82B54" w:rsidRPr="00267A6E">
        <w:rPr>
          <w:lang w:val="fr-FR"/>
        </w:rPr>
        <w:t>’</w:t>
      </w:r>
      <w:r w:rsidRPr="00267A6E">
        <w:rPr>
          <w:lang w:val="fr-FR"/>
        </w:rPr>
        <w:t>appui à la transition énergétique, intègre un Plan d</w:t>
      </w:r>
      <w:r w:rsidR="00D82B54" w:rsidRPr="00267A6E">
        <w:rPr>
          <w:lang w:val="fr-FR"/>
        </w:rPr>
        <w:t>’</w:t>
      </w:r>
      <w:r w:rsidRPr="00267A6E">
        <w:rPr>
          <w:lang w:val="fr-FR"/>
        </w:rPr>
        <w:t>action en faveur de l</w:t>
      </w:r>
      <w:r w:rsidR="00D82B54" w:rsidRPr="00267A6E">
        <w:rPr>
          <w:lang w:val="fr-FR"/>
        </w:rPr>
        <w:t>’</w:t>
      </w:r>
      <w:r w:rsidRPr="00267A6E">
        <w:rPr>
          <w:lang w:val="fr-FR"/>
        </w:rPr>
        <w:t>économie circulaire, adopté en 2020</w:t>
      </w:r>
      <w:r w:rsidRPr="00267A6E">
        <w:rPr>
          <w:rStyle w:val="FootnoteReference"/>
          <w:lang w:val="fr-FR"/>
        </w:rPr>
        <w:footnoteReference w:id="24"/>
      </w:r>
      <w:r w:rsidRPr="00267A6E">
        <w:rPr>
          <w:lang w:val="fr-FR"/>
        </w:rPr>
        <w:t xml:space="preserve"> (voir sect</w:t>
      </w:r>
      <w:r w:rsidR="0063530B" w:rsidRPr="00267A6E">
        <w:rPr>
          <w:lang w:val="fr-FR"/>
        </w:rPr>
        <w:t>. </w:t>
      </w:r>
      <w:r w:rsidRPr="00267A6E">
        <w:rPr>
          <w:lang w:val="fr-FR"/>
        </w:rPr>
        <w:t>III), tandis que des règles de financement vert sont adoptées dans le monde entier pour garantir l</w:t>
      </w:r>
      <w:r w:rsidR="00D82B54" w:rsidRPr="00267A6E">
        <w:rPr>
          <w:lang w:val="fr-FR"/>
        </w:rPr>
        <w:t>’</w:t>
      </w:r>
      <w:r w:rsidRPr="00267A6E">
        <w:rPr>
          <w:lang w:val="fr-FR"/>
        </w:rPr>
        <w:t>allocation durable des ressources investies (voir sect</w:t>
      </w:r>
      <w:r w:rsidR="0063530B" w:rsidRPr="00267A6E">
        <w:rPr>
          <w:lang w:val="fr-FR"/>
        </w:rPr>
        <w:t>. </w:t>
      </w:r>
      <w:r w:rsidRPr="00267A6E">
        <w:rPr>
          <w:lang w:val="fr-FR"/>
        </w:rPr>
        <w:t>IV)</w:t>
      </w:r>
      <w:r w:rsidR="00967A77" w:rsidRPr="00267A6E">
        <w:rPr>
          <w:lang w:val="fr-FR"/>
        </w:rPr>
        <w:t>.</w:t>
      </w:r>
      <w:bookmarkStart w:id="6" w:name="_Ref146720977"/>
      <w:bookmarkEnd w:id="6"/>
    </w:p>
    <w:p w14:paraId="0193E4B9" w14:textId="77810F7F" w:rsidR="003373A7" w:rsidRPr="00267A6E" w:rsidRDefault="003373A7" w:rsidP="006528B0">
      <w:pPr>
        <w:pStyle w:val="SingleTxtG"/>
        <w:rPr>
          <w:lang w:val="fr-FR"/>
        </w:rPr>
      </w:pPr>
      <w:r w:rsidRPr="00267A6E">
        <w:rPr>
          <w:lang w:val="fr-FR"/>
        </w:rPr>
        <w:t>18</w:t>
      </w:r>
      <w:r w:rsidR="00967A77" w:rsidRPr="00267A6E">
        <w:rPr>
          <w:lang w:val="fr-FR"/>
        </w:rPr>
        <w:t>.</w:t>
      </w:r>
      <w:r w:rsidRPr="00267A6E">
        <w:rPr>
          <w:lang w:val="fr-FR"/>
        </w:rPr>
        <w:tab/>
        <w:t>Le pacte vert pour l</w:t>
      </w:r>
      <w:r w:rsidR="00D82B54" w:rsidRPr="00267A6E">
        <w:rPr>
          <w:lang w:val="fr-FR"/>
        </w:rPr>
        <w:t>’</w:t>
      </w:r>
      <w:r w:rsidRPr="00267A6E">
        <w:rPr>
          <w:lang w:val="fr-FR"/>
        </w:rPr>
        <w:t>Europe</w:t>
      </w:r>
      <w:r w:rsidRPr="00267A6E">
        <w:rPr>
          <w:rStyle w:val="FootnoteReference"/>
          <w:lang w:val="fr-FR"/>
        </w:rPr>
        <w:footnoteReference w:id="25"/>
      </w:r>
      <w:r w:rsidRPr="00267A6E">
        <w:rPr>
          <w:lang w:val="fr-FR"/>
        </w:rPr>
        <w:t xml:space="preserve"> est un bon exemple de stratégie visant à réduire à zéro les émissions nettes de gaz à effet de serre (c</w:t>
      </w:r>
      <w:r w:rsidR="00D82B54" w:rsidRPr="00267A6E">
        <w:rPr>
          <w:lang w:val="fr-FR"/>
        </w:rPr>
        <w:t>’</w:t>
      </w:r>
      <w:r w:rsidRPr="00267A6E">
        <w:rPr>
          <w:lang w:val="fr-FR"/>
        </w:rPr>
        <w:t>est-à-dire à parvenir à la neutralité carbone) d</w:t>
      </w:r>
      <w:r w:rsidR="00D82B54" w:rsidRPr="00267A6E">
        <w:rPr>
          <w:lang w:val="fr-FR"/>
        </w:rPr>
        <w:t>’</w:t>
      </w:r>
      <w:r w:rsidRPr="00267A6E">
        <w:rPr>
          <w:lang w:val="fr-FR"/>
        </w:rPr>
        <w:t>ici à 2050</w:t>
      </w:r>
      <w:r w:rsidR="00967A77" w:rsidRPr="00267A6E">
        <w:rPr>
          <w:lang w:val="fr-FR"/>
        </w:rPr>
        <w:t>.</w:t>
      </w:r>
      <w:r w:rsidRPr="00267A6E">
        <w:rPr>
          <w:lang w:val="fr-FR"/>
        </w:rPr>
        <w:t xml:space="preserve"> Selon ce pacte, la transition vers une énergie propre nécessitera la mise en place de systèmes énergétiques interconnectés et de réseaux mieux intégrés</w:t>
      </w:r>
      <w:r w:rsidR="00967A77" w:rsidRPr="00267A6E">
        <w:rPr>
          <w:lang w:val="fr-FR"/>
        </w:rPr>
        <w:t>.</w:t>
      </w:r>
      <w:r w:rsidRPr="00267A6E">
        <w:rPr>
          <w:lang w:val="fr-FR"/>
        </w:rPr>
        <w:t xml:space="preserve"> Pour rendre l</w:t>
      </w:r>
      <w:r w:rsidR="00D82B54" w:rsidRPr="00267A6E">
        <w:rPr>
          <w:lang w:val="fr-FR"/>
        </w:rPr>
        <w:t>’</w:t>
      </w:r>
      <w:r w:rsidRPr="00267A6E">
        <w:rPr>
          <w:lang w:val="fr-FR"/>
        </w:rPr>
        <w:t>objectif énoncé dans cet instrument juridiquement contraignant, la Commission européenne a adopté la loi européenne sur le climat</w:t>
      </w:r>
      <w:r w:rsidRPr="00267A6E">
        <w:rPr>
          <w:rStyle w:val="FootnoteReference"/>
          <w:lang w:val="fr-FR"/>
        </w:rPr>
        <w:footnoteReference w:id="26"/>
      </w:r>
      <w:r w:rsidRPr="00267A6E">
        <w:rPr>
          <w:lang w:val="fr-FR"/>
        </w:rPr>
        <w:t>, qui exige que les émissions nettes de gaz à effet de serre soient réduites d</w:t>
      </w:r>
      <w:r w:rsidR="00D82B54" w:rsidRPr="00267A6E">
        <w:rPr>
          <w:lang w:val="fr-FR"/>
        </w:rPr>
        <w:t>’</w:t>
      </w:r>
      <w:r w:rsidRPr="00267A6E">
        <w:rPr>
          <w:lang w:val="fr-FR"/>
        </w:rPr>
        <w:t>au moins 55</w:t>
      </w:r>
      <w:r w:rsidR="00D82B54" w:rsidRPr="00267A6E">
        <w:rPr>
          <w:lang w:val="fr-FR"/>
        </w:rPr>
        <w:t> %</w:t>
      </w:r>
      <w:r w:rsidRPr="00267A6E">
        <w:rPr>
          <w:lang w:val="fr-FR"/>
        </w:rPr>
        <w:t xml:space="preserve"> d</w:t>
      </w:r>
      <w:r w:rsidR="00D82B54" w:rsidRPr="00267A6E">
        <w:rPr>
          <w:lang w:val="fr-FR"/>
        </w:rPr>
        <w:t>’</w:t>
      </w:r>
      <w:r w:rsidRPr="00267A6E">
        <w:rPr>
          <w:lang w:val="fr-FR"/>
        </w:rPr>
        <w:t>ici à 2030 par rapport aux niveaux de 1990</w:t>
      </w:r>
      <w:r w:rsidR="00967A77" w:rsidRPr="00267A6E">
        <w:rPr>
          <w:lang w:val="fr-FR"/>
        </w:rPr>
        <w:t>.</w:t>
      </w:r>
      <w:r w:rsidRPr="00267A6E">
        <w:rPr>
          <w:lang w:val="fr-FR"/>
        </w:rPr>
        <w:t xml:space="preserve"> Élaboré à l</w:t>
      </w:r>
      <w:r w:rsidR="00D82B54" w:rsidRPr="00267A6E">
        <w:rPr>
          <w:lang w:val="fr-FR"/>
        </w:rPr>
        <w:t>’</w:t>
      </w:r>
      <w:r w:rsidRPr="00267A6E">
        <w:rPr>
          <w:lang w:val="fr-FR"/>
        </w:rPr>
        <w:t>appui de cet objectif, le paquet « Ajustement à l</w:t>
      </w:r>
      <w:r w:rsidR="00D82B54" w:rsidRPr="00267A6E">
        <w:rPr>
          <w:lang w:val="fr-FR"/>
        </w:rPr>
        <w:t>’</w:t>
      </w:r>
      <w:r w:rsidRPr="00267A6E">
        <w:rPr>
          <w:lang w:val="fr-FR"/>
        </w:rPr>
        <w:t>objectif</w:t>
      </w:r>
      <w:r w:rsidR="00E32CCA" w:rsidRPr="00267A6E">
        <w:rPr>
          <w:lang w:val="fr-FR"/>
        </w:rPr>
        <w:t> </w:t>
      </w:r>
      <w:r w:rsidRPr="00267A6E">
        <w:rPr>
          <w:lang w:val="fr-FR"/>
        </w:rPr>
        <w:t>55 »</w:t>
      </w:r>
      <w:r w:rsidRPr="00267A6E">
        <w:rPr>
          <w:rStyle w:val="FootnoteReference"/>
          <w:lang w:val="fr-FR"/>
        </w:rPr>
        <w:footnoteReference w:id="27"/>
      </w:r>
      <w:r w:rsidRPr="00267A6E">
        <w:rPr>
          <w:lang w:val="fr-FR"/>
        </w:rPr>
        <w:t xml:space="preserve"> comprend diverses initiatives nécessitant l</w:t>
      </w:r>
      <w:r w:rsidR="00D82B54" w:rsidRPr="00267A6E">
        <w:rPr>
          <w:lang w:val="fr-FR"/>
        </w:rPr>
        <w:t>’</w:t>
      </w:r>
      <w:r w:rsidRPr="00267A6E">
        <w:rPr>
          <w:lang w:val="fr-FR"/>
        </w:rPr>
        <w:t>élaboration de plans et de projets, qui pourraient bénéficier de l</w:t>
      </w:r>
      <w:r w:rsidR="00D82B54" w:rsidRPr="00267A6E">
        <w:rPr>
          <w:lang w:val="fr-FR"/>
        </w:rPr>
        <w:t>’</w:t>
      </w:r>
      <w:r w:rsidRPr="00267A6E">
        <w:rPr>
          <w:lang w:val="fr-FR"/>
        </w:rPr>
        <w:t>évaluation des impacts potentiels requise par la Convention et le Protocole</w:t>
      </w:r>
      <w:r w:rsidR="00967A77" w:rsidRPr="00267A6E">
        <w:rPr>
          <w:lang w:val="fr-FR"/>
        </w:rPr>
        <w:t>.</w:t>
      </w:r>
      <w:bookmarkStart w:id="7" w:name="_Ref133310416"/>
      <w:bookmarkEnd w:id="7"/>
    </w:p>
    <w:p w14:paraId="21BA44F5" w14:textId="5EBDCDC5" w:rsidR="003373A7" w:rsidRPr="00267A6E" w:rsidRDefault="003373A7" w:rsidP="006528B0">
      <w:pPr>
        <w:pStyle w:val="SingleTxtG"/>
        <w:rPr>
          <w:lang w:val="fr-FR"/>
        </w:rPr>
      </w:pPr>
      <w:r w:rsidRPr="00267A6E">
        <w:rPr>
          <w:lang w:val="fr-FR"/>
        </w:rPr>
        <w:t>19</w:t>
      </w:r>
      <w:r w:rsidR="00967A77" w:rsidRPr="00267A6E">
        <w:rPr>
          <w:lang w:val="fr-FR"/>
        </w:rPr>
        <w:t>.</w:t>
      </w:r>
      <w:r w:rsidRPr="00267A6E">
        <w:rPr>
          <w:lang w:val="fr-FR"/>
        </w:rPr>
        <w:tab/>
        <w:t>Aux termes de l</w:t>
      </w:r>
      <w:r w:rsidR="00D82B54" w:rsidRPr="00267A6E">
        <w:rPr>
          <w:lang w:val="fr-FR"/>
        </w:rPr>
        <w:t>’</w:t>
      </w:r>
      <w:r w:rsidRPr="00267A6E">
        <w:rPr>
          <w:lang w:val="fr-FR"/>
        </w:rPr>
        <w:t>Accord de Paris, les Parties doivent élaborer des actions en faveur du climat dans le cadre de « contributions déterminées au niveau national »</w:t>
      </w:r>
      <w:r w:rsidRPr="00267A6E">
        <w:rPr>
          <w:rStyle w:val="FootnoteReference"/>
          <w:lang w:val="fr-FR"/>
        </w:rPr>
        <w:footnoteReference w:id="28"/>
      </w:r>
      <w:r w:rsidRPr="00267A6E">
        <w:rPr>
          <w:lang w:val="fr-FR"/>
        </w:rPr>
        <w:t>, ce qui signifie que des stratégies similaires à celles qu</w:t>
      </w:r>
      <w:r w:rsidR="00D82B54" w:rsidRPr="00267A6E">
        <w:rPr>
          <w:lang w:val="fr-FR"/>
        </w:rPr>
        <w:t>’</w:t>
      </w:r>
      <w:r w:rsidRPr="00267A6E">
        <w:rPr>
          <w:lang w:val="fr-FR"/>
        </w:rPr>
        <w:t>a adoptées l</w:t>
      </w:r>
      <w:r w:rsidR="00D82B54" w:rsidRPr="00267A6E">
        <w:rPr>
          <w:lang w:val="fr-FR"/>
        </w:rPr>
        <w:t>’</w:t>
      </w:r>
      <w:r w:rsidRPr="00267A6E">
        <w:rPr>
          <w:lang w:val="fr-FR"/>
        </w:rPr>
        <w:t>Union européenne existent dans d</w:t>
      </w:r>
      <w:r w:rsidR="00D82B54" w:rsidRPr="00267A6E">
        <w:rPr>
          <w:lang w:val="fr-FR"/>
        </w:rPr>
        <w:t>’</w:t>
      </w:r>
      <w:r w:rsidRPr="00267A6E">
        <w:rPr>
          <w:lang w:val="fr-FR"/>
        </w:rPr>
        <w:t>autres pays</w:t>
      </w:r>
      <w:r w:rsidR="00967A77" w:rsidRPr="00267A6E">
        <w:rPr>
          <w:lang w:val="fr-FR"/>
        </w:rPr>
        <w:t>.</w:t>
      </w:r>
      <w:r w:rsidRPr="00267A6E">
        <w:rPr>
          <w:lang w:val="fr-FR"/>
        </w:rPr>
        <w:t xml:space="preserve"> Cependant, il convient de noter que les pays de la région de la CEE et d</w:t>
      </w:r>
      <w:r w:rsidR="00D82B54" w:rsidRPr="00267A6E">
        <w:rPr>
          <w:lang w:val="fr-FR"/>
        </w:rPr>
        <w:t>’</w:t>
      </w:r>
      <w:r w:rsidRPr="00267A6E">
        <w:rPr>
          <w:lang w:val="fr-FR"/>
        </w:rPr>
        <w:t>au-delà en sont à des stades très variables de leur transition énergétique</w:t>
      </w:r>
      <w:r w:rsidR="00967A77" w:rsidRPr="00267A6E">
        <w:rPr>
          <w:lang w:val="fr-FR"/>
        </w:rPr>
        <w:t>.</w:t>
      </w:r>
      <w:r w:rsidRPr="00267A6E">
        <w:rPr>
          <w:lang w:val="fr-FR"/>
        </w:rPr>
        <w:t xml:space="preserve"> Le Réseau d</w:t>
      </w:r>
      <w:r w:rsidR="00D82B54" w:rsidRPr="00267A6E">
        <w:rPr>
          <w:lang w:val="fr-FR"/>
        </w:rPr>
        <w:t>’</w:t>
      </w:r>
      <w:r w:rsidRPr="00267A6E">
        <w:rPr>
          <w:lang w:val="fr-FR"/>
        </w:rPr>
        <w:t>action pour les énergies renouvelables pour le XXI</w:t>
      </w:r>
      <w:r w:rsidRPr="00267A6E">
        <w:rPr>
          <w:vertAlign w:val="superscript"/>
          <w:lang w:val="fr-FR"/>
        </w:rPr>
        <w:t>e</w:t>
      </w:r>
      <w:r w:rsidRPr="00267A6E">
        <w:rPr>
          <w:lang w:val="fr-FR"/>
        </w:rPr>
        <w:t xml:space="preserve"> siècle et la CEE ont élaboré conjointement le rapport de situation 2022 sur les énergies renouvelables, dans lequel ils examinent la situation des énergies renouvelables dans 17 pays de la CEE plus le Kosovo</w:t>
      </w:r>
      <w:r w:rsidRPr="00267A6E">
        <w:rPr>
          <w:rStyle w:val="FootnoteReference"/>
          <w:lang w:val="fr-FR"/>
        </w:rPr>
        <w:footnoteReference w:id="29"/>
      </w:r>
      <w:r w:rsidRPr="00267A6E">
        <w:rPr>
          <w:lang w:val="fr-FR"/>
        </w:rPr>
        <w:t>, en particulier dans les pays d</w:t>
      </w:r>
      <w:r w:rsidR="00D82B54" w:rsidRPr="00267A6E">
        <w:rPr>
          <w:lang w:val="fr-FR"/>
        </w:rPr>
        <w:t>’</w:t>
      </w:r>
      <w:r w:rsidRPr="00267A6E">
        <w:rPr>
          <w:lang w:val="fr-FR"/>
        </w:rPr>
        <w:t>Europe du Sud-Est, d</w:t>
      </w:r>
      <w:r w:rsidR="00D82B54" w:rsidRPr="00267A6E">
        <w:rPr>
          <w:lang w:val="fr-FR"/>
        </w:rPr>
        <w:t>’</w:t>
      </w:r>
      <w:r w:rsidRPr="00267A6E">
        <w:rPr>
          <w:lang w:val="fr-FR"/>
        </w:rPr>
        <w:t>Europe orientale, du Caucase et d</w:t>
      </w:r>
      <w:r w:rsidR="00D82B54" w:rsidRPr="00267A6E">
        <w:rPr>
          <w:lang w:val="fr-FR"/>
        </w:rPr>
        <w:t>’</w:t>
      </w:r>
      <w:r w:rsidRPr="00267A6E">
        <w:rPr>
          <w:lang w:val="fr-FR"/>
        </w:rPr>
        <w:t>Asie centrale ainsi que dans la Fédération de Russie</w:t>
      </w:r>
      <w:r w:rsidRPr="00267A6E">
        <w:rPr>
          <w:rStyle w:val="FootnoteReference"/>
          <w:lang w:val="fr-FR"/>
        </w:rPr>
        <w:footnoteReference w:id="30"/>
      </w:r>
      <w:r w:rsidR="00967A77" w:rsidRPr="00267A6E">
        <w:rPr>
          <w:lang w:val="fr-FR"/>
        </w:rPr>
        <w:t>.</w:t>
      </w:r>
      <w:r w:rsidRPr="00267A6E">
        <w:rPr>
          <w:lang w:val="fr-FR"/>
        </w:rPr>
        <w:t xml:space="preserve"> Il ressort de ce rapport que le potentiel de développement des énergies renouvelables est important dans les pays étudiés, mais que la plupart d</w:t>
      </w:r>
      <w:r w:rsidR="00D82B54" w:rsidRPr="00267A6E">
        <w:rPr>
          <w:lang w:val="fr-FR"/>
        </w:rPr>
        <w:t>’</w:t>
      </w:r>
      <w:r w:rsidRPr="00267A6E">
        <w:rPr>
          <w:lang w:val="fr-FR"/>
        </w:rPr>
        <w:t>entre eux sont encore largement tributaires des combustibles fossiles et que la part des énergies renouvelables dans le total de leur consommation finale d</w:t>
      </w:r>
      <w:r w:rsidR="00D82B54" w:rsidRPr="00267A6E">
        <w:rPr>
          <w:lang w:val="fr-FR"/>
        </w:rPr>
        <w:t>’</w:t>
      </w:r>
      <w:r w:rsidRPr="00267A6E">
        <w:rPr>
          <w:lang w:val="fr-FR"/>
        </w:rPr>
        <w:t>énergie reste relativement plus faible</w:t>
      </w:r>
      <w:r w:rsidR="00967A77" w:rsidRPr="00267A6E">
        <w:rPr>
          <w:lang w:val="fr-FR"/>
        </w:rPr>
        <w:t>.</w:t>
      </w:r>
      <w:r w:rsidRPr="00267A6E">
        <w:rPr>
          <w:lang w:val="fr-FR"/>
        </w:rPr>
        <w:t xml:space="preserve"> Les plans axés sur la transition énergétique seront donc très différents, du moins à court et à moyen terme, d</w:t>
      </w:r>
      <w:r w:rsidR="00D82B54" w:rsidRPr="00267A6E">
        <w:rPr>
          <w:lang w:val="fr-FR"/>
        </w:rPr>
        <w:t>’</w:t>
      </w:r>
      <w:r w:rsidRPr="00267A6E">
        <w:rPr>
          <w:lang w:val="fr-FR"/>
        </w:rPr>
        <w:t>une Partie à la Convention et au Protocole à l</w:t>
      </w:r>
      <w:r w:rsidR="00D82B54" w:rsidRPr="00267A6E">
        <w:rPr>
          <w:lang w:val="fr-FR"/>
        </w:rPr>
        <w:t>’</w:t>
      </w:r>
      <w:r w:rsidRPr="00267A6E">
        <w:rPr>
          <w:lang w:val="fr-FR"/>
        </w:rPr>
        <w:t>autre</w:t>
      </w:r>
      <w:r w:rsidR="00967A77" w:rsidRPr="00267A6E">
        <w:rPr>
          <w:lang w:val="fr-FR"/>
        </w:rPr>
        <w:t>.</w:t>
      </w:r>
    </w:p>
    <w:p w14:paraId="01F423E1" w14:textId="61FD5126" w:rsidR="003373A7" w:rsidRPr="00267A6E" w:rsidRDefault="003373A7" w:rsidP="006528B0">
      <w:pPr>
        <w:pStyle w:val="SingleTxtG"/>
        <w:rPr>
          <w:lang w:val="fr-FR"/>
        </w:rPr>
      </w:pPr>
      <w:r w:rsidRPr="00267A6E">
        <w:rPr>
          <w:lang w:val="fr-FR"/>
        </w:rPr>
        <w:t>20</w:t>
      </w:r>
      <w:r w:rsidR="00967A77" w:rsidRPr="00267A6E">
        <w:rPr>
          <w:lang w:val="fr-FR"/>
        </w:rPr>
        <w:t>.</w:t>
      </w:r>
      <w:r w:rsidRPr="00267A6E">
        <w:rPr>
          <w:lang w:val="fr-FR"/>
        </w:rPr>
        <w:tab/>
        <w:t>Dans de nombreux pays, les stratégies énergétiques conduisent à l</w:t>
      </w:r>
      <w:r w:rsidR="00D82B54" w:rsidRPr="00267A6E">
        <w:rPr>
          <w:lang w:val="fr-FR"/>
        </w:rPr>
        <w:t>’</w:t>
      </w:r>
      <w:r w:rsidRPr="00267A6E">
        <w:rPr>
          <w:lang w:val="fr-FR"/>
        </w:rPr>
        <w:t>élaboration de plans d</w:t>
      </w:r>
      <w:r w:rsidR="00D82B54" w:rsidRPr="00267A6E">
        <w:rPr>
          <w:lang w:val="fr-FR"/>
        </w:rPr>
        <w:t>’</w:t>
      </w:r>
      <w:r w:rsidRPr="00267A6E">
        <w:rPr>
          <w:lang w:val="fr-FR"/>
        </w:rPr>
        <w:t>aménagement du territoire axés sur les sources d</w:t>
      </w:r>
      <w:r w:rsidR="00D82B54" w:rsidRPr="00267A6E">
        <w:rPr>
          <w:lang w:val="fr-FR"/>
        </w:rPr>
        <w:t>’</w:t>
      </w:r>
      <w:r w:rsidRPr="00267A6E">
        <w:rPr>
          <w:lang w:val="fr-FR"/>
        </w:rPr>
        <w:t>énergie renouvelables, comme c</w:t>
      </w:r>
      <w:r w:rsidR="00D82B54" w:rsidRPr="00267A6E">
        <w:rPr>
          <w:lang w:val="fr-FR"/>
        </w:rPr>
        <w:t>’</w:t>
      </w:r>
      <w:r w:rsidRPr="00267A6E">
        <w:rPr>
          <w:lang w:val="fr-FR"/>
        </w:rPr>
        <w:t>est le cas en Grèce</w:t>
      </w:r>
      <w:r w:rsidRPr="00267A6E">
        <w:rPr>
          <w:rStyle w:val="FootnoteReference"/>
          <w:lang w:val="fr-FR"/>
        </w:rPr>
        <w:footnoteReference w:id="31"/>
      </w:r>
      <w:r w:rsidRPr="00267A6E">
        <w:rPr>
          <w:lang w:val="fr-FR"/>
        </w:rPr>
        <w:t xml:space="preserve"> et en Autriche</w:t>
      </w:r>
      <w:r w:rsidRPr="00267A6E">
        <w:rPr>
          <w:rStyle w:val="FootnoteReference"/>
          <w:lang w:val="fr-FR"/>
        </w:rPr>
        <w:footnoteReference w:id="32"/>
      </w:r>
      <w:r w:rsidR="00967A77" w:rsidRPr="00267A6E">
        <w:rPr>
          <w:lang w:val="fr-FR"/>
        </w:rPr>
        <w:t>.</w:t>
      </w:r>
      <w:r w:rsidRPr="00267A6E">
        <w:rPr>
          <w:lang w:val="fr-FR"/>
        </w:rPr>
        <w:t xml:space="preserve"> Pour les Parties concernées, ces plans doivent faire l</w:t>
      </w:r>
      <w:r w:rsidR="00D82B54" w:rsidRPr="00267A6E">
        <w:rPr>
          <w:lang w:val="fr-FR"/>
        </w:rPr>
        <w:t>’</w:t>
      </w:r>
      <w:r w:rsidRPr="00267A6E">
        <w:rPr>
          <w:lang w:val="fr-FR"/>
        </w:rPr>
        <w:t>objet d</w:t>
      </w:r>
      <w:r w:rsidR="00D82B54" w:rsidRPr="00267A6E">
        <w:rPr>
          <w:lang w:val="fr-FR"/>
        </w:rPr>
        <w:t>’</w:t>
      </w:r>
      <w:r w:rsidRPr="00267A6E">
        <w:rPr>
          <w:lang w:val="fr-FR"/>
        </w:rPr>
        <w:t>une évaluation stratégique environnementale au titre du Protocole afin d</w:t>
      </w:r>
      <w:r w:rsidR="00D82B54" w:rsidRPr="00267A6E">
        <w:rPr>
          <w:lang w:val="fr-FR"/>
        </w:rPr>
        <w:t>’</w:t>
      </w:r>
      <w:r w:rsidRPr="00267A6E">
        <w:rPr>
          <w:lang w:val="fr-FR"/>
        </w:rPr>
        <w:t>assurer une transition énergétique durable, qui reste dans les limites de la capacité de charge de l</w:t>
      </w:r>
      <w:r w:rsidR="00D82B54" w:rsidRPr="00267A6E">
        <w:rPr>
          <w:lang w:val="fr-FR"/>
        </w:rPr>
        <w:t>’</w:t>
      </w:r>
      <w:r w:rsidRPr="00267A6E">
        <w:rPr>
          <w:lang w:val="fr-FR"/>
        </w:rPr>
        <w:t>environnement</w:t>
      </w:r>
      <w:r w:rsidR="00967A77" w:rsidRPr="00267A6E">
        <w:rPr>
          <w:lang w:val="fr-FR"/>
        </w:rPr>
        <w:t>.</w:t>
      </w:r>
      <w:r w:rsidRPr="00267A6E">
        <w:rPr>
          <w:lang w:val="fr-FR"/>
        </w:rPr>
        <w:t xml:space="preserve"> En l</w:t>
      </w:r>
      <w:r w:rsidR="00D82B54" w:rsidRPr="00267A6E">
        <w:rPr>
          <w:lang w:val="fr-FR"/>
        </w:rPr>
        <w:t>’</w:t>
      </w:r>
      <w:r w:rsidRPr="00267A6E">
        <w:rPr>
          <w:lang w:val="fr-FR"/>
        </w:rPr>
        <w:t>absence de tels plans, l</w:t>
      </w:r>
      <w:r w:rsidR="00D82B54" w:rsidRPr="00267A6E">
        <w:rPr>
          <w:lang w:val="fr-FR"/>
        </w:rPr>
        <w:t>’</w:t>
      </w:r>
      <w:r w:rsidRPr="00267A6E">
        <w:rPr>
          <w:lang w:val="fr-FR"/>
        </w:rPr>
        <w:t>évaluation de l</w:t>
      </w:r>
      <w:r w:rsidR="00D82B54" w:rsidRPr="00267A6E">
        <w:rPr>
          <w:lang w:val="fr-FR"/>
        </w:rPr>
        <w:t>’</w:t>
      </w:r>
      <w:r w:rsidRPr="00267A6E">
        <w:rPr>
          <w:lang w:val="fr-FR"/>
        </w:rPr>
        <w:t>impact sur l</w:t>
      </w:r>
      <w:r w:rsidR="00D82B54" w:rsidRPr="00267A6E">
        <w:rPr>
          <w:lang w:val="fr-FR"/>
        </w:rPr>
        <w:t>’</w:t>
      </w:r>
      <w:r w:rsidRPr="00267A6E">
        <w:rPr>
          <w:lang w:val="fr-FR"/>
        </w:rPr>
        <w:t>environnement d</w:t>
      </w:r>
      <w:r w:rsidR="00D82B54" w:rsidRPr="00267A6E">
        <w:rPr>
          <w:lang w:val="fr-FR"/>
        </w:rPr>
        <w:t>’</w:t>
      </w:r>
      <w:r w:rsidRPr="00267A6E">
        <w:rPr>
          <w:lang w:val="fr-FR"/>
        </w:rPr>
        <w:t>un seul projet ne permet pas de déterminer les effets cumulatifs de plusieurs projets énergétiques, comme cela a été démontré dans l</w:t>
      </w:r>
      <w:r w:rsidR="00D82B54" w:rsidRPr="00267A6E">
        <w:rPr>
          <w:lang w:val="fr-FR"/>
        </w:rPr>
        <w:t>’</w:t>
      </w:r>
      <w:r w:rsidRPr="00267A6E">
        <w:rPr>
          <w:lang w:val="fr-FR"/>
        </w:rPr>
        <w:t>arrêt rendu par la Cour de justice de l</w:t>
      </w:r>
      <w:r w:rsidR="00D82B54" w:rsidRPr="00267A6E">
        <w:rPr>
          <w:lang w:val="fr-FR"/>
        </w:rPr>
        <w:t>’</w:t>
      </w:r>
      <w:r w:rsidRPr="00267A6E">
        <w:rPr>
          <w:lang w:val="fr-FR"/>
        </w:rPr>
        <w:t>Union européenne dans l</w:t>
      </w:r>
      <w:r w:rsidR="00D82B54" w:rsidRPr="00267A6E">
        <w:rPr>
          <w:lang w:val="fr-FR"/>
        </w:rPr>
        <w:t>’</w:t>
      </w:r>
      <w:r w:rsidRPr="00267A6E">
        <w:rPr>
          <w:lang w:val="fr-FR"/>
        </w:rPr>
        <w:t>affaire</w:t>
      </w:r>
      <w:r w:rsidRPr="00267A6E">
        <w:rPr>
          <w:i/>
          <w:iCs/>
          <w:lang w:val="fr-FR"/>
        </w:rPr>
        <w:t xml:space="preserve"> Commission européenne c</w:t>
      </w:r>
      <w:r w:rsidR="00967A77" w:rsidRPr="00267A6E">
        <w:rPr>
          <w:i/>
          <w:iCs/>
          <w:lang w:val="fr-FR"/>
        </w:rPr>
        <w:t>.</w:t>
      </w:r>
      <w:r w:rsidRPr="00267A6E">
        <w:rPr>
          <w:i/>
          <w:iCs/>
          <w:lang w:val="fr-FR"/>
        </w:rPr>
        <w:t xml:space="preserve"> République de Bulgarie </w:t>
      </w:r>
      <w:r w:rsidRPr="00267A6E">
        <w:rPr>
          <w:lang w:val="fr-FR"/>
        </w:rPr>
        <w:t>(Kaliakra)</w:t>
      </w:r>
      <w:r w:rsidRPr="00267A6E">
        <w:rPr>
          <w:rStyle w:val="FootnoteReference"/>
          <w:lang w:val="fr-FR"/>
        </w:rPr>
        <w:footnoteReference w:id="33"/>
      </w:r>
      <w:r w:rsidR="00967A77" w:rsidRPr="00267A6E">
        <w:rPr>
          <w:lang w:val="fr-FR"/>
        </w:rPr>
        <w:t>.</w:t>
      </w:r>
      <w:r w:rsidRPr="00267A6E">
        <w:rPr>
          <w:lang w:val="fr-FR"/>
        </w:rPr>
        <w:t xml:space="preserve"> Le fait d</w:t>
      </w:r>
      <w:r w:rsidR="00D82B54" w:rsidRPr="00267A6E">
        <w:rPr>
          <w:lang w:val="fr-FR"/>
        </w:rPr>
        <w:t>’</w:t>
      </w:r>
      <w:r w:rsidRPr="00267A6E">
        <w:rPr>
          <w:lang w:val="fr-FR"/>
        </w:rPr>
        <w:t>élaborer des plans axés sur la transition énergétique puis de procéder à l</w:t>
      </w:r>
      <w:r w:rsidR="00D82B54" w:rsidRPr="00267A6E">
        <w:rPr>
          <w:lang w:val="fr-FR"/>
        </w:rPr>
        <w:t>’</w:t>
      </w:r>
      <w:r w:rsidRPr="00267A6E">
        <w:rPr>
          <w:lang w:val="fr-FR"/>
        </w:rPr>
        <w:t>évaluation stratégique de leurs effets relève donc d</w:t>
      </w:r>
      <w:r w:rsidR="00D82B54" w:rsidRPr="00267A6E">
        <w:rPr>
          <w:lang w:val="fr-FR"/>
        </w:rPr>
        <w:t>’</w:t>
      </w:r>
      <w:r w:rsidRPr="00267A6E">
        <w:rPr>
          <w:lang w:val="fr-FR"/>
        </w:rPr>
        <w:t>une bonne pratique qui s</w:t>
      </w:r>
      <w:r w:rsidR="00D82B54" w:rsidRPr="00267A6E">
        <w:rPr>
          <w:lang w:val="fr-FR"/>
        </w:rPr>
        <w:t>’</w:t>
      </w:r>
      <w:r w:rsidRPr="00267A6E">
        <w:rPr>
          <w:lang w:val="fr-FR"/>
        </w:rPr>
        <w:t>accompagne d</w:t>
      </w:r>
      <w:r w:rsidR="00D82B54" w:rsidRPr="00267A6E">
        <w:rPr>
          <w:lang w:val="fr-FR"/>
        </w:rPr>
        <w:t>’</w:t>
      </w:r>
      <w:r w:rsidRPr="00267A6E">
        <w:rPr>
          <w:lang w:val="fr-FR"/>
        </w:rPr>
        <w:t>avantages manifestes pour l</w:t>
      </w:r>
      <w:r w:rsidR="00D82B54" w:rsidRPr="00267A6E">
        <w:rPr>
          <w:lang w:val="fr-FR"/>
        </w:rPr>
        <w:t>’</w:t>
      </w:r>
      <w:r w:rsidRPr="00267A6E">
        <w:rPr>
          <w:lang w:val="fr-FR"/>
        </w:rPr>
        <w:t>environnement</w:t>
      </w:r>
      <w:r w:rsidR="00967A77" w:rsidRPr="00267A6E">
        <w:rPr>
          <w:lang w:val="fr-FR"/>
        </w:rPr>
        <w:t>.</w:t>
      </w:r>
    </w:p>
    <w:p w14:paraId="0E11288D" w14:textId="1940750F" w:rsidR="003373A7" w:rsidRPr="00267A6E" w:rsidRDefault="003373A7" w:rsidP="006528B0">
      <w:pPr>
        <w:pStyle w:val="H1G"/>
        <w:rPr>
          <w:lang w:val="fr-FR"/>
        </w:rPr>
      </w:pPr>
      <w:r w:rsidRPr="00267A6E">
        <w:rPr>
          <w:lang w:val="fr-FR"/>
        </w:rPr>
        <w:tab/>
        <w:t>C</w:t>
      </w:r>
      <w:r w:rsidR="00967A77" w:rsidRPr="00267A6E">
        <w:rPr>
          <w:lang w:val="fr-FR"/>
        </w:rPr>
        <w:t>.</w:t>
      </w:r>
      <w:r w:rsidRPr="00267A6E">
        <w:rPr>
          <w:lang w:val="fr-FR"/>
        </w:rPr>
        <w:tab/>
        <w:t>Rôle et avantages avérés et potentiels de la Convention et du Protocole dans la promotion de la transition énergétique</w:t>
      </w:r>
    </w:p>
    <w:p w14:paraId="434D4EBA" w14:textId="4ADD914B" w:rsidR="003373A7" w:rsidRPr="00267A6E" w:rsidRDefault="003373A7" w:rsidP="006528B0">
      <w:pPr>
        <w:pStyle w:val="SingleTxtG"/>
        <w:rPr>
          <w:lang w:val="fr-FR"/>
        </w:rPr>
      </w:pPr>
      <w:r w:rsidRPr="00267A6E">
        <w:rPr>
          <w:lang w:val="fr-FR"/>
        </w:rPr>
        <w:t>21</w:t>
      </w:r>
      <w:r w:rsidR="00967A77" w:rsidRPr="00267A6E">
        <w:rPr>
          <w:lang w:val="fr-FR"/>
        </w:rPr>
        <w:t>.</w:t>
      </w:r>
      <w:r w:rsidRPr="00267A6E">
        <w:rPr>
          <w:lang w:val="fr-FR"/>
        </w:rPr>
        <w:tab/>
        <w:t xml:space="preserve">Les </w:t>
      </w:r>
      <w:r w:rsidRPr="00267A6E">
        <w:rPr>
          <w:i/>
          <w:iCs/>
          <w:lang w:val="fr-FR"/>
        </w:rPr>
        <w:t>Recommandations sur les bonnes pratiques relatives à l</w:t>
      </w:r>
      <w:r w:rsidR="00D82B54" w:rsidRPr="00267A6E">
        <w:rPr>
          <w:i/>
          <w:iCs/>
          <w:lang w:val="fr-FR"/>
        </w:rPr>
        <w:t>’</w:t>
      </w:r>
      <w:r w:rsidRPr="00267A6E">
        <w:rPr>
          <w:i/>
          <w:iCs/>
          <w:lang w:val="fr-FR"/>
        </w:rPr>
        <w:t>application de la Convention aux activités liées à l</w:t>
      </w:r>
      <w:r w:rsidR="00D82B54" w:rsidRPr="00267A6E">
        <w:rPr>
          <w:i/>
          <w:iCs/>
          <w:lang w:val="fr-FR"/>
        </w:rPr>
        <w:t>’</w:t>
      </w:r>
      <w:r w:rsidRPr="00267A6E">
        <w:rPr>
          <w:i/>
          <w:iCs/>
          <w:lang w:val="fr-FR"/>
        </w:rPr>
        <w:t>énergie nucléaire</w:t>
      </w:r>
      <w:r w:rsidRPr="00267A6E">
        <w:rPr>
          <w:rStyle w:val="FootnoteReference"/>
          <w:lang w:val="fr-FR"/>
        </w:rPr>
        <w:footnoteReference w:id="34"/>
      </w:r>
      <w:r w:rsidRPr="00267A6E">
        <w:rPr>
          <w:lang w:val="fr-FR"/>
        </w:rPr>
        <w:t xml:space="preserve"> ont été approuvées par la Réunion des Parties à la Convention d</w:t>
      </w:r>
      <w:r w:rsidR="00D82B54" w:rsidRPr="00267A6E">
        <w:rPr>
          <w:lang w:val="fr-FR"/>
        </w:rPr>
        <w:t>’</w:t>
      </w:r>
      <w:r w:rsidRPr="00267A6E">
        <w:rPr>
          <w:lang w:val="fr-FR"/>
        </w:rPr>
        <w:t xml:space="preserve">Espoo à sa septième session, et les </w:t>
      </w:r>
      <w:r w:rsidRPr="00267A6E">
        <w:rPr>
          <w:i/>
          <w:iCs/>
          <w:lang w:val="fr-FR"/>
        </w:rPr>
        <w:t>Lignes directrices sur l</w:t>
      </w:r>
      <w:r w:rsidR="00D82B54" w:rsidRPr="00267A6E">
        <w:rPr>
          <w:i/>
          <w:iCs/>
          <w:lang w:val="fr-FR"/>
        </w:rPr>
        <w:t>’</w:t>
      </w:r>
      <w:r w:rsidRPr="00267A6E">
        <w:rPr>
          <w:i/>
          <w:iCs/>
          <w:lang w:val="fr-FR"/>
        </w:rPr>
        <w:t>applicabilité de la Convention s</w:t>
      </w:r>
      <w:r w:rsidR="00D82B54" w:rsidRPr="00267A6E">
        <w:rPr>
          <w:i/>
          <w:iCs/>
          <w:lang w:val="fr-FR"/>
        </w:rPr>
        <w:t>’</w:t>
      </w:r>
      <w:r w:rsidRPr="00267A6E">
        <w:rPr>
          <w:i/>
          <w:iCs/>
          <w:lang w:val="fr-FR"/>
        </w:rPr>
        <w:t>agissant de la prolongation de la durée de vie des centrales nucléaires</w:t>
      </w:r>
      <w:r w:rsidRPr="00267A6E">
        <w:rPr>
          <w:rStyle w:val="FootnoteReference"/>
          <w:lang w:val="fr-FR"/>
        </w:rPr>
        <w:footnoteReference w:id="35"/>
      </w:r>
      <w:r w:rsidRPr="00267A6E">
        <w:rPr>
          <w:lang w:val="fr-FR"/>
        </w:rPr>
        <w:t xml:space="preserve"> ont été approuvées par la Réunion des Parties à sa huitième session (Vilnius (en</w:t>
      </w:r>
      <w:r w:rsidR="0051191A" w:rsidRPr="00267A6E">
        <w:rPr>
          <w:lang w:val="fr-FR"/>
        </w:rPr>
        <w:t> </w:t>
      </w:r>
      <w:r w:rsidRPr="00267A6E">
        <w:rPr>
          <w:lang w:val="fr-FR"/>
        </w:rPr>
        <w:t>ligne), 8-11 décembre 2020)</w:t>
      </w:r>
      <w:r w:rsidR="00967A77" w:rsidRPr="00267A6E">
        <w:rPr>
          <w:lang w:val="fr-FR"/>
        </w:rPr>
        <w:t>.</w:t>
      </w:r>
      <w:r w:rsidRPr="00267A6E">
        <w:rPr>
          <w:lang w:val="fr-FR"/>
        </w:rPr>
        <w:t xml:space="preserve"> Un atelier s</w:t>
      </w:r>
      <w:r w:rsidR="00D82B54" w:rsidRPr="00267A6E">
        <w:rPr>
          <w:lang w:val="fr-FR"/>
        </w:rPr>
        <w:t>’</w:t>
      </w:r>
      <w:r w:rsidRPr="00267A6E">
        <w:rPr>
          <w:lang w:val="fr-FR"/>
        </w:rPr>
        <w:t>est tenu à Genève le 3 juin 2014 pour présenter l</w:t>
      </w:r>
      <w:r w:rsidR="00D82B54" w:rsidRPr="00267A6E">
        <w:rPr>
          <w:lang w:val="fr-FR"/>
        </w:rPr>
        <w:t>’</w:t>
      </w:r>
      <w:r w:rsidRPr="00267A6E">
        <w:rPr>
          <w:lang w:val="fr-FR"/>
        </w:rPr>
        <w:t>application de la Convention et du Protocole aux activités liées à l</w:t>
      </w:r>
      <w:r w:rsidR="00D82B54" w:rsidRPr="00267A6E">
        <w:rPr>
          <w:lang w:val="fr-FR"/>
        </w:rPr>
        <w:t>’</w:t>
      </w:r>
      <w:r w:rsidRPr="00267A6E">
        <w:rPr>
          <w:lang w:val="fr-FR"/>
        </w:rPr>
        <w:t>énergie éolienne et hydroélectrique</w:t>
      </w:r>
      <w:r w:rsidRPr="00267A6E">
        <w:rPr>
          <w:rStyle w:val="FootnoteReference"/>
          <w:lang w:val="fr-FR"/>
        </w:rPr>
        <w:footnoteReference w:id="36"/>
      </w:r>
      <w:r w:rsidR="00967A77" w:rsidRPr="00267A6E">
        <w:rPr>
          <w:lang w:val="fr-FR"/>
        </w:rPr>
        <w:t>.</w:t>
      </w:r>
      <w:r w:rsidRPr="00267A6E">
        <w:rPr>
          <w:lang w:val="fr-FR"/>
        </w:rPr>
        <w:t xml:space="preserve"> Dans le cadre de cet atelier, une table ronde a permis de mettre en évidence les principaux progrès accomplis dans l</w:t>
      </w:r>
      <w:r w:rsidR="00D82B54" w:rsidRPr="00267A6E">
        <w:rPr>
          <w:lang w:val="fr-FR"/>
        </w:rPr>
        <w:t>’</w:t>
      </w:r>
      <w:r w:rsidRPr="00267A6E">
        <w:rPr>
          <w:lang w:val="fr-FR"/>
        </w:rPr>
        <w:t xml:space="preserve">application de la Convention et du Protocole aux </w:t>
      </w:r>
      <w:r w:rsidRPr="00267A6E">
        <w:rPr>
          <w:spacing w:val="-1"/>
          <w:lang w:val="fr-FR"/>
        </w:rPr>
        <w:t>questions liées à l</w:t>
      </w:r>
      <w:r w:rsidR="00D82B54" w:rsidRPr="00267A6E">
        <w:rPr>
          <w:spacing w:val="-1"/>
          <w:lang w:val="fr-FR"/>
        </w:rPr>
        <w:t>’</w:t>
      </w:r>
      <w:r w:rsidRPr="00267A6E">
        <w:rPr>
          <w:spacing w:val="-1"/>
          <w:lang w:val="fr-FR"/>
        </w:rPr>
        <w:t>énergie ainsi que les enseignements tirés de l</w:t>
      </w:r>
      <w:r w:rsidR="00D82B54" w:rsidRPr="00267A6E">
        <w:rPr>
          <w:spacing w:val="-1"/>
          <w:lang w:val="fr-FR"/>
        </w:rPr>
        <w:t>’</w:t>
      </w:r>
      <w:r w:rsidRPr="00267A6E">
        <w:rPr>
          <w:spacing w:val="-1"/>
          <w:lang w:val="fr-FR"/>
        </w:rPr>
        <w:t>expérience et les difficultés restant à surmonter</w:t>
      </w:r>
      <w:r w:rsidRPr="00267A6E">
        <w:rPr>
          <w:rStyle w:val="FootnoteReference"/>
          <w:spacing w:val="-1"/>
          <w:lang w:val="fr-FR"/>
        </w:rPr>
        <w:footnoteReference w:id="37"/>
      </w:r>
      <w:r w:rsidRPr="00267A6E">
        <w:rPr>
          <w:spacing w:val="-1"/>
          <w:lang w:val="fr-FR"/>
        </w:rPr>
        <w:t>, et un séminaire a été l</w:t>
      </w:r>
      <w:r w:rsidR="00D82B54" w:rsidRPr="00267A6E">
        <w:rPr>
          <w:spacing w:val="-1"/>
          <w:lang w:val="fr-FR"/>
        </w:rPr>
        <w:t>’</w:t>
      </w:r>
      <w:r w:rsidRPr="00267A6E">
        <w:rPr>
          <w:spacing w:val="-1"/>
          <w:lang w:val="fr-FR"/>
        </w:rPr>
        <w:t>occasion de présenter l</w:t>
      </w:r>
      <w:r w:rsidR="00D82B54" w:rsidRPr="00267A6E">
        <w:rPr>
          <w:spacing w:val="-1"/>
          <w:lang w:val="fr-FR"/>
        </w:rPr>
        <w:t>’</w:t>
      </w:r>
      <w:r w:rsidRPr="00267A6E">
        <w:rPr>
          <w:spacing w:val="-1"/>
          <w:lang w:val="fr-FR"/>
        </w:rPr>
        <w:t>expérience acquise par les institutions financières internationales dans la réalisation d</w:t>
      </w:r>
      <w:r w:rsidR="00D82B54" w:rsidRPr="00267A6E">
        <w:rPr>
          <w:spacing w:val="-1"/>
          <w:lang w:val="fr-FR"/>
        </w:rPr>
        <w:t>’</w:t>
      </w:r>
      <w:r w:rsidRPr="00267A6E">
        <w:rPr>
          <w:spacing w:val="-1"/>
          <w:lang w:val="fr-FR"/>
        </w:rPr>
        <w:t>évaluations environnementales dans la région de la CEE et au-delà, notamment en ce qui concerne les projets transfrontières d</w:t>
      </w:r>
      <w:r w:rsidR="00D82B54" w:rsidRPr="00267A6E">
        <w:rPr>
          <w:spacing w:val="-1"/>
          <w:lang w:val="fr-FR"/>
        </w:rPr>
        <w:t>’</w:t>
      </w:r>
      <w:r w:rsidRPr="00267A6E">
        <w:rPr>
          <w:spacing w:val="-1"/>
          <w:lang w:val="fr-FR"/>
        </w:rPr>
        <w:t>infrastructures énergétiques</w:t>
      </w:r>
      <w:r w:rsidRPr="00267A6E">
        <w:rPr>
          <w:rStyle w:val="FootnoteReference"/>
          <w:spacing w:val="-1"/>
          <w:lang w:val="fr-FR"/>
        </w:rPr>
        <w:footnoteReference w:id="38"/>
      </w:r>
      <w:r w:rsidR="00967A77" w:rsidRPr="00267A6E">
        <w:rPr>
          <w:spacing w:val="-1"/>
          <w:lang w:val="fr-FR"/>
        </w:rPr>
        <w:t>.</w:t>
      </w:r>
      <w:r w:rsidRPr="00267A6E">
        <w:rPr>
          <w:spacing w:val="-1"/>
          <w:lang w:val="fr-FR"/>
        </w:rPr>
        <w:t xml:space="preserve"> La Convention et le Protocole ont donc un rôle important à jouer dans l</w:t>
      </w:r>
      <w:r w:rsidR="00D82B54" w:rsidRPr="00267A6E">
        <w:rPr>
          <w:spacing w:val="-1"/>
          <w:lang w:val="fr-FR"/>
        </w:rPr>
        <w:t>’</w:t>
      </w:r>
      <w:r w:rsidRPr="00267A6E">
        <w:rPr>
          <w:spacing w:val="-1"/>
          <w:lang w:val="fr-FR"/>
        </w:rPr>
        <w:t>évaluation des impacts transfrontières des nouveaux plans, programmes et projets axés sur la transition énergétique (voir sect</w:t>
      </w:r>
      <w:r w:rsidR="00501683" w:rsidRPr="00267A6E">
        <w:rPr>
          <w:spacing w:val="-1"/>
          <w:lang w:val="fr-FR"/>
        </w:rPr>
        <w:t>. </w:t>
      </w:r>
      <w:r w:rsidRPr="00267A6E">
        <w:rPr>
          <w:spacing w:val="-1"/>
          <w:lang w:val="fr-FR"/>
        </w:rPr>
        <w:t>II</w:t>
      </w:r>
      <w:r w:rsidR="00967A77" w:rsidRPr="00267A6E">
        <w:rPr>
          <w:spacing w:val="-1"/>
          <w:lang w:val="fr-FR"/>
        </w:rPr>
        <w:t>.</w:t>
      </w:r>
      <w:r w:rsidRPr="00267A6E">
        <w:rPr>
          <w:spacing w:val="-1"/>
          <w:lang w:val="fr-FR"/>
        </w:rPr>
        <w:t>B) et l</w:t>
      </w:r>
      <w:r w:rsidR="00D82B54" w:rsidRPr="00267A6E">
        <w:rPr>
          <w:spacing w:val="-1"/>
          <w:lang w:val="fr-FR"/>
        </w:rPr>
        <w:t>’</w:t>
      </w:r>
      <w:r w:rsidRPr="00267A6E">
        <w:rPr>
          <w:spacing w:val="-1"/>
          <w:lang w:val="fr-FR"/>
        </w:rPr>
        <w:t>élaboration de mesures permettant de réduire ou d</w:t>
      </w:r>
      <w:r w:rsidR="00D82B54" w:rsidRPr="00267A6E">
        <w:rPr>
          <w:spacing w:val="-1"/>
          <w:lang w:val="fr-FR"/>
        </w:rPr>
        <w:t>’</w:t>
      </w:r>
      <w:r w:rsidRPr="00267A6E">
        <w:rPr>
          <w:spacing w:val="-1"/>
          <w:lang w:val="fr-FR"/>
        </w:rPr>
        <w:t xml:space="preserve">éliminer ces impacts (Convention, </w:t>
      </w:r>
      <w:r w:rsidR="00D82B54" w:rsidRPr="00267A6E">
        <w:rPr>
          <w:spacing w:val="-1"/>
          <w:lang w:val="fr-FR"/>
        </w:rPr>
        <w:t>art</w:t>
      </w:r>
      <w:r w:rsidR="00967A77" w:rsidRPr="00267A6E">
        <w:rPr>
          <w:spacing w:val="-1"/>
          <w:lang w:val="fr-FR"/>
        </w:rPr>
        <w:t>.</w:t>
      </w:r>
      <w:r w:rsidR="00D82B54" w:rsidRPr="00267A6E">
        <w:rPr>
          <w:spacing w:val="-1"/>
          <w:lang w:val="fr-FR"/>
        </w:rPr>
        <w:t> </w:t>
      </w:r>
      <w:r w:rsidRPr="00267A6E">
        <w:rPr>
          <w:spacing w:val="-1"/>
          <w:lang w:val="fr-FR"/>
        </w:rPr>
        <w:t>5)</w:t>
      </w:r>
      <w:r w:rsidR="00967A77" w:rsidRPr="00267A6E">
        <w:rPr>
          <w:spacing w:val="-1"/>
          <w:lang w:val="fr-FR"/>
        </w:rPr>
        <w:t>.</w:t>
      </w:r>
    </w:p>
    <w:p w14:paraId="07D20FD3" w14:textId="434C50AD" w:rsidR="003373A7" w:rsidRPr="00267A6E" w:rsidRDefault="003373A7" w:rsidP="006528B0">
      <w:pPr>
        <w:pStyle w:val="SingleTxtG"/>
        <w:rPr>
          <w:shd w:val="clear" w:color="auto" w:fill="FFFFFF"/>
          <w:lang w:val="fr-FR"/>
        </w:rPr>
      </w:pPr>
      <w:r w:rsidRPr="00267A6E">
        <w:rPr>
          <w:lang w:val="fr-FR"/>
        </w:rPr>
        <w:t>22</w:t>
      </w:r>
      <w:r w:rsidR="00967A77" w:rsidRPr="00267A6E">
        <w:rPr>
          <w:lang w:val="fr-FR"/>
        </w:rPr>
        <w:t>.</w:t>
      </w:r>
      <w:r w:rsidRPr="00267A6E">
        <w:rPr>
          <w:lang w:val="fr-FR"/>
        </w:rPr>
        <w:tab/>
        <w:t>Compte tenu du rôle important que les zones maritimes jouent dans la production d</w:t>
      </w:r>
      <w:r w:rsidR="00D82B54" w:rsidRPr="00267A6E">
        <w:rPr>
          <w:lang w:val="fr-FR"/>
        </w:rPr>
        <w:t>’</w:t>
      </w:r>
      <w:r w:rsidRPr="00267A6E">
        <w:rPr>
          <w:lang w:val="fr-FR"/>
        </w:rPr>
        <w:t>énergie renouvelable, les possibilités d</w:t>
      </w:r>
      <w:r w:rsidR="00D82B54" w:rsidRPr="00267A6E">
        <w:rPr>
          <w:lang w:val="fr-FR"/>
        </w:rPr>
        <w:t>’</w:t>
      </w:r>
      <w:r w:rsidRPr="00267A6E">
        <w:rPr>
          <w:lang w:val="fr-FR"/>
        </w:rPr>
        <w:t>amélioration de l</w:t>
      </w:r>
      <w:r w:rsidR="00D82B54" w:rsidRPr="00267A6E">
        <w:rPr>
          <w:lang w:val="fr-FR"/>
        </w:rPr>
        <w:t>’</w:t>
      </w:r>
      <w:r w:rsidRPr="00267A6E">
        <w:rPr>
          <w:lang w:val="fr-FR"/>
        </w:rPr>
        <w:t>application effective de la Convention et du Protocole ont également été examinées à la lumière des synergies qui existent avec les conventions maritimes régionales</w:t>
      </w:r>
      <w:r w:rsidR="00967A77" w:rsidRPr="00267A6E">
        <w:rPr>
          <w:lang w:val="fr-FR"/>
        </w:rPr>
        <w:t>.</w:t>
      </w:r>
      <w:r w:rsidRPr="00267A6E">
        <w:rPr>
          <w:lang w:val="fr-FR"/>
        </w:rPr>
        <w:t xml:space="preserve"> Pour ce faire, les bonnes pratiques en matière d</w:t>
      </w:r>
      <w:r w:rsidR="00D82B54" w:rsidRPr="00267A6E">
        <w:rPr>
          <w:lang w:val="fr-FR"/>
        </w:rPr>
        <w:t>’</w:t>
      </w:r>
      <w:r w:rsidRPr="00267A6E">
        <w:rPr>
          <w:lang w:val="fr-FR"/>
        </w:rPr>
        <w:t>évaluation et d</w:t>
      </w:r>
      <w:r w:rsidR="00D82B54" w:rsidRPr="00267A6E">
        <w:rPr>
          <w:lang w:val="fr-FR"/>
        </w:rPr>
        <w:t>’</w:t>
      </w:r>
      <w:r w:rsidRPr="00267A6E">
        <w:rPr>
          <w:lang w:val="fr-FR"/>
        </w:rPr>
        <w:t>atténuation dans le cadre de la Convention et du Protocole ont été mises à profit afin de promouvoir la coopération dans la région de la CEE et au-delà</w:t>
      </w:r>
      <w:r w:rsidR="00967A77" w:rsidRPr="00267A6E">
        <w:rPr>
          <w:lang w:val="fr-FR"/>
        </w:rPr>
        <w:t>.</w:t>
      </w:r>
      <w:r w:rsidRPr="00267A6E">
        <w:rPr>
          <w:lang w:val="fr-FR"/>
        </w:rPr>
        <w:t xml:space="preserve"> Ces</w:t>
      </w:r>
      <w:r w:rsidR="00A136EE" w:rsidRPr="00267A6E">
        <w:rPr>
          <w:lang w:val="fr-FR"/>
        </w:rPr>
        <w:t> </w:t>
      </w:r>
      <w:r w:rsidRPr="00267A6E">
        <w:rPr>
          <w:lang w:val="fr-FR"/>
        </w:rPr>
        <w:t>travaux, financés par l</w:t>
      </w:r>
      <w:r w:rsidR="00D82B54" w:rsidRPr="00267A6E">
        <w:rPr>
          <w:lang w:val="fr-FR"/>
        </w:rPr>
        <w:t>’</w:t>
      </w:r>
      <w:r w:rsidRPr="00267A6E">
        <w:rPr>
          <w:lang w:val="fr-FR"/>
        </w:rPr>
        <w:t>Italie, ont été menés en coopération avec des représentants de la Convention sur la protection du milieu marin et du littoral de la Méditerranée et des conventions et organismes maritimes régionaux suivants</w:t>
      </w:r>
      <w:r w:rsidR="00D82B54" w:rsidRPr="00267A6E">
        <w:rPr>
          <w:lang w:val="fr-FR"/>
        </w:rPr>
        <w:t> :</w:t>
      </w:r>
      <w:r w:rsidRPr="00267A6E">
        <w:rPr>
          <w:lang w:val="fr-FR"/>
        </w:rPr>
        <w:t xml:space="preserve"> le Groupe de travail sur la protection du milieu marin de l</w:t>
      </w:r>
      <w:r w:rsidR="00D82B54" w:rsidRPr="00267A6E">
        <w:rPr>
          <w:lang w:val="fr-FR"/>
        </w:rPr>
        <w:t>’</w:t>
      </w:r>
      <w:r w:rsidRPr="00267A6E">
        <w:rPr>
          <w:lang w:val="fr-FR"/>
        </w:rPr>
        <w:t>Arctique du Conseil de l</w:t>
      </w:r>
      <w:r w:rsidR="00D82B54" w:rsidRPr="00267A6E">
        <w:rPr>
          <w:lang w:val="fr-FR"/>
        </w:rPr>
        <w:t>’</w:t>
      </w:r>
      <w:r w:rsidRPr="00267A6E">
        <w:rPr>
          <w:lang w:val="fr-FR"/>
        </w:rPr>
        <w:t>Arctique, la Convention relative à la protection de la mer Noire contre la pollution (Convention de Bucarest), la Convention sur la protection de l</w:t>
      </w:r>
      <w:r w:rsidR="00D82B54" w:rsidRPr="00267A6E">
        <w:rPr>
          <w:lang w:val="fr-FR"/>
        </w:rPr>
        <w:t>’</w:t>
      </w:r>
      <w:r w:rsidRPr="00267A6E">
        <w:rPr>
          <w:lang w:val="fr-FR"/>
        </w:rPr>
        <w:t>environnement marin dans la région de la mer Baltique (Convention d</w:t>
      </w:r>
      <w:r w:rsidR="00D82B54" w:rsidRPr="00267A6E">
        <w:rPr>
          <w:lang w:val="fr-FR"/>
        </w:rPr>
        <w:t>’</w:t>
      </w:r>
      <w:r w:rsidRPr="00267A6E">
        <w:rPr>
          <w:lang w:val="fr-FR"/>
        </w:rPr>
        <w:t>Helsinki), la Convention-cadre pour la protection de l</w:t>
      </w:r>
      <w:r w:rsidR="00D82B54" w:rsidRPr="00267A6E">
        <w:rPr>
          <w:lang w:val="fr-FR"/>
        </w:rPr>
        <w:t>’</w:t>
      </w:r>
      <w:r w:rsidRPr="00267A6E">
        <w:rPr>
          <w:lang w:val="fr-FR"/>
        </w:rPr>
        <w:t>environnement de la mer Caspienne (Convention de Téhéran) et la Convention pour la protection du milieu marin de l</w:t>
      </w:r>
      <w:r w:rsidR="00D82B54" w:rsidRPr="00267A6E">
        <w:rPr>
          <w:lang w:val="fr-FR"/>
        </w:rPr>
        <w:t>’</w:t>
      </w:r>
      <w:r w:rsidRPr="00267A6E">
        <w:rPr>
          <w:lang w:val="fr-FR"/>
        </w:rPr>
        <w:t>Atlantique du Nord-Est (Convention OSPAR)</w:t>
      </w:r>
      <w:r w:rsidRPr="00267A6E">
        <w:rPr>
          <w:rStyle w:val="FootnoteReference"/>
          <w:lang w:val="fr-FR"/>
        </w:rPr>
        <w:footnoteReference w:id="39"/>
      </w:r>
      <w:r w:rsidR="00967A77" w:rsidRPr="00267A6E">
        <w:rPr>
          <w:lang w:val="fr-FR"/>
        </w:rPr>
        <w:t>.</w:t>
      </w:r>
      <w:r w:rsidRPr="00267A6E">
        <w:rPr>
          <w:lang w:val="fr-FR"/>
        </w:rPr>
        <w:t xml:space="preserve"> En outre, l</w:t>
      </w:r>
      <w:r w:rsidR="00D82B54" w:rsidRPr="00267A6E">
        <w:rPr>
          <w:lang w:val="fr-FR"/>
        </w:rPr>
        <w:t>’</w:t>
      </w:r>
      <w:r w:rsidRPr="00267A6E">
        <w:rPr>
          <w:lang w:val="fr-FR"/>
        </w:rPr>
        <w:t>Union européenne a adopté en 2014 une directive</w:t>
      </w:r>
      <w:r w:rsidRPr="00267A6E">
        <w:rPr>
          <w:rStyle w:val="FootnoteReference"/>
          <w:lang w:val="fr-FR"/>
        </w:rPr>
        <w:footnoteReference w:id="40"/>
      </w:r>
      <w:r w:rsidRPr="00267A6E">
        <w:rPr>
          <w:lang w:val="fr-FR"/>
        </w:rPr>
        <w:t xml:space="preserve"> exigeant des États membres qu</w:t>
      </w:r>
      <w:r w:rsidR="00D82B54" w:rsidRPr="00267A6E">
        <w:rPr>
          <w:lang w:val="fr-FR"/>
        </w:rPr>
        <w:t>’</w:t>
      </w:r>
      <w:r w:rsidRPr="00267A6E">
        <w:rPr>
          <w:lang w:val="fr-FR"/>
        </w:rPr>
        <w:t>ils élaborent, au plus tard en 2021, des plans d</w:t>
      </w:r>
      <w:r w:rsidR="00D82B54" w:rsidRPr="00267A6E">
        <w:rPr>
          <w:lang w:val="fr-FR"/>
        </w:rPr>
        <w:t>’</w:t>
      </w:r>
      <w:r w:rsidRPr="00267A6E">
        <w:rPr>
          <w:lang w:val="fr-FR"/>
        </w:rPr>
        <w:t>aménagement de l</w:t>
      </w:r>
      <w:r w:rsidR="00D82B54" w:rsidRPr="00267A6E">
        <w:rPr>
          <w:lang w:val="fr-FR"/>
        </w:rPr>
        <w:t>’</w:t>
      </w:r>
      <w:r w:rsidRPr="00267A6E">
        <w:rPr>
          <w:lang w:val="fr-FR"/>
        </w:rPr>
        <w:t>espace maritime visant à contribuer au développement des secteurs énergétiques en mer</w:t>
      </w:r>
      <w:r w:rsidR="00967A77" w:rsidRPr="00267A6E">
        <w:rPr>
          <w:lang w:val="fr-FR"/>
        </w:rPr>
        <w:t>.</w:t>
      </w:r>
      <w:r w:rsidRPr="00267A6E">
        <w:rPr>
          <w:lang w:val="fr-FR"/>
        </w:rPr>
        <w:t xml:space="preserve"> Chaque plan d</w:t>
      </w:r>
      <w:r w:rsidR="00D82B54" w:rsidRPr="00267A6E">
        <w:rPr>
          <w:lang w:val="fr-FR"/>
        </w:rPr>
        <w:t>’</w:t>
      </w:r>
      <w:r w:rsidRPr="00267A6E">
        <w:rPr>
          <w:lang w:val="fr-FR"/>
        </w:rPr>
        <w:t>aménagement de l</w:t>
      </w:r>
      <w:r w:rsidR="00D82B54" w:rsidRPr="00267A6E">
        <w:rPr>
          <w:lang w:val="fr-FR"/>
        </w:rPr>
        <w:t>’</w:t>
      </w:r>
      <w:r w:rsidRPr="00267A6E">
        <w:rPr>
          <w:lang w:val="fr-FR"/>
        </w:rPr>
        <w:t>espace maritime bénéficiera de l</w:t>
      </w:r>
      <w:r w:rsidR="00D82B54" w:rsidRPr="00267A6E">
        <w:rPr>
          <w:lang w:val="fr-FR"/>
        </w:rPr>
        <w:t>’</w:t>
      </w:r>
      <w:r w:rsidRPr="00267A6E">
        <w:rPr>
          <w:lang w:val="fr-FR"/>
        </w:rPr>
        <w:t>application du Protocole dans les Parties membres</w:t>
      </w:r>
      <w:r w:rsidR="00967A77" w:rsidRPr="00267A6E">
        <w:rPr>
          <w:lang w:val="fr-FR"/>
        </w:rPr>
        <w:t>.</w:t>
      </w:r>
    </w:p>
    <w:p w14:paraId="20B5D025" w14:textId="62FDF921" w:rsidR="003373A7" w:rsidRPr="00267A6E" w:rsidRDefault="003373A7" w:rsidP="006528B0">
      <w:pPr>
        <w:pStyle w:val="SingleTxtG"/>
        <w:rPr>
          <w:lang w:val="fr-FR"/>
        </w:rPr>
      </w:pPr>
      <w:r w:rsidRPr="00267A6E">
        <w:rPr>
          <w:lang w:val="fr-FR"/>
        </w:rPr>
        <w:t>23</w:t>
      </w:r>
      <w:r w:rsidR="00967A77" w:rsidRPr="00267A6E">
        <w:rPr>
          <w:lang w:val="fr-FR"/>
        </w:rPr>
        <w:t>.</w:t>
      </w:r>
      <w:r w:rsidRPr="00267A6E">
        <w:rPr>
          <w:lang w:val="fr-FR"/>
        </w:rPr>
        <w:tab/>
        <w:t>En raison du développement rapide des énergies renouvelables, des mouvements d</w:t>
      </w:r>
      <w:r w:rsidR="00D82B54" w:rsidRPr="00267A6E">
        <w:rPr>
          <w:lang w:val="fr-FR"/>
        </w:rPr>
        <w:t>’</w:t>
      </w:r>
      <w:r w:rsidRPr="00267A6E">
        <w:rPr>
          <w:lang w:val="fr-FR"/>
        </w:rPr>
        <w:t>opposition locaux sont apparus dans de nombreux pays</w:t>
      </w:r>
      <w:r w:rsidRPr="00267A6E">
        <w:rPr>
          <w:rStyle w:val="FootnoteReference"/>
          <w:lang w:val="fr-FR"/>
        </w:rPr>
        <w:footnoteReference w:id="41"/>
      </w:r>
      <w:r w:rsidR="00967A77" w:rsidRPr="00267A6E">
        <w:rPr>
          <w:lang w:val="fr-FR"/>
        </w:rPr>
        <w:t>.</w:t>
      </w:r>
      <w:r w:rsidRPr="00267A6E">
        <w:rPr>
          <w:lang w:val="fr-FR"/>
        </w:rPr>
        <w:t xml:space="preserve"> C</w:t>
      </w:r>
      <w:r w:rsidR="00D82B54" w:rsidRPr="00267A6E">
        <w:rPr>
          <w:lang w:val="fr-FR"/>
        </w:rPr>
        <w:t>’</w:t>
      </w:r>
      <w:r w:rsidRPr="00267A6E">
        <w:rPr>
          <w:lang w:val="fr-FR"/>
        </w:rPr>
        <w:t>est pourquoi l</w:t>
      </w:r>
      <w:r w:rsidR="00D82B54" w:rsidRPr="00267A6E">
        <w:rPr>
          <w:lang w:val="fr-FR"/>
        </w:rPr>
        <w:t>’</w:t>
      </w:r>
      <w:r w:rsidRPr="00267A6E">
        <w:rPr>
          <w:lang w:val="fr-FR"/>
        </w:rPr>
        <w:t>accent a été davantage mis sur l</w:t>
      </w:r>
      <w:r w:rsidR="00D82B54" w:rsidRPr="00267A6E">
        <w:rPr>
          <w:lang w:val="fr-FR"/>
        </w:rPr>
        <w:t>’</w:t>
      </w:r>
      <w:r w:rsidRPr="00267A6E">
        <w:rPr>
          <w:lang w:val="fr-FR"/>
        </w:rPr>
        <w:t>acceptabilité sociale des infrastructures d</w:t>
      </w:r>
      <w:r w:rsidR="00D82B54" w:rsidRPr="00267A6E">
        <w:rPr>
          <w:lang w:val="fr-FR"/>
        </w:rPr>
        <w:t>’</w:t>
      </w:r>
      <w:r w:rsidRPr="00267A6E">
        <w:rPr>
          <w:lang w:val="fr-FR"/>
        </w:rPr>
        <w:t>énergie renouvelable et sur la répartition des avantages et des inconvénients pour la société</w:t>
      </w:r>
      <w:r w:rsidR="00967A77" w:rsidRPr="00267A6E">
        <w:rPr>
          <w:lang w:val="fr-FR"/>
        </w:rPr>
        <w:t>.</w:t>
      </w:r>
      <w:r w:rsidRPr="00267A6E">
        <w:rPr>
          <w:lang w:val="fr-FR"/>
        </w:rPr>
        <w:t xml:space="preserve"> En outre, dans une lettre </w:t>
      </w:r>
      <w:r w:rsidRPr="00267A6E">
        <w:rPr>
          <w:spacing w:val="-2"/>
          <w:lang w:val="fr-FR"/>
        </w:rPr>
        <w:t>ouverte publiée le 21</w:t>
      </w:r>
      <w:r w:rsidR="00CE2EB6" w:rsidRPr="00267A6E">
        <w:rPr>
          <w:spacing w:val="-2"/>
          <w:lang w:val="fr-FR"/>
        </w:rPr>
        <w:t> </w:t>
      </w:r>
      <w:r w:rsidRPr="00267A6E">
        <w:rPr>
          <w:spacing w:val="-2"/>
          <w:lang w:val="fr-FR"/>
        </w:rPr>
        <w:t>juin 2023, les dirigeants mondiaux ont affirmé ce qui suit</w:t>
      </w:r>
      <w:r w:rsidR="00D82B54" w:rsidRPr="00267A6E">
        <w:rPr>
          <w:spacing w:val="-2"/>
          <w:lang w:val="fr-FR"/>
        </w:rPr>
        <w:t> :</w:t>
      </w:r>
      <w:r w:rsidRPr="00267A6E">
        <w:rPr>
          <w:spacing w:val="-2"/>
          <w:lang w:val="fr-FR"/>
        </w:rPr>
        <w:t xml:space="preserve"> « les</w:t>
      </w:r>
      <w:r w:rsidR="00CE2EB6" w:rsidRPr="00267A6E">
        <w:rPr>
          <w:spacing w:val="-2"/>
          <w:lang w:val="fr-FR"/>
        </w:rPr>
        <w:t> </w:t>
      </w:r>
      <w:r w:rsidRPr="00267A6E">
        <w:rPr>
          <w:spacing w:val="-2"/>
          <w:lang w:val="fr-FR"/>
        </w:rPr>
        <w:t>générations actuelles ont la possibilité d</w:t>
      </w:r>
      <w:r w:rsidR="00D82B54" w:rsidRPr="00267A6E">
        <w:rPr>
          <w:spacing w:val="-2"/>
          <w:lang w:val="fr-FR"/>
        </w:rPr>
        <w:t>’</w:t>
      </w:r>
      <w:r w:rsidRPr="00267A6E">
        <w:rPr>
          <w:spacing w:val="-2"/>
          <w:lang w:val="fr-FR"/>
        </w:rPr>
        <w:t>ouvrir la voie vers une nouvelle ère de croissance économique durable au niveau mondial, grâce à la transition vers un monde à zéro émission nette et à la mise en œuvre des objectifs de l</w:t>
      </w:r>
      <w:r w:rsidR="00D82B54" w:rsidRPr="00267A6E">
        <w:rPr>
          <w:spacing w:val="-2"/>
          <w:lang w:val="fr-FR"/>
        </w:rPr>
        <w:t>’</w:t>
      </w:r>
      <w:r w:rsidRPr="00267A6E">
        <w:rPr>
          <w:spacing w:val="-2"/>
          <w:lang w:val="fr-FR"/>
        </w:rPr>
        <w:t>Accord de Paris</w:t>
      </w:r>
      <w:r w:rsidR="00967A77" w:rsidRPr="00267A6E">
        <w:rPr>
          <w:spacing w:val="-2"/>
          <w:lang w:val="fr-FR"/>
        </w:rPr>
        <w:t>.</w:t>
      </w:r>
      <w:r w:rsidRPr="00267A6E">
        <w:rPr>
          <w:spacing w:val="-2"/>
          <w:lang w:val="fr-FR"/>
        </w:rPr>
        <w:t xml:space="preserve"> [</w:t>
      </w:r>
      <w:r w:rsidR="00967A77" w:rsidRPr="00267A6E">
        <w:rPr>
          <w:spacing w:val="-2"/>
          <w:lang w:val="fr-FR"/>
        </w:rPr>
        <w:t>...</w:t>
      </w:r>
      <w:r w:rsidRPr="00267A6E">
        <w:rPr>
          <w:spacing w:val="-2"/>
          <w:lang w:val="fr-FR"/>
        </w:rPr>
        <w:t>] Nous devons faire des transitions justes et solidaires une priorité afin que les populations pauvres et les plus vulnérables puissent en tirer pleinement parti sans avoir à en supporter le coût de manière disproportionnée »</w:t>
      </w:r>
      <w:r w:rsidRPr="00267A6E">
        <w:rPr>
          <w:rStyle w:val="FootnoteReference"/>
          <w:spacing w:val="-2"/>
          <w:lang w:val="fr-FR"/>
        </w:rPr>
        <w:footnoteReference w:id="42"/>
      </w:r>
      <w:r w:rsidR="00967A77" w:rsidRPr="00267A6E">
        <w:rPr>
          <w:spacing w:val="-2"/>
          <w:lang w:val="fr-FR"/>
        </w:rPr>
        <w:t>.</w:t>
      </w:r>
      <w:r w:rsidRPr="00267A6E">
        <w:rPr>
          <w:spacing w:val="-2"/>
          <w:lang w:val="fr-FR"/>
        </w:rPr>
        <w:t xml:space="preserve"> La Convention et le Protocole prévoient des exigences précises de participation du public, qui, sous réserve que les Parties acceptent de procéder ou de participer à une évaluation transfrontière, sont conformes aux obligations en matière de bonnes pratiques formulées dans la Convention sur l</w:t>
      </w:r>
      <w:r w:rsidR="00D82B54" w:rsidRPr="00267A6E">
        <w:rPr>
          <w:spacing w:val="-2"/>
          <w:lang w:val="fr-FR"/>
        </w:rPr>
        <w:t>’</w:t>
      </w:r>
      <w:r w:rsidRPr="00267A6E">
        <w:rPr>
          <w:spacing w:val="-2"/>
          <w:lang w:val="fr-FR"/>
        </w:rPr>
        <w:t>accès à l</w:t>
      </w:r>
      <w:r w:rsidR="00D82B54" w:rsidRPr="00267A6E">
        <w:rPr>
          <w:spacing w:val="-2"/>
          <w:lang w:val="fr-FR"/>
        </w:rPr>
        <w:t>’</w:t>
      </w:r>
      <w:r w:rsidRPr="00267A6E">
        <w:rPr>
          <w:spacing w:val="-2"/>
          <w:lang w:val="fr-FR"/>
        </w:rPr>
        <w:t>information, la participation du public au processus décisionnel et l</w:t>
      </w:r>
      <w:r w:rsidR="00D82B54" w:rsidRPr="00267A6E">
        <w:rPr>
          <w:spacing w:val="-2"/>
          <w:lang w:val="fr-FR"/>
        </w:rPr>
        <w:t>’</w:t>
      </w:r>
      <w:r w:rsidRPr="00267A6E">
        <w:rPr>
          <w:spacing w:val="-2"/>
          <w:lang w:val="fr-FR"/>
        </w:rPr>
        <w:t>accès à la justice en matière d</w:t>
      </w:r>
      <w:r w:rsidR="00D82B54" w:rsidRPr="00267A6E">
        <w:rPr>
          <w:spacing w:val="-2"/>
          <w:lang w:val="fr-FR"/>
        </w:rPr>
        <w:t>’</w:t>
      </w:r>
      <w:r w:rsidRPr="00267A6E">
        <w:rPr>
          <w:spacing w:val="-2"/>
          <w:lang w:val="fr-FR"/>
        </w:rPr>
        <w:t>environnement (Convention d</w:t>
      </w:r>
      <w:r w:rsidR="00D82B54" w:rsidRPr="00267A6E">
        <w:rPr>
          <w:spacing w:val="-2"/>
          <w:lang w:val="fr-FR"/>
        </w:rPr>
        <w:t>’</w:t>
      </w:r>
      <w:r w:rsidRPr="00267A6E">
        <w:rPr>
          <w:spacing w:val="-2"/>
          <w:lang w:val="fr-FR"/>
        </w:rPr>
        <w:t>Aarhus)</w:t>
      </w:r>
      <w:r w:rsidR="00967A77" w:rsidRPr="00267A6E">
        <w:rPr>
          <w:spacing w:val="-2"/>
          <w:lang w:val="fr-FR"/>
        </w:rPr>
        <w:t>.</w:t>
      </w:r>
    </w:p>
    <w:p w14:paraId="79FEE1A5" w14:textId="4EE00109" w:rsidR="003373A7" w:rsidRPr="00267A6E" w:rsidRDefault="003373A7" w:rsidP="00AF1F7C">
      <w:pPr>
        <w:pStyle w:val="SingleTxtG"/>
        <w:spacing w:after="100"/>
        <w:rPr>
          <w:lang w:val="fr-FR"/>
        </w:rPr>
      </w:pPr>
      <w:r w:rsidRPr="00267A6E">
        <w:rPr>
          <w:lang w:val="fr-FR"/>
        </w:rPr>
        <w:t>24</w:t>
      </w:r>
      <w:r w:rsidR="00967A77" w:rsidRPr="00267A6E">
        <w:rPr>
          <w:lang w:val="fr-FR"/>
        </w:rPr>
        <w:t>.</w:t>
      </w:r>
      <w:r w:rsidRPr="00267A6E">
        <w:rPr>
          <w:lang w:val="fr-FR"/>
        </w:rPr>
        <w:tab/>
        <w:t>La transition énergétique nécessitera des investissements considérables dans de nouvelles infrastructures énergétiques, dont beaucoup s</w:t>
      </w:r>
      <w:r w:rsidR="00D82B54" w:rsidRPr="00267A6E">
        <w:rPr>
          <w:lang w:val="fr-FR"/>
        </w:rPr>
        <w:t>’</w:t>
      </w:r>
      <w:r w:rsidRPr="00267A6E">
        <w:rPr>
          <w:lang w:val="fr-FR"/>
        </w:rPr>
        <w:t>étendront sur les territoires de plusieurs pays et nécessiteront donc une évaluation transfrontière de leur impact sur l</w:t>
      </w:r>
      <w:r w:rsidR="00D82B54" w:rsidRPr="00267A6E">
        <w:rPr>
          <w:lang w:val="fr-FR"/>
        </w:rPr>
        <w:t>’</w:t>
      </w:r>
      <w:r w:rsidRPr="00267A6E">
        <w:rPr>
          <w:lang w:val="fr-FR"/>
        </w:rPr>
        <w:t>environnement</w:t>
      </w:r>
      <w:r w:rsidR="00967A77" w:rsidRPr="00267A6E">
        <w:rPr>
          <w:lang w:val="fr-FR"/>
        </w:rPr>
        <w:t>.</w:t>
      </w:r>
      <w:r w:rsidRPr="00267A6E">
        <w:rPr>
          <w:lang w:val="fr-FR"/>
        </w:rPr>
        <w:t xml:space="preserve"> Dans ce contexte, il convient de noter que, entre 2019 et 2021, les parcs éoliens ont fait, de loin, l</w:t>
      </w:r>
      <w:r w:rsidR="00D82B54" w:rsidRPr="00267A6E">
        <w:rPr>
          <w:lang w:val="fr-FR"/>
        </w:rPr>
        <w:t>’</w:t>
      </w:r>
      <w:r w:rsidRPr="00267A6E">
        <w:rPr>
          <w:lang w:val="fr-FR"/>
        </w:rPr>
        <w:t>objet du plus grand nombre de procédures de consultation transfrontière, selon les données communiquées par les Parties à la Convention</w:t>
      </w:r>
      <w:r w:rsidRPr="00267A6E">
        <w:rPr>
          <w:rStyle w:val="FootnoteReference"/>
          <w:lang w:val="fr-FR"/>
        </w:rPr>
        <w:footnoteReference w:id="43"/>
      </w:r>
      <w:r w:rsidRPr="00267A6E">
        <w:rPr>
          <w:lang w:val="fr-FR"/>
        </w:rPr>
        <w:t>, ce qui montre que la Convention joue déjà un rôle important dans la transition énergétique</w:t>
      </w:r>
      <w:r w:rsidR="00967A77" w:rsidRPr="00267A6E">
        <w:rPr>
          <w:lang w:val="fr-FR"/>
        </w:rPr>
        <w:t>.</w:t>
      </w:r>
      <w:r w:rsidRPr="00267A6E">
        <w:rPr>
          <w:lang w:val="fr-FR"/>
        </w:rPr>
        <w:t xml:space="preserve"> On</w:t>
      </w:r>
      <w:r w:rsidR="00CE2EB6" w:rsidRPr="00267A6E">
        <w:rPr>
          <w:lang w:val="fr-FR"/>
        </w:rPr>
        <w:t> </w:t>
      </w:r>
      <w:r w:rsidRPr="00267A6E">
        <w:rPr>
          <w:lang w:val="fr-FR"/>
        </w:rPr>
        <w:t>trouvera dans l</w:t>
      </w:r>
      <w:r w:rsidR="00D82B54" w:rsidRPr="00267A6E">
        <w:rPr>
          <w:lang w:val="fr-FR"/>
        </w:rPr>
        <w:t>’</w:t>
      </w:r>
      <w:r w:rsidR="00CE2EB6" w:rsidRPr="00267A6E">
        <w:rPr>
          <w:lang w:val="fr-FR"/>
        </w:rPr>
        <w:t>encadré </w:t>
      </w:r>
      <w:r w:rsidRPr="00267A6E">
        <w:rPr>
          <w:lang w:val="fr-FR"/>
        </w:rPr>
        <w:t>1 un exemple de la manière dont le Protocole et la Convention contribuent à la transition énergétique dans la région de la mer Baltique en permettant l</w:t>
      </w:r>
      <w:r w:rsidR="00D82B54" w:rsidRPr="00267A6E">
        <w:rPr>
          <w:lang w:val="fr-FR"/>
        </w:rPr>
        <w:t>’</w:t>
      </w:r>
      <w:r w:rsidRPr="00267A6E">
        <w:rPr>
          <w:lang w:val="fr-FR"/>
        </w:rPr>
        <w:t>évaluation de l</w:t>
      </w:r>
      <w:r w:rsidR="00D82B54" w:rsidRPr="00267A6E">
        <w:rPr>
          <w:lang w:val="fr-FR"/>
        </w:rPr>
        <w:t>’</w:t>
      </w:r>
      <w:r w:rsidRPr="00267A6E">
        <w:rPr>
          <w:lang w:val="fr-FR"/>
        </w:rPr>
        <w:t>impact que des projets de développement de l</w:t>
      </w:r>
      <w:r w:rsidR="00D82B54" w:rsidRPr="00267A6E">
        <w:rPr>
          <w:lang w:val="fr-FR"/>
        </w:rPr>
        <w:t>’</w:t>
      </w:r>
      <w:r w:rsidRPr="00267A6E">
        <w:rPr>
          <w:lang w:val="fr-FR"/>
        </w:rPr>
        <w:t>énergie éolienne en mer ont sur l</w:t>
      </w:r>
      <w:r w:rsidR="00D82B54" w:rsidRPr="00267A6E">
        <w:rPr>
          <w:lang w:val="fr-FR"/>
        </w:rPr>
        <w:t>’</w:t>
      </w:r>
      <w:r w:rsidRPr="00267A6E">
        <w:rPr>
          <w:lang w:val="fr-FR"/>
        </w:rPr>
        <w:t>environnement (et sur la santé, en vertu du Protocole)</w:t>
      </w:r>
      <w:r w:rsidR="00967A77" w:rsidRPr="00267A6E">
        <w:rPr>
          <w:lang w:val="fr-FR"/>
        </w:rPr>
        <w:t>.</w:t>
      </w:r>
      <w:bookmarkStart w:id="8" w:name="_Ref142392510"/>
      <w:bookmarkEnd w:id="8"/>
    </w:p>
    <w:p w14:paraId="42237EB6" w14:textId="4093A286" w:rsidR="003373A7" w:rsidRPr="00267A6E" w:rsidRDefault="003373A7" w:rsidP="00AF1F7C">
      <w:pPr>
        <w:pStyle w:val="SingleTxtG"/>
        <w:spacing w:after="100"/>
        <w:rPr>
          <w:lang w:val="fr-FR"/>
        </w:rPr>
      </w:pPr>
      <w:r w:rsidRPr="00267A6E">
        <w:rPr>
          <w:lang w:val="fr-FR"/>
        </w:rPr>
        <w:t>25</w:t>
      </w:r>
      <w:r w:rsidR="00967A77" w:rsidRPr="00267A6E">
        <w:rPr>
          <w:lang w:val="fr-FR"/>
        </w:rPr>
        <w:t>.</w:t>
      </w:r>
      <w:r w:rsidRPr="00267A6E">
        <w:rPr>
          <w:lang w:val="fr-FR"/>
        </w:rPr>
        <w:tab/>
        <w:t>Dans la fiche pratique de la série « FasTips » de l</w:t>
      </w:r>
      <w:r w:rsidR="00D82B54" w:rsidRPr="00267A6E">
        <w:rPr>
          <w:lang w:val="fr-FR"/>
        </w:rPr>
        <w:t>’</w:t>
      </w:r>
      <w:r w:rsidRPr="00267A6E">
        <w:rPr>
          <w:lang w:val="fr-FR"/>
        </w:rPr>
        <w:t>International Association for Impact Assessment portant sur l</w:t>
      </w:r>
      <w:r w:rsidR="00D82B54" w:rsidRPr="00267A6E">
        <w:rPr>
          <w:lang w:val="fr-FR"/>
        </w:rPr>
        <w:t>’</w:t>
      </w:r>
      <w:r w:rsidRPr="00267A6E">
        <w:rPr>
          <w:lang w:val="fr-FR"/>
        </w:rPr>
        <w:t>évaluation de l</w:t>
      </w:r>
      <w:r w:rsidR="00D82B54" w:rsidRPr="00267A6E">
        <w:rPr>
          <w:lang w:val="fr-FR"/>
        </w:rPr>
        <w:t>’</w:t>
      </w:r>
      <w:r w:rsidRPr="00267A6E">
        <w:rPr>
          <w:lang w:val="fr-FR"/>
        </w:rPr>
        <w:t>impact sur l</w:t>
      </w:r>
      <w:r w:rsidR="00D82B54" w:rsidRPr="00267A6E">
        <w:rPr>
          <w:lang w:val="fr-FR"/>
        </w:rPr>
        <w:t>’</w:t>
      </w:r>
      <w:r w:rsidRPr="00267A6E">
        <w:rPr>
          <w:lang w:val="fr-FR"/>
        </w:rPr>
        <w:t>environnement et les objectifs de développement durable, il est souligné qu</w:t>
      </w:r>
      <w:r w:rsidR="00D82B54" w:rsidRPr="00267A6E">
        <w:rPr>
          <w:lang w:val="fr-FR"/>
        </w:rPr>
        <w:t>’</w:t>
      </w:r>
      <w:r w:rsidRPr="00267A6E">
        <w:rPr>
          <w:lang w:val="fr-FR"/>
        </w:rPr>
        <w:t>il est important d</w:t>
      </w:r>
      <w:r w:rsidR="00D82B54" w:rsidRPr="00267A6E">
        <w:rPr>
          <w:lang w:val="fr-FR"/>
        </w:rPr>
        <w:t>’</w:t>
      </w:r>
      <w:r w:rsidRPr="00267A6E">
        <w:rPr>
          <w:lang w:val="fr-FR"/>
        </w:rPr>
        <w:t>appuyer l</w:t>
      </w:r>
      <w:r w:rsidR="00D82B54" w:rsidRPr="00267A6E">
        <w:rPr>
          <w:lang w:val="fr-FR"/>
        </w:rPr>
        <w:t>’</w:t>
      </w:r>
      <w:r w:rsidRPr="00267A6E">
        <w:rPr>
          <w:lang w:val="fr-FR"/>
        </w:rPr>
        <w:t xml:space="preserve">adoption ou </w:t>
      </w:r>
      <w:r w:rsidRPr="00267A6E">
        <w:rPr>
          <w:spacing w:val="-2"/>
          <w:lang w:val="fr-FR"/>
        </w:rPr>
        <w:t>l</w:t>
      </w:r>
      <w:r w:rsidR="00D82B54" w:rsidRPr="00267A6E">
        <w:rPr>
          <w:spacing w:val="-2"/>
          <w:lang w:val="fr-FR"/>
        </w:rPr>
        <w:t>’</w:t>
      </w:r>
      <w:r w:rsidRPr="00267A6E">
        <w:rPr>
          <w:spacing w:val="-2"/>
          <w:lang w:val="fr-FR"/>
        </w:rPr>
        <w:t>adaptation de lignes directrices relatives à l</w:t>
      </w:r>
      <w:r w:rsidR="00D82B54" w:rsidRPr="00267A6E">
        <w:rPr>
          <w:spacing w:val="-2"/>
          <w:lang w:val="fr-FR"/>
        </w:rPr>
        <w:t>’</w:t>
      </w:r>
      <w:r w:rsidRPr="00267A6E">
        <w:rPr>
          <w:spacing w:val="-2"/>
          <w:lang w:val="fr-FR"/>
        </w:rPr>
        <w:t>évaluation de l</w:t>
      </w:r>
      <w:r w:rsidR="00D82B54" w:rsidRPr="00267A6E">
        <w:rPr>
          <w:spacing w:val="-2"/>
          <w:lang w:val="fr-FR"/>
        </w:rPr>
        <w:t>’</w:t>
      </w:r>
      <w:r w:rsidRPr="00267A6E">
        <w:rPr>
          <w:spacing w:val="-2"/>
          <w:lang w:val="fr-FR"/>
        </w:rPr>
        <w:t>impact sur l</w:t>
      </w:r>
      <w:r w:rsidR="00D82B54" w:rsidRPr="00267A6E">
        <w:rPr>
          <w:spacing w:val="-2"/>
          <w:lang w:val="fr-FR"/>
        </w:rPr>
        <w:t>’</w:t>
      </w:r>
      <w:r w:rsidRPr="00267A6E">
        <w:rPr>
          <w:spacing w:val="-2"/>
          <w:lang w:val="fr-FR"/>
        </w:rPr>
        <w:t>environnement afin d</w:t>
      </w:r>
      <w:r w:rsidR="00D82B54" w:rsidRPr="00267A6E">
        <w:rPr>
          <w:spacing w:val="-2"/>
          <w:lang w:val="fr-FR"/>
        </w:rPr>
        <w:t>’</w:t>
      </w:r>
      <w:r w:rsidRPr="00267A6E">
        <w:rPr>
          <w:spacing w:val="-2"/>
          <w:lang w:val="fr-FR"/>
        </w:rPr>
        <w:t>intégrer les principes et concepts ayant trait aux objectifs de développement durable, d</w:t>
      </w:r>
      <w:r w:rsidR="00D82B54" w:rsidRPr="00267A6E">
        <w:rPr>
          <w:spacing w:val="-2"/>
          <w:lang w:val="fr-FR"/>
        </w:rPr>
        <w:t>’</w:t>
      </w:r>
      <w:r w:rsidRPr="00267A6E">
        <w:rPr>
          <w:spacing w:val="-2"/>
          <w:lang w:val="fr-FR"/>
        </w:rPr>
        <w:t>élaborer des lignes directrices sectorielles relatives à l</w:t>
      </w:r>
      <w:r w:rsidR="00D82B54" w:rsidRPr="00267A6E">
        <w:rPr>
          <w:spacing w:val="-2"/>
          <w:lang w:val="fr-FR"/>
        </w:rPr>
        <w:t>’</w:t>
      </w:r>
      <w:r w:rsidRPr="00267A6E">
        <w:rPr>
          <w:spacing w:val="-2"/>
          <w:lang w:val="fr-FR"/>
        </w:rPr>
        <w:t>évaluation de l</w:t>
      </w:r>
      <w:r w:rsidR="00D82B54" w:rsidRPr="00267A6E">
        <w:rPr>
          <w:spacing w:val="-2"/>
          <w:lang w:val="fr-FR"/>
        </w:rPr>
        <w:t>’</w:t>
      </w:r>
      <w:r w:rsidRPr="00267A6E">
        <w:rPr>
          <w:spacing w:val="-2"/>
          <w:lang w:val="fr-FR"/>
        </w:rPr>
        <w:t>impact sur l</w:t>
      </w:r>
      <w:r w:rsidR="00D82B54" w:rsidRPr="00267A6E">
        <w:rPr>
          <w:spacing w:val="-2"/>
          <w:lang w:val="fr-FR"/>
        </w:rPr>
        <w:t>’</w:t>
      </w:r>
      <w:r w:rsidRPr="00267A6E">
        <w:rPr>
          <w:spacing w:val="-2"/>
          <w:lang w:val="fr-FR"/>
        </w:rPr>
        <w:t>environnement conformes aux objectifs de développement durable et de réaliser des études de cas solidement étayées qui mettent en évidence les liens entre l</w:t>
      </w:r>
      <w:r w:rsidR="00D82B54" w:rsidRPr="00267A6E">
        <w:rPr>
          <w:spacing w:val="-2"/>
          <w:lang w:val="fr-FR"/>
        </w:rPr>
        <w:t>’</w:t>
      </w:r>
      <w:r w:rsidRPr="00267A6E">
        <w:rPr>
          <w:spacing w:val="-2"/>
          <w:lang w:val="fr-FR"/>
        </w:rPr>
        <w:t>évaluation de l</w:t>
      </w:r>
      <w:r w:rsidR="00D82B54" w:rsidRPr="00267A6E">
        <w:rPr>
          <w:spacing w:val="-2"/>
          <w:lang w:val="fr-FR"/>
        </w:rPr>
        <w:t>’</w:t>
      </w:r>
      <w:r w:rsidRPr="00267A6E">
        <w:rPr>
          <w:spacing w:val="-2"/>
          <w:lang w:val="fr-FR"/>
        </w:rPr>
        <w:t>impact sur l</w:t>
      </w:r>
      <w:r w:rsidR="00D82B54" w:rsidRPr="00267A6E">
        <w:rPr>
          <w:spacing w:val="-2"/>
          <w:lang w:val="fr-FR"/>
        </w:rPr>
        <w:t>’</w:t>
      </w:r>
      <w:r w:rsidRPr="00267A6E">
        <w:rPr>
          <w:spacing w:val="-2"/>
          <w:lang w:val="fr-FR"/>
        </w:rPr>
        <w:t>environnement et les objectifs de développement durable</w:t>
      </w:r>
      <w:r w:rsidRPr="00267A6E">
        <w:rPr>
          <w:rStyle w:val="FootnoteReference"/>
          <w:spacing w:val="-2"/>
          <w:lang w:val="fr-FR"/>
        </w:rPr>
        <w:footnoteReference w:id="44"/>
      </w:r>
      <w:r w:rsidR="00967A77" w:rsidRPr="00267A6E">
        <w:rPr>
          <w:spacing w:val="-2"/>
          <w:lang w:val="fr-FR"/>
        </w:rPr>
        <w:t>.</w:t>
      </w:r>
      <w:r w:rsidRPr="00267A6E">
        <w:rPr>
          <w:spacing w:val="-2"/>
          <w:lang w:val="fr-FR"/>
        </w:rPr>
        <w:t xml:space="preserve"> Il convient de noter que « [d]ouze Parties et la Géorgie ont indiqué que l</w:t>
      </w:r>
      <w:r w:rsidR="00D82B54" w:rsidRPr="00267A6E">
        <w:rPr>
          <w:spacing w:val="-2"/>
          <w:lang w:val="fr-FR"/>
        </w:rPr>
        <w:t>’</w:t>
      </w:r>
      <w:r w:rsidRPr="00267A6E">
        <w:rPr>
          <w:spacing w:val="-2"/>
          <w:lang w:val="fr-FR"/>
        </w:rPr>
        <w:t>évaluation de l</w:t>
      </w:r>
      <w:r w:rsidR="00D82B54" w:rsidRPr="00267A6E">
        <w:rPr>
          <w:spacing w:val="-2"/>
          <w:lang w:val="fr-FR"/>
        </w:rPr>
        <w:t>’</w:t>
      </w:r>
      <w:r w:rsidRPr="00267A6E">
        <w:rPr>
          <w:spacing w:val="-2"/>
          <w:lang w:val="fr-FR"/>
        </w:rPr>
        <w:t>impact transfrontière sur l</w:t>
      </w:r>
      <w:r w:rsidR="00D82B54" w:rsidRPr="00267A6E">
        <w:rPr>
          <w:spacing w:val="-2"/>
          <w:lang w:val="fr-FR"/>
        </w:rPr>
        <w:t>’</w:t>
      </w:r>
      <w:r w:rsidRPr="00267A6E">
        <w:rPr>
          <w:spacing w:val="-2"/>
          <w:lang w:val="fr-FR"/>
        </w:rPr>
        <w:t>environnement contribuait sensiblement à la réalisation des objectifs de développement durable</w:t>
      </w:r>
      <w:r w:rsidR="00091B2D" w:rsidRPr="00267A6E">
        <w:rPr>
          <w:spacing w:val="-2"/>
          <w:lang w:val="fr-FR"/>
        </w:rPr>
        <w:t> </w:t>
      </w:r>
      <w:r w:rsidRPr="00267A6E">
        <w:rPr>
          <w:spacing w:val="-2"/>
          <w:lang w:val="fr-FR"/>
        </w:rPr>
        <w:t>»</w:t>
      </w:r>
      <w:r w:rsidRPr="00267A6E">
        <w:rPr>
          <w:rStyle w:val="FootnoteReference"/>
          <w:spacing w:val="-2"/>
          <w:lang w:val="fr-FR"/>
        </w:rPr>
        <w:footnoteReference w:id="45"/>
      </w:r>
      <w:r w:rsidR="00967A77" w:rsidRPr="00267A6E">
        <w:rPr>
          <w:spacing w:val="-2"/>
          <w:lang w:val="fr-FR"/>
        </w:rPr>
        <w:t>.</w:t>
      </w:r>
    </w:p>
    <w:tbl>
      <w:tblPr>
        <w:tblStyle w:val="TableGrid"/>
        <w:tblW w:w="7653" w:type="dxa"/>
        <w:jc w:val="center"/>
        <w:tblBorders>
          <w:top w:val="none" w:sz="0" w:space="0" w:color="auto"/>
          <w:left w:val="none" w:sz="0" w:space="0" w:color="auto"/>
          <w:bottom w:val="none" w:sz="0" w:space="0" w:color="auto"/>
          <w:right w:val="none" w:sz="0" w:space="0" w:color="auto"/>
          <w:insideH w:val="none" w:sz="0" w:space="0" w:color="auto"/>
        </w:tblBorders>
        <w:tblLayout w:type="fixed"/>
        <w:tblCellMar>
          <w:left w:w="142" w:type="dxa"/>
          <w:right w:w="142" w:type="dxa"/>
        </w:tblCellMar>
        <w:tblLook w:val="04A0" w:firstRow="1" w:lastRow="0" w:firstColumn="1" w:lastColumn="0" w:noHBand="0" w:noVBand="1"/>
      </w:tblPr>
      <w:tblGrid>
        <w:gridCol w:w="7653"/>
      </w:tblGrid>
      <w:tr w:rsidR="006528B0" w:rsidRPr="00267A6E" w14:paraId="19D00967" w14:textId="77777777">
        <w:trPr>
          <w:trHeight w:hRule="exact" w:val="240"/>
          <w:jc w:val="center"/>
        </w:trPr>
        <w:tc>
          <w:tcPr>
            <w:tcW w:w="7653" w:type="dxa"/>
            <w:tcBorders>
              <w:top w:val="single" w:sz="4" w:space="0" w:color="auto"/>
              <w:left w:val="single" w:sz="4" w:space="0" w:color="auto"/>
              <w:bottom w:val="nil"/>
              <w:right w:val="single" w:sz="4" w:space="0" w:color="auto"/>
            </w:tcBorders>
            <w:shd w:val="clear" w:color="auto" w:fill="auto"/>
          </w:tcPr>
          <w:p w14:paraId="2023D5DC" w14:textId="3A88DED2" w:rsidR="006528B0" w:rsidRPr="00267A6E" w:rsidRDefault="00CE2EB6">
            <w:pPr>
              <w:rPr>
                <w:lang w:val="fr-FR"/>
              </w:rPr>
            </w:pPr>
            <w:r w:rsidRPr="00267A6E">
              <w:rPr>
                <w:lang w:val="fr-FR"/>
              </w:rPr>
              <w:t>Encadré </w:t>
            </w:r>
            <w:r w:rsidR="006528B0" w:rsidRPr="00267A6E">
              <w:rPr>
                <w:lang w:val="fr-FR"/>
              </w:rPr>
              <w:t>1</w:t>
            </w:r>
          </w:p>
        </w:tc>
      </w:tr>
      <w:tr w:rsidR="006528B0" w:rsidRPr="00267A6E" w14:paraId="366F0B56" w14:textId="77777777">
        <w:trPr>
          <w:jc w:val="center"/>
        </w:trPr>
        <w:tc>
          <w:tcPr>
            <w:tcW w:w="7653" w:type="dxa"/>
            <w:tcBorders>
              <w:left w:val="single" w:sz="4" w:space="0" w:color="auto"/>
              <w:bottom w:val="nil"/>
              <w:right w:val="single" w:sz="4" w:space="0" w:color="auto"/>
            </w:tcBorders>
            <w:shd w:val="clear" w:color="auto" w:fill="auto"/>
          </w:tcPr>
          <w:p w14:paraId="5D057BE6" w14:textId="4B330CFE" w:rsidR="006528B0" w:rsidRPr="00267A6E" w:rsidRDefault="006528B0">
            <w:pPr>
              <w:spacing w:after="120"/>
              <w:jc w:val="both"/>
              <w:rPr>
                <w:lang w:val="fr-FR"/>
              </w:rPr>
            </w:pPr>
            <w:r w:rsidRPr="00267A6E">
              <w:rPr>
                <w:b/>
                <w:bCs/>
                <w:lang w:val="fr-FR"/>
              </w:rPr>
              <w:t>Étude de cas sur l</w:t>
            </w:r>
            <w:r w:rsidR="00D82B54" w:rsidRPr="00267A6E">
              <w:rPr>
                <w:b/>
                <w:bCs/>
                <w:lang w:val="fr-FR"/>
              </w:rPr>
              <w:t>’</w:t>
            </w:r>
            <w:r w:rsidRPr="00267A6E">
              <w:rPr>
                <w:b/>
                <w:bCs/>
                <w:lang w:val="fr-FR"/>
              </w:rPr>
              <w:t>application du Protocole et de la Convention au développement de</w:t>
            </w:r>
            <w:r w:rsidR="008D7609" w:rsidRPr="00267A6E">
              <w:rPr>
                <w:b/>
                <w:bCs/>
                <w:lang w:val="fr-FR"/>
              </w:rPr>
              <w:t> </w:t>
            </w:r>
            <w:r w:rsidRPr="00267A6E">
              <w:rPr>
                <w:b/>
                <w:bCs/>
                <w:lang w:val="fr-FR"/>
              </w:rPr>
              <w:t>l</w:t>
            </w:r>
            <w:r w:rsidR="00D82B54" w:rsidRPr="00267A6E">
              <w:rPr>
                <w:b/>
                <w:bCs/>
                <w:lang w:val="fr-FR"/>
              </w:rPr>
              <w:t>’</w:t>
            </w:r>
            <w:r w:rsidRPr="00267A6E">
              <w:rPr>
                <w:b/>
                <w:bCs/>
                <w:lang w:val="fr-FR"/>
              </w:rPr>
              <w:t>énergie éolienne en mer dans la région de la mer Baltique</w:t>
            </w:r>
          </w:p>
        </w:tc>
      </w:tr>
      <w:tr w:rsidR="006528B0" w:rsidRPr="00267A6E" w14:paraId="732C1514" w14:textId="77777777">
        <w:trPr>
          <w:jc w:val="center"/>
        </w:trPr>
        <w:tc>
          <w:tcPr>
            <w:tcW w:w="7653" w:type="dxa"/>
            <w:tcBorders>
              <w:left w:val="single" w:sz="4" w:space="0" w:color="auto"/>
              <w:bottom w:val="nil"/>
              <w:right w:val="single" w:sz="4" w:space="0" w:color="auto"/>
            </w:tcBorders>
            <w:shd w:val="clear" w:color="auto" w:fill="auto"/>
          </w:tcPr>
          <w:p w14:paraId="738C948F" w14:textId="7D463F3A" w:rsidR="006528B0" w:rsidRPr="00267A6E" w:rsidRDefault="006528B0" w:rsidP="00AF1F7C">
            <w:pPr>
              <w:widowControl w:val="0"/>
              <w:spacing w:after="120"/>
              <w:ind w:firstLine="567"/>
              <w:jc w:val="both"/>
              <w:rPr>
                <w:spacing w:val="-3"/>
                <w:lang w:val="fr-FR"/>
              </w:rPr>
            </w:pPr>
            <w:r w:rsidRPr="00267A6E">
              <w:rPr>
                <w:spacing w:val="-3"/>
                <w:lang w:val="fr-FR"/>
              </w:rPr>
              <w:t>De nombreux pays se tournent de plus en plus vers l</w:t>
            </w:r>
            <w:r w:rsidR="00D82B54" w:rsidRPr="00267A6E">
              <w:rPr>
                <w:spacing w:val="-3"/>
                <w:lang w:val="fr-FR"/>
              </w:rPr>
              <w:t>’</w:t>
            </w:r>
            <w:r w:rsidRPr="00267A6E">
              <w:rPr>
                <w:spacing w:val="-3"/>
                <w:lang w:val="fr-FR"/>
              </w:rPr>
              <w:t>environnement marin pour augmenter de manière significative leurs capacités de production d</w:t>
            </w:r>
            <w:r w:rsidR="00D82B54" w:rsidRPr="00267A6E">
              <w:rPr>
                <w:spacing w:val="-3"/>
                <w:lang w:val="fr-FR"/>
              </w:rPr>
              <w:t>’</w:t>
            </w:r>
            <w:r w:rsidRPr="00267A6E">
              <w:rPr>
                <w:spacing w:val="-3"/>
                <w:lang w:val="fr-FR"/>
              </w:rPr>
              <w:t>énergie renouvelable</w:t>
            </w:r>
            <w:r w:rsidR="00967A77" w:rsidRPr="00267A6E">
              <w:rPr>
                <w:spacing w:val="-3"/>
                <w:lang w:val="fr-FR"/>
              </w:rPr>
              <w:t>.</w:t>
            </w:r>
            <w:r w:rsidRPr="00267A6E">
              <w:rPr>
                <w:spacing w:val="-3"/>
                <w:lang w:val="fr-FR"/>
              </w:rPr>
              <w:t xml:space="preserve"> Ainsi, huit pays de la région de la mer Baltique (Allemagne, Danemark, Estonie, Finlande, Lettonie, Lituanie, Pologne et Suède) ont signé en août 2022 la Déclaration de Marienborg</w:t>
            </w:r>
            <w:r w:rsidRPr="00267A6E">
              <w:rPr>
                <w:i/>
                <w:iCs/>
                <w:spacing w:val="-3"/>
                <w:vertAlign w:val="superscript"/>
                <w:lang w:val="fr-FR"/>
              </w:rPr>
              <w:t>a</w:t>
            </w:r>
            <w:r w:rsidRPr="00267A6E">
              <w:rPr>
                <w:spacing w:val="-3"/>
                <w:lang w:val="fr-FR"/>
              </w:rPr>
              <w:t>, par laquelle ils se sont engagés à totaliser ensemble au moins 19,6</w:t>
            </w:r>
            <w:r w:rsidR="00C77A34" w:rsidRPr="00267A6E">
              <w:rPr>
                <w:spacing w:val="-3"/>
                <w:lang w:val="fr-FR"/>
              </w:rPr>
              <w:t> GW</w:t>
            </w:r>
            <w:r w:rsidRPr="00267A6E">
              <w:rPr>
                <w:spacing w:val="-3"/>
                <w:lang w:val="fr-FR"/>
              </w:rPr>
              <w:t xml:space="preserve"> de puissance éolienne en mer d</w:t>
            </w:r>
            <w:r w:rsidR="00D82B54" w:rsidRPr="00267A6E">
              <w:rPr>
                <w:spacing w:val="-3"/>
                <w:lang w:val="fr-FR"/>
              </w:rPr>
              <w:t>’</w:t>
            </w:r>
            <w:r w:rsidRPr="00267A6E">
              <w:rPr>
                <w:spacing w:val="-3"/>
                <w:lang w:val="fr-FR"/>
              </w:rPr>
              <w:t>ici à 2030, soit une multiplication par sept des capacités actuelles en mer Baltique</w:t>
            </w:r>
            <w:r w:rsidR="00967A77" w:rsidRPr="00267A6E">
              <w:rPr>
                <w:spacing w:val="-3"/>
                <w:lang w:val="fr-FR"/>
              </w:rPr>
              <w:t>.</w:t>
            </w:r>
            <w:r w:rsidRPr="00267A6E">
              <w:rPr>
                <w:spacing w:val="-3"/>
                <w:lang w:val="fr-FR"/>
              </w:rPr>
              <w:t xml:space="preserve"> Les </w:t>
            </w:r>
            <w:r w:rsidR="00594E35" w:rsidRPr="00267A6E">
              <w:rPr>
                <w:spacing w:val="-3"/>
                <w:lang w:val="fr-FR"/>
              </w:rPr>
              <w:t>P</w:t>
            </w:r>
            <w:r w:rsidRPr="00267A6E">
              <w:rPr>
                <w:spacing w:val="-3"/>
                <w:lang w:val="fr-FR"/>
              </w:rPr>
              <w:t>arties à la Déclaration se sont également engagées à poursuivre des projets transfrontières communs dans le domaine des énergies renouvelables, à coopérer à la mise en place des infrastructures de transport d</w:t>
            </w:r>
            <w:r w:rsidR="00D82B54" w:rsidRPr="00267A6E">
              <w:rPr>
                <w:spacing w:val="-3"/>
                <w:lang w:val="fr-FR"/>
              </w:rPr>
              <w:t>’</w:t>
            </w:r>
            <w:r w:rsidRPr="00267A6E">
              <w:rPr>
                <w:spacing w:val="-3"/>
                <w:lang w:val="fr-FR"/>
              </w:rPr>
              <w:t>énergie nécessaires et à renforcer la coopération politique pour réaliser ces objectifs</w:t>
            </w:r>
            <w:r w:rsidR="00967A77" w:rsidRPr="00267A6E">
              <w:rPr>
                <w:spacing w:val="-3"/>
                <w:lang w:val="fr-FR"/>
              </w:rPr>
              <w:t>.</w:t>
            </w:r>
          </w:p>
        </w:tc>
      </w:tr>
      <w:tr w:rsidR="006528B0" w:rsidRPr="00267A6E" w14:paraId="7B87F77E" w14:textId="77777777">
        <w:trPr>
          <w:jc w:val="center"/>
        </w:trPr>
        <w:tc>
          <w:tcPr>
            <w:tcW w:w="7653" w:type="dxa"/>
            <w:tcBorders>
              <w:left w:val="single" w:sz="4" w:space="0" w:color="auto"/>
              <w:bottom w:val="nil"/>
              <w:right w:val="single" w:sz="4" w:space="0" w:color="auto"/>
            </w:tcBorders>
            <w:shd w:val="clear" w:color="auto" w:fill="auto"/>
          </w:tcPr>
          <w:p w14:paraId="5E0B88B2" w14:textId="6382BC9E" w:rsidR="006528B0" w:rsidRPr="00267A6E" w:rsidRDefault="002B4E10" w:rsidP="00117110">
            <w:pPr>
              <w:spacing w:after="100"/>
              <w:ind w:firstLine="567"/>
              <w:jc w:val="both"/>
              <w:rPr>
                <w:lang w:val="fr-FR"/>
              </w:rPr>
            </w:pPr>
            <w:r w:rsidRPr="00267A6E">
              <w:rPr>
                <w:lang w:val="fr-FR"/>
              </w:rPr>
              <w:t>L</w:t>
            </w:r>
            <w:r w:rsidR="00D82B54" w:rsidRPr="00267A6E">
              <w:rPr>
                <w:lang w:val="fr-FR"/>
              </w:rPr>
              <w:t>’</w:t>
            </w:r>
            <w:r w:rsidRPr="00267A6E">
              <w:rPr>
                <w:lang w:val="fr-FR"/>
              </w:rPr>
              <w:t>évaluation stratégique environnementale au titre du Protocole et l</w:t>
            </w:r>
            <w:r w:rsidR="00D82B54" w:rsidRPr="00267A6E">
              <w:rPr>
                <w:lang w:val="fr-FR"/>
              </w:rPr>
              <w:t>’</w:t>
            </w:r>
            <w:r w:rsidRPr="00267A6E">
              <w:rPr>
                <w:lang w:val="fr-FR"/>
              </w:rPr>
              <w:t>évaluation de l</w:t>
            </w:r>
            <w:r w:rsidR="00D82B54" w:rsidRPr="00267A6E">
              <w:rPr>
                <w:lang w:val="fr-FR"/>
              </w:rPr>
              <w:t>’</w:t>
            </w:r>
            <w:r w:rsidRPr="00267A6E">
              <w:rPr>
                <w:lang w:val="fr-FR"/>
              </w:rPr>
              <w:t>impact transfrontière sur l</w:t>
            </w:r>
            <w:r w:rsidR="00D82B54" w:rsidRPr="00267A6E">
              <w:rPr>
                <w:lang w:val="fr-FR"/>
              </w:rPr>
              <w:t>’</w:t>
            </w:r>
            <w:r w:rsidRPr="00267A6E">
              <w:rPr>
                <w:lang w:val="fr-FR"/>
              </w:rPr>
              <w:t>environnement au titre de la Convention ont un rôle essentiel à jouer dans les transitions énergétiques, notamment dans celle que prévoit la Déclaration de Marienborg</w:t>
            </w:r>
            <w:r w:rsidR="00967A77" w:rsidRPr="00267A6E">
              <w:rPr>
                <w:lang w:val="fr-FR"/>
              </w:rPr>
              <w:t>.</w:t>
            </w:r>
            <w:r w:rsidRPr="00267A6E">
              <w:rPr>
                <w:lang w:val="fr-FR"/>
              </w:rPr>
              <w:t xml:space="preserve"> Dans le deuxième amendement à la Convention, les parcs éoliens ont été inscrits sur la liste des activités figurant à l</w:t>
            </w:r>
            <w:r w:rsidR="00D82B54" w:rsidRPr="00267A6E">
              <w:rPr>
                <w:lang w:val="fr-FR"/>
              </w:rPr>
              <w:t>’</w:t>
            </w:r>
            <w:r w:rsidR="007E1922" w:rsidRPr="00267A6E">
              <w:rPr>
                <w:lang w:val="fr-FR"/>
              </w:rPr>
              <w:t>Appendice </w:t>
            </w:r>
            <w:r w:rsidRPr="00267A6E">
              <w:rPr>
                <w:lang w:val="fr-FR"/>
              </w:rPr>
              <w:t>I pour lesquelles une évaluation de l</w:t>
            </w:r>
            <w:r w:rsidR="00D82B54" w:rsidRPr="00267A6E">
              <w:rPr>
                <w:lang w:val="fr-FR"/>
              </w:rPr>
              <w:t>’</w:t>
            </w:r>
            <w:r w:rsidRPr="00267A6E">
              <w:rPr>
                <w:lang w:val="fr-FR"/>
              </w:rPr>
              <w:t>impact transfrontière sur l</w:t>
            </w:r>
            <w:r w:rsidR="00D82B54" w:rsidRPr="00267A6E">
              <w:rPr>
                <w:lang w:val="fr-FR"/>
              </w:rPr>
              <w:t>’</w:t>
            </w:r>
            <w:r w:rsidRPr="00267A6E">
              <w:rPr>
                <w:lang w:val="fr-FR"/>
              </w:rPr>
              <w:t xml:space="preserve">environnement peut être requise, et de nombreuses consultations transfrontières sur cette activité ont été menées au cours des dernières années (voir </w:t>
            </w:r>
            <w:r w:rsidR="00D82B54" w:rsidRPr="00267A6E">
              <w:rPr>
                <w:lang w:val="fr-FR"/>
              </w:rPr>
              <w:t>par</w:t>
            </w:r>
            <w:r w:rsidR="00967A77" w:rsidRPr="00267A6E">
              <w:rPr>
                <w:lang w:val="fr-FR"/>
              </w:rPr>
              <w:t>.</w:t>
            </w:r>
            <w:r w:rsidR="00D82B54" w:rsidRPr="00267A6E">
              <w:rPr>
                <w:lang w:val="fr-FR"/>
              </w:rPr>
              <w:t> </w:t>
            </w:r>
            <w:r w:rsidRPr="00267A6E">
              <w:rPr>
                <w:lang w:val="fr-FR"/>
              </w:rPr>
              <w:t>24)</w:t>
            </w:r>
            <w:r w:rsidR="00967A77" w:rsidRPr="00267A6E">
              <w:rPr>
                <w:lang w:val="fr-FR"/>
              </w:rPr>
              <w:t>.</w:t>
            </w:r>
            <w:r w:rsidRPr="00267A6E">
              <w:rPr>
                <w:lang w:val="fr-FR"/>
              </w:rPr>
              <w:t xml:space="preserve"> Le Protocole impose, entre autres, qu</w:t>
            </w:r>
            <w:r w:rsidR="00D82B54" w:rsidRPr="00267A6E">
              <w:rPr>
                <w:lang w:val="fr-FR"/>
              </w:rPr>
              <w:t>’</w:t>
            </w:r>
            <w:r w:rsidRPr="00267A6E">
              <w:rPr>
                <w:lang w:val="fr-FR"/>
              </w:rPr>
              <w:t>une évaluation stratégique environnementale soit effectuée pour les plans et programmes relatifs à l</w:t>
            </w:r>
            <w:r w:rsidR="00D82B54" w:rsidRPr="00267A6E">
              <w:rPr>
                <w:lang w:val="fr-FR"/>
              </w:rPr>
              <w:t>’</w:t>
            </w:r>
            <w:r w:rsidRPr="00267A6E">
              <w:rPr>
                <w:lang w:val="fr-FR"/>
              </w:rPr>
              <w:t>énergie</w:t>
            </w:r>
            <w:r w:rsidR="00967A77" w:rsidRPr="00267A6E">
              <w:rPr>
                <w:lang w:val="fr-FR"/>
              </w:rPr>
              <w:t>.</w:t>
            </w:r>
            <w:r w:rsidRPr="00267A6E">
              <w:rPr>
                <w:lang w:val="fr-FR"/>
              </w:rPr>
              <w:t xml:space="preserve"> Non seulement ces instruments de la CEE prévoient des mécanismes importants pour protéger l</w:t>
            </w:r>
            <w:r w:rsidR="00D82B54" w:rsidRPr="00267A6E">
              <w:rPr>
                <w:lang w:val="fr-FR"/>
              </w:rPr>
              <w:t>’</w:t>
            </w:r>
            <w:r w:rsidRPr="00267A6E">
              <w:rPr>
                <w:lang w:val="fr-FR"/>
              </w:rPr>
              <w:t>environnement et contribuer à la réalisation des objectifs de développement durable, mais ils jouent également un rôle dans le renforcement de la coopération politique transfrontière, comme le préconise la Déclaration de Marienborg</w:t>
            </w:r>
            <w:r w:rsidR="00967A77" w:rsidRPr="00267A6E">
              <w:rPr>
                <w:lang w:val="fr-FR"/>
              </w:rPr>
              <w:t>.</w:t>
            </w:r>
          </w:p>
        </w:tc>
      </w:tr>
      <w:tr w:rsidR="002B4E10" w:rsidRPr="00267A6E" w14:paraId="1D2212B0" w14:textId="77777777">
        <w:trPr>
          <w:jc w:val="center"/>
        </w:trPr>
        <w:tc>
          <w:tcPr>
            <w:tcW w:w="7653" w:type="dxa"/>
            <w:tcBorders>
              <w:left w:val="single" w:sz="4" w:space="0" w:color="auto"/>
              <w:bottom w:val="nil"/>
              <w:right w:val="single" w:sz="4" w:space="0" w:color="auto"/>
            </w:tcBorders>
            <w:shd w:val="clear" w:color="auto" w:fill="auto"/>
          </w:tcPr>
          <w:p w14:paraId="6129D6CB" w14:textId="5707D51F" w:rsidR="002B4E10" w:rsidRPr="00267A6E" w:rsidRDefault="002B4E10" w:rsidP="00117110">
            <w:pPr>
              <w:spacing w:after="100"/>
              <w:ind w:firstLine="567"/>
              <w:jc w:val="both"/>
              <w:rPr>
                <w:lang w:val="fr-FR"/>
              </w:rPr>
            </w:pPr>
            <w:r w:rsidRPr="00267A6E">
              <w:rPr>
                <w:lang w:val="fr-FR"/>
              </w:rPr>
              <w:t>L</w:t>
            </w:r>
            <w:r w:rsidR="00D82B54" w:rsidRPr="00267A6E">
              <w:rPr>
                <w:lang w:val="fr-FR"/>
              </w:rPr>
              <w:t>’</w:t>
            </w:r>
            <w:r w:rsidRPr="00267A6E">
              <w:rPr>
                <w:lang w:val="fr-FR"/>
              </w:rPr>
              <w:t>évaluation de l</w:t>
            </w:r>
            <w:r w:rsidR="00D82B54" w:rsidRPr="00267A6E">
              <w:rPr>
                <w:lang w:val="fr-FR"/>
              </w:rPr>
              <w:t>’</w:t>
            </w:r>
            <w:r w:rsidRPr="00267A6E">
              <w:rPr>
                <w:lang w:val="fr-FR"/>
              </w:rPr>
              <w:t>impact transfrontière sur l</w:t>
            </w:r>
            <w:r w:rsidR="00D82B54" w:rsidRPr="00267A6E">
              <w:rPr>
                <w:lang w:val="fr-FR"/>
              </w:rPr>
              <w:t>’</w:t>
            </w:r>
            <w:r w:rsidRPr="00267A6E">
              <w:rPr>
                <w:lang w:val="fr-FR"/>
              </w:rPr>
              <w:t>environnement actuellement menée pour le projet de parc éolien en mer porté par la société Saare Wind Energy</w:t>
            </w:r>
            <w:r w:rsidRPr="00267A6E">
              <w:rPr>
                <w:i/>
                <w:iCs/>
                <w:vertAlign w:val="superscript"/>
                <w:lang w:val="fr-FR"/>
              </w:rPr>
              <w:t>b</w:t>
            </w:r>
            <w:r w:rsidRPr="00267A6E">
              <w:rPr>
                <w:lang w:val="fr-FR"/>
              </w:rPr>
              <w:t xml:space="preserve"> dans la partie estonienne de la mer Baltique illustre le rôle important joué par ces instruments</w:t>
            </w:r>
            <w:r w:rsidR="00967A77" w:rsidRPr="00267A6E">
              <w:rPr>
                <w:lang w:val="fr-FR"/>
              </w:rPr>
              <w:t>.</w:t>
            </w:r>
            <w:r w:rsidRPr="00267A6E">
              <w:rPr>
                <w:lang w:val="fr-FR"/>
              </w:rPr>
              <w:t xml:space="preserve"> Dans le cadre de ce projet, il est prévu de construire jusqu</w:t>
            </w:r>
            <w:r w:rsidR="00D82B54" w:rsidRPr="00267A6E">
              <w:rPr>
                <w:lang w:val="fr-FR"/>
              </w:rPr>
              <w:t>’</w:t>
            </w:r>
            <w:r w:rsidRPr="00267A6E">
              <w:rPr>
                <w:lang w:val="fr-FR"/>
              </w:rPr>
              <w:t>à 100 éoliennes d</w:t>
            </w:r>
            <w:r w:rsidR="00D82B54" w:rsidRPr="00267A6E">
              <w:rPr>
                <w:lang w:val="fr-FR"/>
              </w:rPr>
              <w:t>’</w:t>
            </w:r>
            <w:r w:rsidRPr="00267A6E">
              <w:rPr>
                <w:lang w:val="fr-FR"/>
              </w:rPr>
              <w:t>une capacité de production totale de 1</w:t>
            </w:r>
            <w:r w:rsidR="00C77A34" w:rsidRPr="00267A6E">
              <w:rPr>
                <w:lang w:val="fr-FR"/>
              </w:rPr>
              <w:t> </w:t>
            </w:r>
            <w:r w:rsidRPr="00267A6E">
              <w:rPr>
                <w:lang w:val="fr-FR"/>
              </w:rPr>
              <w:t>400 MW, ainsi que les infrastructures de transport associées, et ce à plus de 10</w:t>
            </w:r>
            <w:r w:rsidR="003D4759" w:rsidRPr="00267A6E">
              <w:rPr>
                <w:lang w:val="fr-FR"/>
              </w:rPr>
              <w:t> </w:t>
            </w:r>
            <w:r w:rsidRPr="00267A6E">
              <w:rPr>
                <w:lang w:val="fr-FR"/>
              </w:rPr>
              <w:t>km de la côte de l</w:t>
            </w:r>
            <w:r w:rsidR="00D82B54" w:rsidRPr="00267A6E">
              <w:rPr>
                <w:lang w:val="fr-FR"/>
              </w:rPr>
              <w:t>’</w:t>
            </w:r>
            <w:r w:rsidRPr="00267A6E">
              <w:rPr>
                <w:lang w:val="fr-FR"/>
              </w:rPr>
              <w:t>île de Saaremaa, en Estonie</w:t>
            </w:r>
            <w:r w:rsidR="00967A77" w:rsidRPr="00267A6E">
              <w:rPr>
                <w:lang w:val="fr-FR"/>
              </w:rPr>
              <w:t>.</w:t>
            </w:r>
            <w:r w:rsidRPr="00267A6E">
              <w:rPr>
                <w:lang w:val="fr-FR"/>
              </w:rPr>
              <w:t xml:space="preserve"> Cet emplacement a été choisi à l</w:t>
            </w:r>
            <w:r w:rsidR="00D82B54" w:rsidRPr="00267A6E">
              <w:rPr>
                <w:lang w:val="fr-FR"/>
              </w:rPr>
              <w:t>’</w:t>
            </w:r>
            <w:r w:rsidRPr="00267A6E">
              <w:rPr>
                <w:lang w:val="fr-FR"/>
              </w:rPr>
              <w:t>issue d</w:t>
            </w:r>
            <w:r w:rsidR="00D82B54" w:rsidRPr="00267A6E">
              <w:rPr>
                <w:lang w:val="fr-FR"/>
              </w:rPr>
              <w:t>’</w:t>
            </w:r>
            <w:r w:rsidRPr="00267A6E">
              <w:rPr>
                <w:lang w:val="fr-FR"/>
              </w:rPr>
              <w:t>une évaluation des zones propices à la construction de parcs éoliens réalisée dans le cadre du plan d</w:t>
            </w:r>
            <w:r w:rsidR="00D82B54" w:rsidRPr="00267A6E">
              <w:rPr>
                <w:lang w:val="fr-FR"/>
              </w:rPr>
              <w:t>’</w:t>
            </w:r>
            <w:r w:rsidRPr="00267A6E">
              <w:rPr>
                <w:lang w:val="fr-FR"/>
              </w:rPr>
              <w:t>aménagement de l</w:t>
            </w:r>
            <w:r w:rsidR="00D82B54" w:rsidRPr="00267A6E">
              <w:rPr>
                <w:lang w:val="fr-FR"/>
              </w:rPr>
              <w:t>’</w:t>
            </w:r>
            <w:r w:rsidRPr="00267A6E">
              <w:rPr>
                <w:lang w:val="fr-FR"/>
              </w:rPr>
              <w:t>espace maritime estonien, lequel a fait l</w:t>
            </w:r>
            <w:r w:rsidR="00D82B54" w:rsidRPr="00267A6E">
              <w:rPr>
                <w:lang w:val="fr-FR"/>
              </w:rPr>
              <w:t>’</w:t>
            </w:r>
            <w:r w:rsidRPr="00267A6E">
              <w:rPr>
                <w:lang w:val="fr-FR"/>
              </w:rPr>
              <w:t>objet d</w:t>
            </w:r>
            <w:r w:rsidR="00D82B54" w:rsidRPr="00267A6E">
              <w:rPr>
                <w:lang w:val="fr-FR"/>
              </w:rPr>
              <w:t>’</w:t>
            </w:r>
            <w:r w:rsidRPr="00267A6E">
              <w:rPr>
                <w:lang w:val="fr-FR"/>
              </w:rPr>
              <w:t>une évaluation stratégique environnementale des effets que les projets proposés étaient susceptibles d</w:t>
            </w:r>
            <w:r w:rsidR="00D82B54" w:rsidRPr="00267A6E">
              <w:rPr>
                <w:lang w:val="fr-FR"/>
              </w:rPr>
              <w:t>’</w:t>
            </w:r>
            <w:r w:rsidRPr="00267A6E">
              <w:rPr>
                <w:lang w:val="fr-FR"/>
              </w:rPr>
              <w:t>avoir sur l</w:t>
            </w:r>
            <w:r w:rsidR="00D82B54" w:rsidRPr="00267A6E">
              <w:rPr>
                <w:lang w:val="fr-FR"/>
              </w:rPr>
              <w:t>’</w:t>
            </w:r>
            <w:r w:rsidRPr="00267A6E">
              <w:rPr>
                <w:lang w:val="fr-FR"/>
              </w:rPr>
              <w:t>environnement, notamment sur la santé, au-delà des frontières nationales, et a donné lieu à des consultations transfrontières</w:t>
            </w:r>
            <w:r w:rsidR="00967A77" w:rsidRPr="00267A6E">
              <w:rPr>
                <w:lang w:val="fr-FR"/>
              </w:rPr>
              <w:t>.</w:t>
            </w:r>
          </w:p>
        </w:tc>
      </w:tr>
      <w:tr w:rsidR="002B4E10" w:rsidRPr="00267A6E" w14:paraId="06FAD356" w14:textId="77777777">
        <w:trPr>
          <w:jc w:val="center"/>
        </w:trPr>
        <w:tc>
          <w:tcPr>
            <w:tcW w:w="7653" w:type="dxa"/>
            <w:tcBorders>
              <w:left w:val="single" w:sz="4" w:space="0" w:color="auto"/>
              <w:bottom w:val="nil"/>
              <w:right w:val="single" w:sz="4" w:space="0" w:color="auto"/>
            </w:tcBorders>
            <w:shd w:val="clear" w:color="auto" w:fill="auto"/>
          </w:tcPr>
          <w:p w14:paraId="3986E48D" w14:textId="25FBF867" w:rsidR="002B4E10" w:rsidRPr="00267A6E" w:rsidRDefault="002B4E10" w:rsidP="00F1427E">
            <w:pPr>
              <w:spacing w:after="120"/>
              <w:ind w:firstLine="567"/>
              <w:jc w:val="both"/>
              <w:rPr>
                <w:lang w:val="fr-FR"/>
              </w:rPr>
            </w:pPr>
            <w:r w:rsidRPr="00267A6E">
              <w:rPr>
                <w:lang w:val="fr-FR"/>
              </w:rPr>
              <w:t>Débutée en 2020, la procédure d</w:t>
            </w:r>
            <w:r w:rsidR="00D82B54" w:rsidRPr="00267A6E">
              <w:rPr>
                <w:lang w:val="fr-FR"/>
              </w:rPr>
              <w:t>’</w:t>
            </w:r>
            <w:r w:rsidRPr="00267A6E">
              <w:rPr>
                <w:lang w:val="fr-FR"/>
              </w:rPr>
              <w:t>évaluation de l</w:t>
            </w:r>
            <w:r w:rsidR="00D82B54" w:rsidRPr="00267A6E">
              <w:rPr>
                <w:lang w:val="fr-FR"/>
              </w:rPr>
              <w:t>’</w:t>
            </w:r>
            <w:r w:rsidRPr="00267A6E">
              <w:rPr>
                <w:lang w:val="fr-FR"/>
              </w:rPr>
              <w:t>impact sur l</w:t>
            </w:r>
            <w:r w:rsidR="00D82B54" w:rsidRPr="00267A6E">
              <w:rPr>
                <w:lang w:val="fr-FR"/>
              </w:rPr>
              <w:t>’</w:t>
            </w:r>
            <w:r w:rsidRPr="00267A6E">
              <w:rPr>
                <w:lang w:val="fr-FR"/>
              </w:rPr>
              <w:t>environnement du parc éolien en mer de la Saare Wind Energy a permis d</w:t>
            </w:r>
            <w:r w:rsidR="00D82B54" w:rsidRPr="00267A6E">
              <w:rPr>
                <w:lang w:val="fr-FR"/>
              </w:rPr>
              <w:t>’</w:t>
            </w:r>
            <w:r w:rsidRPr="00267A6E">
              <w:rPr>
                <w:lang w:val="fr-FR"/>
              </w:rPr>
              <w:t>impliquer rapidement les Parties à la Convention susceptibles d</w:t>
            </w:r>
            <w:r w:rsidR="00D82B54" w:rsidRPr="00267A6E">
              <w:rPr>
                <w:lang w:val="fr-FR"/>
              </w:rPr>
              <w:t>’</w:t>
            </w:r>
            <w:r w:rsidRPr="00267A6E">
              <w:rPr>
                <w:lang w:val="fr-FR"/>
              </w:rPr>
              <w:t>être touchées et d</w:t>
            </w:r>
            <w:r w:rsidR="00D82B54" w:rsidRPr="00267A6E">
              <w:rPr>
                <w:lang w:val="fr-FR"/>
              </w:rPr>
              <w:t>’</w:t>
            </w:r>
            <w:r w:rsidRPr="00267A6E">
              <w:rPr>
                <w:lang w:val="fr-FR"/>
              </w:rPr>
              <w:t>élaborer un plan global pour la procédure afin de faciliter la coordination des consultations et les activités relatives à la participation</w:t>
            </w:r>
            <w:r w:rsidR="00967A77" w:rsidRPr="00267A6E">
              <w:rPr>
                <w:lang w:val="fr-FR"/>
              </w:rPr>
              <w:t>.</w:t>
            </w:r>
            <w:r w:rsidRPr="00267A6E">
              <w:rPr>
                <w:lang w:val="fr-FR"/>
              </w:rPr>
              <w:t xml:space="preserve"> Le</w:t>
            </w:r>
            <w:r w:rsidR="003D4759" w:rsidRPr="00267A6E">
              <w:rPr>
                <w:lang w:val="fr-FR"/>
              </w:rPr>
              <w:t> </w:t>
            </w:r>
            <w:r w:rsidRPr="00267A6E">
              <w:rPr>
                <w:lang w:val="fr-FR"/>
              </w:rPr>
              <w:t>plan de la procédure transfrontière laisse aux Parties susceptibles d</w:t>
            </w:r>
            <w:r w:rsidR="00D82B54" w:rsidRPr="00267A6E">
              <w:rPr>
                <w:lang w:val="fr-FR"/>
              </w:rPr>
              <w:t>’</w:t>
            </w:r>
            <w:r w:rsidRPr="00267A6E">
              <w:rPr>
                <w:lang w:val="fr-FR"/>
              </w:rPr>
              <w:t>être touchées un long délai pour envoyer leurs réponses, l</w:t>
            </w:r>
            <w:r w:rsidR="00D82B54" w:rsidRPr="00267A6E">
              <w:rPr>
                <w:lang w:val="fr-FR"/>
              </w:rPr>
              <w:t>’</w:t>
            </w:r>
            <w:r w:rsidRPr="00267A6E">
              <w:rPr>
                <w:lang w:val="fr-FR"/>
              </w:rPr>
              <w:t>objectif étant de les aider à faciliter la participation effective du public au niveau nation</w:t>
            </w:r>
            <w:r w:rsidR="000567B0" w:rsidRPr="00267A6E">
              <w:rPr>
                <w:lang w:val="fr-FR"/>
              </w:rPr>
              <w:t>al.</w:t>
            </w:r>
            <w:r w:rsidR="00117110" w:rsidRPr="00267A6E">
              <w:rPr>
                <w:lang w:val="fr-FR"/>
              </w:rPr>
              <w:t xml:space="preserve"> </w:t>
            </w:r>
            <w:r w:rsidRPr="00267A6E">
              <w:rPr>
                <w:lang w:val="fr-FR"/>
              </w:rPr>
              <w:t>Des documents électroniques et des sites Web ont été créés pour faciliter la communication avec les acteurs intéressés</w:t>
            </w:r>
            <w:r w:rsidR="00967A77" w:rsidRPr="00267A6E">
              <w:rPr>
                <w:lang w:val="fr-FR"/>
              </w:rPr>
              <w:t>.</w:t>
            </w:r>
            <w:r w:rsidRPr="00267A6E">
              <w:rPr>
                <w:lang w:val="fr-FR"/>
              </w:rPr>
              <w:t xml:space="preserve"> Le réseau des points de contact nationaux et des correspondants nationaux pour la Convention s</w:t>
            </w:r>
            <w:r w:rsidR="00D82B54" w:rsidRPr="00267A6E">
              <w:rPr>
                <w:lang w:val="fr-FR"/>
              </w:rPr>
              <w:t>’</w:t>
            </w:r>
            <w:r w:rsidRPr="00267A6E">
              <w:rPr>
                <w:lang w:val="fr-FR"/>
              </w:rPr>
              <w:t>est avéré très utile pour atteindre les objectifs de la Convention et, plus généralement, de la coordination politique transfrontière</w:t>
            </w:r>
            <w:r w:rsidR="00967A77" w:rsidRPr="00267A6E">
              <w:rPr>
                <w:lang w:val="fr-FR"/>
              </w:rPr>
              <w:t>.</w:t>
            </w:r>
          </w:p>
        </w:tc>
      </w:tr>
      <w:tr w:rsidR="002B4E10" w:rsidRPr="00267A6E" w14:paraId="1105A279" w14:textId="77777777">
        <w:trPr>
          <w:jc w:val="center"/>
        </w:trPr>
        <w:tc>
          <w:tcPr>
            <w:tcW w:w="7653" w:type="dxa"/>
            <w:tcBorders>
              <w:left w:val="single" w:sz="4" w:space="0" w:color="auto"/>
              <w:bottom w:val="nil"/>
              <w:right w:val="single" w:sz="4" w:space="0" w:color="auto"/>
            </w:tcBorders>
            <w:shd w:val="clear" w:color="auto" w:fill="auto"/>
          </w:tcPr>
          <w:p w14:paraId="7BCADF43" w14:textId="3619097B" w:rsidR="002B4E10" w:rsidRPr="00267A6E" w:rsidRDefault="002B4E10" w:rsidP="002B4E10">
            <w:pPr>
              <w:ind w:firstLine="170"/>
              <w:rPr>
                <w:sz w:val="18"/>
                <w:szCs w:val="18"/>
                <w:lang w:val="fr-FR"/>
              </w:rPr>
            </w:pPr>
            <w:r w:rsidRPr="00267A6E">
              <w:rPr>
                <w:i/>
                <w:iCs/>
                <w:sz w:val="18"/>
                <w:szCs w:val="18"/>
                <w:vertAlign w:val="superscript"/>
                <w:lang w:val="fr-FR"/>
              </w:rPr>
              <w:t>a</w:t>
            </w:r>
            <w:r w:rsidRPr="00267A6E">
              <w:rPr>
                <w:sz w:val="18"/>
                <w:szCs w:val="18"/>
                <w:lang w:val="fr-FR"/>
              </w:rPr>
              <w:t xml:space="preserve">  Voir </w:t>
            </w:r>
            <w:hyperlink r:id="rId11" w:history="1">
              <w:r w:rsidR="00117110" w:rsidRPr="00267A6E">
                <w:rPr>
                  <w:rStyle w:val="Hyperlink"/>
                  <w:sz w:val="18"/>
                  <w:szCs w:val="18"/>
                  <w:lang w:val="fr-FR"/>
                </w:rPr>
                <w:t>www</w:t>
              </w:r>
              <w:r w:rsidR="00967A77" w:rsidRPr="00267A6E">
                <w:rPr>
                  <w:rStyle w:val="Hyperlink"/>
                  <w:sz w:val="18"/>
                  <w:szCs w:val="18"/>
                  <w:lang w:val="fr-FR"/>
                </w:rPr>
                <w:t>.</w:t>
              </w:r>
              <w:r w:rsidR="00117110" w:rsidRPr="00267A6E">
                <w:rPr>
                  <w:rStyle w:val="Hyperlink"/>
                  <w:sz w:val="18"/>
                  <w:szCs w:val="18"/>
                  <w:lang w:val="fr-FR"/>
                </w:rPr>
                <w:t>regering</w:t>
              </w:r>
              <w:r w:rsidR="00117110" w:rsidRPr="00267A6E">
                <w:rPr>
                  <w:rStyle w:val="Hyperlink"/>
                  <w:sz w:val="18"/>
                  <w:szCs w:val="18"/>
                  <w:lang w:val="fr-FR"/>
                </w:rPr>
                <w:t>e</w:t>
              </w:r>
              <w:r w:rsidR="00117110" w:rsidRPr="00267A6E">
                <w:rPr>
                  <w:rStyle w:val="Hyperlink"/>
                  <w:sz w:val="18"/>
                  <w:szCs w:val="18"/>
                  <w:lang w:val="fr-FR"/>
                </w:rPr>
                <w:t>n</w:t>
              </w:r>
              <w:r w:rsidR="00967A77" w:rsidRPr="00267A6E">
                <w:rPr>
                  <w:rStyle w:val="Hyperlink"/>
                  <w:sz w:val="18"/>
                  <w:szCs w:val="18"/>
                  <w:lang w:val="fr-FR"/>
                </w:rPr>
                <w:t>.</w:t>
              </w:r>
              <w:r w:rsidR="00117110" w:rsidRPr="00267A6E">
                <w:rPr>
                  <w:rStyle w:val="Hyperlink"/>
                  <w:sz w:val="18"/>
                  <w:szCs w:val="18"/>
                  <w:lang w:val="fr-FR"/>
                </w:rPr>
                <w:t>dk/aktuelt/tidligere-publikationer/the-marienborg-declaration/</w:t>
              </w:r>
            </w:hyperlink>
            <w:r w:rsidR="00967A77" w:rsidRPr="00267A6E">
              <w:rPr>
                <w:sz w:val="18"/>
                <w:szCs w:val="18"/>
                <w:lang w:val="fr-FR"/>
              </w:rPr>
              <w:t>.</w:t>
            </w:r>
          </w:p>
          <w:p w14:paraId="563D8434" w14:textId="259BE086" w:rsidR="002B4E10" w:rsidRPr="00267A6E" w:rsidRDefault="002B4E10" w:rsidP="002B4E10">
            <w:pPr>
              <w:spacing w:after="120"/>
              <w:ind w:firstLine="170"/>
              <w:jc w:val="both"/>
              <w:rPr>
                <w:lang w:val="fr-FR"/>
              </w:rPr>
            </w:pPr>
            <w:r w:rsidRPr="00267A6E">
              <w:rPr>
                <w:i/>
                <w:iCs/>
                <w:sz w:val="18"/>
                <w:szCs w:val="18"/>
                <w:vertAlign w:val="superscript"/>
                <w:lang w:val="fr-FR"/>
              </w:rPr>
              <w:t>b</w:t>
            </w:r>
            <w:r w:rsidRPr="00267A6E">
              <w:rPr>
                <w:sz w:val="18"/>
                <w:szCs w:val="18"/>
                <w:lang w:val="fr-FR"/>
              </w:rPr>
              <w:t xml:space="preserve">  Voir </w:t>
            </w:r>
            <w:hyperlink r:id="rId12" w:history="1">
              <w:r w:rsidR="00117110" w:rsidRPr="00267A6E">
                <w:rPr>
                  <w:rStyle w:val="Hyperlink"/>
                  <w:sz w:val="18"/>
                  <w:szCs w:val="18"/>
                  <w:lang w:val="fr-FR"/>
                </w:rPr>
                <w:t>www</w:t>
              </w:r>
              <w:r w:rsidR="00967A77" w:rsidRPr="00267A6E">
                <w:rPr>
                  <w:rStyle w:val="Hyperlink"/>
                  <w:sz w:val="18"/>
                  <w:szCs w:val="18"/>
                  <w:lang w:val="fr-FR"/>
                </w:rPr>
                <w:t>.</w:t>
              </w:r>
              <w:r w:rsidR="00117110" w:rsidRPr="00267A6E">
                <w:rPr>
                  <w:rStyle w:val="Hyperlink"/>
                  <w:sz w:val="18"/>
                  <w:szCs w:val="18"/>
                  <w:lang w:val="fr-FR"/>
                </w:rPr>
                <w:t>swe</w:t>
              </w:r>
              <w:r w:rsidR="00967A77" w:rsidRPr="00267A6E">
                <w:rPr>
                  <w:rStyle w:val="Hyperlink"/>
                  <w:sz w:val="18"/>
                  <w:szCs w:val="18"/>
                  <w:lang w:val="fr-FR"/>
                </w:rPr>
                <w:t>.</w:t>
              </w:r>
              <w:r w:rsidR="00117110" w:rsidRPr="00267A6E">
                <w:rPr>
                  <w:rStyle w:val="Hyperlink"/>
                  <w:sz w:val="18"/>
                  <w:szCs w:val="18"/>
                  <w:lang w:val="fr-FR"/>
                </w:rPr>
                <w:t>e</w:t>
              </w:r>
              <w:r w:rsidR="00117110" w:rsidRPr="00267A6E">
                <w:rPr>
                  <w:rStyle w:val="Hyperlink"/>
                  <w:sz w:val="18"/>
                  <w:szCs w:val="18"/>
                  <w:lang w:val="fr-FR"/>
                </w:rPr>
                <w:t>e/en/</w:t>
              </w:r>
            </w:hyperlink>
            <w:r w:rsidR="00967A77" w:rsidRPr="00267A6E">
              <w:rPr>
                <w:sz w:val="18"/>
                <w:szCs w:val="18"/>
                <w:lang w:val="fr-FR"/>
              </w:rPr>
              <w:t>.</w:t>
            </w:r>
          </w:p>
        </w:tc>
      </w:tr>
      <w:tr w:rsidR="006528B0" w:rsidRPr="00267A6E" w14:paraId="2EC9D136" w14:textId="77777777">
        <w:trPr>
          <w:trHeight w:hRule="exact" w:val="23"/>
          <w:jc w:val="center"/>
        </w:trPr>
        <w:tc>
          <w:tcPr>
            <w:tcW w:w="7653" w:type="dxa"/>
            <w:tcBorders>
              <w:left w:val="single" w:sz="4" w:space="0" w:color="auto"/>
              <w:bottom w:val="single" w:sz="4" w:space="0" w:color="auto"/>
              <w:right w:val="single" w:sz="4" w:space="0" w:color="auto"/>
            </w:tcBorders>
            <w:shd w:val="clear" w:color="auto" w:fill="auto"/>
          </w:tcPr>
          <w:p w14:paraId="5D12A17B" w14:textId="77777777" w:rsidR="006528B0" w:rsidRPr="00267A6E" w:rsidRDefault="006528B0">
            <w:pPr>
              <w:rPr>
                <w:lang w:val="fr-FR"/>
              </w:rPr>
            </w:pPr>
          </w:p>
        </w:tc>
      </w:tr>
    </w:tbl>
    <w:p w14:paraId="6384C9AF" w14:textId="25D7575B" w:rsidR="003373A7" w:rsidRPr="00267A6E" w:rsidRDefault="003373A7" w:rsidP="00117110">
      <w:pPr>
        <w:pStyle w:val="SingleTxtG"/>
        <w:widowControl w:val="0"/>
        <w:spacing w:before="220"/>
        <w:rPr>
          <w:spacing w:val="-2"/>
          <w:lang w:val="fr-FR"/>
        </w:rPr>
      </w:pPr>
      <w:r w:rsidRPr="00267A6E">
        <w:rPr>
          <w:lang w:val="fr-FR"/>
        </w:rPr>
        <w:t>26</w:t>
      </w:r>
      <w:r w:rsidR="00967A77" w:rsidRPr="00267A6E">
        <w:rPr>
          <w:lang w:val="fr-FR"/>
        </w:rPr>
        <w:t>.</w:t>
      </w:r>
      <w:r w:rsidRPr="00267A6E">
        <w:rPr>
          <w:lang w:val="fr-FR"/>
        </w:rPr>
        <w:tab/>
        <w:t>Il va de soi que la transition énergétique repose sur de multiples stratégies, chacune d</w:t>
      </w:r>
      <w:r w:rsidR="00D82B54" w:rsidRPr="00267A6E">
        <w:rPr>
          <w:lang w:val="fr-FR"/>
        </w:rPr>
        <w:t>’</w:t>
      </w:r>
      <w:r w:rsidRPr="00267A6E">
        <w:rPr>
          <w:lang w:val="fr-FR"/>
        </w:rPr>
        <w:t>entre elles étant assortie d</w:t>
      </w:r>
      <w:r w:rsidR="00D82B54" w:rsidRPr="00267A6E">
        <w:rPr>
          <w:lang w:val="fr-FR"/>
        </w:rPr>
        <w:t>’</w:t>
      </w:r>
      <w:r w:rsidRPr="00267A6E">
        <w:rPr>
          <w:lang w:val="fr-FR"/>
        </w:rPr>
        <w:t>une variété de moyens d</w:t>
      </w:r>
      <w:r w:rsidR="00D82B54" w:rsidRPr="00267A6E">
        <w:rPr>
          <w:lang w:val="fr-FR"/>
        </w:rPr>
        <w:t>’</w:t>
      </w:r>
      <w:r w:rsidRPr="00267A6E">
        <w:rPr>
          <w:lang w:val="fr-FR"/>
        </w:rPr>
        <w:t>action</w:t>
      </w:r>
      <w:r w:rsidR="00967A77" w:rsidRPr="00267A6E">
        <w:rPr>
          <w:lang w:val="fr-FR"/>
        </w:rPr>
        <w:t>.</w:t>
      </w:r>
      <w:r w:rsidRPr="00267A6E">
        <w:rPr>
          <w:lang w:val="fr-FR"/>
        </w:rPr>
        <w:t xml:space="preserve"> Dans le cadre d</w:t>
      </w:r>
      <w:r w:rsidR="00D82B54" w:rsidRPr="00267A6E">
        <w:rPr>
          <w:lang w:val="fr-FR"/>
        </w:rPr>
        <w:t>’</w:t>
      </w:r>
      <w:r w:rsidRPr="00267A6E">
        <w:rPr>
          <w:lang w:val="fr-FR"/>
        </w:rPr>
        <w:t xml:space="preserve">une expérience </w:t>
      </w:r>
      <w:r w:rsidRPr="00267A6E">
        <w:rPr>
          <w:spacing w:val="-2"/>
          <w:lang w:val="fr-FR"/>
        </w:rPr>
        <w:t>menée récemment dans la province de Saskatchewan (Canada), une approche de l</w:t>
      </w:r>
      <w:r w:rsidR="00D82B54" w:rsidRPr="00267A6E">
        <w:rPr>
          <w:spacing w:val="-2"/>
          <w:lang w:val="fr-FR"/>
        </w:rPr>
        <w:t>’</w:t>
      </w:r>
      <w:r w:rsidRPr="00267A6E">
        <w:rPr>
          <w:spacing w:val="-2"/>
          <w:lang w:val="fr-FR"/>
        </w:rPr>
        <w:t>évaluation stratégique environnementale axée sur la transition a été utilisée pour prendre en compte les besoins en matière de capacités, les possibilités, les risques et les obstacles dans les accords relatifs à la gouvernance en vigueur</w:t>
      </w:r>
      <w:r w:rsidRPr="00267A6E">
        <w:rPr>
          <w:rStyle w:val="FootnoteReference"/>
          <w:spacing w:val="-2"/>
          <w:lang w:val="fr-FR"/>
        </w:rPr>
        <w:footnoteReference w:id="46"/>
      </w:r>
      <w:r w:rsidR="00967A77" w:rsidRPr="00267A6E">
        <w:rPr>
          <w:spacing w:val="-2"/>
          <w:lang w:val="fr-FR"/>
        </w:rPr>
        <w:t>.</w:t>
      </w:r>
      <w:r w:rsidRPr="00267A6E">
        <w:rPr>
          <w:spacing w:val="-2"/>
          <w:lang w:val="fr-FR"/>
        </w:rPr>
        <w:t xml:space="preserve"> Il s</w:t>
      </w:r>
      <w:r w:rsidR="00D82B54" w:rsidRPr="00267A6E">
        <w:rPr>
          <w:spacing w:val="-2"/>
          <w:lang w:val="fr-FR"/>
        </w:rPr>
        <w:t>’</w:t>
      </w:r>
      <w:r w:rsidRPr="00267A6E">
        <w:rPr>
          <w:spacing w:val="-2"/>
          <w:lang w:val="fr-FR"/>
        </w:rPr>
        <w:t>agit là d</w:t>
      </w:r>
      <w:r w:rsidR="00D82B54" w:rsidRPr="00267A6E">
        <w:rPr>
          <w:spacing w:val="-2"/>
          <w:lang w:val="fr-FR"/>
        </w:rPr>
        <w:t>’</w:t>
      </w:r>
      <w:r w:rsidRPr="00267A6E">
        <w:rPr>
          <w:spacing w:val="-2"/>
          <w:lang w:val="fr-FR"/>
        </w:rPr>
        <w:t>un cas où l</w:t>
      </w:r>
      <w:r w:rsidR="00D82B54" w:rsidRPr="00267A6E">
        <w:rPr>
          <w:spacing w:val="-2"/>
          <w:lang w:val="fr-FR"/>
        </w:rPr>
        <w:t>’</w:t>
      </w:r>
      <w:r w:rsidRPr="00267A6E">
        <w:rPr>
          <w:spacing w:val="-2"/>
          <w:lang w:val="fr-FR"/>
        </w:rPr>
        <w:t>évaluation stratégique environnementale a permis d</w:t>
      </w:r>
      <w:r w:rsidR="00D82B54" w:rsidRPr="00267A6E">
        <w:rPr>
          <w:spacing w:val="-2"/>
          <w:lang w:val="fr-FR"/>
        </w:rPr>
        <w:t>’</w:t>
      </w:r>
      <w:r w:rsidRPr="00267A6E">
        <w:rPr>
          <w:spacing w:val="-2"/>
          <w:lang w:val="fr-FR"/>
        </w:rPr>
        <w:t>explorer le contexte de la prise de décisions et a favorisé la cohérence entre les divers mécanismes de gouvernance et dispositifs institutionnels (ce qui pourrait contribuer à intégrer les obligations en matière de financement vert et d</w:t>
      </w:r>
      <w:r w:rsidR="00D82B54" w:rsidRPr="00267A6E">
        <w:rPr>
          <w:spacing w:val="-2"/>
          <w:lang w:val="fr-FR"/>
        </w:rPr>
        <w:t>’</w:t>
      </w:r>
      <w:r w:rsidRPr="00267A6E">
        <w:rPr>
          <w:spacing w:val="-2"/>
          <w:lang w:val="fr-FR"/>
        </w:rPr>
        <w:t>économie circulaire dans la prise de décisions)</w:t>
      </w:r>
      <w:r w:rsidR="00967A77" w:rsidRPr="00267A6E">
        <w:rPr>
          <w:spacing w:val="-2"/>
          <w:lang w:val="fr-FR"/>
        </w:rPr>
        <w:t>.</w:t>
      </w:r>
      <w:r w:rsidRPr="00267A6E">
        <w:rPr>
          <w:spacing w:val="-2"/>
          <w:lang w:val="fr-FR"/>
        </w:rPr>
        <w:t xml:space="preserve"> Cela laisse à penser que le Protocole pourrait avoir un rôle important à jouer dans la supervision de multiples plans axés sur la transition énergétique dans différents secteurs, notamment lorsqu</w:t>
      </w:r>
      <w:r w:rsidR="00D82B54" w:rsidRPr="00267A6E">
        <w:rPr>
          <w:spacing w:val="-2"/>
          <w:lang w:val="fr-FR"/>
        </w:rPr>
        <w:t>’</w:t>
      </w:r>
      <w:r w:rsidRPr="00267A6E">
        <w:rPr>
          <w:spacing w:val="-2"/>
          <w:lang w:val="fr-FR"/>
        </w:rPr>
        <w:t>il s</w:t>
      </w:r>
      <w:r w:rsidR="00D82B54" w:rsidRPr="00267A6E">
        <w:rPr>
          <w:spacing w:val="-2"/>
          <w:lang w:val="fr-FR"/>
        </w:rPr>
        <w:t>’</w:t>
      </w:r>
      <w:r w:rsidRPr="00267A6E">
        <w:rPr>
          <w:spacing w:val="-2"/>
          <w:lang w:val="fr-FR"/>
        </w:rPr>
        <w:t>agit de politiques générales, l</w:t>
      </w:r>
      <w:r w:rsidR="00D82B54" w:rsidRPr="00267A6E">
        <w:rPr>
          <w:spacing w:val="-2"/>
          <w:lang w:val="fr-FR"/>
        </w:rPr>
        <w:t>’</w:t>
      </w:r>
      <w:r w:rsidRPr="00267A6E">
        <w:rPr>
          <w:spacing w:val="-2"/>
          <w:lang w:val="fr-FR"/>
        </w:rPr>
        <w:t>avantage étant qu</w:t>
      </w:r>
      <w:r w:rsidR="00D82B54" w:rsidRPr="00267A6E">
        <w:rPr>
          <w:spacing w:val="-2"/>
          <w:lang w:val="fr-FR"/>
        </w:rPr>
        <w:t>’</w:t>
      </w:r>
      <w:r w:rsidRPr="00267A6E">
        <w:rPr>
          <w:spacing w:val="-2"/>
          <w:lang w:val="fr-FR"/>
        </w:rPr>
        <w:t>il permet de recenser les effets cumulatifs, les préoccupations du public et les risques d</w:t>
      </w:r>
      <w:r w:rsidR="00D82B54" w:rsidRPr="00267A6E">
        <w:rPr>
          <w:spacing w:val="-2"/>
          <w:lang w:val="fr-FR"/>
        </w:rPr>
        <w:t>’</w:t>
      </w:r>
      <w:r w:rsidRPr="00267A6E">
        <w:rPr>
          <w:spacing w:val="-2"/>
          <w:lang w:val="fr-FR"/>
        </w:rPr>
        <w:t>incompatibilité, et contribue à orienter et à modifier les projets, qui sont ensuite soumis à une évaluation de l</w:t>
      </w:r>
      <w:r w:rsidR="00D82B54" w:rsidRPr="00267A6E">
        <w:rPr>
          <w:spacing w:val="-2"/>
          <w:lang w:val="fr-FR"/>
        </w:rPr>
        <w:t>’</w:t>
      </w:r>
      <w:r w:rsidRPr="00267A6E">
        <w:rPr>
          <w:spacing w:val="-2"/>
          <w:lang w:val="fr-FR"/>
        </w:rPr>
        <w:t>impact sur l</w:t>
      </w:r>
      <w:r w:rsidR="00D82B54" w:rsidRPr="00267A6E">
        <w:rPr>
          <w:spacing w:val="-2"/>
          <w:lang w:val="fr-FR"/>
        </w:rPr>
        <w:t>’</w:t>
      </w:r>
      <w:r w:rsidRPr="00267A6E">
        <w:rPr>
          <w:spacing w:val="-2"/>
          <w:lang w:val="fr-FR"/>
        </w:rPr>
        <w:t>environnement</w:t>
      </w:r>
      <w:r w:rsidR="00967A77" w:rsidRPr="00267A6E">
        <w:rPr>
          <w:spacing w:val="-2"/>
          <w:lang w:val="fr-FR"/>
        </w:rPr>
        <w:t>.</w:t>
      </w:r>
      <w:bookmarkStart w:id="9" w:name="_Ref132886529"/>
      <w:bookmarkEnd w:id="9"/>
    </w:p>
    <w:p w14:paraId="783A3C73" w14:textId="7B53F1EF" w:rsidR="003373A7" w:rsidRPr="00267A6E" w:rsidRDefault="003373A7" w:rsidP="00C30EEB">
      <w:pPr>
        <w:pStyle w:val="H1G"/>
        <w:rPr>
          <w:lang w:val="fr-FR"/>
        </w:rPr>
      </w:pPr>
      <w:r w:rsidRPr="00267A6E">
        <w:rPr>
          <w:lang w:val="fr-FR"/>
        </w:rPr>
        <w:tab/>
        <w:t>D</w:t>
      </w:r>
      <w:r w:rsidR="00967A77" w:rsidRPr="00267A6E">
        <w:rPr>
          <w:lang w:val="fr-FR"/>
        </w:rPr>
        <w:t>.</w:t>
      </w:r>
      <w:r w:rsidRPr="00267A6E">
        <w:rPr>
          <w:lang w:val="fr-FR"/>
        </w:rPr>
        <w:tab/>
        <w:t>Domaines dans lesquels la Convention et le Protocole pourraient davantage contribuer à la promotion de la transition énergétique</w:t>
      </w:r>
    </w:p>
    <w:p w14:paraId="6D2E0DF9" w14:textId="1F041E0A" w:rsidR="003373A7" w:rsidRPr="00267A6E" w:rsidRDefault="003373A7" w:rsidP="00C30EEB">
      <w:pPr>
        <w:pStyle w:val="SingleTxtG"/>
        <w:rPr>
          <w:lang w:val="fr-FR"/>
        </w:rPr>
      </w:pPr>
      <w:r w:rsidRPr="00267A6E">
        <w:rPr>
          <w:lang w:val="fr-FR"/>
        </w:rPr>
        <w:t>27</w:t>
      </w:r>
      <w:r w:rsidR="00967A77" w:rsidRPr="00267A6E">
        <w:rPr>
          <w:lang w:val="fr-FR"/>
        </w:rPr>
        <w:t>.</w:t>
      </w:r>
      <w:r w:rsidRPr="00267A6E">
        <w:rPr>
          <w:lang w:val="fr-FR"/>
        </w:rPr>
        <w:tab/>
        <w:t>Bien que la prise en considération de l</w:t>
      </w:r>
      <w:r w:rsidR="00D82B54" w:rsidRPr="00267A6E">
        <w:rPr>
          <w:lang w:val="fr-FR"/>
        </w:rPr>
        <w:t>’</w:t>
      </w:r>
      <w:r w:rsidRPr="00267A6E">
        <w:rPr>
          <w:lang w:val="fr-FR"/>
        </w:rPr>
        <w:t>impact sur le climat soit requise aussi bien par la Convention que par le Protocole, ces instruments ont été élaborés avant que la notion d</w:t>
      </w:r>
      <w:r w:rsidR="00D82B54" w:rsidRPr="00267A6E">
        <w:rPr>
          <w:lang w:val="fr-FR"/>
        </w:rPr>
        <w:t>’</w:t>
      </w:r>
      <w:r w:rsidRPr="00267A6E">
        <w:rPr>
          <w:lang w:val="fr-FR"/>
        </w:rPr>
        <w:t>adaptation, en particulier, ne devienne un aspect déterminant des politiques publiques</w:t>
      </w:r>
      <w:r w:rsidR="00967A77" w:rsidRPr="00267A6E">
        <w:rPr>
          <w:lang w:val="fr-FR"/>
        </w:rPr>
        <w:t>.</w:t>
      </w:r>
      <w:r w:rsidRPr="00267A6E">
        <w:rPr>
          <w:lang w:val="fr-FR"/>
        </w:rPr>
        <w:t xml:space="preserve"> Les</w:t>
      </w:r>
      <w:r w:rsidR="00F2704B" w:rsidRPr="00267A6E">
        <w:rPr>
          <w:lang w:val="fr-FR"/>
        </w:rPr>
        <w:t> </w:t>
      </w:r>
      <w:r w:rsidRPr="00267A6E">
        <w:rPr>
          <w:lang w:val="fr-FR"/>
        </w:rPr>
        <w:t>aspects climatiques y sont donc moins bien définis que dans d</w:t>
      </w:r>
      <w:r w:rsidR="00D82B54" w:rsidRPr="00267A6E">
        <w:rPr>
          <w:lang w:val="fr-FR"/>
        </w:rPr>
        <w:t>’</w:t>
      </w:r>
      <w:r w:rsidRPr="00267A6E">
        <w:rPr>
          <w:lang w:val="fr-FR"/>
        </w:rPr>
        <w:t>autres instruments tels que la Directive de l</w:t>
      </w:r>
      <w:r w:rsidR="00D82B54" w:rsidRPr="00267A6E">
        <w:rPr>
          <w:lang w:val="fr-FR"/>
        </w:rPr>
        <w:t>’</w:t>
      </w:r>
      <w:r w:rsidRPr="00267A6E">
        <w:rPr>
          <w:lang w:val="fr-FR"/>
        </w:rPr>
        <w:t>Union européenne concernant l</w:t>
      </w:r>
      <w:r w:rsidR="00D82B54" w:rsidRPr="00267A6E">
        <w:rPr>
          <w:lang w:val="fr-FR"/>
        </w:rPr>
        <w:t>’</w:t>
      </w:r>
      <w:r w:rsidRPr="00267A6E">
        <w:rPr>
          <w:lang w:val="fr-FR"/>
        </w:rPr>
        <w:t>évaluation des incidences de certains projets publics et privés sur l</w:t>
      </w:r>
      <w:r w:rsidR="00D82B54" w:rsidRPr="00267A6E">
        <w:rPr>
          <w:lang w:val="fr-FR"/>
        </w:rPr>
        <w:t>’</w:t>
      </w:r>
      <w:r w:rsidRPr="00267A6E">
        <w:rPr>
          <w:lang w:val="fr-FR"/>
        </w:rPr>
        <w:t>environnement, modifiée en 2014, qui mentionne la nécessité de prendre en compte le climat parmi les facteurs susceptibles d</w:t>
      </w:r>
      <w:r w:rsidR="00D82B54" w:rsidRPr="00267A6E">
        <w:rPr>
          <w:lang w:val="fr-FR"/>
        </w:rPr>
        <w:t>’</w:t>
      </w:r>
      <w:r w:rsidRPr="00267A6E">
        <w:rPr>
          <w:lang w:val="fr-FR"/>
        </w:rPr>
        <w:t>être affectés de manière notable par le projet (par exemple, l</w:t>
      </w:r>
      <w:r w:rsidR="00D82B54" w:rsidRPr="00267A6E">
        <w:rPr>
          <w:lang w:val="fr-FR"/>
        </w:rPr>
        <w:t>’</w:t>
      </w:r>
      <w:r w:rsidRPr="00267A6E">
        <w:rPr>
          <w:lang w:val="fr-FR"/>
        </w:rPr>
        <w:t>ampleur des émissions de gaz à effet de serre et les impacts pertinents pour l</w:t>
      </w:r>
      <w:r w:rsidR="00D82B54" w:rsidRPr="00267A6E">
        <w:rPr>
          <w:lang w:val="fr-FR"/>
        </w:rPr>
        <w:t>’</w:t>
      </w:r>
      <w:r w:rsidRPr="00267A6E">
        <w:rPr>
          <w:lang w:val="fr-FR"/>
        </w:rPr>
        <w:t>adaptation)</w:t>
      </w:r>
      <w:r w:rsidRPr="00267A6E">
        <w:rPr>
          <w:rStyle w:val="FootnoteReference"/>
          <w:lang w:val="fr-FR"/>
        </w:rPr>
        <w:footnoteReference w:id="47"/>
      </w:r>
      <w:r w:rsidR="00967A77" w:rsidRPr="00267A6E">
        <w:rPr>
          <w:lang w:val="fr-FR"/>
        </w:rPr>
        <w:t>.</w:t>
      </w:r>
      <w:r w:rsidRPr="00267A6E">
        <w:rPr>
          <w:lang w:val="fr-FR"/>
        </w:rPr>
        <w:t xml:space="preserve"> L</w:t>
      </w:r>
      <w:r w:rsidR="00D82B54" w:rsidRPr="00267A6E">
        <w:rPr>
          <w:lang w:val="fr-FR"/>
        </w:rPr>
        <w:t>’</w:t>
      </w:r>
      <w:r w:rsidRPr="00267A6E">
        <w:rPr>
          <w:lang w:val="fr-FR"/>
        </w:rPr>
        <w:t>Accord de Paris dispose expressément que les Parties doivent prévoir des mesures d</w:t>
      </w:r>
      <w:r w:rsidR="00D82B54" w:rsidRPr="00267A6E">
        <w:rPr>
          <w:lang w:val="fr-FR"/>
        </w:rPr>
        <w:t>’</w:t>
      </w:r>
      <w:r w:rsidRPr="00267A6E">
        <w:rPr>
          <w:lang w:val="fr-FR"/>
        </w:rPr>
        <w:t>adaptation aux changements climatiques et des mesures d</w:t>
      </w:r>
      <w:r w:rsidR="00D82B54" w:rsidRPr="00267A6E">
        <w:rPr>
          <w:lang w:val="fr-FR"/>
        </w:rPr>
        <w:t>’</w:t>
      </w:r>
      <w:r w:rsidRPr="00267A6E">
        <w:rPr>
          <w:lang w:val="fr-FR"/>
        </w:rPr>
        <w:t>atténuation de ces changements dans leurs contributions déterminées au niveau national</w:t>
      </w:r>
      <w:r w:rsidRPr="00267A6E">
        <w:rPr>
          <w:rStyle w:val="FootnoteReference"/>
          <w:lang w:val="fr-FR"/>
        </w:rPr>
        <w:footnoteReference w:id="48"/>
      </w:r>
      <w:r w:rsidR="00967A77" w:rsidRPr="00267A6E">
        <w:rPr>
          <w:lang w:val="fr-FR"/>
        </w:rPr>
        <w:t>.</w:t>
      </w:r>
      <w:bookmarkStart w:id="10" w:name="_Ref138165252"/>
      <w:bookmarkEnd w:id="10"/>
    </w:p>
    <w:p w14:paraId="1ADAEF96" w14:textId="185360FD" w:rsidR="003373A7" w:rsidRPr="00267A6E" w:rsidRDefault="003373A7" w:rsidP="00C30EEB">
      <w:pPr>
        <w:pStyle w:val="SingleTxtG"/>
        <w:rPr>
          <w:lang w:val="fr-FR"/>
        </w:rPr>
      </w:pPr>
      <w:r w:rsidRPr="00267A6E">
        <w:rPr>
          <w:lang w:val="fr-FR"/>
        </w:rPr>
        <w:t>28</w:t>
      </w:r>
      <w:r w:rsidR="00967A77" w:rsidRPr="00267A6E">
        <w:rPr>
          <w:lang w:val="fr-FR"/>
        </w:rPr>
        <w:t>.</w:t>
      </w:r>
      <w:r w:rsidRPr="00267A6E">
        <w:rPr>
          <w:lang w:val="fr-FR"/>
        </w:rPr>
        <w:tab/>
        <w:t>Dans le monde entier, de nombreuses entreprises s</w:t>
      </w:r>
      <w:r w:rsidR="00D82B54" w:rsidRPr="00267A6E">
        <w:rPr>
          <w:lang w:val="fr-FR"/>
        </w:rPr>
        <w:t>’</w:t>
      </w:r>
      <w:r w:rsidRPr="00267A6E">
        <w:rPr>
          <w:lang w:val="fr-FR"/>
        </w:rPr>
        <w:t>appuient sur le Protocole sur les gaz à effet de serre</w:t>
      </w:r>
      <w:r w:rsidRPr="00267A6E">
        <w:rPr>
          <w:rStyle w:val="FootnoteReference"/>
          <w:lang w:val="fr-FR"/>
        </w:rPr>
        <w:footnoteReference w:id="49"/>
      </w:r>
      <w:r w:rsidRPr="00267A6E">
        <w:rPr>
          <w:lang w:val="fr-FR"/>
        </w:rPr>
        <w:t xml:space="preserve"> pour comptabiliser et gérer leurs émissions en les classant dans les trois catégories suivantes</w:t>
      </w:r>
      <w:r w:rsidR="00D82B54" w:rsidRPr="00267A6E">
        <w:rPr>
          <w:lang w:val="fr-FR"/>
        </w:rPr>
        <w:t> :</w:t>
      </w:r>
      <w:r w:rsidRPr="00267A6E">
        <w:rPr>
          <w:lang w:val="fr-FR"/>
        </w:rPr>
        <w:t xml:space="preserve"> le champ d</w:t>
      </w:r>
      <w:r w:rsidR="00D82B54" w:rsidRPr="00267A6E">
        <w:rPr>
          <w:lang w:val="fr-FR"/>
        </w:rPr>
        <w:t>’</w:t>
      </w:r>
      <w:r w:rsidRPr="00267A6E">
        <w:rPr>
          <w:lang w:val="fr-FR"/>
        </w:rPr>
        <w:t>application</w:t>
      </w:r>
      <w:r w:rsidR="001B077A" w:rsidRPr="00267A6E">
        <w:rPr>
          <w:lang w:val="fr-FR"/>
        </w:rPr>
        <w:t> </w:t>
      </w:r>
      <w:r w:rsidRPr="00267A6E">
        <w:rPr>
          <w:lang w:val="fr-FR"/>
        </w:rPr>
        <w:t>1, qui comprend les émissions provenant directement des activités d</w:t>
      </w:r>
      <w:r w:rsidR="00D82B54" w:rsidRPr="00267A6E">
        <w:rPr>
          <w:lang w:val="fr-FR"/>
        </w:rPr>
        <w:t>’</w:t>
      </w:r>
      <w:r w:rsidRPr="00267A6E">
        <w:rPr>
          <w:lang w:val="fr-FR"/>
        </w:rPr>
        <w:t>une entreprise (notamment celles provenant de la flotte de véhicules et des processus de fabrication)</w:t>
      </w:r>
      <w:r w:rsidR="00D82B54" w:rsidRPr="00267A6E">
        <w:rPr>
          <w:lang w:val="fr-FR"/>
        </w:rPr>
        <w:t> ;</w:t>
      </w:r>
      <w:r w:rsidRPr="00267A6E">
        <w:rPr>
          <w:lang w:val="fr-FR"/>
        </w:rPr>
        <w:t xml:space="preserve"> le champ d</w:t>
      </w:r>
      <w:r w:rsidR="00D82B54" w:rsidRPr="00267A6E">
        <w:rPr>
          <w:lang w:val="fr-FR"/>
        </w:rPr>
        <w:t>’</w:t>
      </w:r>
      <w:r w:rsidRPr="00267A6E">
        <w:rPr>
          <w:lang w:val="fr-FR"/>
        </w:rPr>
        <w:t>application</w:t>
      </w:r>
      <w:r w:rsidR="001B077A" w:rsidRPr="00267A6E">
        <w:rPr>
          <w:lang w:val="fr-FR"/>
        </w:rPr>
        <w:t> </w:t>
      </w:r>
      <w:r w:rsidRPr="00267A6E">
        <w:rPr>
          <w:lang w:val="fr-FR"/>
        </w:rPr>
        <w:t>2, qui couvre les émissions indirectes imputables à l</w:t>
      </w:r>
      <w:r w:rsidR="00D82B54" w:rsidRPr="00267A6E">
        <w:rPr>
          <w:lang w:val="fr-FR"/>
        </w:rPr>
        <w:t>’</w:t>
      </w:r>
      <w:r w:rsidRPr="00267A6E">
        <w:rPr>
          <w:lang w:val="fr-FR"/>
        </w:rPr>
        <w:t>achat d</w:t>
      </w:r>
      <w:r w:rsidR="00D82B54" w:rsidRPr="00267A6E">
        <w:rPr>
          <w:lang w:val="fr-FR"/>
        </w:rPr>
        <w:t>’</w:t>
      </w:r>
      <w:r w:rsidRPr="00267A6E">
        <w:rPr>
          <w:lang w:val="fr-FR"/>
        </w:rPr>
        <w:t>énergie (notamment l</w:t>
      </w:r>
      <w:r w:rsidR="00D82B54" w:rsidRPr="00267A6E">
        <w:rPr>
          <w:lang w:val="fr-FR"/>
        </w:rPr>
        <w:t>’</w:t>
      </w:r>
      <w:r w:rsidRPr="00267A6E">
        <w:rPr>
          <w:lang w:val="fr-FR"/>
        </w:rPr>
        <w:t>électricité, le chauffage et le refroidissement)</w:t>
      </w:r>
      <w:r w:rsidR="00D82B54" w:rsidRPr="00267A6E">
        <w:rPr>
          <w:lang w:val="fr-FR"/>
        </w:rPr>
        <w:t> ;</w:t>
      </w:r>
      <w:r w:rsidRPr="00267A6E">
        <w:rPr>
          <w:lang w:val="fr-FR"/>
        </w:rPr>
        <w:t xml:space="preserve"> le champ d</w:t>
      </w:r>
      <w:r w:rsidR="00D82B54" w:rsidRPr="00267A6E">
        <w:rPr>
          <w:lang w:val="fr-FR"/>
        </w:rPr>
        <w:t>’</w:t>
      </w:r>
      <w:r w:rsidRPr="00267A6E">
        <w:rPr>
          <w:lang w:val="fr-FR"/>
        </w:rPr>
        <w:t>application</w:t>
      </w:r>
      <w:r w:rsidR="001B077A" w:rsidRPr="00267A6E">
        <w:rPr>
          <w:lang w:val="fr-FR"/>
        </w:rPr>
        <w:t> </w:t>
      </w:r>
      <w:r w:rsidRPr="00267A6E">
        <w:rPr>
          <w:lang w:val="fr-FR"/>
        </w:rPr>
        <w:t>3, qui concerne les émissions indirectes provenant des clients et des fournisseurs (notamment l</w:t>
      </w:r>
      <w:r w:rsidR="00D82B54" w:rsidRPr="00267A6E">
        <w:rPr>
          <w:lang w:val="fr-FR"/>
        </w:rPr>
        <w:t>’</w:t>
      </w:r>
      <w:r w:rsidRPr="00267A6E">
        <w:rPr>
          <w:lang w:val="fr-FR"/>
        </w:rPr>
        <w:t>ensemble des émissions générées par les fournisseurs et les clients tout au long de la chaîne de valeur, qui englobe à la fois les fournisseurs dans la chaîne d</w:t>
      </w:r>
      <w:r w:rsidR="00D82B54" w:rsidRPr="00267A6E">
        <w:rPr>
          <w:lang w:val="fr-FR"/>
        </w:rPr>
        <w:t>’</w:t>
      </w:r>
      <w:r w:rsidRPr="00267A6E">
        <w:rPr>
          <w:lang w:val="fr-FR"/>
        </w:rPr>
        <w:t>approvisionnement et les détaillants et les consommateurs après le point de vente)</w:t>
      </w:r>
      <w:r w:rsidR="00967A77" w:rsidRPr="00267A6E">
        <w:rPr>
          <w:lang w:val="fr-FR"/>
        </w:rPr>
        <w:t>.</w:t>
      </w:r>
      <w:r w:rsidRPr="00267A6E">
        <w:rPr>
          <w:lang w:val="fr-FR"/>
        </w:rPr>
        <w:t xml:space="preserve"> La réalisation de l</w:t>
      </w:r>
      <w:r w:rsidR="00D82B54" w:rsidRPr="00267A6E">
        <w:rPr>
          <w:lang w:val="fr-FR"/>
        </w:rPr>
        <w:t>’</w:t>
      </w:r>
      <w:r w:rsidRPr="00267A6E">
        <w:rPr>
          <w:lang w:val="fr-FR"/>
        </w:rPr>
        <w:t xml:space="preserve">objectif de développement durable </w:t>
      </w:r>
      <w:r w:rsidR="00D82B54" w:rsidRPr="00267A6E">
        <w:rPr>
          <w:lang w:val="fr-FR"/>
        </w:rPr>
        <w:t>n</w:t>
      </w:r>
      <w:r w:rsidR="00D82B54" w:rsidRPr="00267A6E">
        <w:rPr>
          <w:vertAlign w:val="superscript"/>
          <w:lang w:val="fr-FR"/>
        </w:rPr>
        <w:t>o</w:t>
      </w:r>
      <w:r w:rsidR="001B077A" w:rsidRPr="00267A6E">
        <w:rPr>
          <w:lang w:val="fr-FR"/>
        </w:rPr>
        <w:t> </w:t>
      </w:r>
      <w:r w:rsidRPr="00267A6E">
        <w:rPr>
          <w:lang w:val="fr-FR"/>
        </w:rPr>
        <w:t>13 repose sur la prise en compte des émissions relevant des champs d</w:t>
      </w:r>
      <w:r w:rsidR="00D82B54" w:rsidRPr="00267A6E">
        <w:rPr>
          <w:lang w:val="fr-FR"/>
        </w:rPr>
        <w:t>’</w:t>
      </w:r>
      <w:r w:rsidRPr="00267A6E">
        <w:rPr>
          <w:lang w:val="fr-FR"/>
        </w:rPr>
        <w:t>application</w:t>
      </w:r>
      <w:r w:rsidR="001B077A" w:rsidRPr="00267A6E">
        <w:rPr>
          <w:lang w:val="fr-FR"/>
        </w:rPr>
        <w:t> </w:t>
      </w:r>
      <w:r w:rsidRPr="00267A6E">
        <w:rPr>
          <w:lang w:val="fr-FR"/>
        </w:rPr>
        <w:t>1, 2 et 3</w:t>
      </w:r>
      <w:r w:rsidR="00967A77" w:rsidRPr="00267A6E">
        <w:rPr>
          <w:lang w:val="fr-FR"/>
        </w:rPr>
        <w:t>.</w:t>
      </w:r>
      <w:r w:rsidRPr="00267A6E">
        <w:rPr>
          <w:lang w:val="fr-FR"/>
        </w:rPr>
        <w:t xml:space="preserve"> Or, les émissions du champ d</w:t>
      </w:r>
      <w:r w:rsidR="00D82B54" w:rsidRPr="00267A6E">
        <w:rPr>
          <w:lang w:val="fr-FR"/>
        </w:rPr>
        <w:t>’</w:t>
      </w:r>
      <w:r w:rsidRPr="00267A6E">
        <w:rPr>
          <w:lang w:val="fr-FR"/>
        </w:rPr>
        <w:t>application 3 ne figurent pas explicitement dans la Convention ou le Protocole parmi les incidences sur l</w:t>
      </w:r>
      <w:r w:rsidR="00D82B54" w:rsidRPr="00267A6E">
        <w:rPr>
          <w:lang w:val="fr-FR"/>
        </w:rPr>
        <w:t>’</w:t>
      </w:r>
      <w:r w:rsidRPr="00267A6E">
        <w:rPr>
          <w:lang w:val="fr-FR"/>
        </w:rPr>
        <w:t>environnement qui doivent être prises en considération</w:t>
      </w:r>
      <w:r w:rsidR="00967A77" w:rsidRPr="00267A6E">
        <w:rPr>
          <w:lang w:val="fr-FR"/>
        </w:rPr>
        <w:t>.</w:t>
      </w:r>
      <w:r w:rsidRPr="00267A6E">
        <w:rPr>
          <w:lang w:val="fr-FR"/>
        </w:rPr>
        <w:t xml:space="preserve"> Les effets indirects notables d</w:t>
      </w:r>
      <w:r w:rsidR="00D82B54" w:rsidRPr="00267A6E">
        <w:rPr>
          <w:lang w:val="fr-FR"/>
        </w:rPr>
        <w:t>’</w:t>
      </w:r>
      <w:r w:rsidRPr="00267A6E">
        <w:rPr>
          <w:lang w:val="fr-FR"/>
        </w:rPr>
        <w:t>un projet proposé doivent généralement être pris en compte dans le cadre d</w:t>
      </w:r>
      <w:r w:rsidR="00D82B54" w:rsidRPr="00267A6E">
        <w:rPr>
          <w:lang w:val="fr-FR"/>
        </w:rPr>
        <w:t>’</w:t>
      </w:r>
      <w:r w:rsidRPr="00267A6E">
        <w:rPr>
          <w:lang w:val="fr-FR"/>
        </w:rPr>
        <w:t>une autre législation relative à l</w:t>
      </w:r>
      <w:r w:rsidR="00D82B54" w:rsidRPr="00267A6E">
        <w:rPr>
          <w:lang w:val="fr-FR"/>
        </w:rPr>
        <w:t>’</w:t>
      </w:r>
      <w:r w:rsidRPr="00267A6E">
        <w:rPr>
          <w:lang w:val="fr-FR"/>
        </w:rPr>
        <w:t>évaluation de l</w:t>
      </w:r>
      <w:r w:rsidR="00D82B54" w:rsidRPr="00267A6E">
        <w:rPr>
          <w:lang w:val="fr-FR"/>
        </w:rPr>
        <w:t>’</w:t>
      </w:r>
      <w:r w:rsidRPr="00267A6E">
        <w:rPr>
          <w:lang w:val="fr-FR"/>
        </w:rPr>
        <w:t>impact sur l</w:t>
      </w:r>
      <w:r w:rsidR="00D82B54" w:rsidRPr="00267A6E">
        <w:rPr>
          <w:lang w:val="fr-FR"/>
        </w:rPr>
        <w:t>’</w:t>
      </w:r>
      <w:r w:rsidRPr="00267A6E">
        <w:rPr>
          <w:lang w:val="fr-FR"/>
        </w:rPr>
        <w:t>environnement (par exemple, l</w:t>
      </w:r>
      <w:r w:rsidR="00D82B54" w:rsidRPr="00267A6E">
        <w:rPr>
          <w:lang w:val="fr-FR"/>
        </w:rPr>
        <w:t>’article </w:t>
      </w:r>
      <w:r w:rsidRPr="00267A6E">
        <w:rPr>
          <w:lang w:val="fr-FR"/>
        </w:rPr>
        <w:t>3 de la version originale de 2011 de la Directive de l</w:t>
      </w:r>
      <w:r w:rsidR="00D82B54" w:rsidRPr="00267A6E">
        <w:rPr>
          <w:lang w:val="fr-FR"/>
        </w:rPr>
        <w:t>’</w:t>
      </w:r>
      <w:r w:rsidRPr="00267A6E">
        <w:rPr>
          <w:lang w:val="fr-FR"/>
        </w:rPr>
        <w:t>Union européenne concernant l</w:t>
      </w:r>
      <w:r w:rsidR="00D82B54" w:rsidRPr="00267A6E">
        <w:rPr>
          <w:lang w:val="fr-FR"/>
        </w:rPr>
        <w:t>’</w:t>
      </w:r>
      <w:r w:rsidRPr="00267A6E">
        <w:rPr>
          <w:lang w:val="fr-FR"/>
        </w:rPr>
        <w:t>évaluation des incidences de certains projets publics et privés sur l</w:t>
      </w:r>
      <w:r w:rsidR="00D82B54" w:rsidRPr="00267A6E">
        <w:rPr>
          <w:lang w:val="fr-FR"/>
        </w:rPr>
        <w:t>’</w:t>
      </w:r>
      <w:r w:rsidRPr="00267A6E">
        <w:rPr>
          <w:lang w:val="fr-FR"/>
        </w:rPr>
        <w:t>environnement)</w:t>
      </w:r>
      <w:r w:rsidRPr="00267A6E">
        <w:rPr>
          <w:rStyle w:val="FootnoteReference"/>
          <w:lang w:val="fr-FR"/>
        </w:rPr>
        <w:footnoteReference w:id="50"/>
      </w:r>
      <w:r w:rsidR="00967A77" w:rsidRPr="00267A6E">
        <w:rPr>
          <w:lang w:val="fr-FR"/>
        </w:rPr>
        <w:t>.</w:t>
      </w:r>
      <w:r w:rsidRPr="00267A6E">
        <w:rPr>
          <w:lang w:val="fr-FR"/>
        </w:rPr>
        <w:t xml:space="preserve"> Du</w:t>
      </w:r>
      <w:r w:rsidR="001B077A" w:rsidRPr="00267A6E">
        <w:rPr>
          <w:lang w:val="fr-FR"/>
        </w:rPr>
        <w:t> </w:t>
      </w:r>
      <w:r w:rsidRPr="00267A6E">
        <w:rPr>
          <w:lang w:val="fr-FR"/>
        </w:rPr>
        <w:t>fait que la Convention et le Protocole ne traitent pas expressément des émissions relevant du champ d</w:t>
      </w:r>
      <w:r w:rsidR="00D82B54" w:rsidRPr="00267A6E">
        <w:rPr>
          <w:lang w:val="fr-FR"/>
        </w:rPr>
        <w:t>’</w:t>
      </w:r>
      <w:r w:rsidRPr="00267A6E">
        <w:rPr>
          <w:lang w:val="fr-FR"/>
        </w:rPr>
        <w:t>application</w:t>
      </w:r>
      <w:r w:rsidR="001B077A" w:rsidRPr="00267A6E">
        <w:rPr>
          <w:lang w:val="fr-FR"/>
        </w:rPr>
        <w:t> </w:t>
      </w:r>
      <w:r w:rsidRPr="00267A6E">
        <w:rPr>
          <w:lang w:val="fr-FR"/>
        </w:rPr>
        <w:t>3, il se pourrait que les évaluations ne permettent pas d</w:t>
      </w:r>
      <w:r w:rsidR="00D82B54" w:rsidRPr="00267A6E">
        <w:rPr>
          <w:lang w:val="fr-FR"/>
        </w:rPr>
        <w:t>’</w:t>
      </w:r>
      <w:r w:rsidRPr="00267A6E">
        <w:rPr>
          <w:lang w:val="fr-FR"/>
        </w:rPr>
        <w:t>optimiser la réduction de ces émissions et que celles-ci soient une source de tensions, dans un contexte transfrontière, si les Parties concernées ont des approches différentes s</w:t>
      </w:r>
      <w:r w:rsidR="00D82B54" w:rsidRPr="00267A6E">
        <w:rPr>
          <w:lang w:val="fr-FR"/>
        </w:rPr>
        <w:t>’</w:t>
      </w:r>
      <w:r w:rsidRPr="00267A6E">
        <w:rPr>
          <w:lang w:val="fr-FR"/>
        </w:rPr>
        <w:t>agissant de leur prise en compte</w:t>
      </w:r>
      <w:r w:rsidR="005D1331" w:rsidRPr="00267A6E">
        <w:rPr>
          <w:lang w:val="fr-FR"/>
        </w:rPr>
        <w:t>.</w:t>
      </w:r>
    </w:p>
    <w:p w14:paraId="5C261725" w14:textId="438E399A" w:rsidR="003373A7" w:rsidRPr="00267A6E" w:rsidRDefault="003373A7" w:rsidP="00C30EEB">
      <w:pPr>
        <w:pStyle w:val="SingleTxtG"/>
        <w:rPr>
          <w:lang w:val="fr-FR"/>
        </w:rPr>
      </w:pPr>
      <w:r w:rsidRPr="00267A6E">
        <w:rPr>
          <w:lang w:val="fr-FR"/>
        </w:rPr>
        <w:t>29</w:t>
      </w:r>
      <w:r w:rsidR="005D1331" w:rsidRPr="00267A6E">
        <w:rPr>
          <w:lang w:val="fr-FR"/>
        </w:rPr>
        <w:t>.</w:t>
      </w:r>
      <w:r w:rsidRPr="00267A6E">
        <w:rPr>
          <w:lang w:val="fr-FR"/>
        </w:rPr>
        <w:tab/>
        <w:t>On considère que l</w:t>
      </w:r>
      <w:r w:rsidR="00D82B54" w:rsidRPr="00267A6E">
        <w:rPr>
          <w:lang w:val="fr-FR"/>
        </w:rPr>
        <w:t>’</w:t>
      </w:r>
      <w:r w:rsidRPr="00267A6E">
        <w:rPr>
          <w:lang w:val="fr-FR"/>
        </w:rPr>
        <w:t>élimination du carbone au moyen, par exemple, de la plantation d</w:t>
      </w:r>
      <w:r w:rsidR="00D82B54" w:rsidRPr="00267A6E">
        <w:rPr>
          <w:lang w:val="fr-FR"/>
        </w:rPr>
        <w:t>’</w:t>
      </w:r>
      <w:r w:rsidRPr="00267A6E">
        <w:rPr>
          <w:lang w:val="fr-FR"/>
        </w:rPr>
        <w:t>arbres, relève d</w:t>
      </w:r>
      <w:r w:rsidR="00D82B54" w:rsidRPr="00267A6E">
        <w:rPr>
          <w:lang w:val="fr-FR"/>
        </w:rPr>
        <w:t>’</w:t>
      </w:r>
      <w:r w:rsidRPr="00267A6E">
        <w:rPr>
          <w:lang w:val="fr-FR"/>
        </w:rPr>
        <w:t>une mesure de neutralisation (compensation)</w:t>
      </w:r>
      <w:r w:rsidR="00967A77" w:rsidRPr="00267A6E">
        <w:rPr>
          <w:lang w:val="fr-FR"/>
        </w:rPr>
        <w:t>.</w:t>
      </w:r>
      <w:r w:rsidRPr="00267A6E">
        <w:rPr>
          <w:lang w:val="fr-FR"/>
        </w:rPr>
        <w:t xml:space="preserve"> L</w:t>
      </w:r>
      <w:r w:rsidR="00D82B54" w:rsidRPr="00267A6E">
        <w:rPr>
          <w:lang w:val="fr-FR"/>
        </w:rPr>
        <w:t>’article </w:t>
      </w:r>
      <w:r w:rsidRPr="00267A6E">
        <w:rPr>
          <w:lang w:val="fr-FR"/>
        </w:rPr>
        <w:t>6 de l</w:t>
      </w:r>
      <w:r w:rsidR="00D82B54" w:rsidRPr="00267A6E">
        <w:rPr>
          <w:lang w:val="fr-FR"/>
        </w:rPr>
        <w:t>’</w:t>
      </w:r>
      <w:r w:rsidRPr="00267A6E">
        <w:rPr>
          <w:lang w:val="fr-FR"/>
        </w:rPr>
        <w:t>Accord de Paris permet aux pays d</w:t>
      </w:r>
      <w:r w:rsidR="00D82B54" w:rsidRPr="00267A6E">
        <w:rPr>
          <w:lang w:val="fr-FR"/>
        </w:rPr>
        <w:t>’</w:t>
      </w:r>
      <w:r w:rsidRPr="00267A6E">
        <w:rPr>
          <w:lang w:val="fr-FR"/>
        </w:rPr>
        <w:t>échanger des droits d</w:t>
      </w:r>
      <w:r w:rsidR="00D82B54" w:rsidRPr="00267A6E">
        <w:rPr>
          <w:lang w:val="fr-FR"/>
        </w:rPr>
        <w:t>’</w:t>
      </w:r>
      <w:r w:rsidRPr="00267A6E">
        <w:rPr>
          <w:lang w:val="fr-FR"/>
        </w:rPr>
        <w:t>émission dans le cadre de leurs contributions déterminées au niveau national, ce qui constitue une autre forme de compensation</w:t>
      </w:r>
      <w:r w:rsidR="00967A77" w:rsidRPr="00267A6E">
        <w:rPr>
          <w:lang w:val="fr-FR"/>
        </w:rPr>
        <w:t>.</w:t>
      </w:r>
      <w:r w:rsidRPr="00267A6E">
        <w:rPr>
          <w:lang w:val="fr-FR"/>
        </w:rPr>
        <w:t xml:space="preserve"> Certaines organisations de la société civile (par exemple</w:t>
      </w:r>
      <w:r w:rsidR="00D35A54" w:rsidRPr="00267A6E">
        <w:rPr>
          <w:lang w:val="fr-FR"/>
        </w:rPr>
        <w:t>,</w:t>
      </w:r>
      <w:r w:rsidRPr="00267A6E">
        <w:rPr>
          <w:lang w:val="fr-FR"/>
        </w:rPr>
        <w:t xml:space="preserve"> Amnesty International, le Center for International Environmental Law (CIEL), Climate Action Network-Europe (CAN-E), Earthjustice, le Bureau européen de l</w:t>
      </w:r>
      <w:r w:rsidR="00D82B54" w:rsidRPr="00267A6E">
        <w:rPr>
          <w:lang w:val="fr-FR"/>
        </w:rPr>
        <w:t>’</w:t>
      </w:r>
      <w:r w:rsidRPr="00267A6E">
        <w:rPr>
          <w:lang w:val="fr-FR"/>
        </w:rPr>
        <w:t>environnement (BEE), Human Rights Watch (HRW) et l</w:t>
      </w:r>
      <w:r w:rsidR="00D82B54" w:rsidRPr="00267A6E">
        <w:rPr>
          <w:lang w:val="fr-FR"/>
        </w:rPr>
        <w:t>’</w:t>
      </w:r>
      <w:r w:rsidRPr="00267A6E">
        <w:rPr>
          <w:lang w:val="fr-FR"/>
        </w:rPr>
        <w:t>association Justice and Environnement) affirment qu</w:t>
      </w:r>
      <w:r w:rsidR="00D82B54" w:rsidRPr="00267A6E">
        <w:rPr>
          <w:lang w:val="fr-FR"/>
        </w:rPr>
        <w:t>’</w:t>
      </w:r>
      <w:r w:rsidRPr="00267A6E">
        <w:rPr>
          <w:lang w:val="fr-FR"/>
        </w:rPr>
        <w:t>en l</w:t>
      </w:r>
      <w:r w:rsidR="00D82B54" w:rsidRPr="00267A6E">
        <w:rPr>
          <w:lang w:val="fr-FR"/>
        </w:rPr>
        <w:t>’</w:t>
      </w:r>
      <w:r w:rsidRPr="00267A6E">
        <w:rPr>
          <w:lang w:val="fr-FR"/>
        </w:rPr>
        <w:t>absence de garanties appropriées</w:t>
      </w:r>
      <w:r w:rsidRPr="00267A6E">
        <w:rPr>
          <w:rStyle w:val="FootnoteReference"/>
          <w:lang w:val="fr-FR"/>
        </w:rPr>
        <w:footnoteReference w:id="51"/>
      </w:r>
      <w:r w:rsidRPr="00267A6E">
        <w:rPr>
          <w:lang w:val="fr-FR"/>
        </w:rPr>
        <w:t>,</w:t>
      </w:r>
      <w:r w:rsidR="008D7609" w:rsidRPr="00267A6E">
        <w:rPr>
          <w:lang w:val="fr-FR"/>
        </w:rPr>
        <w:t xml:space="preserve"> </w:t>
      </w:r>
      <w:r w:rsidRPr="00267A6E">
        <w:rPr>
          <w:lang w:val="fr-FR"/>
        </w:rPr>
        <w:t>l</w:t>
      </w:r>
      <w:r w:rsidR="00D82B54" w:rsidRPr="00267A6E">
        <w:rPr>
          <w:lang w:val="fr-FR"/>
        </w:rPr>
        <w:t>’</w:t>
      </w:r>
      <w:r w:rsidRPr="00267A6E">
        <w:rPr>
          <w:lang w:val="fr-FR"/>
        </w:rPr>
        <w:t>échange de droits d</w:t>
      </w:r>
      <w:r w:rsidR="00D82B54" w:rsidRPr="00267A6E">
        <w:rPr>
          <w:lang w:val="fr-FR"/>
        </w:rPr>
        <w:t>’</w:t>
      </w:r>
      <w:r w:rsidRPr="00267A6E">
        <w:rPr>
          <w:lang w:val="fr-FR"/>
        </w:rPr>
        <w:t>émission ne présente qu</w:t>
      </w:r>
      <w:r w:rsidR="00D82B54" w:rsidRPr="00267A6E">
        <w:rPr>
          <w:lang w:val="fr-FR"/>
        </w:rPr>
        <w:t>’</w:t>
      </w:r>
      <w:r w:rsidRPr="00267A6E">
        <w:rPr>
          <w:lang w:val="fr-FR"/>
        </w:rPr>
        <w:t>un intérêt limité pour ce qui est de promouvoir un développement résilient face aux changements climatiques,</w:t>
      </w:r>
      <w:r w:rsidR="008D7609" w:rsidRPr="00267A6E">
        <w:rPr>
          <w:lang w:val="fr-FR"/>
        </w:rPr>
        <w:t xml:space="preserve"> </w:t>
      </w:r>
      <w:r w:rsidRPr="00267A6E">
        <w:rPr>
          <w:lang w:val="fr-FR"/>
        </w:rPr>
        <w:t>et ce procédé ne figure pas</w:t>
      </w:r>
      <w:r w:rsidRPr="00267A6E">
        <w:rPr>
          <w:rStyle w:val="CommentReference"/>
          <w:lang w:val="fr-FR"/>
        </w:rPr>
        <w:t xml:space="preserve"> </w:t>
      </w:r>
      <w:r w:rsidRPr="00267A6E">
        <w:rPr>
          <w:lang w:val="fr-FR"/>
        </w:rPr>
        <w:t>dans la Convention ou le Protocole</w:t>
      </w:r>
      <w:r w:rsidR="00967A77" w:rsidRPr="00267A6E">
        <w:rPr>
          <w:lang w:val="fr-FR"/>
        </w:rPr>
        <w:t>.</w:t>
      </w:r>
      <w:r w:rsidRPr="00267A6E">
        <w:rPr>
          <w:lang w:val="fr-FR"/>
        </w:rPr>
        <w:t xml:space="preserve"> De ce fait, il pourrait être difficile d</w:t>
      </w:r>
      <w:r w:rsidR="00D82B54" w:rsidRPr="00267A6E">
        <w:rPr>
          <w:lang w:val="fr-FR"/>
        </w:rPr>
        <w:t>’</w:t>
      </w:r>
      <w:r w:rsidRPr="00267A6E">
        <w:rPr>
          <w:lang w:val="fr-FR"/>
        </w:rPr>
        <w:t>assurer la cohérence entre des mesures qui pourraient être proposées dans le cadre de ces instruments et d</w:t>
      </w:r>
      <w:r w:rsidR="00D82B54" w:rsidRPr="00267A6E">
        <w:rPr>
          <w:lang w:val="fr-FR"/>
        </w:rPr>
        <w:t>’</w:t>
      </w:r>
      <w:r w:rsidRPr="00267A6E">
        <w:rPr>
          <w:lang w:val="fr-FR"/>
        </w:rPr>
        <w:t>autres stratégies de décarbonation (voir l</w:t>
      </w:r>
      <w:r w:rsidR="00D82B54" w:rsidRPr="00267A6E">
        <w:rPr>
          <w:lang w:val="fr-FR"/>
        </w:rPr>
        <w:t>’</w:t>
      </w:r>
      <w:r w:rsidR="00CE2EB6" w:rsidRPr="00267A6E">
        <w:rPr>
          <w:lang w:val="fr-FR"/>
        </w:rPr>
        <w:t>encadré </w:t>
      </w:r>
      <w:r w:rsidRPr="00267A6E">
        <w:rPr>
          <w:lang w:val="fr-FR"/>
        </w:rPr>
        <w:t>2 pour des suggestions de points et questions qui pourraient servir de fil conducteur aux discussions)</w:t>
      </w:r>
      <w:r w:rsidR="00967A77" w:rsidRPr="00267A6E">
        <w:rPr>
          <w:lang w:val="fr-FR"/>
        </w:rPr>
        <w:t>.</w:t>
      </w:r>
    </w:p>
    <w:tbl>
      <w:tblPr>
        <w:tblStyle w:val="TableGrid"/>
        <w:tblW w:w="7653" w:type="dxa"/>
        <w:jc w:val="center"/>
        <w:tblBorders>
          <w:top w:val="none" w:sz="0" w:space="0" w:color="auto"/>
          <w:left w:val="none" w:sz="0" w:space="0" w:color="auto"/>
          <w:bottom w:val="none" w:sz="0" w:space="0" w:color="auto"/>
          <w:right w:val="none" w:sz="0" w:space="0" w:color="auto"/>
          <w:insideH w:val="none" w:sz="0" w:space="0" w:color="auto"/>
        </w:tblBorders>
        <w:tblLayout w:type="fixed"/>
        <w:tblCellMar>
          <w:left w:w="142" w:type="dxa"/>
          <w:right w:w="142" w:type="dxa"/>
        </w:tblCellMar>
        <w:tblLook w:val="04A0" w:firstRow="1" w:lastRow="0" w:firstColumn="1" w:lastColumn="0" w:noHBand="0" w:noVBand="1"/>
      </w:tblPr>
      <w:tblGrid>
        <w:gridCol w:w="7653"/>
      </w:tblGrid>
      <w:tr w:rsidR="00C30EEB" w:rsidRPr="00267A6E" w14:paraId="27567464" w14:textId="77777777">
        <w:trPr>
          <w:trHeight w:hRule="exact" w:val="240"/>
          <w:jc w:val="center"/>
        </w:trPr>
        <w:tc>
          <w:tcPr>
            <w:tcW w:w="7653" w:type="dxa"/>
            <w:tcBorders>
              <w:top w:val="single" w:sz="4" w:space="0" w:color="auto"/>
              <w:left w:val="single" w:sz="4" w:space="0" w:color="auto"/>
              <w:bottom w:val="nil"/>
              <w:right w:val="single" w:sz="4" w:space="0" w:color="auto"/>
            </w:tcBorders>
            <w:shd w:val="clear" w:color="auto" w:fill="auto"/>
          </w:tcPr>
          <w:p w14:paraId="218FDE78" w14:textId="00E1EFA4" w:rsidR="00C30EEB" w:rsidRPr="00267A6E" w:rsidRDefault="00CE2EB6">
            <w:pPr>
              <w:rPr>
                <w:lang w:val="fr-FR"/>
              </w:rPr>
            </w:pPr>
            <w:r w:rsidRPr="00267A6E">
              <w:rPr>
                <w:lang w:val="fr-FR"/>
              </w:rPr>
              <w:t>Encadré </w:t>
            </w:r>
            <w:r w:rsidR="00C30EEB" w:rsidRPr="00267A6E">
              <w:rPr>
                <w:lang w:val="fr-FR"/>
              </w:rPr>
              <w:t>2</w:t>
            </w:r>
          </w:p>
        </w:tc>
      </w:tr>
      <w:tr w:rsidR="00C30EEB" w:rsidRPr="00267A6E" w14:paraId="56D2884E" w14:textId="77777777">
        <w:trPr>
          <w:jc w:val="center"/>
        </w:trPr>
        <w:tc>
          <w:tcPr>
            <w:tcW w:w="7653" w:type="dxa"/>
            <w:tcBorders>
              <w:left w:val="single" w:sz="4" w:space="0" w:color="auto"/>
              <w:bottom w:val="nil"/>
              <w:right w:val="single" w:sz="4" w:space="0" w:color="auto"/>
            </w:tcBorders>
            <w:shd w:val="clear" w:color="auto" w:fill="auto"/>
          </w:tcPr>
          <w:p w14:paraId="3ABBEF27" w14:textId="1B48710A" w:rsidR="00C30EEB" w:rsidRPr="00267A6E" w:rsidRDefault="00C30EEB">
            <w:pPr>
              <w:spacing w:after="120"/>
              <w:jc w:val="both"/>
              <w:rPr>
                <w:lang w:val="fr-FR"/>
              </w:rPr>
            </w:pPr>
            <w:r w:rsidRPr="00267A6E">
              <w:rPr>
                <w:b/>
                <w:bCs/>
                <w:lang w:val="fr-FR"/>
              </w:rPr>
              <w:t>Principaux points et questions qui pourraient servir de fil conducteur aux discussions</w:t>
            </w:r>
          </w:p>
        </w:tc>
      </w:tr>
      <w:tr w:rsidR="00C30EEB" w:rsidRPr="00267A6E" w14:paraId="4A9A00BA" w14:textId="77777777">
        <w:trPr>
          <w:jc w:val="center"/>
        </w:trPr>
        <w:tc>
          <w:tcPr>
            <w:tcW w:w="7653" w:type="dxa"/>
            <w:tcBorders>
              <w:left w:val="single" w:sz="4" w:space="0" w:color="auto"/>
              <w:bottom w:val="nil"/>
              <w:right w:val="single" w:sz="4" w:space="0" w:color="auto"/>
            </w:tcBorders>
            <w:shd w:val="clear" w:color="auto" w:fill="auto"/>
          </w:tcPr>
          <w:p w14:paraId="53143DF7" w14:textId="5FD4F74A" w:rsidR="00C30EEB" w:rsidRPr="00267A6E" w:rsidRDefault="00C30EEB" w:rsidP="00C30EEB">
            <w:pPr>
              <w:tabs>
                <w:tab w:val="left" w:pos="388"/>
              </w:tabs>
              <w:spacing w:after="120"/>
              <w:ind w:left="388" w:hanging="388"/>
              <w:jc w:val="both"/>
              <w:rPr>
                <w:lang w:val="fr-FR"/>
              </w:rPr>
            </w:pPr>
            <w:r w:rsidRPr="00267A6E">
              <w:rPr>
                <w:lang w:val="fr-FR"/>
              </w:rPr>
              <w:t>1</w:t>
            </w:r>
            <w:r w:rsidR="00967A77" w:rsidRPr="00267A6E">
              <w:rPr>
                <w:lang w:val="fr-FR"/>
              </w:rPr>
              <w:t>.</w:t>
            </w:r>
            <w:r w:rsidRPr="00267A6E">
              <w:rPr>
                <w:lang w:val="fr-FR"/>
              </w:rPr>
              <w:tab/>
              <w:t>Quelle serait la meilleure façon de montrer comment la Convention et le Protocole peuvent favoriser l</w:t>
            </w:r>
            <w:r w:rsidR="00D82B54" w:rsidRPr="00267A6E">
              <w:rPr>
                <w:lang w:val="fr-FR"/>
              </w:rPr>
              <w:t>’</w:t>
            </w:r>
            <w:r w:rsidRPr="00267A6E">
              <w:rPr>
                <w:lang w:val="fr-FR"/>
              </w:rPr>
              <w:t>acceptabilité sociale de la transition énergétique ?</w:t>
            </w:r>
          </w:p>
        </w:tc>
      </w:tr>
      <w:tr w:rsidR="00C30EEB" w:rsidRPr="00267A6E" w14:paraId="6166FCA2" w14:textId="77777777">
        <w:trPr>
          <w:jc w:val="center"/>
        </w:trPr>
        <w:tc>
          <w:tcPr>
            <w:tcW w:w="7653" w:type="dxa"/>
            <w:tcBorders>
              <w:left w:val="single" w:sz="4" w:space="0" w:color="auto"/>
              <w:bottom w:val="nil"/>
              <w:right w:val="single" w:sz="4" w:space="0" w:color="auto"/>
            </w:tcBorders>
            <w:shd w:val="clear" w:color="auto" w:fill="auto"/>
          </w:tcPr>
          <w:p w14:paraId="47173C09" w14:textId="47136FF1" w:rsidR="00C30EEB" w:rsidRPr="00267A6E" w:rsidRDefault="00C30EEB" w:rsidP="00C30EEB">
            <w:pPr>
              <w:tabs>
                <w:tab w:val="left" w:pos="388"/>
              </w:tabs>
              <w:spacing w:after="120"/>
              <w:ind w:left="388" w:hanging="388"/>
              <w:jc w:val="both"/>
              <w:rPr>
                <w:lang w:val="fr-FR"/>
              </w:rPr>
            </w:pPr>
            <w:r w:rsidRPr="00267A6E">
              <w:rPr>
                <w:lang w:val="fr-FR"/>
              </w:rPr>
              <w:t>2</w:t>
            </w:r>
            <w:r w:rsidR="00967A77" w:rsidRPr="00267A6E">
              <w:rPr>
                <w:lang w:val="fr-FR"/>
              </w:rPr>
              <w:t>.</w:t>
            </w:r>
            <w:r w:rsidRPr="00267A6E">
              <w:rPr>
                <w:lang w:val="fr-FR"/>
              </w:rPr>
              <w:tab/>
              <w:t>Faudrait-il plus clairement inclure dans le champ d</w:t>
            </w:r>
            <w:r w:rsidR="00D82B54" w:rsidRPr="00267A6E">
              <w:rPr>
                <w:lang w:val="fr-FR"/>
              </w:rPr>
              <w:t>’</w:t>
            </w:r>
            <w:r w:rsidRPr="00267A6E">
              <w:rPr>
                <w:lang w:val="fr-FR"/>
              </w:rPr>
              <w:t>application de la Convention et du Protocole l</w:t>
            </w:r>
            <w:r w:rsidR="00D82B54" w:rsidRPr="00267A6E">
              <w:rPr>
                <w:lang w:val="fr-FR"/>
              </w:rPr>
              <w:t>’</w:t>
            </w:r>
            <w:r w:rsidRPr="00267A6E">
              <w:rPr>
                <w:lang w:val="fr-FR"/>
              </w:rPr>
              <w:t>impact des activités tout au long du cycle de vie, notamment les impacts indirects (et, en particulier, les émissions) afin de tenir pleinement compte des émissions qui sont produites en dehors du territoire de la Partie d</w:t>
            </w:r>
            <w:r w:rsidR="00D82B54" w:rsidRPr="00267A6E">
              <w:rPr>
                <w:lang w:val="fr-FR"/>
              </w:rPr>
              <w:t>’</w:t>
            </w:r>
            <w:r w:rsidRPr="00267A6E">
              <w:rPr>
                <w:lang w:val="fr-FR"/>
              </w:rPr>
              <w:t>origine, mais relèvent d</w:t>
            </w:r>
            <w:r w:rsidR="00D82B54" w:rsidRPr="00267A6E">
              <w:rPr>
                <w:lang w:val="fr-FR"/>
              </w:rPr>
              <w:t>’</w:t>
            </w:r>
            <w:r w:rsidRPr="00267A6E">
              <w:rPr>
                <w:lang w:val="fr-FR"/>
              </w:rPr>
              <w:t>un plan, d</w:t>
            </w:r>
            <w:r w:rsidR="00D82B54" w:rsidRPr="00267A6E">
              <w:rPr>
                <w:lang w:val="fr-FR"/>
              </w:rPr>
              <w:t>’</w:t>
            </w:r>
            <w:r w:rsidRPr="00267A6E">
              <w:rPr>
                <w:lang w:val="fr-FR"/>
              </w:rPr>
              <w:t>un programme ou d</w:t>
            </w:r>
            <w:r w:rsidR="00D82B54" w:rsidRPr="00267A6E">
              <w:rPr>
                <w:lang w:val="fr-FR"/>
              </w:rPr>
              <w:t>’</w:t>
            </w:r>
            <w:r w:rsidRPr="00267A6E">
              <w:rPr>
                <w:lang w:val="fr-FR"/>
              </w:rPr>
              <w:t>un projet –</w:t>
            </w:r>
            <w:r w:rsidR="000F2B15" w:rsidRPr="00267A6E">
              <w:rPr>
                <w:lang w:val="fr-FR"/>
              </w:rPr>
              <w:t> </w:t>
            </w:r>
            <w:r w:rsidRPr="00267A6E">
              <w:rPr>
                <w:lang w:val="fr-FR"/>
              </w:rPr>
              <w:t>et, le cas échéant, de politiques et de textes de loi</w:t>
            </w:r>
            <w:r w:rsidR="000F2B15" w:rsidRPr="00267A6E">
              <w:rPr>
                <w:lang w:val="fr-FR"/>
              </w:rPr>
              <w:t> </w:t>
            </w:r>
            <w:r w:rsidRPr="00267A6E">
              <w:rPr>
                <w:lang w:val="fr-FR"/>
              </w:rPr>
              <w:t>– exécuté dans la Partie d</w:t>
            </w:r>
            <w:r w:rsidR="00D82B54" w:rsidRPr="00267A6E">
              <w:rPr>
                <w:lang w:val="fr-FR"/>
              </w:rPr>
              <w:t>’</w:t>
            </w:r>
            <w:r w:rsidRPr="00267A6E">
              <w:rPr>
                <w:lang w:val="fr-FR"/>
              </w:rPr>
              <w:t>origine (afin d</w:t>
            </w:r>
            <w:r w:rsidR="00D82B54" w:rsidRPr="00267A6E">
              <w:rPr>
                <w:lang w:val="fr-FR"/>
              </w:rPr>
              <w:t>’</w:t>
            </w:r>
            <w:r w:rsidRPr="00267A6E">
              <w:rPr>
                <w:lang w:val="fr-FR"/>
              </w:rPr>
              <w:t>empêcher l</w:t>
            </w:r>
            <w:r w:rsidR="00D82B54" w:rsidRPr="00267A6E">
              <w:rPr>
                <w:lang w:val="fr-FR"/>
              </w:rPr>
              <w:t>’</w:t>
            </w:r>
            <w:r w:rsidRPr="00267A6E">
              <w:rPr>
                <w:lang w:val="fr-FR"/>
              </w:rPr>
              <w:t>exportation des émissions du champ d</w:t>
            </w:r>
            <w:r w:rsidR="00D82B54" w:rsidRPr="00267A6E">
              <w:rPr>
                <w:lang w:val="fr-FR"/>
              </w:rPr>
              <w:t>’</w:t>
            </w:r>
            <w:r w:rsidRPr="00267A6E">
              <w:rPr>
                <w:lang w:val="fr-FR"/>
              </w:rPr>
              <w:t>application</w:t>
            </w:r>
            <w:r w:rsidR="005526DE" w:rsidRPr="00267A6E">
              <w:rPr>
                <w:lang w:val="fr-FR"/>
              </w:rPr>
              <w:t> </w:t>
            </w:r>
            <w:r w:rsidRPr="00267A6E">
              <w:rPr>
                <w:lang w:val="fr-FR"/>
              </w:rPr>
              <w:t>3 vers d</w:t>
            </w:r>
            <w:r w:rsidR="00D82B54" w:rsidRPr="00267A6E">
              <w:rPr>
                <w:lang w:val="fr-FR"/>
              </w:rPr>
              <w:t>’</w:t>
            </w:r>
            <w:r w:rsidRPr="00267A6E">
              <w:rPr>
                <w:lang w:val="fr-FR"/>
              </w:rPr>
              <w:t>autres Parties) ?</w:t>
            </w:r>
          </w:p>
        </w:tc>
      </w:tr>
      <w:tr w:rsidR="00C30EEB" w:rsidRPr="00267A6E" w14:paraId="5BBBC074" w14:textId="77777777">
        <w:trPr>
          <w:jc w:val="center"/>
        </w:trPr>
        <w:tc>
          <w:tcPr>
            <w:tcW w:w="7653" w:type="dxa"/>
            <w:tcBorders>
              <w:left w:val="single" w:sz="4" w:space="0" w:color="auto"/>
              <w:bottom w:val="nil"/>
              <w:right w:val="single" w:sz="4" w:space="0" w:color="auto"/>
            </w:tcBorders>
            <w:shd w:val="clear" w:color="auto" w:fill="auto"/>
          </w:tcPr>
          <w:p w14:paraId="04DADF78" w14:textId="37FB790E" w:rsidR="00C30EEB" w:rsidRPr="00267A6E" w:rsidRDefault="00C30EEB" w:rsidP="00C30EEB">
            <w:pPr>
              <w:tabs>
                <w:tab w:val="left" w:pos="388"/>
              </w:tabs>
              <w:spacing w:after="120"/>
              <w:ind w:left="388" w:hanging="388"/>
              <w:jc w:val="both"/>
              <w:rPr>
                <w:lang w:val="fr-FR"/>
              </w:rPr>
            </w:pPr>
            <w:r w:rsidRPr="00267A6E">
              <w:rPr>
                <w:lang w:val="fr-FR"/>
              </w:rPr>
              <w:t>3</w:t>
            </w:r>
            <w:r w:rsidR="00967A77" w:rsidRPr="00267A6E">
              <w:rPr>
                <w:lang w:val="fr-FR"/>
              </w:rPr>
              <w:t>.</w:t>
            </w:r>
            <w:r w:rsidRPr="00267A6E">
              <w:rPr>
                <w:lang w:val="fr-FR"/>
              </w:rPr>
              <w:tab/>
              <w:t>Faudrait-il préciser la manière dont les impacts climatiques devraient être pris en compte dans le cadre de la Convention et du Protocole (les Parties pourraient, par exemple, se mettre d</w:t>
            </w:r>
            <w:r w:rsidR="00D82B54" w:rsidRPr="00267A6E">
              <w:rPr>
                <w:lang w:val="fr-FR"/>
              </w:rPr>
              <w:t>’</w:t>
            </w:r>
            <w:r w:rsidRPr="00267A6E">
              <w:rPr>
                <w:lang w:val="fr-FR"/>
              </w:rPr>
              <w:t>accord pour mettre davantage l</w:t>
            </w:r>
            <w:r w:rsidR="00D82B54" w:rsidRPr="00267A6E">
              <w:rPr>
                <w:lang w:val="fr-FR"/>
              </w:rPr>
              <w:t>’</w:t>
            </w:r>
            <w:r w:rsidRPr="00267A6E">
              <w:rPr>
                <w:lang w:val="fr-FR"/>
              </w:rPr>
              <w:t>accent sur l</w:t>
            </w:r>
            <w:r w:rsidR="00D82B54" w:rsidRPr="00267A6E">
              <w:rPr>
                <w:lang w:val="fr-FR"/>
              </w:rPr>
              <w:t>’</w:t>
            </w:r>
            <w:r w:rsidRPr="00267A6E">
              <w:rPr>
                <w:lang w:val="fr-FR"/>
              </w:rPr>
              <w:t>atténuation des changements climatiques et, le cas échéant, sur l</w:t>
            </w:r>
            <w:r w:rsidR="00D82B54" w:rsidRPr="00267A6E">
              <w:rPr>
                <w:lang w:val="fr-FR"/>
              </w:rPr>
              <w:t>’</w:t>
            </w:r>
            <w:r w:rsidRPr="00267A6E">
              <w:rPr>
                <w:lang w:val="fr-FR"/>
              </w:rPr>
              <w:t>adaptation à leurs effets, comme dans le cadre de l</w:t>
            </w:r>
            <w:r w:rsidR="00D82B54" w:rsidRPr="00267A6E">
              <w:rPr>
                <w:lang w:val="fr-FR"/>
              </w:rPr>
              <w:t>’</w:t>
            </w:r>
            <w:r w:rsidRPr="00267A6E">
              <w:rPr>
                <w:lang w:val="fr-FR"/>
              </w:rPr>
              <w:t>Accord de Paris</w:t>
            </w:r>
            <w:r w:rsidR="00FB73D5" w:rsidRPr="00267A6E">
              <w:rPr>
                <w:lang w:val="fr-FR"/>
              </w:rPr>
              <w:t>)</w:t>
            </w:r>
            <w:r w:rsidRPr="00267A6E">
              <w:rPr>
                <w:lang w:val="fr-FR"/>
              </w:rPr>
              <w:t> ?</w:t>
            </w:r>
          </w:p>
        </w:tc>
      </w:tr>
      <w:tr w:rsidR="00C30EEB" w:rsidRPr="00267A6E" w14:paraId="5A07ECE2" w14:textId="77777777">
        <w:trPr>
          <w:jc w:val="center"/>
        </w:trPr>
        <w:tc>
          <w:tcPr>
            <w:tcW w:w="7653" w:type="dxa"/>
            <w:tcBorders>
              <w:left w:val="single" w:sz="4" w:space="0" w:color="auto"/>
              <w:bottom w:val="nil"/>
              <w:right w:val="single" w:sz="4" w:space="0" w:color="auto"/>
            </w:tcBorders>
            <w:shd w:val="clear" w:color="auto" w:fill="auto"/>
          </w:tcPr>
          <w:p w14:paraId="58E81203" w14:textId="087CE15D" w:rsidR="00C30EEB" w:rsidRPr="00267A6E" w:rsidRDefault="00C30EEB" w:rsidP="00C30EEB">
            <w:pPr>
              <w:tabs>
                <w:tab w:val="left" w:pos="388"/>
              </w:tabs>
              <w:spacing w:after="120"/>
              <w:ind w:left="388" w:hanging="388"/>
              <w:jc w:val="both"/>
              <w:rPr>
                <w:lang w:val="fr-FR"/>
              </w:rPr>
            </w:pPr>
            <w:r w:rsidRPr="00267A6E">
              <w:rPr>
                <w:lang w:val="fr-FR"/>
              </w:rPr>
              <w:t>4</w:t>
            </w:r>
            <w:r w:rsidR="00967A77" w:rsidRPr="00267A6E">
              <w:rPr>
                <w:lang w:val="fr-FR"/>
              </w:rPr>
              <w:t>.</w:t>
            </w:r>
            <w:r w:rsidRPr="00267A6E">
              <w:rPr>
                <w:lang w:val="fr-FR"/>
              </w:rPr>
              <w:tab/>
              <w:t>La Convention et le Protocole devraient-ils promouvoir les mesures de compensation en tant que mesures d</w:t>
            </w:r>
            <w:r w:rsidR="00D82B54" w:rsidRPr="00267A6E">
              <w:rPr>
                <w:lang w:val="fr-FR"/>
              </w:rPr>
              <w:t>’</w:t>
            </w:r>
            <w:r w:rsidRPr="00267A6E">
              <w:rPr>
                <w:lang w:val="fr-FR"/>
              </w:rPr>
              <w:t>atténuation admissibles ? Dans l</w:t>
            </w:r>
            <w:r w:rsidR="00D82B54" w:rsidRPr="00267A6E">
              <w:rPr>
                <w:lang w:val="fr-FR"/>
              </w:rPr>
              <w:t>’</w:t>
            </w:r>
            <w:r w:rsidRPr="00267A6E">
              <w:rPr>
                <w:lang w:val="fr-FR"/>
              </w:rPr>
              <w:t>affirmative, comment faudrait-il procéder</w:t>
            </w:r>
            <w:r w:rsidR="005526DE" w:rsidRPr="00267A6E">
              <w:rPr>
                <w:lang w:val="fr-FR"/>
              </w:rPr>
              <w:t> </w:t>
            </w:r>
            <w:r w:rsidRPr="00267A6E">
              <w:rPr>
                <w:lang w:val="fr-FR"/>
              </w:rPr>
              <w:t>?</w:t>
            </w:r>
          </w:p>
        </w:tc>
      </w:tr>
      <w:tr w:rsidR="00C30EEB" w:rsidRPr="00267A6E" w14:paraId="4CC029CF" w14:textId="77777777">
        <w:trPr>
          <w:jc w:val="center"/>
        </w:trPr>
        <w:tc>
          <w:tcPr>
            <w:tcW w:w="7653" w:type="dxa"/>
            <w:tcBorders>
              <w:left w:val="single" w:sz="4" w:space="0" w:color="auto"/>
              <w:bottom w:val="nil"/>
              <w:right w:val="single" w:sz="4" w:space="0" w:color="auto"/>
            </w:tcBorders>
            <w:shd w:val="clear" w:color="auto" w:fill="auto"/>
          </w:tcPr>
          <w:p w14:paraId="07D335B6" w14:textId="2375F822" w:rsidR="00C30EEB" w:rsidRPr="00267A6E" w:rsidRDefault="00C30EEB" w:rsidP="00C30EEB">
            <w:pPr>
              <w:tabs>
                <w:tab w:val="left" w:pos="388"/>
              </w:tabs>
              <w:spacing w:after="120"/>
              <w:ind w:left="388" w:hanging="388"/>
              <w:jc w:val="both"/>
              <w:rPr>
                <w:lang w:val="fr-FR"/>
              </w:rPr>
            </w:pPr>
            <w:r w:rsidRPr="00267A6E">
              <w:rPr>
                <w:lang w:val="fr-FR"/>
              </w:rPr>
              <w:t>5</w:t>
            </w:r>
            <w:r w:rsidR="00967A77" w:rsidRPr="00267A6E">
              <w:rPr>
                <w:lang w:val="fr-FR"/>
              </w:rPr>
              <w:t>.</w:t>
            </w:r>
            <w:r w:rsidRPr="00267A6E">
              <w:rPr>
                <w:lang w:val="fr-FR"/>
              </w:rPr>
              <w:tab/>
              <w:t>Comment encourager au mieux les Parties à appliquer la recommandation du Protocole concernant l</w:t>
            </w:r>
            <w:r w:rsidR="00D82B54" w:rsidRPr="00267A6E">
              <w:rPr>
                <w:lang w:val="fr-FR"/>
              </w:rPr>
              <w:t>’</w:t>
            </w:r>
            <w:r w:rsidRPr="00267A6E">
              <w:rPr>
                <w:lang w:val="fr-FR"/>
              </w:rPr>
              <w:t>évaluation stratégique environnementale des politiques générales afin d</w:t>
            </w:r>
            <w:r w:rsidR="00D82B54" w:rsidRPr="00267A6E">
              <w:rPr>
                <w:lang w:val="fr-FR"/>
              </w:rPr>
              <w:t>’</w:t>
            </w:r>
            <w:r w:rsidRPr="00267A6E">
              <w:rPr>
                <w:lang w:val="fr-FR"/>
              </w:rPr>
              <w:t>assurer la cohérence entre les plans sectoriels présentant un intérêt pour la transition énergétique ?</w:t>
            </w:r>
          </w:p>
        </w:tc>
      </w:tr>
      <w:tr w:rsidR="00C30EEB" w:rsidRPr="00267A6E" w14:paraId="0C36F328" w14:textId="77777777">
        <w:trPr>
          <w:jc w:val="center"/>
        </w:trPr>
        <w:tc>
          <w:tcPr>
            <w:tcW w:w="7653" w:type="dxa"/>
            <w:tcBorders>
              <w:left w:val="single" w:sz="4" w:space="0" w:color="auto"/>
              <w:bottom w:val="nil"/>
              <w:right w:val="single" w:sz="4" w:space="0" w:color="auto"/>
            </w:tcBorders>
            <w:shd w:val="clear" w:color="auto" w:fill="auto"/>
          </w:tcPr>
          <w:p w14:paraId="35D01EB6" w14:textId="10E3DAFF" w:rsidR="00C30EEB" w:rsidRPr="00267A6E" w:rsidRDefault="00C30EEB" w:rsidP="00C30EEB">
            <w:pPr>
              <w:tabs>
                <w:tab w:val="left" w:pos="388"/>
              </w:tabs>
              <w:spacing w:after="120"/>
              <w:ind w:left="388" w:hanging="388"/>
              <w:jc w:val="both"/>
              <w:rPr>
                <w:lang w:val="fr-FR"/>
              </w:rPr>
            </w:pPr>
            <w:r w:rsidRPr="00267A6E">
              <w:rPr>
                <w:lang w:val="fr-FR"/>
              </w:rPr>
              <w:t>6</w:t>
            </w:r>
            <w:r w:rsidR="00967A77" w:rsidRPr="00267A6E">
              <w:rPr>
                <w:lang w:val="fr-FR"/>
              </w:rPr>
              <w:t>.</w:t>
            </w:r>
            <w:r w:rsidRPr="00267A6E">
              <w:rPr>
                <w:lang w:val="fr-FR"/>
              </w:rPr>
              <w:tab/>
              <w:t>Quelles sont les meilleures pratiques en matière d</w:t>
            </w:r>
            <w:r w:rsidR="00D82B54" w:rsidRPr="00267A6E">
              <w:rPr>
                <w:lang w:val="fr-FR"/>
              </w:rPr>
              <w:t>’</w:t>
            </w:r>
            <w:r w:rsidRPr="00267A6E">
              <w:rPr>
                <w:lang w:val="fr-FR"/>
              </w:rPr>
              <w:t>utilisation de l</w:t>
            </w:r>
            <w:r w:rsidR="00D82B54" w:rsidRPr="00267A6E">
              <w:rPr>
                <w:lang w:val="fr-FR"/>
              </w:rPr>
              <w:t>’</w:t>
            </w:r>
            <w:r w:rsidRPr="00267A6E">
              <w:rPr>
                <w:lang w:val="fr-FR"/>
              </w:rPr>
              <w:t>évaluation stratégique environnementale et de l</w:t>
            </w:r>
            <w:r w:rsidR="00D82B54" w:rsidRPr="00267A6E">
              <w:rPr>
                <w:lang w:val="fr-FR"/>
              </w:rPr>
              <w:t>’</w:t>
            </w:r>
            <w:r w:rsidRPr="00267A6E">
              <w:rPr>
                <w:lang w:val="fr-FR"/>
              </w:rPr>
              <w:t>évaluation de l</w:t>
            </w:r>
            <w:r w:rsidR="00D82B54" w:rsidRPr="00267A6E">
              <w:rPr>
                <w:lang w:val="fr-FR"/>
              </w:rPr>
              <w:t>’</w:t>
            </w:r>
            <w:r w:rsidRPr="00267A6E">
              <w:rPr>
                <w:lang w:val="fr-FR"/>
              </w:rPr>
              <w:t>impact transfrontière sur l</w:t>
            </w:r>
            <w:r w:rsidR="00D82B54" w:rsidRPr="00267A6E">
              <w:rPr>
                <w:lang w:val="fr-FR"/>
              </w:rPr>
              <w:t>’</w:t>
            </w:r>
            <w:r w:rsidRPr="00267A6E">
              <w:rPr>
                <w:lang w:val="fr-FR"/>
              </w:rPr>
              <w:t>environnement aux fins de la promotion de la transition énergétique ?</w:t>
            </w:r>
          </w:p>
        </w:tc>
      </w:tr>
      <w:tr w:rsidR="00C30EEB" w:rsidRPr="00267A6E" w14:paraId="27E9A8A3" w14:textId="77777777">
        <w:trPr>
          <w:trHeight w:hRule="exact" w:val="23"/>
          <w:jc w:val="center"/>
        </w:trPr>
        <w:tc>
          <w:tcPr>
            <w:tcW w:w="7653" w:type="dxa"/>
            <w:tcBorders>
              <w:left w:val="single" w:sz="4" w:space="0" w:color="auto"/>
              <w:bottom w:val="single" w:sz="4" w:space="0" w:color="auto"/>
              <w:right w:val="single" w:sz="4" w:space="0" w:color="auto"/>
            </w:tcBorders>
            <w:shd w:val="clear" w:color="auto" w:fill="auto"/>
          </w:tcPr>
          <w:p w14:paraId="65C3E9B5" w14:textId="77777777" w:rsidR="00C30EEB" w:rsidRPr="00267A6E" w:rsidRDefault="00C30EEB">
            <w:pPr>
              <w:rPr>
                <w:lang w:val="fr-FR"/>
              </w:rPr>
            </w:pPr>
          </w:p>
        </w:tc>
      </w:tr>
    </w:tbl>
    <w:p w14:paraId="57133A2E" w14:textId="2B77DDF8" w:rsidR="003373A7" w:rsidRPr="00267A6E" w:rsidRDefault="003373A7" w:rsidP="00C30EEB">
      <w:pPr>
        <w:pStyle w:val="H1G"/>
        <w:rPr>
          <w:lang w:val="fr-FR"/>
        </w:rPr>
      </w:pPr>
      <w:r w:rsidRPr="00267A6E">
        <w:rPr>
          <w:lang w:val="fr-FR"/>
        </w:rPr>
        <w:tab/>
        <w:t>E</w:t>
      </w:r>
      <w:r w:rsidR="00967A77" w:rsidRPr="00267A6E">
        <w:rPr>
          <w:lang w:val="fr-FR"/>
        </w:rPr>
        <w:t>.</w:t>
      </w:r>
      <w:r w:rsidRPr="00267A6E">
        <w:rPr>
          <w:lang w:val="fr-FR"/>
        </w:rPr>
        <w:tab/>
        <w:t xml:space="preserve">Analyse des points forts, des aspirations, des possibilités offertes </w:t>
      </w:r>
      <w:r w:rsidR="00C30EEB" w:rsidRPr="00267A6E">
        <w:rPr>
          <w:lang w:val="fr-FR"/>
        </w:rPr>
        <w:br/>
      </w:r>
      <w:r w:rsidRPr="00267A6E">
        <w:rPr>
          <w:lang w:val="fr-FR"/>
        </w:rPr>
        <w:t xml:space="preserve">et des solutions envisageables dans le cadre de la Convention </w:t>
      </w:r>
      <w:r w:rsidR="00C30EEB" w:rsidRPr="00267A6E">
        <w:rPr>
          <w:lang w:val="fr-FR"/>
        </w:rPr>
        <w:br/>
      </w:r>
      <w:r w:rsidRPr="00267A6E">
        <w:rPr>
          <w:lang w:val="fr-FR"/>
        </w:rPr>
        <w:t>et du Protocole s</w:t>
      </w:r>
      <w:r w:rsidR="00D82B54" w:rsidRPr="00267A6E">
        <w:rPr>
          <w:lang w:val="fr-FR"/>
        </w:rPr>
        <w:t>’</w:t>
      </w:r>
      <w:r w:rsidRPr="00267A6E">
        <w:rPr>
          <w:lang w:val="fr-FR"/>
        </w:rPr>
        <w:t>agissant de la transition énergétique</w:t>
      </w:r>
    </w:p>
    <w:tbl>
      <w:tblPr>
        <w:tblW w:w="9637" w:type="dxa"/>
        <w:tblLayout w:type="fixed"/>
        <w:tblCellMar>
          <w:left w:w="0" w:type="dxa"/>
          <w:right w:w="0" w:type="dxa"/>
        </w:tblCellMar>
        <w:tblLook w:val="04A0" w:firstRow="1" w:lastRow="0" w:firstColumn="1" w:lastColumn="0" w:noHBand="0" w:noVBand="1"/>
      </w:tblPr>
      <w:tblGrid>
        <w:gridCol w:w="2474"/>
        <w:gridCol w:w="2471"/>
        <w:gridCol w:w="2346"/>
        <w:gridCol w:w="2346"/>
      </w:tblGrid>
      <w:tr w:rsidR="00C1546C" w:rsidRPr="00267A6E" w14:paraId="1E256A77" w14:textId="77777777" w:rsidTr="005D7C43">
        <w:trPr>
          <w:tblHeader/>
        </w:trPr>
        <w:tc>
          <w:tcPr>
            <w:tcW w:w="2474" w:type="dxa"/>
            <w:tcBorders>
              <w:top w:val="single" w:sz="4" w:space="0" w:color="auto"/>
              <w:bottom w:val="single" w:sz="12" w:space="0" w:color="auto"/>
            </w:tcBorders>
            <w:shd w:val="clear" w:color="auto" w:fill="auto"/>
            <w:tcMar>
              <w:left w:w="108" w:type="dxa"/>
              <w:right w:w="108" w:type="dxa"/>
            </w:tcMar>
            <w:vAlign w:val="bottom"/>
          </w:tcPr>
          <w:p w14:paraId="17ABE7A1" w14:textId="77777777" w:rsidR="003373A7" w:rsidRPr="00267A6E" w:rsidRDefault="003373A7" w:rsidP="00C1546C">
            <w:pPr>
              <w:spacing w:before="80" w:after="80" w:line="200" w:lineRule="exact"/>
              <w:ind w:right="113"/>
              <w:rPr>
                <w:i/>
                <w:sz w:val="16"/>
                <w:lang w:val="fr-FR"/>
              </w:rPr>
            </w:pPr>
            <w:r w:rsidRPr="00267A6E">
              <w:rPr>
                <w:i/>
                <w:sz w:val="16"/>
                <w:lang w:val="fr-FR"/>
              </w:rPr>
              <w:t>Points forts</w:t>
            </w:r>
          </w:p>
        </w:tc>
        <w:tc>
          <w:tcPr>
            <w:tcW w:w="2471" w:type="dxa"/>
            <w:tcBorders>
              <w:top w:val="single" w:sz="4" w:space="0" w:color="auto"/>
              <w:bottom w:val="single" w:sz="12" w:space="0" w:color="auto"/>
            </w:tcBorders>
            <w:shd w:val="clear" w:color="auto" w:fill="auto"/>
            <w:tcMar>
              <w:left w:w="108" w:type="dxa"/>
              <w:right w:w="108" w:type="dxa"/>
            </w:tcMar>
            <w:vAlign w:val="bottom"/>
          </w:tcPr>
          <w:p w14:paraId="38E1DB10" w14:textId="77777777" w:rsidR="003373A7" w:rsidRPr="00267A6E" w:rsidRDefault="003373A7" w:rsidP="00C1546C">
            <w:pPr>
              <w:spacing w:before="80" w:after="80" w:line="200" w:lineRule="exact"/>
              <w:ind w:right="113"/>
              <w:rPr>
                <w:i/>
                <w:sz w:val="16"/>
                <w:lang w:val="fr-FR"/>
              </w:rPr>
            </w:pPr>
            <w:r w:rsidRPr="00267A6E">
              <w:rPr>
                <w:i/>
                <w:sz w:val="16"/>
                <w:lang w:val="fr-FR"/>
              </w:rPr>
              <w:t>Aspirations</w:t>
            </w:r>
          </w:p>
        </w:tc>
        <w:tc>
          <w:tcPr>
            <w:tcW w:w="2346" w:type="dxa"/>
            <w:tcBorders>
              <w:top w:val="single" w:sz="4" w:space="0" w:color="auto"/>
              <w:bottom w:val="single" w:sz="12" w:space="0" w:color="auto"/>
            </w:tcBorders>
            <w:shd w:val="clear" w:color="auto" w:fill="auto"/>
            <w:vAlign w:val="bottom"/>
          </w:tcPr>
          <w:p w14:paraId="4B9DCAE8" w14:textId="77777777" w:rsidR="003373A7" w:rsidRPr="00267A6E" w:rsidRDefault="003373A7" w:rsidP="00C1546C">
            <w:pPr>
              <w:spacing w:before="80" w:after="80" w:line="200" w:lineRule="exact"/>
              <w:ind w:right="113"/>
              <w:rPr>
                <w:i/>
                <w:sz w:val="16"/>
                <w:lang w:val="fr-FR"/>
              </w:rPr>
            </w:pPr>
            <w:r w:rsidRPr="00267A6E">
              <w:rPr>
                <w:i/>
                <w:sz w:val="16"/>
                <w:lang w:val="fr-FR"/>
              </w:rPr>
              <w:t>Possibilités offertes</w:t>
            </w:r>
          </w:p>
        </w:tc>
        <w:tc>
          <w:tcPr>
            <w:tcW w:w="2346" w:type="dxa"/>
            <w:tcBorders>
              <w:top w:val="single" w:sz="4" w:space="0" w:color="auto"/>
              <w:bottom w:val="single" w:sz="12" w:space="0" w:color="auto"/>
            </w:tcBorders>
            <w:shd w:val="clear" w:color="auto" w:fill="auto"/>
            <w:vAlign w:val="bottom"/>
          </w:tcPr>
          <w:p w14:paraId="7F7DF4CD" w14:textId="77777777" w:rsidR="003373A7" w:rsidRPr="00267A6E" w:rsidRDefault="003373A7" w:rsidP="00C1546C">
            <w:pPr>
              <w:spacing w:before="80" w:after="80" w:line="200" w:lineRule="exact"/>
              <w:ind w:right="113"/>
              <w:rPr>
                <w:i/>
                <w:sz w:val="16"/>
                <w:lang w:val="fr-FR"/>
              </w:rPr>
            </w:pPr>
            <w:r w:rsidRPr="00267A6E">
              <w:rPr>
                <w:i/>
                <w:sz w:val="16"/>
                <w:lang w:val="fr-FR"/>
              </w:rPr>
              <w:t>Solutions envisageables</w:t>
            </w:r>
          </w:p>
        </w:tc>
      </w:tr>
      <w:tr w:rsidR="00C1546C" w:rsidRPr="00267A6E" w14:paraId="5CBDE88D" w14:textId="77777777" w:rsidTr="005D7C43">
        <w:trPr>
          <w:trHeight w:hRule="exact" w:val="113"/>
          <w:tblHeader/>
        </w:trPr>
        <w:tc>
          <w:tcPr>
            <w:tcW w:w="2474" w:type="dxa"/>
            <w:tcBorders>
              <w:top w:val="single" w:sz="12" w:space="0" w:color="auto"/>
            </w:tcBorders>
            <w:shd w:val="clear" w:color="auto" w:fill="auto"/>
            <w:tcMar>
              <w:left w:w="108" w:type="dxa"/>
              <w:right w:w="108" w:type="dxa"/>
            </w:tcMar>
          </w:tcPr>
          <w:p w14:paraId="2F16A9BA" w14:textId="77777777" w:rsidR="00C1546C" w:rsidRPr="00267A6E" w:rsidRDefault="00C1546C" w:rsidP="00C1546C">
            <w:pPr>
              <w:spacing w:before="40" w:after="120"/>
              <w:ind w:right="113"/>
              <w:rPr>
                <w:lang w:val="fr-FR"/>
              </w:rPr>
            </w:pPr>
          </w:p>
        </w:tc>
        <w:tc>
          <w:tcPr>
            <w:tcW w:w="2471" w:type="dxa"/>
            <w:tcBorders>
              <w:top w:val="single" w:sz="12" w:space="0" w:color="auto"/>
            </w:tcBorders>
            <w:shd w:val="clear" w:color="auto" w:fill="auto"/>
            <w:tcMar>
              <w:left w:w="108" w:type="dxa"/>
              <w:right w:w="108" w:type="dxa"/>
            </w:tcMar>
          </w:tcPr>
          <w:p w14:paraId="137A0B88" w14:textId="77777777" w:rsidR="00C1546C" w:rsidRPr="00267A6E" w:rsidRDefault="00C1546C" w:rsidP="00C1546C">
            <w:pPr>
              <w:spacing w:before="40" w:after="120"/>
              <w:ind w:right="113"/>
              <w:rPr>
                <w:lang w:val="fr-FR"/>
              </w:rPr>
            </w:pPr>
          </w:p>
        </w:tc>
        <w:tc>
          <w:tcPr>
            <w:tcW w:w="2346" w:type="dxa"/>
            <w:tcBorders>
              <w:top w:val="single" w:sz="12" w:space="0" w:color="auto"/>
            </w:tcBorders>
            <w:shd w:val="clear" w:color="auto" w:fill="auto"/>
          </w:tcPr>
          <w:p w14:paraId="4C191468" w14:textId="77777777" w:rsidR="00C1546C" w:rsidRPr="00267A6E" w:rsidRDefault="00C1546C" w:rsidP="00C1546C">
            <w:pPr>
              <w:spacing w:before="40" w:after="120"/>
              <w:ind w:right="113"/>
              <w:rPr>
                <w:lang w:val="fr-FR"/>
              </w:rPr>
            </w:pPr>
          </w:p>
        </w:tc>
        <w:tc>
          <w:tcPr>
            <w:tcW w:w="2346" w:type="dxa"/>
            <w:tcBorders>
              <w:top w:val="single" w:sz="12" w:space="0" w:color="auto"/>
            </w:tcBorders>
            <w:shd w:val="clear" w:color="auto" w:fill="auto"/>
          </w:tcPr>
          <w:p w14:paraId="7930B5DD" w14:textId="77777777" w:rsidR="00C1546C" w:rsidRPr="00267A6E" w:rsidRDefault="00C1546C" w:rsidP="00C1546C">
            <w:pPr>
              <w:spacing w:before="40" w:after="120"/>
              <w:ind w:right="113"/>
              <w:rPr>
                <w:lang w:val="fr-FR"/>
              </w:rPr>
            </w:pPr>
          </w:p>
        </w:tc>
      </w:tr>
      <w:tr w:rsidR="00F473A8" w:rsidRPr="00267A6E" w14:paraId="16ABC025" w14:textId="77777777" w:rsidTr="00F473A8">
        <w:trPr>
          <w:trHeight w:val="2894"/>
        </w:trPr>
        <w:tc>
          <w:tcPr>
            <w:tcW w:w="2474" w:type="dxa"/>
            <w:shd w:val="clear" w:color="auto" w:fill="auto"/>
            <w:tcMar>
              <w:left w:w="108" w:type="dxa"/>
              <w:right w:w="108" w:type="dxa"/>
            </w:tcMar>
          </w:tcPr>
          <w:p w14:paraId="62B5DCF2" w14:textId="574495B4" w:rsidR="00F473A8" w:rsidRPr="00267A6E" w:rsidRDefault="00F473A8" w:rsidP="00F473A8">
            <w:pPr>
              <w:pStyle w:val="Bullet1G"/>
              <w:ind w:left="170" w:right="0"/>
              <w:jc w:val="left"/>
              <w:rPr>
                <w:lang w:val="fr-FR"/>
              </w:rPr>
            </w:pPr>
            <w:r w:rsidRPr="00267A6E">
              <w:rPr>
                <w:lang w:val="fr-FR"/>
              </w:rPr>
              <w:t>Cadres opérationnels couvrant les plans, programmes et projets axés sur la transition énergétique : d’après les données disponibles, la Convention joue un rôle concret dans l’organisation de consultations transfrontières concernant les projets dans le domaine des énergies renouvelables (c’est un point fort de la Convention et du Protocole)</w:t>
            </w:r>
          </w:p>
        </w:tc>
        <w:tc>
          <w:tcPr>
            <w:tcW w:w="2471" w:type="dxa"/>
            <w:vMerge w:val="restart"/>
            <w:shd w:val="clear" w:color="auto" w:fill="auto"/>
            <w:tcMar>
              <w:left w:w="108" w:type="dxa"/>
              <w:right w:w="108" w:type="dxa"/>
            </w:tcMar>
          </w:tcPr>
          <w:p w14:paraId="75EA2A6B" w14:textId="31458F28" w:rsidR="00F473A8" w:rsidRPr="00267A6E" w:rsidRDefault="00F473A8" w:rsidP="00C1546C">
            <w:pPr>
              <w:pStyle w:val="Bullet1G"/>
              <w:ind w:left="170" w:right="0"/>
              <w:jc w:val="left"/>
              <w:rPr>
                <w:lang w:val="fr-FR"/>
              </w:rPr>
            </w:pPr>
            <w:r w:rsidRPr="00267A6E">
              <w:rPr>
                <w:lang w:val="fr-FR"/>
              </w:rPr>
              <w:t>Une meilleure prise en compte des changements climatiques faciliterait la prise de décisions : on</w:t>
            </w:r>
            <w:r w:rsidR="00D47D8C" w:rsidRPr="00267A6E">
              <w:rPr>
                <w:lang w:val="fr-FR"/>
              </w:rPr>
              <w:t> </w:t>
            </w:r>
            <w:r w:rsidRPr="00267A6E">
              <w:rPr>
                <w:lang w:val="fr-FR"/>
              </w:rPr>
              <w:t>pourrait par exemple envisager d’introduire une obligation de promouvoir la résilience face aux changements climatiques (notamment en ce qui concerne l’adaptation et la vulnérabilité aux changements climatiques) (c’est un objectif visé par la Convention et le Protocole)</w:t>
            </w:r>
          </w:p>
          <w:p w14:paraId="336A4A66" w14:textId="5C036456" w:rsidR="00F473A8" w:rsidRPr="00267A6E" w:rsidRDefault="00F473A8" w:rsidP="00C1546C">
            <w:pPr>
              <w:pStyle w:val="Bullet1G"/>
              <w:ind w:left="170" w:right="0"/>
              <w:jc w:val="left"/>
              <w:rPr>
                <w:lang w:val="fr-FR"/>
              </w:rPr>
            </w:pPr>
            <w:r w:rsidRPr="00267A6E">
              <w:rPr>
                <w:lang w:val="fr-FR"/>
              </w:rPr>
              <w:t>Attentes accrues concernant la quantification des émissions de carbone transfrontières directes et indirectes (en particulier les émissions relevant du champ d’application 3) (c’est un objectif visé par la Convention et le Protocole)</w:t>
            </w:r>
          </w:p>
        </w:tc>
        <w:tc>
          <w:tcPr>
            <w:tcW w:w="2346" w:type="dxa"/>
            <w:vMerge w:val="restart"/>
            <w:shd w:val="clear" w:color="auto" w:fill="auto"/>
          </w:tcPr>
          <w:p w14:paraId="0FB50AE4" w14:textId="5A9459F7" w:rsidR="00F473A8" w:rsidRPr="00267A6E" w:rsidRDefault="00F473A8" w:rsidP="00C1546C">
            <w:pPr>
              <w:pStyle w:val="Bullet1G"/>
              <w:ind w:left="170" w:right="0"/>
              <w:jc w:val="left"/>
              <w:rPr>
                <w:lang w:val="fr-FR"/>
              </w:rPr>
            </w:pPr>
            <w:r w:rsidRPr="00267A6E">
              <w:rPr>
                <w:lang w:val="fr-FR"/>
              </w:rPr>
              <w:t>Les accords d’application bilatéraux et multilatéraux contribuent à une mise en œuvre efficace des meilleures pratiques (c’est une possibilité offerte par la Convention et le Protocole)</w:t>
            </w:r>
          </w:p>
          <w:p w14:paraId="2F6F8C85" w14:textId="7795B44B" w:rsidR="00F473A8" w:rsidRPr="00267A6E" w:rsidRDefault="00F473A8" w:rsidP="00C1546C">
            <w:pPr>
              <w:pStyle w:val="Bullet1G"/>
              <w:ind w:left="170" w:right="0"/>
              <w:jc w:val="left"/>
              <w:rPr>
                <w:lang w:val="fr-FR"/>
              </w:rPr>
            </w:pPr>
            <w:r w:rsidRPr="00267A6E">
              <w:rPr>
                <w:lang w:val="fr-FR"/>
              </w:rPr>
              <w:t>L’intégration de mesures de neutralisation et de compensation, parallèlement aux mesures d’atténuation (par exemple, dans les annexes</w:t>
            </w:r>
            <w:r w:rsidR="00D47D8C" w:rsidRPr="00267A6E">
              <w:rPr>
                <w:lang w:val="fr-FR"/>
              </w:rPr>
              <w:t> </w:t>
            </w:r>
            <w:r w:rsidRPr="00267A6E">
              <w:rPr>
                <w:lang w:val="fr-FR"/>
              </w:rPr>
              <w:t>II et IV de la Convention)</w:t>
            </w:r>
          </w:p>
          <w:p w14:paraId="656E8CED" w14:textId="68AE2E27" w:rsidR="00F473A8" w:rsidRPr="00267A6E" w:rsidRDefault="00F473A8" w:rsidP="00C1546C">
            <w:pPr>
              <w:pStyle w:val="Bullet1G"/>
              <w:ind w:left="170" w:right="0"/>
              <w:jc w:val="left"/>
              <w:rPr>
                <w:lang w:val="fr-FR"/>
              </w:rPr>
            </w:pPr>
            <w:r w:rsidRPr="00267A6E">
              <w:rPr>
                <w:lang w:val="fr-FR"/>
              </w:rPr>
              <w:t>Des évaluations plus rapides et davantage axées sur la transition aux fins de la facilitation de la planification et de la prise de décisions en temps utile (c’est une possibilité offerte par le Protocole)</w:t>
            </w:r>
          </w:p>
          <w:p w14:paraId="5D214C4B" w14:textId="45329D7A" w:rsidR="00F473A8" w:rsidRPr="00267A6E" w:rsidRDefault="00F473A8" w:rsidP="00C1546C">
            <w:pPr>
              <w:pStyle w:val="Bullet1G"/>
              <w:ind w:left="170" w:right="0"/>
              <w:jc w:val="left"/>
              <w:rPr>
                <w:lang w:val="fr-FR"/>
              </w:rPr>
            </w:pPr>
            <w:r w:rsidRPr="00267A6E">
              <w:rPr>
                <w:lang w:val="fr-FR"/>
              </w:rPr>
              <w:t>Une référence directe aux cibles et indicateurs de l’objectif de développement durable n</w:t>
            </w:r>
            <w:r w:rsidRPr="00267A6E">
              <w:rPr>
                <w:vertAlign w:val="superscript"/>
                <w:lang w:val="fr-FR"/>
              </w:rPr>
              <w:t>o</w:t>
            </w:r>
            <w:r w:rsidRPr="00267A6E">
              <w:rPr>
                <w:lang w:val="fr-FR"/>
              </w:rPr>
              <w:t xml:space="preserve"> 7 dans l’évaluation de l’impact sur l’environnement dans le cadre de l’application </w:t>
            </w:r>
            <w:r w:rsidR="00D47D8C" w:rsidRPr="00267A6E">
              <w:rPr>
                <w:lang w:val="fr-FR"/>
              </w:rPr>
              <w:br/>
            </w:r>
            <w:r w:rsidRPr="00267A6E">
              <w:rPr>
                <w:lang w:val="fr-FR"/>
              </w:rPr>
              <w:t>de la Convention et du Protocole pourrait renforcer la pratique (c’est une possibilité offerte par la Convention et le Protocole)</w:t>
            </w:r>
          </w:p>
        </w:tc>
        <w:tc>
          <w:tcPr>
            <w:tcW w:w="2346" w:type="dxa"/>
            <w:vMerge w:val="restart"/>
            <w:shd w:val="clear" w:color="auto" w:fill="auto"/>
          </w:tcPr>
          <w:p w14:paraId="6178BE2C" w14:textId="06268586" w:rsidR="00F473A8" w:rsidRPr="00267A6E" w:rsidRDefault="00F473A8" w:rsidP="00C1546C">
            <w:pPr>
              <w:pStyle w:val="Bullet1G"/>
              <w:ind w:left="170" w:right="0"/>
              <w:jc w:val="left"/>
              <w:rPr>
                <w:lang w:val="fr-FR"/>
              </w:rPr>
            </w:pPr>
            <w:r w:rsidRPr="00267A6E">
              <w:rPr>
                <w:lang w:val="fr-FR"/>
              </w:rPr>
              <w:t>Définir la meilleure façon d’accroître le nombre de facteurs pris en compte dans le cadre de la Convention et du Protocole, en tenant compte des probables résistances politiques (c’est une solution envisageable dans le cadre de la Convention et du Protocole)</w:t>
            </w:r>
          </w:p>
          <w:p w14:paraId="70249185" w14:textId="5137FAEE" w:rsidR="00F473A8" w:rsidRPr="00267A6E" w:rsidRDefault="00F473A8" w:rsidP="00C1546C">
            <w:pPr>
              <w:pStyle w:val="Bullet1G"/>
              <w:ind w:left="170" w:right="0"/>
              <w:jc w:val="left"/>
              <w:rPr>
                <w:lang w:val="fr-FR"/>
              </w:rPr>
            </w:pPr>
            <w:r w:rsidRPr="00267A6E">
              <w:rPr>
                <w:lang w:val="fr-FR"/>
              </w:rPr>
              <w:t>Mener des recherches visant à surmonter les difficultés méthodologiques liées à la quantification des émissions indirectes (c’est une solution envisageable dans le cadre de la Convention et du Protocole)</w:t>
            </w:r>
          </w:p>
          <w:p w14:paraId="45EF9EF7" w14:textId="4E095751" w:rsidR="00F473A8" w:rsidRPr="00267A6E" w:rsidRDefault="00F473A8" w:rsidP="00C1546C">
            <w:pPr>
              <w:pStyle w:val="Bullet1G"/>
              <w:ind w:left="170" w:right="0"/>
              <w:jc w:val="left"/>
              <w:rPr>
                <w:lang w:val="fr-FR"/>
              </w:rPr>
            </w:pPr>
            <w:r w:rsidRPr="00267A6E">
              <w:rPr>
                <w:lang w:val="fr-FR"/>
              </w:rPr>
              <w:t>Promouvoir le renforcement des capacités afin que les possibilités et les aspirations puissent être concrétisées (c’est une solution envisageable dans le cadre de la Convention et du Protocole, sous réserve de la disponibilité des ressources nécessaires)</w:t>
            </w:r>
          </w:p>
          <w:p w14:paraId="14B2491E" w14:textId="068D1A9C" w:rsidR="00F473A8" w:rsidRPr="00267A6E" w:rsidRDefault="00F473A8" w:rsidP="00C1546C">
            <w:pPr>
              <w:pStyle w:val="Bullet1G"/>
              <w:ind w:left="170" w:right="0"/>
              <w:jc w:val="left"/>
              <w:rPr>
                <w:lang w:val="fr-FR"/>
              </w:rPr>
            </w:pPr>
            <w:r w:rsidRPr="00267A6E">
              <w:rPr>
                <w:lang w:val="fr-FR"/>
              </w:rPr>
              <w:t>Utiliser en priorité la Convention et le Protocole pour éviter et gérer les chevauchements dans les prescriptions relatives au financement vert, à l’économie circulaire et à l’application du Protocole de Kyoto à la CCNUCC</w:t>
            </w:r>
          </w:p>
        </w:tc>
      </w:tr>
      <w:tr w:rsidR="00F473A8" w:rsidRPr="00267A6E" w14:paraId="61621CED" w14:textId="77777777" w:rsidTr="005D7C43">
        <w:trPr>
          <w:trHeight w:val="2893"/>
        </w:trPr>
        <w:tc>
          <w:tcPr>
            <w:tcW w:w="2474" w:type="dxa"/>
            <w:tcBorders>
              <w:bottom w:val="single" w:sz="12" w:space="0" w:color="auto"/>
            </w:tcBorders>
            <w:shd w:val="clear" w:color="auto" w:fill="auto"/>
            <w:tcMar>
              <w:left w:w="108" w:type="dxa"/>
              <w:right w:w="108" w:type="dxa"/>
            </w:tcMar>
          </w:tcPr>
          <w:p w14:paraId="25A993AD" w14:textId="77777777" w:rsidR="00F473A8" w:rsidRPr="00267A6E" w:rsidRDefault="00F473A8" w:rsidP="00F473A8">
            <w:pPr>
              <w:pStyle w:val="Bullet1G"/>
              <w:ind w:left="170" w:right="0"/>
              <w:jc w:val="left"/>
              <w:rPr>
                <w:lang w:val="fr-FR"/>
              </w:rPr>
            </w:pPr>
            <w:r w:rsidRPr="00267A6E">
              <w:rPr>
                <w:lang w:val="fr-FR"/>
              </w:rPr>
              <w:t>Il existe des dispositions détaillées en matière de consultation et de participation du public, ainsi que des documents d’orientation en la matière (c’est un point fort de la Convention et du Protocole)</w:t>
            </w:r>
          </w:p>
          <w:p w14:paraId="319FE8DF" w14:textId="7593225F" w:rsidR="00F473A8" w:rsidRPr="00267A6E" w:rsidRDefault="00F473A8" w:rsidP="00F473A8">
            <w:pPr>
              <w:pStyle w:val="Bullet1G"/>
              <w:ind w:left="170" w:right="0"/>
              <w:jc w:val="left"/>
              <w:rPr>
                <w:lang w:val="fr-FR"/>
              </w:rPr>
            </w:pPr>
            <w:r w:rsidRPr="00267A6E">
              <w:rPr>
                <w:lang w:val="fr-FR"/>
              </w:rPr>
              <w:t>Accent mis sur la santé (en particulier dans le Protocole)</w:t>
            </w:r>
          </w:p>
        </w:tc>
        <w:tc>
          <w:tcPr>
            <w:tcW w:w="2471" w:type="dxa"/>
            <w:vMerge/>
            <w:tcBorders>
              <w:bottom w:val="single" w:sz="12" w:space="0" w:color="auto"/>
            </w:tcBorders>
            <w:shd w:val="clear" w:color="auto" w:fill="auto"/>
            <w:tcMar>
              <w:left w:w="108" w:type="dxa"/>
              <w:right w:w="108" w:type="dxa"/>
            </w:tcMar>
          </w:tcPr>
          <w:p w14:paraId="5EB5874E" w14:textId="77777777" w:rsidR="00F473A8" w:rsidRPr="00267A6E" w:rsidRDefault="00F473A8" w:rsidP="00C1546C">
            <w:pPr>
              <w:pStyle w:val="Bullet1G"/>
              <w:ind w:left="170" w:right="0"/>
              <w:jc w:val="left"/>
              <w:rPr>
                <w:lang w:val="fr-FR"/>
              </w:rPr>
            </w:pPr>
          </w:p>
        </w:tc>
        <w:tc>
          <w:tcPr>
            <w:tcW w:w="2346" w:type="dxa"/>
            <w:vMerge/>
            <w:tcBorders>
              <w:bottom w:val="single" w:sz="12" w:space="0" w:color="auto"/>
            </w:tcBorders>
            <w:shd w:val="clear" w:color="auto" w:fill="auto"/>
          </w:tcPr>
          <w:p w14:paraId="7514A26F" w14:textId="77777777" w:rsidR="00F473A8" w:rsidRPr="00267A6E" w:rsidRDefault="00F473A8" w:rsidP="00C1546C">
            <w:pPr>
              <w:pStyle w:val="Bullet1G"/>
              <w:ind w:left="170" w:right="0"/>
              <w:jc w:val="left"/>
              <w:rPr>
                <w:lang w:val="fr-FR"/>
              </w:rPr>
            </w:pPr>
          </w:p>
        </w:tc>
        <w:tc>
          <w:tcPr>
            <w:tcW w:w="2346" w:type="dxa"/>
            <w:vMerge/>
            <w:tcBorders>
              <w:bottom w:val="single" w:sz="12" w:space="0" w:color="auto"/>
            </w:tcBorders>
            <w:shd w:val="clear" w:color="auto" w:fill="auto"/>
          </w:tcPr>
          <w:p w14:paraId="33A87A21" w14:textId="77777777" w:rsidR="00F473A8" w:rsidRPr="00267A6E" w:rsidRDefault="00F473A8" w:rsidP="00C1546C">
            <w:pPr>
              <w:pStyle w:val="Bullet1G"/>
              <w:ind w:left="170" w:right="0"/>
              <w:jc w:val="left"/>
              <w:rPr>
                <w:lang w:val="fr-FR"/>
              </w:rPr>
            </w:pPr>
          </w:p>
        </w:tc>
      </w:tr>
    </w:tbl>
    <w:p w14:paraId="55F7006A" w14:textId="67D1A400" w:rsidR="003373A7" w:rsidRPr="00267A6E" w:rsidRDefault="003373A7" w:rsidP="000E1978">
      <w:pPr>
        <w:pStyle w:val="HChG"/>
        <w:spacing w:before="340" w:after="220"/>
        <w:rPr>
          <w:lang w:val="fr-FR"/>
        </w:rPr>
      </w:pPr>
      <w:r w:rsidRPr="00267A6E">
        <w:rPr>
          <w:lang w:val="fr-FR"/>
        </w:rPr>
        <w:tab/>
        <w:t>III</w:t>
      </w:r>
      <w:r w:rsidR="00967A77" w:rsidRPr="00267A6E">
        <w:rPr>
          <w:lang w:val="fr-FR"/>
        </w:rPr>
        <w:t>.</w:t>
      </w:r>
      <w:r w:rsidRPr="00267A6E">
        <w:rPr>
          <w:lang w:val="fr-FR"/>
        </w:rPr>
        <w:tab/>
        <w:t>Économie circulaire</w:t>
      </w:r>
    </w:p>
    <w:p w14:paraId="212E9798" w14:textId="7D8A9976" w:rsidR="00C25C7D" w:rsidRPr="00267A6E" w:rsidRDefault="003373A7" w:rsidP="000E1978">
      <w:pPr>
        <w:pStyle w:val="H1G"/>
        <w:spacing w:before="340" w:after="220"/>
        <w:rPr>
          <w:lang w:val="fr-FR"/>
        </w:rPr>
      </w:pPr>
      <w:r w:rsidRPr="00267A6E">
        <w:rPr>
          <w:lang w:val="fr-FR"/>
        </w:rPr>
        <w:tab/>
        <w:t>A</w:t>
      </w:r>
      <w:r w:rsidR="00967A77" w:rsidRPr="00267A6E">
        <w:rPr>
          <w:lang w:val="fr-FR"/>
        </w:rPr>
        <w:t>.</w:t>
      </w:r>
      <w:r w:rsidRPr="00267A6E">
        <w:rPr>
          <w:lang w:val="fr-FR"/>
        </w:rPr>
        <w:tab/>
        <w:t>Présentation du concept</w:t>
      </w:r>
    </w:p>
    <w:p w14:paraId="5BD0EA50" w14:textId="6E1193EA" w:rsidR="00C25C7D" w:rsidRPr="00267A6E" w:rsidRDefault="003373A7" w:rsidP="000E1978">
      <w:pPr>
        <w:pStyle w:val="SingleTxtG"/>
        <w:spacing w:after="100"/>
        <w:rPr>
          <w:lang w:val="fr-FR"/>
        </w:rPr>
      </w:pPr>
      <w:r w:rsidRPr="00267A6E">
        <w:rPr>
          <w:lang w:val="fr-FR"/>
        </w:rPr>
        <w:t>30</w:t>
      </w:r>
      <w:r w:rsidR="00967A77" w:rsidRPr="00267A6E">
        <w:rPr>
          <w:lang w:val="fr-FR"/>
        </w:rPr>
        <w:t>.</w:t>
      </w:r>
      <w:r w:rsidRPr="00267A6E">
        <w:rPr>
          <w:lang w:val="fr-FR"/>
        </w:rPr>
        <w:tab/>
        <w:t>Le concept d</w:t>
      </w:r>
      <w:r w:rsidR="00D82B54" w:rsidRPr="00267A6E">
        <w:rPr>
          <w:lang w:val="fr-FR"/>
        </w:rPr>
        <w:t>’</w:t>
      </w:r>
      <w:r w:rsidRPr="00267A6E">
        <w:rPr>
          <w:lang w:val="fr-FR"/>
        </w:rPr>
        <w:t>économie circulaire s</w:t>
      </w:r>
      <w:r w:rsidR="00D82B54" w:rsidRPr="00267A6E">
        <w:rPr>
          <w:lang w:val="fr-FR"/>
        </w:rPr>
        <w:t>’</w:t>
      </w:r>
      <w:r w:rsidRPr="00267A6E">
        <w:rPr>
          <w:lang w:val="fr-FR"/>
        </w:rPr>
        <w:t>entend généralement d</w:t>
      </w:r>
      <w:r w:rsidR="00D82B54" w:rsidRPr="00267A6E">
        <w:rPr>
          <w:lang w:val="fr-FR"/>
        </w:rPr>
        <w:t>’</w:t>
      </w:r>
      <w:r w:rsidRPr="00267A6E">
        <w:rPr>
          <w:lang w:val="fr-FR"/>
        </w:rPr>
        <w:t>une transition d</w:t>
      </w:r>
      <w:r w:rsidR="00D82B54" w:rsidRPr="00267A6E">
        <w:rPr>
          <w:lang w:val="fr-FR"/>
        </w:rPr>
        <w:t>’</w:t>
      </w:r>
      <w:r w:rsidRPr="00267A6E">
        <w:rPr>
          <w:lang w:val="fr-FR"/>
        </w:rPr>
        <w:t>un modèle linéaire (extraire, fabriquer, consommer, jeter) à un modèle circulaire (restaurer et régénérer)</w:t>
      </w:r>
      <w:r w:rsidRPr="00267A6E">
        <w:rPr>
          <w:rStyle w:val="FootnoteReference"/>
          <w:lang w:val="fr-FR"/>
        </w:rPr>
        <w:footnoteReference w:id="52"/>
      </w:r>
      <w:r w:rsidR="00967A77" w:rsidRPr="00267A6E">
        <w:rPr>
          <w:lang w:val="fr-FR"/>
        </w:rPr>
        <w:t>.</w:t>
      </w:r>
      <w:r w:rsidRPr="00267A6E">
        <w:rPr>
          <w:lang w:val="fr-FR"/>
        </w:rPr>
        <w:t xml:space="preserve"> Selon la Banque mondiale, 2,01</w:t>
      </w:r>
      <w:r w:rsidR="000E1978" w:rsidRPr="00267A6E">
        <w:rPr>
          <w:lang w:val="fr-FR"/>
        </w:rPr>
        <w:t> </w:t>
      </w:r>
      <w:r w:rsidRPr="00267A6E">
        <w:rPr>
          <w:lang w:val="fr-FR"/>
        </w:rPr>
        <w:t>milliards de tonnes de déchets solides municipaux ont été produits en 2018, et ce volume devrait atteindre 3,4</w:t>
      </w:r>
      <w:r w:rsidR="000E1978" w:rsidRPr="00267A6E">
        <w:rPr>
          <w:lang w:val="fr-FR"/>
        </w:rPr>
        <w:t> </w:t>
      </w:r>
      <w:r w:rsidRPr="00267A6E">
        <w:rPr>
          <w:lang w:val="fr-FR"/>
        </w:rPr>
        <w:t>milliards de tonnes par an d</w:t>
      </w:r>
      <w:r w:rsidR="00D82B54" w:rsidRPr="00267A6E">
        <w:rPr>
          <w:lang w:val="fr-FR"/>
        </w:rPr>
        <w:t>’</w:t>
      </w:r>
      <w:r w:rsidRPr="00267A6E">
        <w:rPr>
          <w:lang w:val="fr-FR"/>
        </w:rPr>
        <w:t>ici à 2050</w:t>
      </w:r>
      <w:r w:rsidRPr="00267A6E">
        <w:rPr>
          <w:rStyle w:val="FootnoteReference"/>
          <w:lang w:val="fr-FR"/>
        </w:rPr>
        <w:footnoteReference w:id="53"/>
      </w:r>
      <w:r w:rsidR="00967A77" w:rsidRPr="00267A6E">
        <w:rPr>
          <w:lang w:val="fr-FR"/>
        </w:rPr>
        <w:t>.</w:t>
      </w:r>
      <w:r w:rsidRPr="00267A6E">
        <w:rPr>
          <w:lang w:val="fr-FR"/>
        </w:rPr>
        <w:t xml:space="preserve"> La CNUCED a précédemment fait observer qu</w:t>
      </w:r>
      <w:r w:rsidR="00D82B54" w:rsidRPr="00267A6E">
        <w:rPr>
          <w:lang w:val="fr-FR"/>
        </w:rPr>
        <w:t>’</w:t>
      </w:r>
      <w:r w:rsidRPr="00267A6E">
        <w:rPr>
          <w:lang w:val="fr-FR"/>
        </w:rPr>
        <w:t>au niveau mondial, la production de déchets découlait de processus de fabrication utilisant 54</w:t>
      </w:r>
      <w:r w:rsidR="00D82B54" w:rsidRPr="00267A6E">
        <w:rPr>
          <w:lang w:val="fr-FR"/>
        </w:rPr>
        <w:t> %</w:t>
      </w:r>
      <w:r w:rsidRPr="00267A6E">
        <w:rPr>
          <w:lang w:val="fr-FR"/>
        </w:rPr>
        <w:t xml:space="preserve"> de l</w:t>
      </w:r>
      <w:r w:rsidR="00D82B54" w:rsidRPr="00267A6E">
        <w:rPr>
          <w:lang w:val="fr-FR"/>
        </w:rPr>
        <w:t>’</w:t>
      </w:r>
      <w:r w:rsidRPr="00267A6E">
        <w:rPr>
          <w:lang w:val="fr-FR"/>
        </w:rPr>
        <w:t>énergie produite dans le monde</w:t>
      </w:r>
      <w:r w:rsidRPr="00267A6E">
        <w:rPr>
          <w:rStyle w:val="FootnoteReference"/>
          <w:lang w:val="fr-FR"/>
        </w:rPr>
        <w:footnoteReference w:id="54"/>
      </w:r>
      <w:r w:rsidR="00967A77" w:rsidRPr="00267A6E">
        <w:rPr>
          <w:lang w:val="fr-FR"/>
        </w:rPr>
        <w:t>.</w:t>
      </w:r>
      <w:r w:rsidRPr="00267A6E">
        <w:rPr>
          <w:lang w:val="fr-FR"/>
        </w:rPr>
        <w:t xml:space="preserve"> Les systèmes de production linéaires entravent donc la transition énergétique, qui suppose de réduire la demande d</w:t>
      </w:r>
      <w:r w:rsidR="00D82B54" w:rsidRPr="00267A6E">
        <w:rPr>
          <w:lang w:val="fr-FR"/>
        </w:rPr>
        <w:t>’</w:t>
      </w:r>
      <w:r w:rsidRPr="00267A6E">
        <w:rPr>
          <w:lang w:val="fr-FR"/>
        </w:rPr>
        <w:t>énergie</w:t>
      </w:r>
      <w:r w:rsidR="00967A77" w:rsidRPr="00267A6E">
        <w:rPr>
          <w:lang w:val="fr-FR"/>
        </w:rPr>
        <w:t>.</w:t>
      </w:r>
      <w:r w:rsidRPr="00267A6E">
        <w:rPr>
          <w:lang w:val="fr-FR"/>
        </w:rPr>
        <w:t xml:space="preserve"> La CNUCED souligne les déséquilibres qui existent entre les différents pays en ce qui concerne la production et/ou l</w:t>
      </w:r>
      <w:r w:rsidR="00D82B54" w:rsidRPr="00267A6E">
        <w:rPr>
          <w:lang w:val="fr-FR"/>
        </w:rPr>
        <w:t>’</w:t>
      </w:r>
      <w:r w:rsidRPr="00267A6E">
        <w:rPr>
          <w:lang w:val="fr-FR"/>
        </w:rPr>
        <w:t>utilisation des biens, de sorte que la transition vers une plus grande circularité aura des répercussions transfrontières sur le plan commerci</w:t>
      </w:r>
      <w:r w:rsidR="000567B0" w:rsidRPr="00267A6E">
        <w:rPr>
          <w:lang w:val="fr-FR"/>
        </w:rPr>
        <w:t>al.</w:t>
      </w:r>
      <w:r w:rsidR="000E1978" w:rsidRPr="00267A6E">
        <w:rPr>
          <w:lang w:val="fr-FR"/>
        </w:rPr>
        <w:t xml:space="preserve"> </w:t>
      </w:r>
      <w:r w:rsidRPr="00267A6E">
        <w:rPr>
          <w:lang w:val="fr-FR"/>
        </w:rPr>
        <w:t>Pour mettre en place une économie circulaire, il faut passer aux énergies renouvelables</w:t>
      </w:r>
      <w:r w:rsidRPr="00267A6E">
        <w:rPr>
          <w:vertAlign w:val="superscript"/>
          <w:lang w:val="fr-FR"/>
        </w:rPr>
        <w:t>51</w:t>
      </w:r>
      <w:r w:rsidR="00967A77" w:rsidRPr="00267A6E">
        <w:rPr>
          <w:lang w:val="fr-FR"/>
        </w:rPr>
        <w:t>.</w:t>
      </w:r>
      <w:r w:rsidRPr="00267A6E">
        <w:rPr>
          <w:lang w:val="fr-FR"/>
        </w:rPr>
        <w:t xml:space="preserve"> Le Forum économique mondial souligne trois moyens par lesquels une économie circulaire contribue de manière fondamentale à la transition énergétique</w:t>
      </w:r>
      <w:r w:rsidRPr="00267A6E">
        <w:rPr>
          <w:rStyle w:val="FootnoteReference"/>
          <w:lang w:val="fr-FR"/>
        </w:rPr>
        <w:footnoteReference w:id="55"/>
      </w:r>
      <w:r w:rsidR="00D82B54" w:rsidRPr="00267A6E">
        <w:rPr>
          <w:lang w:val="fr-FR"/>
        </w:rPr>
        <w:t> :</w:t>
      </w:r>
    </w:p>
    <w:p w14:paraId="5CCF1252" w14:textId="2C904D8A" w:rsidR="003373A7" w:rsidRPr="00267A6E" w:rsidRDefault="003373A7" w:rsidP="000E1978">
      <w:pPr>
        <w:pStyle w:val="SingleTxtG"/>
        <w:widowControl w:val="0"/>
        <w:ind w:firstLine="567"/>
        <w:rPr>
          <w:spacing w:val="-2"/>
          <w:lang w:val="fr-FR"/>
        </w:rPr>
      </w:pPr>
      <w:r w:rsidRPr="00267A6E">
        <w:rPr>
          <w:spacing w:val="-2"/>
          <w:lang w:val="fr-FR"/>
        </w:rPr>
        <w:t>a)</w:t>
      </w:r>
      <w:r w:rsidRPr="00267A6E">
        <w:rPr>
          <w:spacing w:val="-2"/>
          <w:lang w:val="fr-FR"/>
        </w:rPr>
        <w:tab/>
        <w:t>Le recyclage des matières critiques – l</w:t>
      </w:r>
      <w:r w:rsidR="00D82B54" w:rsidRPr="00267A6E">
        <w:rPr>
          <w:spacing w:val="-2"/>
          <w:lang w:val="fr-FR"/>
        </w:rPr>
        <w:t>’</w:t>
      </w:r>
      <w:r w:rsidRPr="00267A6E">
        <w:rPr>
          <w:spacing w:val="-2"/>
          <w:lang w:val="fr-FR"/>
        </w:rPr>
        <w:t>Agence internationale de l</w:t>
      </w:r>
      <w:r w:rsidR="00D82B54" w:rsidRPr="00267A6E">
        <w:rPr>
          <w:spacing w:val="-2"/>
          <w:lang w:val="fr-FR"/>
        </w:rPr>
        <w:t>’</w:t>
      </w:r>
      <w:r w:rsidRPr="00267A6E">
        <w:rPr>
          <w:spacing w:val="-2"/>
          <w:lang w:val="fr-FR"/>
        </w:rPr>
        <w:t>énergie a calculé qu</w:t>
      </w:r>
      <w:r w:rsidR="00D82B54" w:rsidRPr="00267A6E">
        <w:rPr>
          <w:spacing w:val="-2"/>
          <w:lang w:val="fr-FR"/>
        </w:rPr>
        <w:t>’</w:t>
      </w:r>
      <w:r w:rsidRPr="00267A6E">
        <w:rPr>
          <w:spacing w:val="-2"/>
          <w:lang w:val="fr-FR"/>
        </w:rPr>
        <w:t>il faudra six fois plus de minéraux qu</w:t>
      </w:r>
      <w:r w:rsidR="00D82B54" w:rsidRPr="00267A6E">
        <w:rPr>
          <w:spacing w:val="-2"/>
          <w:lang w:val="fr-FR"/>
        </w:rPr>
        <w:t>’</w:t>
      </w:r>
      <w:r w:rsidRPr="00267A6E">
        <w:rPr>
          <w:spacing w:val="-2"/>
          <w:lang w:val="fr-FR"/>
        </w:rPr>
        <w:t>à l</w:t>
      </w:r>
      <w:r w:rsidR="00D82B54" w:rsidRPr="00267A6E">
        <w:rPr>
          <w:spacing w:val="-2"/>
          <w:lang w:val="fr-FR"/>
        </w:rPr>
        <w:t>’</w:t>
      </w:r>
      <w:r w:rsidRPr="00267A6E">
        <w:rPr>
          <w:spacing w:val="-2"/>
          <w:lang w:val="fr-FR"/>
        </w:rPr>
        <w:t>heure actuelle pour parvenir à la neutralité carbone d</w:t>
      </w:r>
      <w:r w:rsidR="00D82B54" w:rsidRPr="00267A6E">
        <w:rPr>
          <w:spacing w:val="-2"/>
          <w:lang w:val="fr-FR"/>
        </w:rPr>
        <w:t>’</w:t>
      </w:r>
      <w:r w:rsidRPr="00267A6E">
        <w:rPr>
          <w:spacing w:val="-2"/>
          <w:lang w:val="fr-FR"/>
        </w:rPr>
        <w:t>ici à 2040</w:t>
      </w:r>
      <w:r w:rsidRPr="00267A6E">
        <w:rPr>
          <w:spacing w:val="-2"/>
          <w:sz w:val="18"/>
          <w:szCs w:val="18"/>
          <w:vertAlign w:val="superscript"/>
          <w:lang w:val="fr-FR"/>
        </w:rPr>
        <w:footnoteReference w:id="56"/>
      </w:r>
      <w:r w:rsidR="00967A77" w:rsidRPr="00267A6E">
        <w:rPr>
          <w:spacing w:val="-2"/>
          <w:lang w:val="fr-FR"/>
        </w:rPr>
        <w:t>.</w:t>
      </w:r>
      <w:r w:rsidRPr="00267A6E">
        <w:rPr>
          <w:spacing w:val="-2"/>
          <w:lang w:val="fr-FR"/>
        </w:rPr>
        <w:t xml:space="preserve"> Le recyclage sera donc essentiel pour gérer la demande de nouveaux minéraux</w:t>
      </w:r>
      <w:r w:rsidR="00D82B54" w:rsidRPr="00267A6E">
        <w:rPr>
          <w:spacing w:val="-2"/>
          <w:lang w:val="fr-FR"/>
        </w:rPr>
        <w:t> ;</w:t>
      </w:r>
    </w:p>
    <w:p w14:paraId="0EFEACCF" w14:textId="6975C34A" w:rsidR="003373A7" w:rsidRPr="00267A6E" w:rsidRDefault="003373A7" w:rsidP="004D5ED6">
      <w:pPr>
        <w:pStyle w:val="SingleTxtG"/>
        <w:ind w:firstLine="567"/>
        <w:rPr>
          <w:lang w:val="fr-FR"/>
        </w:rPr>
      </w:pPr>
      <w:r w:rsidRPr="00267A6E">
        <w:rPr>
          <w:lang w:val="fr-FR"/>
        </w:rPr>
        <w:t>b)</w:t>
      </w:r>
      <w:r w:rsidRPr="00267A6E">
        <w:rPr>
          <w:lang w:val="fr-FR"/>
        </w:rPr>
        <w:tab/>
        <w:t>L</w:t>
      </w:r>
      <w:r w:rsidR="00D82B54" w:rsidRPr="00267A6E">
        <w:rPr>
          <w:lang w:val="fr-FR"/>
        </w:rPr>
        <w:t>’</w:t>
      </w:r>
      <w:r w:rsidRPr="00267A6E">
        <w:rPr>
          <w:lang w:val="fr-FR"/>
        </w:rPr>
        <w:t>utilisation de matières recyclées à faible intensité de carbone – les émissions générées par la production de toutes les matières à l</w:t>
      </w:r>
      <w:r w:rsidR="00D82B54" w:rsidRPr="00267A6E">
        <w:rPr>
          <w:lang w:val="fr-FR"/>
        </w:rPr>
        <w:t>’</w:t>
      </w:r>
      <w:r w:rsidRPr="00267A6E">
        <w:rPr>
          <w:lang w:val="fr-FR"/>
        </w:rPr>
        <w:t xml:space="preserve">échelle mondiale ont plus que doublé au cours des </w:t>
      </w:r>
      <w:r w:rsidR="00BF7B7F" w:rsidRPr="00267A6E">
        <w:rPr>
          <w:lang w:val="fr-FR"/>
        </w:rPr>
        <w:t xml:space="preserve">vingt </w:t>
      </w:r>
      <w:r w:rsidRPr="00267A6E">
        <w:rPr>
          <w:lang w:val="fr-FR"/>
        </w:rPr>
        <w:t>dernières années</w:t>
      </w:r>
      <w:r w:rsidR="00967A77" w:rsidRPr="00267A6E">
        <w:rPr>
          <w:lang w:val="fr-FR"/>
        </w:rPr>
        <w:t>.</w:t>
      </w:r>
      <w:r w:rsidRPr="00267A6E">
        <w:rPr>
          <w:lang w:val="fr-FR"/>
        </w:rPr>
        <w:t xml:space="preserve"> Or le recyclage de l</w:t>
      </w:r>
      <w:r w:rsidR="00D82B54" w:rsidRPr="00267A6E">
        <w:rPr>
          <w:lang w:val="fr-FR"/>
        </w:rPr>
        <w:t>’</w:t>
      </w:r>
      <w:r w:rsidRPr="00267A6E">
        <w:rPr>
          <w:lang w:val="fr-FR"/>
        </w:rPr>
        <w:t>aluminium, par exemple, émet 95</w:t>
      </w:r>
      <w:r w:rsidR="00D82B54" w:rsidRPr="00267A6E">
        <w:rPr>
          <w:lang w:val="fr-FR"/>
        </w:rPr>
        <w:t> %</w:t>
      </w:r>
      <w:r w:rsidRPr="00267A6E">
        <w:rPr>
          <w:lang w:val="fr-FR"/>
        </w:rPr>
        <w:t xml:space="preserve"> de CO</w:t>
      </w:r>
      <w:r w:rsidRPr="00267A6E">
        <w:rPr>
          <w:vertAlign w:val="subscript"/>
          <w:lang w:val="fr-FR"/>
        </w:rPr>
        <w:t>2</w:t>
      </w:r>
      <w:r w:rsidRPr="00267A6E">
        <w:rPr>
          <w:lang w:val="fr-FR"/>
        </w:rPr>
        <w:t xml:space="preserve"> en moins que la production primaire d</w:t>
      </w:r>
      <w:r w:rsidR="00D82B54" w:rsidRPr="00267A6E">
        <w:rPr>
          <w:lang w:val="fr-FR"/>
        </w:rPr>
        <w:t>’</w:t>
      </w:r>
      <w:r w:rsidRPr="00267A6E">
        <w:rPr>
          <w:lang w:val="fr-FR"/>
        </w:rPr>
        <w:t>aluminium</w:t>
      </w:r>
      <w:r w:rsidR="00D82B54" w:rsidRPr="00267A6E">
        <w:rPr>
          <w:lang w:val="fr-FR"/>
        </w:rPr>
        <w:t> ;</w:t>
      </w:r>
    </w:p>
    <w:p w14:paraId="5B382C95" w14:textId="4D8EDD5E" w:rsidR="003373A7" w:rsidRPr="00267A6E" w:rsidRDefault="003373A7" w:rsidP="004D5ED6">
      <w:pPr>
        <w:pStyle w:val="SingleTxtG"/>
        <w:ind w:firstLine="567"/>
        <w:rPr>
          <w:lang w:val="fr-FR"/>
        </w:rPr>
      </w:pPr>
      <w:r w:rsidRPr="00267A6E">
        <w:rPr>
          <w:lang w:val="fr-FR"/>
        </w:rPr>
        <w:t>c)</w:t>
      </w:r>
      <w:r w:rsidRPr="00267A6E">
        <w:rPr>
          <w:lang w:val="fr-FR"/>
        </w:rPr>
        <w:tab/>
        <w:t>La conception de systèmes circulaires – certains systèmes de production d</w:t>
      </w:r>
      <w:r w:rsidR="00D82B54" w:rsidRPr="00267A6E">
        <w:rPr>
          <w:lang w:val="fr-FR"/>
        </w:rPr>
        <w:t>’</w:t>
      </w:r>
      <w:r w:rsidRPr="00267A6E">
        <w:rPr>
          <w:lang w:val="fr-FR"/>
        </w:rPr>
        <w:t>énergie renouvelable de première génération (turbines éoliennes et panneaux solaires) devront être mis hors service dans les années 2030, ce qui pourrait générer jusqu</w:t>
      </w:r>
      <w:r w:rsidR="00D82B54" w:rsidRPr="00267A6E">
        <w:rPr>
          <w:lang w:val="fr-FR"/>
        </w:rPr>
        <w:t>’</w:t>
      </w:r>
      <w:r w:rsidRPr="00267A6E">
        <w:rPr>
          <w:lang w:val="fr-FR"/>
        </w:rPr>
        <w:t>à 121</w:t>
      </w:r>
      <w:r w:rsidR="00BF7B7F" w:rsidRPr="00267A6E">
        <w:rPr>
          <w:lang w:val="fr-FR"/>
        </w:rPr>
        <w:t> </w:t>
      </w:r>
      <w:r w:rsidRPr="00267A6E">
        <w:rPr>
          <w:lang w:val="fr-FR"/>
        </w:rPr>
        <w:t>millions de tonnes de déchets à l</w:t>
      </w:r>
      <w:r w:rsidR="00D82B54" w:rsidRPr="00267A6E">
        <w:rPr>
          <w:lang w:val="fr-FR"/>
        </w:rPr>
        <w:t>’</w:t>
      </w:r>
      <w:r w:rsidRPr="00267A6E">
        <w:rPr>
          <w:lang w:val="fr-FR"/>
        </w:rPr>
        <w:t>échelle mondiale</w:t>
      </w:r>
      <w:r w:rsidR="00967A77" w:rsidRPr="00267A6E">
        <w:rPr>
          <w:lang w:val="fr-FR"/>
        </w:rPr>
        <w:t>.</w:t>
      </w:r>
      <w:r w:rsidRPr="00267A6E">
        <w:rPr>
          <w:lang w:val="fr-FR"/>
        </w:rPr>
        <w:t xml:space="preserve"> Les nouveaux systèmes doivent donc être conçus pour durer plus longtemps et être facilement réutilisables et recyclables</w:t>
      </w:r>
      <w:r w:rsidR="00967A77" w:rsidRPr="00267A6E">
        <w:rPr>
          <w:lang w:val="fr-FR"/>
        </w:rPr>
        <w:t>.</w:t>
      </w:r>
    </w:p>
    <w:p w14:paraId="1513307D" w14:textId="4C158964" w:rsidR="003373A7" w:rsidRPr="00267A6E" w:rsidRDefault="003373A7" w:rsidP="005D7C43">
      <w:pPr>
        <w:pStyle w:val="SingleTxtG"/>
        <w:rPr>
          <w:lang w:val="fr-FR"/>
        </w:rPr>
      </w:pPr>
      <w:r w:rsidRPr="00267A6E">
        <w:rPr>
          <w:lang w:val="fr-FR"/>
        </w:rPr>
        <w:t>31</w:t>
      </w:r>
      <w:r w:rsidR="00967A77" w:rsidRPr="00267A6E">
        <w:rPr>
          <w:lang w:val="fr-FR"/>
        </w:rPr>
        <w:t>.</w:t>
      </w:r>
      <w:r w:rsidRPr="00267A6E">
        <w:rPr>
          <w:lang w:val="fr-FR"/>
        </w:rPr>
        <w:tab/>
        <w:t>L</w:t>
      </w:r>
      <w:r w:rsidR="00D82B54" w:rsidRPr="00267A6E">
        <w:rPr>
          <w:lang w:val="fr-FR"/>
        </w:rPr>
        <w:t>’</w:t>
      </w:r>
      <w:r w:rsidRPr="00267A6E">
        <w:rPr>
          <w:lang w:val="fr-FR"/>
        </w:rPr>
        <w:t>économie circulaire repose sur trois principes fondamentaux</w:t>
      </w:r>
      <w:r w:rsidRPr="00267A6E">
        <w:rPr>
          <w:rStyle w:val="FootnoteReference"/>
          <w:lang w:val="fr-FR"/>
        </w:rPr>
        <w:footnoteReference w:id="57"/>
      </w:r>
      <w:r w:rsidR="00D82B54" w:rsidRPr="00267A6E">
        <w:rPr>
          <w:lang w:val="fr-FR"/>
        </w:rPr>
        <w:t> :</w:t>
      </w:r>
      <w:r w:rsidRPr="00267A6E">
        <w:rPr>
          <w:lang w:val="fr-FR"/>
        </w:rPr>
        <w:t xml:space="preserve"> l</w:t>
      </w:r>
      <w:r w:rsidR="00D82B54" w:rsidRPr="00267A6E">
        <w:rPr>
          <w:lang w:val="fr-FR"/>
        </w:rPr>
        <w:t>’</w:t>
      </w:r>
      <w:r w:rsidRPr="00267A6E">
        <w:rPr>
          <w:lang w:val="fr-FR"/>
        </w:rPr>
        <w:t>élimination des déchets et de la pollution, la circulation des produits et des matières et la régénération de la nature</w:t>
      </w:r>
      <w:r w:rsidR="00967A77" w:rsidRPr="00267A6E">
        <w:rPr>
          <w:lang w:val="fr-FR"/>
        </w:rPr>
        <w:t>.</w:t>
      </w:r>
      <w:r w:rsidRPr="00267A6E">
        <w:rPr>
          <w:lang w:val="fr-FR"/>
        </w:rPr>
        <w:t xml:space="preserve"> L</w:t>
      </w:r>
      <w:r w:rsidR="00D82B54" w:rsidRPr="00267A6E">
        <w:rPr>
          <w:lang w:val="fr-FR"/>
        </w:rPr>
        <w:t>’</w:t>
      </w:r>
      <w:r w:rsidRPr="00267A6E">
        <w:rPr>
          <w:lang w:val="fr-FR"/>
        </w:rPr>
        <w:t>élimination des déchets permet de réduire les émissions tout au long de la chaîne de valeur, la circulation des produits et des matières permet de conserver leur énergie grise et la régénération de la nature permet de séquestrer le carbone</w:t>
      </w:r>
      <w:r w:rsidR="00967A77" w:rsidRPr="00267A6E">
        <w:rPr>
          <w:lang w:val="fr-FR"/>
        </w:rPr>
        <w:t>.</w:t>
      </w:r>
    </w:p>
    <w:p w14:paraId="1C37F584" w14:textId="6F101D27" w:rsidR="003373A7" w:rsidRPr="00267A6E" w:rsidRDefault="003373A7" w:rsidP="005D7C43">
      <w:pPr>
        <w:pStyle w:val="H1G"/>
        <w:rPr>
          <w:lang w:val="fr-FR"/>
        </w:rPr>
      </w:pPr>
      <w:r w:rsidRPr="00267A6E">
        <w:rPr>
          <w:lang w:val="fr-FR"/>
        </w:rPr>
        <w:tab/>
        <w:t>B</w:t>
      </w:r>
      <w:r w:rsidR="00967A77" w:rsidRPr="00267A6E">
        <w:rPr>
          <w:lang w:val="fr-FR"/>
        </w:rPr>
        <w:t>.</w:t>
      </w:r>
      <w:r w:rsidRPr="00267A6E">
        <w:rPr>
          <w:lang w:val="fr-FR"/>
        </w:rPr>
        <w:tab/>
        <w:t xml:space="preserve">Cadres de politique générale propices à une économie circulaire </w:t>
      </w:r>
      <w:r w:rsidR="005D7C43" w:rsidRPr="00267A6E">
        <w:rPr>
          <w:lang w:val="fr-FR"/>
        </w:rPr>
        <w:br/>
      </w:r>
      <w:r w:rsidRPr="00267A6E">
        <w:rPr>
          <w:lang w:val="fr-FR"/>
        </w:rPr>
        <w:t>et état de l</w:t>
      </w:r>
      <w:r w:rsidR="00D82B54" w:rsidRPr="00267A6E">
        <w:rPr>
          <w:lang w:val="fr-FR"/>
        </w:rPr>
        <w:t>’</w:t>
      </w:r>
      <w:r w:rsidRPr="00267A6E">
        <w:rPr>
          <w:lang w:val="fr-FR"/>
        </w:rPr>
        <w:t>application</w:t>
      </w:r>
    </w:p>
    <w:p w14:paraId="29D29515" w14:textId="312F517A" w:rsidR="003373A7" w:rsidRPr="00267A6E" w:rsidRDefault="003373A7" w:rsidP="005D7C43">
      <w:pPr>
        <w:pStyle w:val="SingleTxtG"/>
        <w:rPr>
          <w:lang w:val="fr-FR"/>
        </w:rPr>
      </w:pPr>
      <w:r w:rsidRPr="00267A6E">
        <w:rPr>
          <w:lang w:val="fr-FR"/>
        </w:rPr>
        <w:t>32</w:t>
      </w:r>
      <w:r w:rsidR="00967A77" w:rsidRPr="00267A6E">
        <w:rPr>
          <w:lang w:val="fr-FR"/>
        </w:rPr>
        <w:t>.</w:t>
      </w:r>
      <w:r w:rsidRPr="00267A6E">
        <w:rPr>
          <w:lang w:val="fr-FR"/>
        </w:rPr>
        <w:tab/>
        <w:t>La planification de la transition vers une économie circulaire a déjà débuté</w:t>
      </w:r>
      <w:r w:rsidR="00967A77" w:rsidRPr="00267A6E">
        <w:rPr>
          <w:lang w:val="fr-FR"/>
        </w:rPr>
        <w:t>.</w:t>
      </w:r>
      <w:r w:rsidRPr="00267A6E">
        <w:rPr>
          <w:lang w:val="fr-FR"/>
        </w:rPr>
        <w:t xml:space="preserve"> Par</w:t>
      </w:r>
      <w:r w:rsidR="00160464" w:rsidRPr="00267A6E">
        <w:rPr>
          <w:lang w:val="fr-FR"/>
        </w:rPr>
        <w:t> </w:t>
      </w:r>
      <w:r w:rsidRPr="00267A6E">
        <w:rPr>
          <w:lang w:val="fr-FR"/>
        </w:rPr>
        <w:t>exemple, l</w:t>
      </w:r>
      <w:r w:rsidR="00D82B54" w:rsidRPr="00267A6E">
        <w:rPr>
          <w:lang w:val="fr-FR"/>
        </w:rPr>
        <w:t>’</w:t>
      </w:r>
      <w:r w:rsidRPr="00267A6E">
        <w:rPr>
          <w:lang w:val="fr-FR"/>
        </w:rPr>
        <w:t>Union européenne a adopté le Plan d</w:t>
      </w:r>
      <w:r w:rsidR="00D82B54" w:rsidRPr="00267A6E">
        <w:rPr>
          <w:lang w:val="fr-FR"/>
        </w:rPr>
        <w:t>’</w:t>
      </w:r>
      <w:r w:rsidRPr="00267A6E">
        <w:rPr>
          <w:lang w:val="fr-FR"/>
        </w:rPr>
        <w:t>action en faveur de l</w:t>
      </w:r>
      <w:r w:rsidR="00D82B54" w:rsidRPr="00267A6E">
        <w:rPr>
          <w:lang w:val="fr-FR"/>
        </w:rPr>
        <w:t>’</w:t>
      </w:r>
      <w:r w:rsidRPr="00267A6E">
        <w:rPr>
          <w:lang w:val="fr-FR"/>
        </w:rPr>
        <w:t>économie circulaire</w:t>
      </w:r>
      <w:r w:rsidRPr="00267A6E">
        <w:rPr>
          <w:vertAlign w:val="superscript"/>
          <w:lang w:val="fr-FR"/>
        </w:rPr>
        <w:t>23</w:t>
      </w:r>
      <w:r w:rsidRPr="00267A6E">
        <w:rPr>
          <w:lang w:val="fr-FR"/>
        </w:rPr>
        <w:t>, qui fait de l</w:t>
      </w:r>
      <w:r w:rsidR="00D82B54" w:rsidRPr="00267A6E">
        <w:rPr>
          <w:lang w:val="fr-FR"/>
        </w:rPr>
        <w:t>’</w:t>
      </w:r>
      <w:r w:rsidRPr="00267A6E">
        <w:rPr>
          <w:lang w:val="fr-FR"/>
        </w:rPr>
        <w:t>économie circulaire un modèle global appuyant la mise en œuvre d</w:t>
      </w:r>
      <w:r w:rsidR="00D82B54" w:rsidRPr="00267A6E">
        <w:rPr>
          <w:lang w:val="fr-FR"/>
        </w:rPr>
        <w:t>’</w:t>
      </w:r>
      <w:r w:rsidRPr="00267A6E">
        <w:rPr>
          <w:lang w:val="fr-FR"/>
        </w:rPr>
        <w:t>éléments clefs du pacte vert pour l</w:t>
      </w:r>
      <w:r w:rsidR="00D82B54" w:rsidRPr="00267A6E">
        <w:rPr>
          <w:lang w:val="fr-FR"/>
        </w:rPr>
        <w:t>’</w:t>
      </w:r>
      <w:r w:rsidRPr="00267A6E">
        <w:rPr>
          <w:lang w:val="fr-FR"/>
        </w:rPr>
        <w:t>Europe –</w:t>
      </w:r>
      <w:r w:rsidR="008D7609" w:rsidRPr="00267A6E">
        <w:rPr>
          <w:lang w:val="fr-FR"/>
        </w:rPr>
        <w:t xml:space="preserve"> </w:t>
      </w:r>
      <w:r w:rsidRPr="00267A6E">
        <w:rPr>
          <w:lang w:val="fr-FR"/>
        </w:rPr>
        <w:t>la nouvelle stratégie industrielle pour l</w:t>
      </w:r>
      <w:r w:rsidR="00D82B54" w:rsidRPr="00267A6E">
        <w:rPr>
          <w:lang w:val="fr-FR"/>
        </w:rPr>
        <w:t>’</w:t>
      </w:r>
      <w:r w:rsidRPr="00267A6E">
        <w:rPr>
          <w:lang w:val="fr-FR"/>
        </w:rPr>
        <w:t>Europe, qui favorise la croissance verte et la transition numérique –</w:t>
      </w:r>
      <w:r w:rsidRPr="00267A6E">
        <w:rPr>
          <w:rStyle w:val="FootnoteReference"/>
          <w:lang w:val="fr-FR"/>
        </w:rPr>
        <w:footnoteReference w:id="58"/>
      </w:r>
      <w:r w:rsidRPr="00267A6E">
        <w:rPr>
          <w:lang w:val="fr-FR"/>
        </w:rPr>
        <w:t xml:space="preserve"> et de l</w:t>
      </w:r>
      <w:r w:rsidR="00D82B54" w:rsidRPr="00267A6E">
        <w:rPr>
          <w:lang w:val="fr-FR"/>
        </w:rPr>
        <w:t>’</w:t>
      </w:r>
      <w:r w:rsidRPr="00267A6E">
        <w:rPr>
          <w:lang w:val="fr-FR"/>
        </w:rPr>
        <w:t>économie bleue (mise à jour des normes applicables à la conception des engins de pêche, recyclage des navires et démantèlement des plateformes en mer, entre autres exemples)</w:t>
      </w:r>
      <w:r w:rsidRPr="00267A6E">
        <w:rPr>
          <w:rStyle w:val="FootnoteReference"/>
          <w:lang w:val="fr-FR"/>
        </w:rPr>
        <w:footnoteReference w:id="59"/>
      </w:r>
      <w:r w:rsidR="00967A77" w:rsidRPr="00267A6E">
        <w:rPr>
          <w:lang w:val="fr-FR"/>
        </w:rPr>
        <w:t>.</w:t>
      </w:r>
      <w:r w:rsidRPr="00267A6E">
        <w:rPr>
          <w:lang w:val="fr-FR"/>
        </w:rPr>
        <w:t xml:space="preserve"> En outre, la proposition de règlement du Parlement européen et du Conseil établissant un cadre visant à garantir un approvisionnement sûr et durable en matières premières critiques</w:t>
      </w:r>
      <w:r w:rsidRPr="00267A6E">
        <w:rPr>
          <w:rStyle w:val="FootnoteReference"/>
          <w:lang w:val="fr-FR"/>
        </w:rPr>
        <w:footnoteReference w:id="60"/>
      </w:r>
      <w:r w:rsidRPr="00267A6E">
        <w:rPr>
          <w:lang w:val="fr-FR"/>
        </w:rPr>
        <w:t xml:space="preserve"> contient une section consacrée à la circularité, le but étant de réduire la dépendance à l</w:t>
      </w:r>
      <w:r w:rsidR="00D82B54" w:rsidRPr="00267A6E">
        <w:rPr>
          <w:lang w:val="fr-FR"/>
        </w:rPr>
        <w:t>’</w:t>
      </w:r>
      <w:r w:rsidRPr="00267A6E">
        <w:rPr>
          <w:lang w:val="fr-FR"/>
        </w:rPr>
        <w:t>égard des matières premières critiques, notamment dans le secteur des énergies renouvelables</w:t>
      </w:r>
      <w:r w:rsidR="00967A77" w:rsidRPr="00267A6E">
        <w:rPr>
          <w:lang w:val="fr-FR"/>
        </w:rPr>
        <w:t>.</w:t>
      </w:r>
    </w:p>
    <w:p w14:paraId="0EAE0F17" w14:textId="6D9A8EDB" w:rsidR="003373A7" w:rsidRPr="00267A6E" w:rsidRDefault="003373A7" w:rsidP="005D7C43">
      <w:pPr>
        <w:pStyle w:val="SingleTxtG"/>
        <w:rPr>
          <w:lang w:val="fr-FR"/>
        </w:rPr>
      </w:pPr>
      <w:r w:rsidRPr="00267A6E">
        <w:rPr>
          <w:lang w:val="fr-FR"/>
        </w:rPr>
        <w:t>33</w:t>
      </w:r>
      <w:r w:rsidR="00967A77" w:rsidRPr="00267A6E">
        <w:rPr>
          <w:lang w:val="fr-FR"/>
        </w:rPr>
        <w:t>.</w:t>
      </w:r>
      <w:r w:rsidRPr="00267A6E">
        <w:rPr>
          <w:lang w:val="fr-FR"/>
        </w:rPr>
        <w:tab/>
        <w:t>Des stratégies en faveur de l</w:t>
      </w:r>
      <w:r w:rsidR="00D82B54" w:rsidRPr="00267A6E">
        <w:rPr>
          <w:lang w:val="fr-FR"/>
        </w:rPr>
        <w:t>’</w:t>
      </w:r>
      <w:r w:rsidRPr="00267A6E">
        <w:rPr>
          <w:lang w:val="fr-FR"/>
        </w:rPr>
        <w:t>économie circulaire ont notamment été élaborées aux États-Unis, en Chine et au Japon</w:t>
      </w:r>
      <w:r w:rsidRPr="00267A6E">
        <w:rPr>
          <w:rStyle w:val="FootnoteReference"/>
          <w:lang w:val="fr-FR"/>
        </w:rPr>
        <w:footnoteReference w:id="61"/>
      </w:r>
      <w:r w:rsidRPr="00267A6E">
        <w:rPr>
          <w:lang w:val="fr-FR"/>
        </w:rPr>
        <w:t>, et des réseaux d</w:t>
      </w:r>
      <w:r w:rsidR="00D82B54" w:rsidRPr="00267A6E">
        <w:rPr>
          <w:lang w:val="fr-FR"/>
        </w:rPr>
        <w:t>’</w:t>
      </w:r>
      <w:r w:rsidRPr="00267A6E">
        <w:rPr>
          <w:lang w:val="fr-FR"/>
        </w:rPr>
        <w:t>entreprises ont été mis en place, tels que la Fondation Ellen MacArthur (Royaume-Uni de Grande-Bretagne et d</w:t>
      </w:r>
      <w:r w:rsidR="00D82B54" w:rsidRPr="00267A6E">
        <w:rPr>
          <w:lang w:val="fr-FR"/>
        </w:rPr>
        <w:t>’</w:t>
      </w:r>
      <w:r w:rsidRPr="00267A6E">
        <w:rPr>
          <w:lang w:val="fr-FR"/>
        </w:rPr>
        <w:t>Irlande du Nord), Circle Economy (Pays-Bas) et Circular Change (Slovénie)</w:t>
      </w:r>
      <w:r w:rsidR="00967A77" w:rsidRPr="00267A6E">
        <w:rPr>
          <w:lang w:val="fr-FR"/>
        </w:rPr>
        <w:t>.</w:t>
      </w:r>
      <w:r w:rsidRPr="00267A6E">
        <w:rPr>
          <w:lang w:val="fr-FR"/>
        </w:rPr>
        <w:t xml:space="preserve"> En outre, les initiatives relatives à l</w:t>
      </w:r>
      <w:r w:rsidR="00D82B54" w:rsidRPr="00267A6E">
        <w:rPr>
          <w:lang w:val="fr-FR"/>
        </w:rPr>
        <w:t>’</w:t>
      </w:r>
      <w:r w:rsidRPr="00267A6E">
        <w:rPr>
          <w:lang w:val="fr-FR"/>
        </w:rPr>
        <w:t>économie circulaire se multiplient aux niveaux régional et municipal (par exemple, le Circular City Funding Guide</w:t>
      </w:r>
      <w:r w:rsidRPr="00267A6E">
        <w:rPr>
          <w:rStyle w:val="FootnoteReference"/>
          <w:lang w:val="fr-FR"/>
        </w:rPr>
        <w:footnoteReference w:id="62"/>
      </w:r>
      <w:r w:rsidRPr="00267A6E">
        <w:rPr>
          <w:lang w:val="fr-FR"/>
        </w:rPr>
        <w:t>)</w:t>
      </w:r>
      <w:r w:rsidR="00967A77" w:rsidRPr="00267A6E">
        <w:rPr>
          <w:lang w:val="fr-FR"/>
        </w:rPr>
        <w:t>.</w:t>
      </w:r>
      <w:r w:rsidRPr="00267A6E">
        <w:rPr>
          <w:lang w:val="fr-FR"/>
        </w:rPr>
        <w:t xml:space="preserve"> Enfin, certains pays sont en train d</w:t>
      </w:r>
      <w:r w:rsidR="00D82B54" w:rsidRPr="00267A6E">
        <w:rPr>
          <w:lang w:val="fr-FR"/>
        </w:rPr>
        <w:t>’</w:t>
      </w:r>
      <w:r w:rsidRPr="00267A6E">
        <w:rPr>
          <w:lang w:val="fr-FR"/>
        </w:rPr>
        <w:t>établir des normes (norme BS</w:t>
      </w:r>
      <w:r w:rsidR="00C07479" w:rsidRPr="00267A6E">
        <w:rPr>
          <w:lang w:val="fr-FR"/>
        </w:rPr>
        <w:t> </w:t>
      </w:r>
      <w:r w:rsidRPr="00267A6E">
        <w:rPr>
          <w:lang w:val="fr-FR"/>
        </w:rPr>
        <w:t>8001</w:t>
      </w:r>
      <w:r w:rsidRPr="00267A6E">
        <w:rPr>
          <w:rStyle w:val="FootnoteReference"/>
          <w:lang w:val="fr-FR"/>
        </w:rPr>
        <w:footnoteReference w:id="63"/>
      </w:r>
      <w:r w:rsidRPr="00267A6E">
        <w:rPr>
          <w:lang w:val="fr-FR"/>
        </w:rPr>
        <w:t xml:space="preserve"> (Royaume-Uni de Grande-Bretagne et d</w:t>
      </w:r>
      <w:r w:rsidR="00D82B54" w:rsidRPr="00267A6E">
        <w:rPr>
          <w:lang w:val="fr-FR"/>
        </w:rPr>
        <w:t>’</w:t>
      </w:r>
      <w:r w:rsidRPr="00267A6E">
        <w:rPr>
          <w:lang w:val="fr-FR"/>
        </w:rPr>
        <w:t>Irlande du Nord), norme XP</w:t>
      </w:r>
      <w:r w:rsidR="00C07479" w:rsidRPr="00267A6E">
        <w:rPr>
          <w:lang w:val="fr-FR"/>
        </w:rPr>
        <w:t> </w:t>
      </w:r>
      <w:r w:rsidRPr="00267A6E">
        <w:rPr>
          <w:lang w:val="fr-FR"/>
        </w:rPr>
        <w:t>X30-901</w:t>
      </w:r>
      <w:r w:rsidRPr="00267A6E">
        <w:rPr>
          <w:rStyle w:val="FootnoteReference"/>
          <w:lang w:val="fr-FR"/>
        </w:rPr>
        <w:footnoteReference w:id="64"/>
      </w:r>
      <w:r w:rsidRPr="00267A6E">
        <w:rPr>
          <w:lang w:val="fr-FR"/>
        </w:rPr>
        <w:t xml:space="preserve"> (France), etc</w:t>
      </w:r>
      <w:r w:rsidR="00967A77" w:rsidRPr="00267A6E">
        <w:rPr>
          <w:lang w:val="fr-FR"/>
        </w:rPr>
        <w:t>.</w:t>
      </w:r>
      <w:r w:rsidRPr="00267A6E">
        <w:rPr>
          <w:lang w:val="fr-FR"/>
        </w:rPr>
        <w:t>) afin d</w:t>
      </w:r>
      <w:r w:rsidR="00D82B54" w:rsidRPr="00267A6E">
        <w:rPr>
          <w:lang w:val="fr-FR"/>
        </w:rPr>
        <w:t>’</w:t>
      </w:r>
      <w:r w:rsidRPr="00267A6E">
        <w:rPr>
          <w:lang w:val="fr-FR"/>
        </w:rPr>
        <w:t>harmoniser les concepts, la terminologie, les approches et les indicateurs utilisés dans le cadre de l</w:t>
      </w:r>
      <w:r w:rsidR="00D82B54" w:rsidRPr="00267A6E">
        <w:rPr>
          <w:lang w:val="fr-FR"/>
        </w:rPr>
        <w:t>’</w:t>
      </w:r>
      <w:r w:rsidRPr="00267A6E">
        <w:rPr>
          <w:lang w:val="fr-FR"/>
        </w:rPr>
        <w:t>économie circulaire</w:t>
      </w:r>
      <w:r w:rsidR="00967A77" w:rsidRPr="00267A6E">
        <w:rPr>
          <w:lang w:val="fr-FR"/>
        </w:rPr>
        <w:t>.</w:t>
      </w:r>
    </w:p>
    <w:p w14:paraId="46858B45" w14:textId="5EF3E467" w:rsidR="003373A7" w:rsidRPr="00267A6E" w:rsidRDefault="003373A7" w:rsidP="00196A7E">
      <w:pPr>
        <w:pStyle w:val="H1G"/>
        <w:rPr>
          <w:lang w:val="fr-FR"/>
        </w:rPr>
      </w:pPr>
      <w:r w:rsidRPr="00267A6E">
        <w:rPr>
          <w:lang w:val="fr-FR"/>
        </w:rPr>
        <w:tab/>
        <w:t>C</w:t>
      </w:r>
      <w:r w:rsidR="00967A77" w:rsidRPr="00267A6E">
        <w:rPr>
          <w:lang w:val="fr-FR"/>
        </w:rPr>
        <w:t>.</w:t>
      </w:r>
      <w:r w:rsidRPr="00267A6E">
        <w:rPr>
          <w:lang w:val="fr-FR"/>
        </w:rPr>
        <w:tab/>
        <w:t>Rôle et avantages avérés et potentiels de la Convention et du Protocole dans la promotion de l</w:t>
      </w:r>
      <w:r w:rsidR="00D82B54" w:rsidRPr="00267A6E">
        <w:rPr>
          <w:lang w:val="fr-FR"/>
        </w:rPr>
        <w:t>’</w:t>
      </w:r>
      <w:r w:rsidRPr="00267A6E">
        <w:rPr>
          <w:lang w:val="fr-FR"/>
        </w:rPr>
        <w:t>économie circulaire</w:t>
      </w:r>
    </w:p>
    <w:p w14:paraId="0C3CAC76" w14:textId="45668897" w:rsidR="003373A7" w:rsidRPr="00267A6E" w:rsidRDefault="003373A7" w:rsidP="00196A7E">
      <w:pPr>
        <w:pStyle w:val="SingleTxtG"/>
        <w:keepNext/>
        <w:rPr>
          <w:lang w:val="fr-FR"/>
        </w:rPr>
      </w:pPr>
      <w:r w:rsidRPr="00267A6E">
        <w:rPr>
          <w:lang w:val="fr-FR"/>
        </w:rPr>
        <w:t>34</w:t>
      </w:r>
      <w:r w:rsidR="00967A77" w:rsidRPr="00267A6E">
        <w:rPr>
          <w:lang w:val="fr-FR"/>
        </w:rPr>
        <w:t>.</w:t>
      </w:r>
      <w:r w:rsidRPr="00267A6E">
        <w:rPr>
          <w:lang w:val="fr-FR"/>
        </w:rPr>
        <w:tab/>
        <w:t>L</w:t>
      </w:r>
      <w:r w:rsidR="00D82B54" w:rsidRPr="00267A6E">
        <w:rPr>
          <w:lang w:val="fr-FR"/>
        </w:rPr>
        <w:t>’</w:t>
      </w:r>
      <w:r w:rsidRPr="00267A6E">
        <w:rPr>
          <w:lang w:val="fr-FR"/>
        </w:rPr>
        <w:t>économie circulaire figure parmi les objectifs environnementaux de la taxonomie européenne des activités durables (voir sect</w:t>
      </w:r>
      <w:r w:rsidR="00196A7E" w:rsidRPr="00267A6E">
        <w:rPr>
          <w:lang w:val="fr-FR"/>
        </w:rPr>
        <w:t>. </w:t>
      </w:r>
      <w:r w:rsidRPr="00267A6E">
        <w:rPr>
          <w:lang w:val="fr-FR"/>
        </w:rPr>
        <w:t>IV)</w:t>
      </w:r>
      <w:r w:rsidR="00967A77" w:rsidRPr="00267A6E">
        <w:rPr>
          <w:lang w:val="fr-FR"/>
        </w:rPr>
        <w:t>.</w:t>
      </w:r>
      <w:r w:rsidRPr="00267A6E">
        <w:rPr>
          <w:lang w:val="fr-FR"/>
        </w:rPr>
        <w:t xml:space="preserve"> En outre, il est prévu que des plans axés sur l</w:t>
      </w:r>
      <w:r w:rsidR="00D82B54" w:rsidRPr="00267A6E">
        <w:rPr>
          <w:lang w:val="fr-FR"/>
        </w:rPr>
        <w:t>’</w:t>
      </w:r>
      <w:r w:rsidRPr="00267A6E">
        <w:rPr>
          <w:lang w:val="fr-FR"/>
        </w:rPr>
        <w:t>économie circulaire soient élaborés au niveau national et, idéalement, aux niveaux régional et loc</w:t>
      </w:r>
      <w:r w:rsidR="000567B0" w:rsidRPr="00267A6E">
        <w:rPr>
          <w:lang w:val="fr-FR"/>
        </w:rPr>
        <w:t>al.</w:t>
      </w:r>
      <w:r w:rsidR="007E7DDB" w:rsidRPr="00267A6E">
        <w:rPr>
          <w:lang w:val="fr-FR"/>
        </w:rPr>
        <w:t xml:space="preserve"> </w:t>
      </w:r>
      <w:r w:rsidRPr="00267A6E">
        <w:rPr>
          <w:lang w:val="fr-FR"/>
        </w:rPr>
        <w:t>Le Protocole est l</w:t>
      </w:r>
      <w:r w:rsidR="00D82B54" w:rsidRPr="00267A6E">
        <w:rPr>
          <w:lang w:val="fr-FR"/>
        </w:rPr>
        <w:t>’</w:t>
      </w:r>
      <w:r w:rsidRPr="00267A6E">
        <w:rPr>
          <w:lang w:val="fr-FR"/>
        </w:rPr>
        <w:t>instrument idéal pour évaluer de manière exhaustive les répercussions de ces plans, les projets conçus par la suite pouvant nécessiter une évaluation de l</w:t>
      </w:r>
      <w:r w:rsidR="00D82B54" w:rsidRPr="00267A6E">
        <w:rPr>
          <w:lang w:val="fr-FR"/>
        </w:rPr>
        <w:t>’</w:t>
      </w:r>
      <w:r w:rsidRPr="00267A6E">
        <w:rPr>
          <w:lang w:val="fr-FR"/>
        </w:rPr>
        <w:t>impact transfrontière sur l</w:t>
      </w:r>
      <w:r w:rsidR="00D82B54" w:rsidRPr="00267A6E">
        <w:rPr>
          <w:lang w:val="fr-FR"/>
        </w:rPr>
        <w:t>’</w:t>
      </w:r>
      <w:r w:rsidRPr="00267A6E">
        <w:rPr>
          <w:lang w:val="fr-FR"/>
        </w:rPr>
        <w:t>environnement</w:t>
      </w:r>
      <w:r w:rsidR="00967A77" w:rsidRPr="00267A6E">
        <w:rPr>
          <w:lang w:val="fr-FR"/>
        </w:rPr>
        <w:t>.</w:t>
      </w:r>
      <w:r w:rsidRPr="00267A6E">
        <w:rPr>
          <w:lang w:val="fr-FR"/>
        </w:rPr>
        <w:t xml:space="preserve"> La Convention et le Protocole peuvent donc contribuer à assurer une transition juste vers une économie circulaire en permettant de recenser les impacts des projets sur l</w:t>
      </w:r>
      <w:r w:rsidR="00D82B54" w:rsidRPr="00267A6E">
        <w:rPr>
          <w:lang w:val="fr-FR"/>
        </w:rPr>
        <w:t>’</w:t>
      </w:r>
      <w:r w:rsidRPr="00267A6E">
        <w:rPr>
          <w:lang w:val="fr-FR"/>
        </w:rPr>
        <w:t>environnement et, le cas échéant, de les atténuer</w:t>
      </w:r>
      <w:r w:rsidR="00967A77" w:rsidRPr="00267A6E">
        <w:rPr>
          <w:lang w:val="fr-FR"/>
        </w:rPr>
        <w:t>.</w:t>
      </w:r>
    </w:p>
    <w:p w14:paraId="0EB0EEE8" w14:textId="69726ED3" w:rsidR="003373A7" w:rsidRPr="00267A6E" w:rsidRDefault="003373A7" w:rsidP="005D7C43">
      <w:pPr>
        <w:pStyle w:val="SingleTxtG"/>
        <w:rPr>
          <w:lang w:val="fr-FR"/>
        </w:rPr>
      </w:pPr>
      <w:r w:rsidRPr="00267A6E">
        <w:rPr>
          <w:spacing w:val="-2"/>
          <w:lang w:val="fr-FR"/>
        </w:rPr>
        <w:t>35</w:t>
      </w:r>
      <w:r w:rsidR="00967A77" w:rsidRPr="00267A6E">
        <w:rPr>
          <w:spacing w:val="-2"/>
          <w:lang w:val="fr-FR"/>
        </w:rPr>
        <w:t>.</w:t>
      </w:r>
      <w:r w:rsidRPr="00267A6E">
        <w:rPr>
          <w:spacing w:val="-2"/>
          <w:lang w:val="fr-FR"/>
        </w:rPr>
        <w:tab/>
        <w:t>La mise en place d</w:t>
      </w:r>
      <w:r w:rsidR="00D82B54" w:rsidRPr="00267A6E">
        <w:rPr>
          <w:spacing w:val="-2"/>
          <w:lang w:val="fr-FR"/>
        </w:rPr>
        <w:t>’</w:t>
      </w:r>
      <w:r w:rsidRPr="00267A6E">
        <w:rPr>
          <w:spacing w:val="-2"/>
          <w:lang w:val="fr-FR"/>
        </w:rPr>
        <w:t>une économie circulaire nécessite une mise en œuvre à la fois verticale (des politiques aux projets) et horizontale (élargissement à tous les secteurs)</w:t>
      </w:r>
      <w:r w:rsidR="00967A77" w:rsidRPr="00267A6E">
        <w:rPr>
          <w:spacing w:val="-2"/>
          <w:lang w:val="fr-FR"/>
        </w:rPr>
        <w:t>.</w:t>
      </w:r>
      <w:r w:rsidRPr="00267A6E">
        <w:rPr>
          <w:spacing w:val="-2"/>
          <w:lang w:val="fr-FR"/>
        </w:rPr>
        <w:t xml:space="preserve"> Différents facteurs facilitent l</w:t>
      </w:r>
      <w:r w:rsidR="00D82B54" w:rsidRPr="00267A6E">
        <w:rPr>
          <w:spacing w:val="-2"/>
          <w:lang w:val="fr-FR"/>
        </w:rPr>
        <w:t>’</w:t>
      </w:r>
      <w:r w:rsidRPr="00267A6E">
        <w:rPr>
          <w:spacing w:val="-2"/>
          <w:lang w:val="fr-FR"/>
        </w:rPr>
        <w:t>évaluation approfondie de la mise en œuvre verticale</w:t>
      </w:r>
      <w:r w:rsidR="00D82B54" w:rsidRPr="00267A6E">
        <w:rPr>
          <w:spacing w:val="-2"/>
          <w:lang w:val="fr-FR"/>
        </w:rPr>
        <w:t> :</w:t>
      </w:r>
      <w:r w:rsidRPr="00267A6E">
        <w:rPr>
          <w:spacing w:val="-2"/>
          <w:lang w:val="fr-FR"/>
        </w:rPr>
        <w:t xml:space="preserve"> l</w:t>
      </w:r>
      <w:r w:rsidR="00D82B54" w:rsidRPr="00267A6E">
        <w:rPr>
          <w:spacing w:val="-2"/>
          <w:lang w:val="fr-FR"/>
        </w:rPr>
        <w:t>’</w:t>
      </w:r>
      <w:r w:rsidRPr="00267A6E">
        <w:rPr>
          <w:spacing w:val="-2"/>
          <w:lang w:val="fr-FR"/>
        </w:rPr>
        <w:t>obligation figurant dans le Protocole de réaliser une évaluation stratégique environnementale, la recommandation de réaliser une évaluation stratégique environnementale des politiques menées, et l</w:t>
      </w:r>
      <w:r w:rsidR="00D82B54" w:rsidRPr="00267A6E">
        <w:rPr>
          <w:spacing w:val="-2"/>
          <w:lang w:val="fr-FR"/>
        </w:rPr>
        <w:t>’</w:t>
      </w:r>
      <w:r w:rsidRPr="00267A6E">
        <w:rPr>
          <w:spacing w:val="-2"/>
          <w:lang w:val="fr-FR"/>
        </w:rPr>
        <w:t>obligation figurant dans la Convention de procéder, dans certaines circonstances, à une évaluation de l</w:t>
      </w:r>
      <w:r w:rsidR="00D82B54" w:rsidRPr="00267A6E">
        <w:rPr>
          <w:spacing w:val="-2"/>
          <w:lang w:val="fr-FR"/>
        </w:rPr>
        <w:t>’</w:t>
      </w:r>
      <w:r w:rsidRPr="00267A6E">
        <w:rPr>
          <w:spacing w:val="-2"/>
          <w:lang w:val="fr-FR"/>
        </w:rPr>
        <w:t>impact transfrontière sur l</w:t>
      </w:r>
      <w:r w:rsidR="00D82B54" w:rsidRPr="00267A6E">
        <w:rPr>
          <w:spacing w:val="-2"/>
          <w:lang w:val="fr-FR"/>
        </w:rPr>
        <w:t>’</w:t>
      </w:r>
      <w:r w:rsidRPr="00267A6E">
        <w:rPr>
          <w:spacing w:val="-2"/>
          <w:lang w:val="fr-FR"/>
        </w:rPr>
        <w:t>environnement</w:t>
      </w:r>
      <w:r w:rsidR="00967A77" w:rsidRPr="00267A6E">
        <w:rPr>
          <w:spacing w:val="-2"/>
          <w:lang w:val="fr-FR"/>
        </w:rPr>
        <w:t>.</w:t>
      </w:r>
      <w:r w:rsidRPr="00267A6E">
        <w:rPr>
          <w:spacing w:val="-2"/>
          <w:lang w:val="fr-FR"/>
        </w:rPr>
        <w:t xml:space="preserve"> Il est possible d</w:t>
      </w:r>
      <w:r w:rsidR="00D82B54" w:rsidRPr="00267A6E">
        <w:rPr>
          <w:spacing w:val="-2"/>
          <w:lang w:val="fr-FR"/>
        </w:rPr>
        <w:t>’</w:t>
      </w:r>
      <w:r w:rsidRPr="00267A6E">
        <w:rPr>
          <w:spacing w:val="-2"/>
          <w:lang w:val="fr-FR"/>
        </w:rPr>
        <w:t>améliorer la qualité de la mise en œuvre verticale en adoptant une approche par niveau de l</w:t>
      </w:r>
      <w:r w:rsidR="00D82B54" w:rsidRPr="00267A6E">
        <w:rPr>
          <w:spacing w:val="-2"/>
          <w:lang w:val="fr-FR"/>
        </w:rPr>
        <w:t>’</w:t>
      </w:r>
      <w:r w:rsidRPr="00267A6E">
        <w:rPr>
          <w:spacing w:val="-2"/>
          <w:lang w:val="fr-FR"/>
        </w:rPr>
        <w:t xml:space="preserve">évaluation </w:t>
      </w:r>
      <w:r w:rsidRPr="00267A6E">
        <w:rPr>
          <w:lang w:val="fr-FR"/>
        </w:rPr>
        <w:t>environnementale et en veillant à ce que les connaissances soient diffusées aux différents niveaux (politique générale, plan et projet)</w:t>
      </w:r>
      <w:r w:rsidR="00967A77" w:rsidRPr="00267A6E">
        <w:rPr>
          <w:lang w:val="fr-FR"/>
        </w:rPr>
        <w:t>.</w:t>
      </w:r>
      <w:r w:rsidRPr="00267A6E">
        <w:rPr>
          <w:lang w:val="fr-FR"/>
        </w:rPr>
        <w:t xml:space="preserve"> Des recherches menées en Irlande ont mis en évidence la façon dont l</w:t>
      </w:r>
      <w:r w:rsidR="00D82B54" w:rsidRPr="00267A6E">
        <w:rPr>
          <w:lang w:val="fr-FR"/>
        </w:rPr>
        <w:t>’</w:t>
      </w:r>
      <w:r w:rsidRPr="00267A6E">
        <w:rPr>
          <w:lang w:val="fr-FR"/>
        </w:rPr>
        <w:t>approche par niveau peut influer sur les évaluations réalisées au niveau des projets, mais dans la pratique, l</w:t>
      </w:r>
      <w:r w:rsidR="00D82B54" w:rsidRPr="00267A6E">
        <w:rPr>
          <w:lang w:val="fr-FR"/>
        </w:rPr>
        <w:t>’</w:t>
      </w:r>
      <w:r w:rsidRPr="00267A6E">
        <w:rPr>
          <w:lang w:val="fr-FR"/>
        </w:rPr>
        <w:t>emploi de cette approche reste rare</w:t>
      </w:r>
      <w:r w:rsidRPr="00267A6E">
        <w:rPr>
          <w:rStyle w:val="FootnoteReference"/>
          <w:lang w:val="fr-FR"/>
        </w:rPr>
        <w:footnoteReference w:id="65"/>
      </w:r>
      <w:r w:rsidR="00967A77" w:rsidRPr="00267A6E">
        <w:rPr>
          <w:lang w:val="fr-FR"/>
        </w:rPr>
        <w:t>.</w:t>
      </w:r>
      <w:r w:rsidRPr="00267A6E">
        <w:rPr>
          <w:lang w:val="fr-FR"/>
        </w:rPr>
        <w:t xml:space="preserve"> En outre, le fait que la Convention et le Protocole soient applicables dans de multiples secteurs signifie que ces instruments ont un rôle important à jouer dans la mise en œuvre horizontale de l</w:t>
      </w:r>
      <w:r w:rsidR="00D82B54" w:rsidRPr="00267A6E">
        <w:rPr>
          <w:lang w:val="fr-FR"/>
        </w:rPr>
        <w:t>’</w:t>
      </w:r>
      <w:r w:rsidRPr="00267A6E">
        <w:rPr>
          <w:lang w:val="fr-FR"/>
        </w:rPr>
        <w:t>économie circulaire, puisqu</w:t>
      </w:r>
      <w:r w:rsidR="00D82B54" w:rsidRPr="00267A6E">
        <w:rPr>
          <w:lang w:val="fr-FR"/>
        </w:rPr>
        <w:t>’</w:t>
      </w:r>
      <w:r w:rsidRPr="00267A6E">
        <w:rPr>
          <w:lang w:val="fr-FR"/>
        </w:rPr>
        <w:t>ils garantissent que les impacts environnementaux seront pleinement pris en compte dans le processus de décision</w:t>
      </w:r>
      <w:r w:rsidR="00967A77" w:rsidRPr="00267A6E">
        <w:rPr>
          <w:lang w:val="fr-FR"/>
        </w:rPr>
        <w:t>.</w:t>
      </w:r>
    </w:p>
    <w:p w14:paraId="34C9EB10" w14:textId="20146ABE" w:rsidR="003373A7" w:rsidRPr="00267A6E" w:rsidRDefault="003373A7" w:rsidP="005D7C43">
      <w:pPr>
        <w:pStyle w:val="SingleTxtG"/>
        <w:rPr>
          <w:lang w:val="fr-FR"/>
        </w:rPr>
      </w:pPr>
      <w:r w:rsidRPr="00267A6E">
        <w:rPr>
          <w:lang w:val="fr-FR"/>
        </w:rPr>
        <w:t>36</w:t>
      </w:r>
      <w:r w:rsidR="00967A77" w:rsidRPr="00267A6E">
        <w:rPr>
          <w:lang w:val="fr-FR"/>
        </w:rPr>
        <w:t>.</w:t>
      </w:r>
      <w:r w:rsidRPr="00267A6E">
        <w:rPr>
          <w:lang w:val="fr-FR"/>
        </w:rPr>
        <w:tab/>
        <w:t>Le Comité économique et social européen a formulé des recommandations sur la base de travaux d</w:t>
      </w:r>
      <w:r w:rsidR="00D82B54" w:rsidRPr="00267A6E">
        <w:rPr>
          <w:lang w:val="fr-FR"/>
        </w:rPr>
        <w:t>’</w:t>
      </w:r>
      <w:r w:rsidRPr="00267A6E">
        <w:rPr>
          <w:lang w:val="fr-FR"/>
        </w:rPr>
        <w:t>analyse des stratégies de promotion de l</w:t>
      </w:r>
      <w:r w:rsidR="00D82B54" w:rsidRPr="00267A6E">
        <w:rPr>
          <w:lang w:val="fr-FR"/>
        </w:rPr>
        <w:t>’</w:t>
      </w:r>
      <w:r w:rsidRPr="00267A6E">
        <w:rPr>
          <w:lang w:val="fr-FR"/>
        </w:rPr>
        <w:t>économie circulaire récemment adoptées en Europe (États membres de l</w:t>
      </w:r>
      <w:r w:rsidR="00D82B54" w:rsidRPr="00267A6E">
        <w:rPr>
          <w:lang w:val="fr-FR"/>
        </w:rPr>
        <w:t>’</w:t>
      </w:r>
      <w:r w:rsidRPr="00267A6E">
        <w:rPr>
          <w:lang w:val="fr-FR"/>
        </w:rPr>
        <w:t>Union européenne, plus la Norvège et le Royaume</w:t>
      </w:r>
      <w:r w:rsidR="007E7DDB" w:rsidRPr="00267A6E">
        <w:rPr>
          <w:lang w:val="fr-FR"/>
        </w:rPr>
        <w:noBreakHyphen/>
      </w:r>
      <w:r w:rsidRPr="00267A6E">
        <w:rPr>
          <w:lang w:val="fr-FR"/>
        </w:rPr>
        <w:t>Uni de Grande-Bretagne et d</w:t>
      </w:r>
      <w:r w:rsidR="00D82B54" w:rsidRPr="00267A6E">
        <w:rPr>
          <w:lang w:val="fr-FR"/>
        </w:rPr>
        <w:t>’</w:t>
      </w:r>
      <w:r w:rsidRPr="00267A6E">
        <w:rPr>
          <w:lang w:val="fr-FR"/>
        </w:rPr>
        <w:t>Irlande du Nord) et a préconisé une participation plus forte des organisations de la société civile dans les phases initiales de l</w:t>
      </w:r>
      <w:r w:rsidR="00D82B54" w:rsidRPr="00267A6E">
        <w:rPr>
          <w:lang w:val="fr-FR"/>
        </w:rPr>
        <w:t>’</w:t>
      </w:r>
      <w:r w:rsidRPr="00267A6E">
        <w:rPr>
          <w:lang w:val="fr-FR"/>
        </w:rPr>
        <w:t>élaboration des stratégies</w:t>
      </w:r>
      <w:r w:rsidRPr="00267A6E">
        <w:rPr>
          <w:rStyle w:val="FootnoteReference"/>
          <w:lang w:val="fr-FR"/>
        </w:rPr>
        <w:footnoteReference w:id="66"/>
      </w:r>
      <w:r w:rsidR="00967A77" w:rsidRPr="00267A6E">
        <w:rPr>
          <w:lang w:val="fr-FR"/>
        </w:rPr>
        <w:t>.</w:t>
      </w:r>
      <w:r w:rsidRPr="00267A6E">
        <w:rPr>
          <w:lang w:val="fr-FR"/>
        </w:rPr>
        <w:t xml:space="preserve"> Étant donné que la Convention et le Protocole s</w:t>
      </w:r>
      <w:r w:rsidR="00D82B54" w:rsidRPr="00267A6E">
        <w:rPr>
          <w:lang w:val="fr-FR"/>
        </w:rPr>
        <w:t>’</w:t>
      </w:r>
      <w:r w:rsidRPr="00267A6E">
        <w:rPr>
          <w:lang w:val="fr-FR"/>
        </w:rPr>
        <w:t>appliquent à de nombreux secteurs et prévoient des prescriptions exhaustives en matière de participation du public, ils ont un rôle important à jouer pour ce qui est de garantir l</w:t>
      </w:r>
      <w:r w:rsidR="00D82B54" w:rsidRPr="00267A6E">
        <w:rPr>
          <w:lang w:val="fr-FR"/>
        </w:rPr>
        <w:t>’</w:t>
      </w:r>
      <w:r w:rsidRPr="00267A6E">
        <w:rPr>
          <w:lang w:val="fr-FR"/>
        </w:rPr>
        <w:t>acceptabilité sociale de l</w:t>
      </w:r>
      <w:r w:rsidR="00D82B54" w:rsidRPr="00267A6E">
        <w:rPr>
          <w:lang w:val="fr-FR"/>
        </w:rPr>
        <w:t>’</w:t>
      </w:r>
      <w:r w:rsidRPr="00267A6E">
        <w:rPr>
          <w:lang w:val="fr-FR"/>
        </w:rPr>
        <w:t>économie circulaire</w:t>
      </w:r>
      <w:r w:rsidR="00967A77" w:rsidRPr="00267A6E">
        <w:rPr>
          <w:lang w:val="fr-FR"/>
        </w:rPr>
        <w:t>.</w:t>
      </w:r>
    </w:p>
    <w:p w14:paraId="0C726B37" w14:textId="09605563" w:rsidR="00C25C7D" w:rsidRPr="00267A6E" w:rsidRDefault="003373A7" w:rsidP="005D7C43">
      <w:pPr>
        <w:pStyle w:val="SingleTxtG"/>
        <w:rPr>
          <w:lang w:val="fr-FR"/>
        </w:rPr>
      </w:pPr>
      <w:r w:rsidRPr="00267A6E">
        <w:rPr>
          <w:lang w:val="fr-FR"/>
        </w:rPr>
        <w:t>37</w:t>
      </w:r>
      <w:r w:rsidR="00967A77" w:rsidRPr="00267A6E">
        <w:rPr>
          <w:lang w:val="fr-FR"/>
        </w:rPr>
        <w:t>.</w:t>
      </w:r>
      <w:r w:rsidRPr="00267A6E">
        <w:rPr>
          <w:lang w:val="fr-FR"/>
        </w:rPr>
        <w:tab/>
        <w:t>La Commission européenne a souligné le rôle d</w:t>
      </w:r>
      <w:r w:rsidR="00D82B54" w:rsidRPr="00267A6E">
        <w:rPr>
          <w:lang w:val="fr-FR"/>
        </w:rPr>
        <w:t>’</w:t>
      </w:r>
      <w:r w:rsidRPr="00267A6E">
        <w:rPr>
          <w:lang w:val="fr-FR"/>
        </w:rPr>
        <w:t>appui que joue l</w:t>
      </w:r>
      <w:r w:rsidR="00D82B54" w:rsidRPr="00267A6E">
        <w:rPr>
          <w:lang w:val="fr-FR"/>
        </w:rPr>
        <w:t>’</w:t>
      </w:r>
      <w:r w:rsidRPr="00267A6E">
        <w:rPr>
          <w:lang w:val="fr-FR"/>
        </w:rPr>
        <w:t>évaluation de l</w:t>
      </w:r>
      <w:r w:rsidR="00D82B54" w:rsidRPr="00267A6E">
        <w:rPr>
          <w:lang w:val="fr-FR"/>
        </w:rPr>
        <w:t>’</w:t>
      </w:r>
      <w:r w:rsidRPr="00267A6E">
        <w:rPr>
          <w:lang w:val="fr-FR"/>
        </w:rPr>
        <w:t>impact sur l</w:t>
      </w:r>
      <w:r w:rsidR="00D82B54" w:rsidRPr="00267A6E">
        <w:rPr>
          <w:lang w:val="fr-FR"/>
        </w:rPr>
        <w:t>’</w:t>
      </w:r>
      <w:r w:rsidRPr="00267A6E">
        <w:rPr>
          <w:lang w:val="fr-FR"/>
        </w:rPr>
        <w:t>environnement dans la mise en place d</w:t>
      </w:r>
      <w:r w:rsidR="00D82B54" w:rsidRPr="00267A6E">
        <w:rPr>
          <w:lang w:val="fr-FR"/>
        </w:rPr>
        <w:t>’</w:t>
      </w:r>
      <w:r w:rsidRPr="00267A6E">
        <w:rPr>
          <w:lang w:val="fr-FR"/>
        </w:rPr>
        <w:t>une économie circulaire</w:t>
      </w:r>
      <w:r w:rsidRPr="00267A6E">
        <w:rPr>
          <w:rStyle w:val="FootnoteReference"/>
          <w:lang w:val="fr-FR"/>
        </w:rPr>
        <w:footnoteReference w:id="67"/>
      </w:r>
      <w:r w:rsidR="00967A77" w:rsidRPr="00267A6E">
        <w:rPr>
          <w:lang w:val="fr-FR"/>
        </w:rPr>
        <w:t>.</w:t>
      </w:r>
      <w:r w:rsidRPr="00267A6E">
        <w:rPr>
          <w:lang w:val="fr-FR"/>
        </w:rPr>
        <w:t xml:space="preserve"> En outre, le Bureau régional de l</w:t>
      </w:r>
      <w:r w:rsidR="00D82B54" w:rsidRPr="00267A6E">
        <w:rPr>
          <w:lang w:val="fr-FR"/>
        </w:rPr>
        <w:t>’</w:t>
      </w:r>
      <w:r w:rsidRPr="00267A6E">
        <w:rPr>
          <w:lang w:val="fr-FR"/>
        </w:rPr>
        <w:t>OMS pour l</w:t>
      </w:r>
      <w:r w:rsidR="00D82B54" w:rsidRPr="00267A6E">
        <w:rPr>
          <w:lang w:val="fr-FR"/>
        </w:rPr>
        <w:t>’</w:t>
      </w:r>
      <w:r w:rsidRPr="00267A6E">
        <w:rPr>
          <w:lang w:val="fr-FR"/>
        </w:rPr>
        <w:t>Europe (OMS/Europe) est conscient du rôle que l</w:t>
      </w:r>
      <w:r w:rsidR="00D82B54" w:rsidRPr="00267A6E">
        <w:rPr>
          <w:lang w:val="fr-FR"/>
        </w:rPr>
        <w:t>’</w:t>
      </w:r>
      <w:r w:rsidRPr="00267A6E">
        <w:rPr>
          <w:lang w:val="fr-FR"/>
        </w:rPr>
        <w:t>évaluation stratégique environnementale et l</w:t>
      </w:r>
      <w:r w:rsidR="00D82B54" w:rsidRPr="00267A6E">
        <w:rPr>
          <w:lang w:val="fr-FR"/>
        </w:rPr>
        <w:t>’</w:t>
      </w:r>
      <w:r w:rsidRPr="00267A6E">
        <w:rPr>
          <w:lang w:val="fr-FR"/>
        </w:rPr>
        <w:t>évaluation de l</w:t>
      </w:r>
      <w:r w:rsidR="00D82B54" w:rsidRPr="00267A6E">
        <w:rPr>
          <w:lang w:val="fr-FR"/>
        </w:rPr>
        <w:t>’</w:t>
      </w:r>
      <w:r w:rsidRPr="00267A6E">
        <w:rPr>
          <w:lang w:val="fr-FR"/>
        </w:rPr>
        <w:t>impact sur l</w:t>
      </w:r>
      <w:r w:rsidR="00D82B54" w:rsidRPr="00267A6E">
        <w:rPr>
          <w:lang w:val="fr-FR"/>
        </w:rPr>
        <w:t>’</w:t>
      </w:r>
      <w:r w:rsidRPr="00267A6E">
        <w:rPr>
          <w:lang w:val="fr-FR"/>
        </w:rPr>
        <w:t>environnement peuvent jouer dans l</w:t>
      </w:r>
      <w:r w:rsidR="00D82B54" w:rsidRPr="00267A6E">
        <w:rPr>
          <w:lang w:val="fr-FR"/>
        </w:rPr>
        <w:t>’</w:t>
      </w:r>
      <w:r w:rsidRPr="00267A6E">
        <w:rPr>
          <w:lang w:val="fr-FR"/>
        </w:rPr>
        <w:t>examen des incidences sur la santé humaine de la mise en place d</w:t>
      </w:r>
      <w:r w:rsidR="00D82B54" w:rsidRPr="00267A6E">
        <w:rPr>
          <w:lang w:val="fr-FR"/>
        </w:rPr>
        <w:t>’</w:t>
      </w:r>
      <w:r w:rsidRPr="00267A6E">
        <w:rPr>
          <w:lang w:val="fr-FR"/>
        </w:rPr>
        <w:t>une économie circulaire</w:t>
      </w:r>
      <w:r w:rsidRPr="00267A6E">
        <w:rPr>
          <w:rStyle w:val="FootnoteReference"/>
          <w:lang w:val="fr-FR"/>
        </w:rPr>
        <w:footnoteReference w:id="68"/>
      </w:r>
      <w:r w:rsidR="00967A77" w:rsidRPr="00267A6E">
        <w:rPr>
          <w:lang w:val="fr-FR"/>
        </w:rPr>
        <w:t>.</w:t>
      </w:r>
    </w:p>
    <w:p w14:paraId="08BF9022" w14:textId="71879AD5" w:rsidR="003373A7" w:rsidRPr="00267A6E" w:rsidRDefault="003373A7" w:rsidP="005D7C43">
      <w:pPr>
        <w:pStyle w:val="H1G"/>
        <w:rPr>
          <w:lang w:val="fr-FR"/>
        </w:rPr>
      </w:pPr>
      <w:r w:rsidRPr="00267A6E">
        <w:rPr>
          <w:lang w:val="fr-FR"/>
        </w:rPr>
        <w:tab/>
        <w:t>D</w:t>
      </w:r>
      <w:r w:rsidR="00967A77" w:rsidRPr="00267A6E">
        <w:rPr>
          <w:lang w:val="fr-FR"/>
        </w:rPr>
        <w:t>.</w:t>
      </w:r>
      <w:r w:rsidRPr="00267A6E">
        <w:rPr>
          <w:lang w:val="fr-FR"/>
        </w:rPr>
        <w:tab/>
        <w:t>Domaines dans lesquels la Convention et le Protocole pourraient davantage contribuer à la mise en place de l</w:t>
      </w:r>
      <w:r w:rsidR="00D82B54" w:rsidRPr="00267A6E">
        <w:rPr>
          <w:lang w:val="fr-FR"/>
        </w:rPr>
        <w:t>’</w:t>
      </w:r>
      <w:r w:rsidRPr="00267A6E">
        <w:rPr>
          <w:lang w:val="fr-FR"/>
        </w:rPr>
        <w:t>économie circulaire</w:t>
      </w:r>
    </w:p>
    <w:p w14:paraId="38092917" w14:textId="5388A1A1" w:rsidR="003373A7" w:rsidRPr="00267A6E" w:rsidRDefault="003373A7" w:rsidP="005D7C43">
      <w:pPr>
        <w:pStyle w:val="SingleTxtG"/>
        <w:rPr>
          <w:lang w:val="fr-FR"/>
        </w:rPr>
      </w:pPr>
      <w:r w:rsidRPr="00267A6E">
        <w:rPr>
          <w:lang w:val="fr-FR"/>
        </w:rPr>
        <w:t>38</w:t>
      </w:r>
      <w:r w:rsidR="00967A77" w:rsidRPr="00267A6E">
        <w:rPr>
          <w:lang w:val="fr-FR"/>
        </w:rPr>
        <w:t>.</w:t>
      </w:r>
      <w:r w:rsidRPr="00267A6E">
        <w:rPr>
          <w:lang w:val="fr-FR"/>
        </w:rPr>
        <w:tab/>
        <w:t>Dans de nombreux domaines liés à l</w:t>
      </w:r>
      <w:r w:rsidR="00D82B54" w:rsidRPr="00267A6E">
        <w:rPr>
          <w:lang w:val="fr-FR"/>
        </w:rPr>
        <w:t>’</w:t>
      </w:r>
      <w:r w:rsidRPr="00267A6E">
        <w:rPr>
          <w:lang w:val="fr-FR"/>
        </w:rPr>
        <w:t>environnement et à la santé, la Convention et le Protocole facilitent grandement l</w:t>
      </w:r>
      <w:r w:rsidR="00D82B54" w:rsidRPr="00267A6E">
        <w:rPr>
          <w:lang w:val="fr-FR"/>
        </w:rPr>
        <w:t>’</w:t>
      </w:r>
      <w:r w:rsidRPr="00267A6E">
        <w:rPr>
          <w:lang w:val="fr-FR"/>
        </w:rPr>
        <w:t>évaluation de l</w:t>
      </w:r>
      <w:r w:rsidR="00D82B54" w:rsidRPr="00267A6E">
        <w:rPr>
          <w:lang w:val="fr-FR"/>
        </w:rPr>
        <w:t>’</w:t>
      </w:r>
      <w:r w:rsidRPr="00267A6E">
        <w:rPr>
          <w:lang w:val="fr-FR"/>
        </w:rPr>
        <w:t>impact des interventions proposées</w:t>
      </w:r>
      <w:r w:rsidR="00967A77" w:rsidRPr="00267A6E">
        <w:rPr>
          <w:lang w:val="fr-FR"/>
        </w:rPr>
        <w:t>.</w:t>
      </w:r>
      <w:r w:rsidRPr="00267A6E">
        <w:rPr>
          <w:lang w:val="fr-FR"/>
        </w:rPr>
        <w:t xml:space="preserve"> Toutefois, ces instruments ont été élaborés avant que la circularité ne devienne une composante centrale de la conception des politiques</w:t>
      </w:r>
      <w:r w:rsidR="00967A77" w:rsidRPr="00267A6E">
        <w:rPr>
          <w:lang w:val="fr-FR"/>
        </w:rPr>
        <w:t>.</w:t>
      </w:r>
      <w:r w:rsidRPr="00267A6E">
        <w:rPr>
          <w:lang w:val="fr-FR"/>
        </w:rPr>
        <w:t xml:space="preserve"> Par conséquent, si les Parties sont tenues de communiquer des informations quant aux effets notables que les solutions de remplacement raisonnables sont susceptibles d</w:t>
      </w:r>
      <w:r w:rsidR="00D82B54" w:rsidRPr="00267A6E">
        <w:rPr>
          <w:lang w:val="fr-FR"/>
        </w:rPr>
        <w:t>’</w:t>
      </w:r>
      <w:r w:rsidRPr="00267A6E">
        <w:rPr>
          <w:lang w:val="fr-FR"/>
        </w:rPr>
        <w:t>avoir et de proposer des mesures d</w:t>
      </w:r>
      <w:r w:rsidR="00D82B54" w:rsidRPr="00267A6E">
        <w:rPr>
          <w:lang w:val="fr-FR"/>
        </w:rPr>
        <w:t>’</w:t>
      </w:r>
      <w:r w:rsidRPr="00267A6E">
        <w:rPr>
          <w:lang w:val="fr-FR"/>
        </w:rPr>
        <w:t>atténuation de ces effets notables, l</w:t>
      </w:r>
      <w:r w:rsidR="00D82B54" w:rsidRPr="00267A6E">
        <w:rPr>
          <w:lang w:val="fr-FR"/>
        </w:rPr>
        <w:t>’</w:t>
      </w:r>
      <w:r w:rsidRPr="00267A6E">
        <w:rPr>
          <w:lang w:val="fr-FR"/>
        </w:rPr>
        <w:t>évaluation n</w:t>
      </w:r>
      <w:r w:rsidR="00D82B54" w:rsidRPr="00267A6E">
        <w:rPr>
          <w:lang w:val="fr-FR"/>
        </w:rPr>
        <w:t>’</w:t>
      </w:r>
      <w:r w:rsidRPr="00267A6E">
        <w:rPr>
          <w:lang w:val="fr-FR"/>
        </w:rPr>
        <w:t>intègre pas les principes de circularité</w:t>
      </w:r>
      <w:r w:rsidR="00967A77" w:rsidRPr="00267A6E">
        <w:rPr>
          <w:lang w:val="fr-FR"/>
        </w:rPr>
        <w:t>.</w:t>
      </w:r>
      <w:r w:rsidRPr="00267A6E">
        <w:rPr>
          <w:lang w:val="fr-FR"/>
        </w:rPr>
        <w:t xml:space="preserve"> L</w:t>
      </w:r>
      <w:r w:rsidR="00D82B54" w:rsidRPr="00267A6E">
        <w:rPr>
          <w:lang w:val="fr-FR"/>
        </w:rPr>
        <w:t>’</w:t>
      </w:r>
      <w:r w:rsidRPr="00267A6E">
        <w:rPr>
          <w:lang w:val="fr-FR"/>
        </w:rPr>
        <w:t>International Association for Impact Assessment constate donc qu</w:t>
      </w:r>
      <w:r w:rsidR="00D82B54" w:rsidRPr="00267A6E">
        <w:rPr>
          <w:lang w:val="fr-FR"/>
        </w:rPr>
        <w:t>’</w:t>
      </w:r>
      <w:r w:rsidRPr="00267A6E">
        <w:rPr>
          <w:lang w:val="fr-FR"/>
        </w:rPr>
        <w:t>il faut, dans une certaine mesure, mettre l</w:t>
      </w:r>
      <w:r w:rsidR="00D82B54" w:rsidRPr="00267A6E">
        <w:rPr>
          <w:lang w:val="fr-FR"/>
        </w:rPr>
        <w:t>’</w:t>
      </w:r>
      <w:r w:rsidRPr="00267A6E">
        <w:rPr>
          <w:lang w:val="fr-FR"/>
        </w:rPr>
        <w:t>évaluation de l</w:t>
      </w:r>
      <w:r w:rsidR="00D82B54" w:rsidRPr="00267A6E">
        <w:rPr>
          <w:lang w:val="fr-FR"/>
        </w:rPr>
        <w:t>’</w:t>
      </w:r>
      <w:r w:rsidRPr="00267A6E">
        <w:rPr>
          <w:lang w:val="fr-FR"/>
        </w:rPr>
        <w:t>impact en harmonie avec les approches circulaires</w:t>
      </w:r>
      <w:r w:rsidRPr="00267A6E">
        <w:rPr>
          <w:rStyle w:val="FootnoteReference"/>
          <w:lang w:val="fr-FR"/>
        </w:rPr>
        <w:footnoteReference w:id="69"/>
      </w:r>
      <w:r w:rsidR="00967A77" w:rsidRPr="00267A6E">
        <w:rPr>
          <w:lang w:val="fr-FR"/>
        </w:rPr>
        <w:t>.</w:t>
      </w:r>
    </w:p>
    <w:p w14:paraId="527A2ECC" w14:textId="2D36E91B" w:rsidR="003373A7" w:rsidRPr="00267A6E" w:rsidRDefault="003373A7" w:rsidP="005E0CBD">
      <w:pPr>
        <w:pStyle w:val="SingleTxtG"/>
        <w:spacing w:after="100"/>
        <w:rPr>
          <w:lang w:val="fr-FR"/>
        </w:rPr>
      </w:pPr>
      <w:r w:rsidRPr="00267A6E">
        <w:rPr>
          <w:lang w:val="fr-FR"/>
        </w:rPr>
        <w:t>39</w:t>
      </w:r>
      <w:r w:rsidR="00967A77" w:rsidRPr="00267A6E">
        <w:rPr>
          <w:lang w:val="fr-FR"/>
        </w:rPr>
        <w:t>.</w:t>
      </w:r>
      <w:r w:rsidRPr="00267A6E">
        <w:rPr>
          <w:lang w:val="fr-FR"/>
        </w:rPr>
        <w:tab/>
        <w:t>Des études montrent que les progrès réalisés dans la mise en place d</w:t>
      </w:r>
      <w:r w:rsidR="00D82B54" w:rsidRPr="00267A6E">
        <w:rPr>
          <w:lang w:val="fr-FR"/>
        </w:rPr>
        <w:t>’</w:t>
      </w:r>
      <w:r w:rsidRPr="00267A6E">
        <w:rPr>
          <w:lang w:val="fr-FR"/>
        </w:rPr>
        <w:t>une économie circulaire varient d</w:t>
      </w:r>
      <w:r w:rsidR="00D82B54" w:rsidRPr="00267A6E">
        <w:rPr>
          <w:lang w:val="fr-FR"/>
        </w:rPr>
        <w:t>’</w:t>
      </w:r>
      <w:r w:rsidRPr="00267A6E">
        <w:rPr>
          <w:lang w:val="fr-FR"/>
        </w:rPr>
        <w:t>un pays de l</w:t>
      </w:r>
      <w:r w:rsidR="00D82B54" w:rsidRPr="00267A6E">
        <w:rPr>
          <w:lang w:val="fr-FR"/>
        </w:rPr>
        <w:t>’</w:t>
      </w:r>
      <w:r w:rsidRPr="00267A6E">
        <w:rPr>
          <w:lang w:val="fr-FR"/>
        </w:rPr>
        <w:t>Union européenne à l</w:t>
      </w:r>
      <w:r w:rsidR="00D82B54" w:rsidRPr="00267A6E">
        <w:rPr>
          <w:lang w:val="fr-FR"/>
        </w:rPr>
        <w:t>’</w:t>
      </w:r>
      <w:r w:rsidRPr="00267A6E">
        <w:rPr>
          <w:lang w:val="fr-FR"/>
        </w:rPr>
        <w:t>autre, ce qui conduit à l</w:t>
      </w:r>
      <w:r w:rsidR="00D82B54" w:rsidRPr="00267A6E">
        <w:rPr>
          <w:lang w:val="fr-FR"/>
        </w:rPr>
        <w:t>’</w:t>
      </w:r>
      <w:r w:rsidRPr="00267A6E">
        <w:rPr>
          <w:lang w:val="fr-FR"/>
        </w:rPr>
        <w:t>émergence d</w:t>
      </w:r>
      <w:r w:rsidR="00D82B54" w:rsidRPr="00267A6E">
        <w:rPr>
          <w:lang w:val="fr-FR"/>
        </w:rPr>
        <w:t>’</w:t>
      </w:r>
      <w:r w:rsidRPr="00267A6E">
        <w:rPr>
          <w:lang w:val="fr-FR"/>
        </w:rPr>
        <w:t>une Europe à deux vitesses à cet égard</w:t>
      </w:r>
      <w:r w:rsidRPr="00267A6E">
        <w:rPr>
          <w:rStyle w:val="FootnoteReference"/>
          <w:lang w:val="fr-FR"/>
        </w:rPr>
        <w:footnoteReference w:id="70"/>
      </w:r>
      <w:r w:rsidR="00967A77" w:rsidRPr="00267A6E">
        <w:rPr>
          <w:lang w:val="fr-FR"/>
        </w:rPr>
        <w:t>.</w:t>
      </w:r>
      <w:r w:rsidRPr="00267A6E">
        <w:rPr>
          <w:lang w:val="fr-FR"/>
        </w:rPr>
        <w:t xml:space="preserve"> La Convention et le Protocole, du fait du rôle qu</w:t>
      </w:r>
      <w:r w:rsidR="00D82B54" w:rsidRPr="00267A6E">
        <w:rPr>
          <w:lang w:val="fr-FR"/>
        </w:rPr>
        <w:t>’</w:t>
      </w:r>
      <w:r w:rsidRPr="00267A6E">
        <w:rPr>
          <w:lang w:val="fr-FR"/>
        </w:rPr>
        <w:t>ils pourraient jouer dans la mise en place d</w:t>
      </w:r>
      <w:r w:rsidR="00D82B54" w:rsidRPr="00267A6E">
        <w:rPr>
          <w:lang w:val="fr-FR"/>
        </w:rPr>
        <w:t>’</w:t>
      </w:r>
      <w:r w:rsidRPr="00267A6E">
        <w:rPr>
          <w:lang w:val="fr-FR"/>
        </w:rPr>
        <w:t>une économie circulaire dans la région de la CEE et au-delà, pourraient contribuer à harmoniser les progrès dans ce domaine et à prévenir les déséquilibres économiques (voir l</w:t>
      </w:r>
      <w:r w:rsidR="00D82B54" w:rsidRPr="00267A6E">
        <w:rPr>
          <w:lang w:val="fr-FR"/>
        </w:rPr>
        <w:t>’</w:t>
      </w:r>
      <w:r w:rsidR="00CE2EB6" w:rsidRPr="00267A6E">
        <w:rPr>
          <w:lang w:val="fr-FR"/>
        </w:rPr>
        <w:t>encadré </w:t>
      </w:r>
      <w:r w:rsidRPr="00267A6E">
        <w:rPr>
          <w:lang w:val="fr-FR"/>
        </w:rPr>
        <w:t>3 pour des suggestions de points et questions qui pourraient servir de fil conducteur aux discussions)</w:t>
      </w:r>
      <w:r w:rsidR="00967A77" w:rsidRPr="00267A6E">
        <w:rPr>
          <w:lang w:val="fr-FR"/>
        </w:rPr>
        <w:t>.</w:t>
      </w:r>
    </w:p>
    <w:tbl>
      <w:tblPr>
        <w:tblStyle w:val="TableGrid"/>
        <w:tblW w:w="7653" w:type="dxa"/>
        <w:jc w:val="center"/>
        <w:tblBorders>
          <w:top w:val="none" w:sz="0" w:space="0" w:color="auto"/>
          <w:left w:val="none" w:sz="0" w:space="0" w:color="auto"/>
          <w:bottom w:val="none" w:sz="0" w:space="0" w:color="auto"/>
          <w:right w:val="none" w:sz="0" w:space="0" w:color="auto"/>
          <w:insideH w:val="none" w:sz="0" w:space="0" w:color="auto"/>
        </w:tblBorders>
        <w:tblLayout w:type="fixed"/>
        <w:tblCellMar>
          <w:left w:w="142" w:type="dxa"/>
          <w:right w:w="142" w:type="dxa"/>
        </w:tblCellMar>
        <w:tblLook w:val="04A0" w:firstRow="1" w:lastRow="0" w:firstColumn="1" w:lastColumn="0" w:noHBand="0" w:noVBand="1"/>
      </w:tblPr>
      <w:tblGrid>
        <w:gridCol w:w="7653"/>
      </w:tblGrid>
      <w:tr w:rsidR="00923D44" w:rsidRPr="00267A6E" w14:paraId="61310C67" w14:textId="77777777">
        <w:trPr>
          <w:trHeight w:hRule="exact" w:val="240"/>
          <w:jc w:val="center"/>
        </w:trPr>
        <w:tc>
          <w:tcPr>
            <w:tcW w:w="7653" w:type="dxa"/>
            <w:tcBorders>
              <w:top w:val="single" w:sz="4" w:space="0" w:color="auto"/>
              <w:left w:val="single" w:sz="4" w:space="0" w:color="auto"/>
              <w:bottom w:val="nil"/>
              <w:right w:val="single" w:sz="4" w:space="0" w:color="auto"/>
            </w:tcBorders>
            <w:shd w:val="clear" w:color="auto" w:fill="auto"/>
          </w:tcPr>
          <w:p w14:paraId="08E5566B" w14:textId="1510C81E" w:rsidR="00923D44" w:rsidRPr="00267A6E" w:rsidRDefault="00CE2EB6">
            <w:pPr>
              <w:rPr>
                <w:lang w:val="fr-FR"/>
              </w:rPr>
            </w:pPr>
            <w:r w:rsidRPr="00267A6E">
              <w:rPr>
                <w:lang w:val="fr-FR"/>
              </w:rPr>
              <w:t>Encadré </w:t>
            </w:r>
            <w:r w:rsidR="00923D44" w:rsidRPr="00267A6E">
              <w:rPr>
                <w:lang w:val="fr-FR"/>
              </w:rPr>
              <w:t>3</w:t>
            </w:r>
          </w:p>
        </w:tc>
      </w:tr>
      <w:tr w:rsidR="00923D44" w:rsidRPr="00267A6E" w14:paraId="23CD8168" w14:textId="77777777">
        <w:trPr>
          <w:jc w:val="center"/>
        </w:trPr>
        <w:tc>
          <w:tcPr>
            <w:tcW w:w="7653" w:type="dxa"/>
            <w:tcBorders>
              <w:left w:val="single" w:sz="4" w:space="0" w:color="auto"/>
              <w:bottom w:val="nil"/>
              <w:right w:val="single" w:sz="4" w:space="0" w:color="auto"/>
            </w:tcBorders>
            <w:shd w:val="clear" w:color="auto" w:fill="auto"/>
          </w:tcPr>
          <w:p w14:paraId="31B5BAD6" w14:textId="527348B7" w:rsidR="00923D44" w:rsidRPr="00267A6E" w:rsidRDefault="00923D44">
            <w:pPr>
              <w:spacing w:after="120"/>
              <w:jc w:val="both"/>
              <w:rPr>
                <w:lang w:val="fr-FR"/>
              </w:rPr>
            </w:pPr>
            <w:r w:rsidRPr="00267A6E">
              <w:rPr>
                <w:b/>
                <w:bCs/>
                <w:lang w:val="fr-FR"/>
              </w:rPr>
              <w:t>Principaux points et questions qui pourraient servir de fil conducteur aux discussions</w:t>
            </w:r>
          </w:p>
        </w:tc>
      </w:tr>
      <w:tr w:rsidR="00923D44" w:rsidRPr="00267A6E" w14:paraId="3A32A27D" w14:textId="77777777">
        <w:trPr>
          <w:jc w:val="center"/>
        </w:trPr>
        <w:tc>
          <w:tcPr>
            <w:tcW w:w="7653" w:type="dxa"/>
            <w:tcBorders>
              <w:left w:val="single" w:sz="4" w:space="0" w:color="auto"/>
              <w:bottom w:val="nil"/>
              <w:right w:val="single" w:sz="4" w:space="0" w:color="auto"/>
            </w:tcBorders>
            <w:shd w:val="clear" w:color="auto" w:fill="auto"/>
          </w:tcPr>
          <w:p w14:paraId="313ADCBA" w14:textId="51F8E488" w:rsidR="00923D44" w:rsidRPr="00267A6E" w:rsidRDefault="00923D44" w:rsidP="005E0CBD">
            <w:pPr>
              <w:tabs>
                <w:tab w:val="left" w:pos="388"/>
              </w:tabs>
              <w:spacing w:after="100"/>
              <w:ind w:left="388" w:hanging="388"/>
              <w:jc w:val="both"/>
              <w:rPr>
                <w:lang w:val="fr-FR"/>
              </w:rPr>
            </w:pPr>
            <w:r w:rsidRPr="00267A6E">
              <w:rPr>
                <w:lang w:val="fr-FR"/>
              </w:rPr>
              <w:t>1</w:t>
            </w:r>
            <w:r w:rsidR="00967A77" w:rsidRPr="00267A6E">
              <w:rPr>
                <w:lang w:val="fr-FR"/>
              </w:rPr>
              <w:t>.</w:t>
            </w:r>
            <w:r w:rsidRPr="00267A6E">
              <w:rPr>
                <w:lang w:val="fr-FR"/>
              </w:rPr>
              <w:tab/>
              <w:t>De quelle manière la Convention et le Protocole pourraient-ils être utilisés pour promouvoir des approches circulaires fondées sur les meilleures pratiques, qui englobent à la fois l</w:t>
            </w:r>
            <w:r w:rsidR="00D82B54" w:rsidRPr="00267A6E">
              <w:rPr>
                <w:lang w:val="fr-FR"/>
              </w:rPr>
              <w:t>’</w:t>
            </w:r>
            <w:r w:rsidRPr="00267A6E">
              <w:rPr>
                <w:lang w:val="fr-FR"/>
              </w:rPr>
              <w:t>intégration verticale et horizontale et la participation de la société civile ?</w:t>
            </w:r>
          </w:p>
        </w:tc>
      </w:tr>
      <w:tr w:rsidR="00923D44" w:rsidRPr="00267A6E" w14:paraId="4B4F46BE" w14:textId="77777777">
        <w:trPr>
          <w:jc w:val="center"/>
        </w:trPr>
        <w:tc>
          <w:tcPr>
            <w:tcW w:w="7653" w:type="dxa"/>
            <w:tcBorders>
              <w:left w:val="single" w:sz="4" w:space="0" w:color="auto"/>
              <w:bottom w:val="nil"/>
              <w:right w:val="single" w:sz="4" w:space="0" w:color="auto"/>
            </w:tcBorders>
            <w:shd w:val="clear" w:color="auto" w:fill="auto"/>
          </w:tcPr>
          <w:p w14:paraId="1553CF95" w14:textId="1C2886E4" w:rsidR="00923D44" w:rsidRPr="00267A6E" w:rsidRDefault="00923D44" w:rsidP="005E0CBD">
            <w:pPr>
              <w:tabs>
                <w:tab w:val="left" w:pos="388"/>
              </w:tabs>
              <w:spacing w:after="100"/>
              <w:ind w:left="388" w:hanging="388"/>
              <w:jc w:val="both"/>
              <w:rPr>
                <w:lang w:val="fr-FR"/>
              </w:rPr>
            </w:pPr>
            <w:r w:rsidRPr="00267A6E">
              <w:rPr>
                <w:lang w:val="fr-FR"/>
              </w:rPr>
              <w:t>2</w:t>
            </w:r>
            <w:r w:rsidR="00967A77" w:rsidRPr="00267A6E">
              <w:rPr>
                <w:lang w:val="fr-FR"/>
              </w:rPr>
              <w:t>.</w:t>
            </w:r>
            <w:r w:rsidRPr="00267A6E">
              <w:rPr>
                <w:lang w:val="fr-FR"/>
              </w:rPr>
              <w:tab/>
              <w:t>Comment l</w:t>
            </w:r>
            <w:r w:rsidR="00D82B54" w:rsidRPr="00267A6E">
              <w:rPr>
                <w:lang w:val="fr-FR"/>
              </w:rPr>
              <w:t>’</w:t>
            </w:r>
            <w:r w:rsidRPr="00267A6E">
              <w:rPr>
                <w:lang w:val="fr-FR"/>
              </w:rPr>
              <w:t>évaluation de l</w:t>
            </w:r>
            <w:r w:rsidR="00D82B54" w:rsidRPr="00267A6E">
              <w:rPr>
                <w:lang w:val="fr-FR"/>
              </w:rPr>
              <w:t>’</w:t>
            </w:r>
            <w:r w:rsidRPr="00267A6E">
              <w:rPr>
                <w:lang w:val="fr-FR"/>
              </w:rPr>
              <w:t>impact transfrontière sur l</w:t>
            </w:r>
            <w:r w:rsidR="00D82B54" w:rsidRPr="00267A6E">
              <w:rPr>
                <w:lang w:val="fr-FR"/>
              </w:rPr>
              <w:t>’</w:t>
            </w:r>
            <w:r w:rsidRPr="00267A6E">
              <w:rPr>
                <w:lang w:val="fr-FR"/>
              </w:rPr>
              <w:t>environnement pourrait-elle être utilisée au mieux pour repérer et promouvoir les possibilités offertes par l</w:t>
            </w:r>
            <w:r w:rsidR="00D82B54" w:rsidRPr="00267A6E">
              <w:rPr>
                <w:lang w:val="fr-FR"/>
              </w:rPr>
              <w:t>’</w:t>
            </w:r>
            <w:r w:rsidRPr="00267A6E">
              <w:rPr>
                <w:lang w:val="fr-FR"/>
              </w:rPr>
              <w:t>économie circulaire (par exemple</w:t>
            </w:r>
            <w:r w:rsidR="007E7DDB" w:rsidRPr="00267A6E">
              <w:rPr>
                <w:lang w:val="fr-FR"/>
              </w:rPr>
              <w:t>,</w:t>
            </w:r>
            <w:r w:rsidRPr="00267A6E">
              <w:rPr>
                <w:lang w:val="fr-FR"/>
              </w:rPr>
              <w:t xml:space="preserve"> les cas où des déchets générés par la Partie d</w:t>
            </w:r>
            <w:r w:rsidR="00D82B54" w:rsidRPr="00267A6E">
              <w:rPr>
                <w:lang w:val="fr-FR"/>
              </w:rPr>
              <w:t>’</w:t>
            </w:r>
            <w:r w:rsidRPr="00267A6E">
              <w:rPr>
                <w:lang w:val="fr-FR"/>
              </w:rPr>
              <w:t>origine peuvent servir de matières premières dans l</w:t>
            </w:r>
            <w:r w:rsidR="00D82B54" w:rsidRPr="00267A6E">
              <w:rPr>
                <w:lang w:val="fr-FR"/>
              </w:rPr>
              <w:t>’</w:t>
            </w:r>
            <w:r w:rsidRPr="00267A6E">
              <w:rPr>
                <w:lang w:val="fr-FR"/>
              </w:rPr>
              <w:t>une des Parties concernées) ?</w:t>
            </w:r>
          </w:p>
        </w:tc>
      </w:tr>
      <w:tr w:rsidR="00923D44" w:rsidRPr="00267A6E" w14:paraId="5C8E3979" w14:textId="77777777">
        <w:trPr>
          <w:jc w:val="center"/>
        </w:trPr>
        <w:tc>
          <w:tcPr>
            <w:tcW w:w="7653" w:type="dxa"/>
            <w:tcBorders>
              <w:left w:val="single" w:sz="4" w:space="0" w:color="auto"/>
              <w:bottom w:val="nil"/>
              <w:right w:val="single" w:sz="4" w:space="0" w:color="auto"/>
            </w:tcBorders>
            <w:shd w:val="clear" w:color="auto" w:fill="auto"/>
          </w:tcPr>
          <w:p w14:paraId="7E8201DB" w14:textId="7305C4A8" w:rsidR="00923D44" w:rsidRPr="00267A6E" w:rsidRDefault="00923D44" w:rsidP="005E0CBD">
            <w:pPr>
              <w:tabs>
                <w:tab w:val="left" w:pos="388"/>
              </w:tabs>
              <w:spacing w:after="100"/>
              <w:ind w:left="388" w:hanging="388"/>
              <w:jc w:val="both"/>
              <w:rPr>
                <w:lang w:val="fr-FR"/>
              </w:rPr>
            </w:pPr>
            <w:r w:rsidRPr="00267A6E">
              <w:rPr>
                <w:lang w:val="fr-FR"/>
              </w:rPr>
              <w:t>3</w:t>
            </w:r>
            <w:r w:rsidR="00967A77" w:rsidRPr="00267A6E">
              <w:rPr>
                <w:lang w:val="fr-FR"/>
              </w:rPr>
              <w:t>.</w:t>
            </w:r>
            <w:r w:rsidRPr="00267A6E">
              <w:rPr>
                <w:lang w:val="fr-FR"/>
              </w:rPr>
              <w:tab/>
              <w:t>Comment faire en sorte que le Protocole ou la Convention permettent de savoir si une mesure proposée contribuera à la circularité ou y fera au contraire obstacle</w:t>
            </w:r>
            <w:r w:rsidR="007E7DDB" w:rsidRPr="00267A6E">
              <w:rPr>
                <w:lang w:val="fr-FR"/>
              </w:rPr>
              <w:t> </w:t>
            </w:r>
            <w:r w:rsidRPr="00267A6E">
              <w:rPr>
                <w:lang w:val="fr-FR"/>
              </w:rPr>
              <w:t>? La Réunion des Parties devrait-elle par exemple décider de recommander la prise en compte de la circularité en tant que bonne pratique aux fins de l</w:t>
            </w:r>
            <w:r w:rsidR="00D82B54" w:rsidRPr="00267A6E">
              <w:rPr>
                <w:lang w:val="fr-FR"/>
              </w:rPr>
              <w:t>’</w:t>
            </w:r>
            <w:r w:rsidRPr="00267A6E">
              <w:rPr>
                <w:lang w:val="fr-FR"/>
              </w:rPr>
              <w:t>application de la Convention et/ou du Protocole par les Parties</w:t>
            </w:r>
            <w:r w:rsidR="007E7DDB" w:rsidRPr="00267A6E">
              <w:rPr>
                <w:lang w:val="fr-FR"/>
              </w:rPr>
              <w:t> </w:t>
            </w:r>
            <w:r w:rsidRPr="00267A6E">
              <w:rPr>
                <w:lang w:val="fr-FR"/>
              </w:rPr>
              <w:t>?</w:t>
            </w:r>
          </w:p>
        </w:tc>
      </w:tr>
      <w:tr w:rsidR="00923D44" w:rsidRPr="00267A6E" w14:paraId="5BA82977" w14:textId="77777777">
        <w:trPr>
          <w:jc w:val="center"/>
        </w:trPr>
        <w:tc>
          <w:tcPr>
            <w:tcW w:w="7653" w:type="dxa"/>
            <w:tcBorders>
              <w:left w:val="single" w:sz="4" w:space="0" w:color="auto"/>
              <w:bottom w:val="nil"/>
              <w:right w:val="single" w:sz="4" w:space="0" w:color="auto"/>
            </w:tcBorders>
            <w:shd w:val="clear" w:color="auto" w:fill="auto"/>
          </w:tcPr>
          <w:p w14:paraId="0E6534D3" w14:textId="6F7B50F0" w:rsidR="00923D44" w:rsidRPr="00267A6E" w:rsidRDefault="00923D44" w:rsidP="005E0CBD">
            <w:pPr>
              <w:tabs>
                <w:tab w:val="left" w:pos="388"/>
              </w:tabs>
              <w:spacing w:after="100"/>
              <w:ind w:left="388" w:hanging="388"/>
              <w:jc w:val="both"/>
              <w:rPr>
                <w:lang w:val="fr-FR"/>
              </w:rPr>
            </w:pPr>
            <w:r w:rsidRPr="00267A6E">
              <w:rPr>
                <w:lang w:val="fr-FR"/>
              </w:rPr>
              <w:t>4</w:t>
            </w:r>
            <w:r w:rsidR="00967A77" w:rsidRPr="00267A6E">
              <w:rPr>
                <w:lang w:val="fr-FR"/>
              </w:rPr>
              <w:t>.</w:t>
            </w:r>
            <w:r w:rsidRPr="00267A6E">
              <w:rPr>
                <w:lang w:val="fr-FR"/>
              </w:rPr>
              <w:tab/>
              <w:t>Comment la Convention et/ou le Protocole peuvent-ils être utilisés au mieux pour éviter les déséquilibres économiques à court et à moyen terme qui pourraient résulter d</w:t>
            </w:r>
            <w:r w:rsidR="00D82B54" w:rsidRPr="00267A6E">
              <w:rPr>
                <w:lang w:val="fr-FR"/>
              </w:rPr>
              <w:t>’</w:t>
            </w:r>
            <w:r w:rsidRPr="00267A6E">
              <w:rPr>
                <w:lang w:val="fr-FR"/>
              </w:rPr>
              <w:t>un développement inégal de l</w:t>
            </w:r>
            <w:r w:rsidR="00D82B54" w:rsidRPr="00267A6E">
              <w:rPr>
                <w:lang w:val="fr-FR"/>
              </w:rPr>
              <w:t>’</w:t>
            </w:r>
            <w:r w:rsidRPr="00267A6E">
              <w:rPr>
                <w:lang w:val="fr-FR"/>
              </w:rPr>
              <w:t>économie circulaire d</w:t>
            </w:r>
            <w:r w:rsidR="00D82B54" w:rsidRPr="00267A6E">
              <w:rPr>
                <w:lang w:val="fr-FR"/>
              </w:rPr>
              <w:t>’</w:t>
            </w:r>
            <w:r w:rsidRPr="00267A6E">
              <w:rPr>
                <w:lang w:val="fr-FR"/>
              </w:rPr>
              <w:t>une Partie à l</w:t>
            </w:r>
            <w:r w:rsidR="00D82B54" w:rsidRPr="00267A6E">
              <w:rPr>
                <w:lang w:val="fr-FR"/>
              </w:rPr>
              <w:t>’</w:t>
            </w:r>
            <w:r w:rsidRPr="00267A6E">
              <w:rPr>
                <w:lang w:val="fr-FR"/>
              </w:rPr>
              <w:t>autre ?</w:t>
            </w:r>
          </w:p>
        </w:tc>
      </w:tr>
      <w:tr w:rsidR="00923D44" w:rsidRPr="00267A6E" w14:paraId="06921FFB" w14:textId="77777777">
        <w:trPr>
          <w:jc w:val="center"/>
        </w:trPr>
        <w:tc>
          <w:tcPr>
            <w:tcW w:w="7653" w:type="dxa"/>
            <w:tcBorders>
              <w:left w:val="single" w:sz="4" w:space="0" w:color="auto"/>
              <w:bottom w:val="nil"/>
              <w:right w:val="single" w:sz="4" w:space="0" w:color="auto"/>
            </w:tcBorders>
            <w:shd w:val="clear" w:color="auto" w:fill="auto"/>
          </w:tcPr>
          <w:p w14:paraId="38008243" w14:textId="016BC4C6" w:rsidR="00923D44" w:rsidRPr="00267A6E" w:rsidRDefault="00923D44" w:rsidP="005E0CBD">
            <w:pPr>
              <w:tabs>
                <w:tab w:val="left" w:pos="388"/>
              </w:tabs>
              <w:spacing w:after="100"/>
              <w:ind w:left="388" w:hanging="388"/>
              <w:jc w:val="both"/>
              <w:rPr>
                <w:lang w:val="fr-FR"/>
              </w:rPr>
            </w:pPr>
            <w:r w:rsidRPr="00267A6E">
              <w:rPr>
                <w:lang w:val="fr-FR"/>
              </w:rPr>
              <w:t>5</w:t>
            </w:r>
            <w:r w:rsidR="00967A77" w:rsidRPr="00267A6E">
              <w:rPr>
                <w:lang w:val="fr-FR"/>
              </w:rPr>
              <w:t>.</w:t>
            </w:r>
            <w:r w:rsidRPr="00267A6E">
              <w:rPr>
                <w:lang w:val="fr-FR"/>
              </w:rPr>
              <w:tab/>
              <w:t>Les Parties devraient-elles être tenues de proposer dans leurs rapports environnementaux (soumis au titre du Protocole) et leurs dossiers d</w:t>
            </w:r>
            <w:r w:rsidR="00D82B54" w:rsidRPr="00267A6E">
              <w:rPr>
                <w:lang w:val="fr-FR"/>
              </w:rPr>
              <w:t>’</w:t>
            </w:r>
            <w:r w:rsidRPr="00267A6E">
              <w:rPr>
                <w:lang w:val="fr-FR"/>
              </w:rPr>
              <w:t>évaluation de l</w:t>
            </w:r>
            <w:r w:rsidR="00D82B54" w:rsidRPr="00267A6E">
              <w:rPr>
                <w:lang w:val="fr-FR"/>
              </w:rPr>
              <w:t>’</w:t>
            </w:r>
            <w:r w:rsidRPr="00267A6E">
              <w:rPr>
                <w:lang w:val="fr-FR"/>
              </w:rPr>
              <w:t>impact sur l</w:t>
            </w:r>
            <w:r w:rsidR="00D82B54" w:rsidRPr="00267A6E">
              <w:rPr>
                <w:lang w:val="fr-FR"/>
              </w:rPr>
              <w:t>’</w:t>
            </w:r>
            <w:r w:rsidRPr="00267A6E">
              <w:rPr>
                <w:lang w:val="fr-FR"/>
              </w:rPr>
              <w:t>environnement (soumis au titre de la Convention) des solutions de remplacement fondées sur la circularité ? Comment définir, codifier et mettre en œuvre une telle prescription</w:t>
            </w:r>
            <w:r w:rsidR="007E7DDB" w:rsidRPr="00267A6E">
              <w:rPr>
                <w:lang w:val="fr-FR"/>
              </w:rPr>
              <w:t> </w:t>
            </w:r>
            <w:r w:rsidRPr="00267A6E">
              <w:rPr>
                <w:lang w:val="fr-FR"/>
              </w:rPr>
              <w:t>?</w:t>
            </w:r>
          </w:p>
        </w:tc>
      </w:tr>
      <w:tr w:rsidR="00923D44" w:rsidRPr="00267A6E" w14:paraId="75AD475D" w14:textId="77777777">
        <w:trPr>
          <w:jc w:val="center"/>
        </w:trPr>
        <w:tc>
          <w:tcPr>
            <w:tcW w:w="7653" w:type="dxa"/>
            <w:tcBorders>
              <w:left w:val="single" w:sz="4" w:space="0" w:color="auto"/>
              <w:bottom w:val="nil"/>
              <w:right w:val="single" w:sz="4" w:space="0" w:color="auto"/>
            </w:tcBorders>
            <w:shd w:val="clear" w:color="auto" w:fill="auto"/>
          </w:tcPr>
          <w:p w14:paraId="1FC2225F" w14:textId="2B8FFE1B" w:rsidR="00923D44" w:rsidRPr="00267A6E" w:rsidRDefault="00923D44" w:rsidP="00923D44">
            <w:pPr>
              <w:tabs>
                <w:tab w:val="left" w:pos="388"/>
              </w:tabs>
              <w:spacing w:after="120"/>
              <w:ind w:left="388" w:hanging="388"/>
              <w:jc w:val="both"/>
              <w:rPr>
                <w:lang w:val="fr-FR"/>
              </w:rPr>
            </w:pPr>
            <w:r w:rsidRPr="00267A6E">
              <w:rPr>
                <w:lang w:val="fr-FR"/>
              </w:rPr>
              <w:t>6</w:t>
            </w:r>
            <w:r w:rsidR="00967A77" w:rsidRPr="00267A6E">
              <w:rPr>
                <w:lang w:val="fr-FR"/>
              </w:rPr>
              <w:t>.</w:t>
            </w:r>
            <w:r w:rsidRPr="00267A6E">
              <w:rPr>
                <w:lang w:val="fr-FR"/>
              </w:rPr>
              <w:tab/>
              <w:t>Comment évaluer au mieux les plans axés sur l</w:t>
            </w:r>
            <w:r w:rsidR="00D82B54" w:rsidRPr="00267A6E">
              <w:rPr>
                <w:lang w:val="fr-FR"/>
              </w:rPr>
              <w:t>’</w:t>
            </w:r>
            <w:r w:rsidRPr="00267A6E">
              <w:rPr>
                <w:lang w:val="fr-FR"/>
              </w:rPr>
              <w:t>économie circulaire élaborés par les Parties dans le cadre du Protocole ?</w:t>
            </w:r>
          </w:p>
        </w:tc>
      </w:tr>
      <w:tr w:rsidR="00923D44" w:rsidRPr="00267A6E" w14:paraId="3B154049" w14:textId="77777777">
        <w:trPr>
          <w:trHeight w:hRule="exact" w:val="23"/>
          <w:jc w:val="center"/>
        </w:trPr>
        <w:tc>
          <w:tcPr>
            <w:tcW w:w="7653" w:type="dxa"/>
            <w:tcBorders>
              <w:left w:val="single" w:sz="4" w:space="0" w:color="auto"/>
              <w:bottom w:val="single" w:sz="4" w:space="0" w:color="auto"/>
              <w:right w:val="single" w:sz="4" w:space="0" w:color="auto"/>
            </w:tcBorders>
            <w:shd w:val="clear" w:color="auto" w:fill="auto"/>
          </w:tcPr>
          <w:p w14:paraId="1DEA2835" w14:textId="77777777" w:rsidR="00923D44" w:rsidRPr="00267A6E" w:rsidRDefault="00923D44">
            <w:pPr>
              <w:rPr>
                <w:lang w:val="fr-FR"/>
              </w:rPr>
            </w:pPr>
          </w:p>
        </w:tc>
      </w:tr>
    </w:tbl>
    <w:p w14:paraId="7FC0AFEE" w14:textId="72C0B03E" w:rsidR="003373A7" w:rsidRPr="00267A6E" w:rsidRDefault="003373A7" w:rsidP="005E0CBD">
      <w:pPr>
        <w:pStyle w:val="H1G"/>
        <w:spacing w:before="340" w:after="220"/>
        <w:rPr>
          <w:lang w:val="fr-FR"/>
        </w:rPr>
      </w:pPr>
      <w:r w:rsidRPr="00267A6E">
        <w:rPr>
          <w:lang w:val="fr-FR"/>
        </w:rPr>
        <w:tab/>
        <w:t>E</w:t>
      </w:r>
      <w:r w:rsidR="00967A77" w:rsidRPr="00267A6E">
        <w:rPr>
          <w:lang w:val="fr-FR"/>
        </w:rPr>
        <w:t>.</w:t>
      </w:r>
      <w:r w:rsidRPr="00267A6E">
        <w:rPr>
          <w:lang w:val="fr-FR"/>
        </w:rPr>
        <w:tab/>
      </w:r>
      <w:bookmarkStart w:id="11" w:name="_Hlk148532348"/>
      <w:r w:rsidRPr="00267A6E">
        <w:rPr>
          <w:lang w:val="fr-FR"/>
        </w:rPr>
        <w:t xml:space="preserve">Analyse des points forts, des aspirations, des possibilités offertes </w:t>
      </w:r>
      <w:r w:rsidR="000F3E9C" w:rsidRPr="00267A6E">
        <w:rPr>
          <w:lang w:val="fr-FR"/>
        </w:rPr>
        <w:br/>
      </w:r>
      <w:r w:rsidRPr="00267A6E">
        <w:rPr>
          <w:lang w:val="fr-FR"/>
        </w:rPr>
        <w:t xml:space="preserve">et des solutions envisageables dans le cadre de la Convention </w:t>
      </w:r>
      <w:r w:rsidR="000F3E9C" w:rsidRPr="00267A6E">
        <w:rPr>
          <w:lang w:val="fr-FR"/>
        </w:rPr>
        <w:br/>
      </w:r>
      <w:r w:rsidRPr="00267A6E">
        <w:rPr>
          <w:lang w:val="fr-FR"/>
        </w:rPr>
        <w:t>et du Protocole s</w:t>
      </w:r>
      <w:r w:rsidR="00D82B54" w:rsidRPr="00267A6E">
        <w:rPr>
          <w:lang w:val="fr-FR"/>
        </w:rPr>
        <w:t>’</w:t>
      </w:r>
      <w:r w:rsidRPr="00267A6E">
        <w:rPr>
          <w:lang w:val="fr-FR"/>
        </w:rPr>
        <w:t>agissant de l</w:t>
      </w:r>
      <w:r w:rsidR="00D82B54" w:rsidRPr="00267A6E">
        <w:rPr>
          <w:lang w:val="fr-FR"/>
        </w:rPr>
        <w:t>’</w:t>
      </w:r>
      <w:r w:rsidRPr="00267A6E">
        <w:rPr>
          <w:lang w:val="fr-FR"/>
        </w:rPr>
        <w:t>économie circulaire</w:t>
      </w:r>
      <w:bookmarkEnd w:id="11"/>
    </w:p>
    <w:tbl>
      <w:tblPr>
        <w:tblW w:w="9637" w:type="dxa"/>
        <w:tblLayout w:type="fixed"/>
        <w:tblCellMar>
          <w:left w:w="0" w:type="dxa"/>
          <w:right w:w="0" w:type="dxa"/>
        </w:tblCellMar>
        <w:tblLook w:val="04A0" w:firstRow="1" w:lastRow="0" w:firstColumn="1" w:lastColumn="0" w:noHBand="0" w:noVBand="1"/>
      </w:tblPr>
      <w:tblGrid>
        <w:gridCol w:w="2581"/>
        <w:gridCol w:w="2350"/>
        <w:gridCol w:w="2216"/>
        <w:gridCol w:w="2490"/>
      </w:tblGrid>
      <w:tr w:rsidR="000F3E9C" w:rsidRPr="00267A6E" w14:paraId="02C19230" w14:textId="77777777" w:rsidTr="005E0CBD">
        <w:trPr>
          <w:tblHeader/>
        </w:trPr>
        <w:tc>
          <w:tcPr>
            <w:tcW w:w="2581" w:type="dxa"/>
            <w:tcBorders>
              <w:top w:val="single" w:sz="4" w:space="0" w:color="auto"/>
              <w:bottom w:val="single" w:sz="12" w:space="0" w:color="auto"/>
            </w:tcBorders>
            <w:shd w:val="clear" w:color="auto" w:fill="auto"/>
            <w:vAlign w:val="bottom"/>
          </w:tcPr>
          <w:p w14:paraId="54E5BC01" w14:textId="77777777" w:rsidR="003373A7" w:rsidRPr="00267A6E" w:rsidRDefault="003373A7" w:rsidP="000F3E9C">
            <w:pPr>
              <w:spacing w:before="80" w:after="80" w:line="200" w:lineRule="exact"/>
              <w:ind w:right="113"/>
              <w:rPr>
                <w:i/>
                <w:sz w:val="16"/>
                <w:lang w:val="fr-FR"/>
              </w:rPr>
            </w:pPr>
            <w:r w:rsidRPr="00267A6E">
              <w:rPr>
                <w:i/>
                <w:sz w:val="16"/>
                <w:lang w:val="fr-FR"/>
              </w:rPr>
              <w:t>Points forts</w:t>
            </w:r>
          </w:p>
        </w:tc>
        <w:tc>
          <w:tcPr>
            <w:tcW w:w="2350" w:type="dxa"/>
            <w:tcBorders>
              <w:top w:val="single" w:sz="4" w:space="0" w:color="auto"/>
              <w:bottom w:val="single" w:sz="12" w:space="0" w:color="auto"/>
            </w:tcBorders>
            <w:shd w:val="clear" w:color="auto" w:fill="auto"/>
            <w:vAlign w:val="bottom"/>
          </w:tcPr>
          <w:p w14:paraId="0C6A5B91" w14:textId="77777777" w:rsidR="003373A7" w:rsidRPr="00267A6E" w:rsidRDefault="003373A7" w:rsidP="000F3E9C">
            <w:pPr>
              <w:spacing w:before="80" w:after="80" w:line="200" w:lineRule="exact"/>
              <w:ind w:right="113"/>
              <w:rPr>
                <w:i/>
                <w:sz w:val="16"/>
                <w:lang w:val="fr-FR"/>
              </w:rPr>
            </w:pPr>
            <w:r w:rsidRPr="00267A6E">
              <w:rPr>
                <w:i/>
                <w:sz w:val="16"/>
                <w:lang w:val="fr-FR"/>
              </w:rPr>
              <w:t>Aspirations</w:t>
            </w:r>
          </w:p>
        </w:tc>
        <w:tc>
          <w:tcPr>
            <w:tcW w:w="2216" w:type="dxa"/>
            <w:tcBorders>
              <w:top w:val="single" w:sz="4" w:space="0" w:color="auto"/>
              <w:bottom w:val="single" w:sz="12" w:space="0" w:color="auto"/>
            </w:tcBorders>
            <w:shd w:val="clear" w:color="auto" w:fill="auto"/>
            <w:vAlign w:val="bottom"/>
          </w:tcPr>
          <w:p w14:paraId="67477E0C" w14:textId="77777777" w:rsidR="003373A7" w:rsidRPr="00267A6E" w:rsidRDefault="003373A7" w:rsidP="000F3E9C">
            <w:pPr>
              <w:spacing w:before="80" w:after="80" w:line="200" w:lineRule="exact"/>
              <w:ind w:right="113"/>
              <w:rPr>
                <w:i/>
                <w:sz w:val="16"/>
                <w:lang w:val="fr-FR"/>
              </w:rPr>
            </w:pPr>
            <w:r w:rsidRPr="00267A6E">
              <w:rPr>
                <w:i/>
                <w:sz w:val="16"/>
                <w:lang w:val="fr-FR"/>
              </w:rPr>
              <w:t>Possibilités offertes</w:t>
            </w:r>
          </w:p>
        </w:tc>
        <w:tc>
          <w:tcPr>
            <w:tcW w:w="2490" w:type="dxa"/>
            <w:tcBorders>
              <w:top w:val="single" w:sz="4" w:space="0" w:color="auto"/>
              <w:bottom w:val="single" w:sz="12" w:space="0" w:color="auto"/>
            </w:tcBorders>
            <w:shd w:val="clear" w:color="auto" w:fill="auto"/>
            <w:vAlign w:val="bottom"/>
          </w:tcPr>
          <w:p w14:paraId="3CBB914A" w14:textId="77777777" w:rsidR="003373A7" w:rsidRPr="00267A6E" w:rsidRDefault="003373A7" w:rsidP="000F3E9C">
            <w:pPr>
              <w:spacing w:before="80" w:after="80" w:line="200" w:lineRule="exact"/>
              <w:ind w:right="113"/>
              <w:rPr>
                <w:i/>
                <w:sz w:val="16"/>
                <w:lang w:val="fr-FR"/>
              </w:rPr>
            </w:pPr>
            <w:r w:rsidRPr="00267A6E">
              <w:rPr>
                <w:i/>
                <w:sz w:val="16"/>
                <w:lang w:val="fr-FR"/>
              </w:rPr>
              <w:t>Solutions envisageables</w:t>
            </w:r>
          </w:p>
        </w:tc>
      </w:tr>
      <w:tr w:rsidR="000F3E9C" w:rsidRPr="00267A6E" w14:paraId="050776A9" w14:textId="77777777" w:rsidTr="005E0CBD">
        <w:trPr>
          <w:trHeight w:hRule="exact" w:val="113"/>
          <w:tblHeader/>
        </w:trPr>
        <w:tc>
          <w:tcPr>
            <w:tcW w:w="2581" w:type="dxa"/>
            <w:tcBorders>
              <w:top w:val="single" w:sz="12" w:space="0" w:color="auto"/>
            </w:tcBorders>
            <w:shd w:val="clear" w:color="auto" w:fill="auto"/>
          </w:tcPr>
          <w:p w14:paraId="6CC23179" w14:textId="77777777" w:rsidR="000F3E9C" w:rsidRPr="00267A6E" w:rsidRDefault="000F3E9C" w:rsidP="000F3E9C">
            <w:pPr>
              <w:spacing w:before="40" w:after="120"/>
              <w:ind w:right="113"/>
              <w:rPr>
                <w:lang w:val="fr-FR"/>
              </w:rPr>
            </w:pPr>
          </w:p>
        </w:tc>
        <w:tc>
          <w:tcPr>
            <w:tcW w:w="2350" w:type="dxa"/>
            <w:tcBorders>
              <w:top w:val="single" w:sz="12" w:space="0" w:color="auto"/>
            </w:tcBorders>
            <w:shd w:val="clear" w:color="auto" w:fill="auto"/>
          </w:tcPr>
          <w:p w14:paraId="70F0D695" w14:textId="77777777" w:rsidR="000F3E9C" w:rsidRPr="00267A6E" w:rsidRDefault="000F3E9C" w:rsidP="000F3E9C">
            <w:pPr>
              <w:spacing w:before="40" w:after="120"/>
              <w:ind w:right="113"/>
              <w:rPr>
                <w:lang w:val="fr-FR"/>
              </w:rPr>
            </w:pPr>
          </w:p>
        </w:tc>
        <w:tc>
          <w:tcPr>
            <w:tcW w:w="2216" w:type="dxa"/>
            <w:tcBorders>
              <w:top w:val="single" w:sz="12" w:space="0" w:color="auto"/>
            </w:tcBorders>
            <w:shd w:val="clear" w:color="auto" w:fill="auto"/>
          </w:tcPr>
          <w:p w14:paraId="6264F40F" w14:textId="77777777" w:rsidR="000F3E9C" w:rsidRPr="00267A6E" w:rsidRDefault="000F3E9C" w:rsidP="000F3E9C">
            <w:pPr>
              <w:spacing w:before="40" w:after="120"/>
              <w:ind w:right="113"/>
              <w:rPr>
                <w:lang w:val="fr-FR"/>
              </w:rPr>
            </w:pPr>
          </w:p>
        </w:tc>
        <w:tc>
          <w:tcPr>
            <w:tcW w:w="2490" w:type="dxa"/>
            <w:tcBorders>
              <w:top w:val="single" w:sz="12" w:space="0" w:color="auto"/>
            </w:tcBorders>
            <w:shd w:val="clear" w:color="auto" w:fill="auto"/>
          </w:tcPr>
          <w:p w14:paraId="55F3CCDF" w14:textId="77777777" w:rsidR="000F3E9C" w:rsidRPr="00267A6E" w:rsidRDefault="000F3E9C" w:rsidP="000F3E9C">
            <w:pPr>
              <w:spacing w:before="40" w:after="120"/>
              <w:ind w:right="113"/>
              <w:rPr>
                <w:lang w:val="fr-FR"/>
              </w:rPr>
            </w:pPr>
          </w:p>
        </w:tc>
      </w:tr>
      <w:tr w:rsidR="005E0CBD" w:rsidRPr="00267A6E" w14:paraId="7D3F3024" w14:textId="77777777" w:rsidTr="005E0CBD">
        <w:trPr>
          <w:trHeight w:val="3087"/>
        </w:trPr>
        <w:tc>
          <w:tcPr>
            <w:tcW w:w="2581" w:type="dxa"/>
            <w:shd w:val="clear" w:color="auto" w:fill="auto"/>
          </w:tcPr>
          <w:p w14:paraId="211D0BA5" w14:textId="53C66C54" w:rsidR="005E0CBD" w:rsidRPr="00267A6E" w:rsidRDefault="005E0CBD" w:rsidP="007C5253">
            <w:pPr>
              <w:pStyle w:val="Bullet1G"/>
              <w:ind w:left="170" w:right="57"/>
              <w:jc w:val="left"/>
              <w:rPr>
                <w:lang w:val="fr-FR"/>
              </w:rPr>
            </w:pPr>
            <w:r w:rsidRPr="00267A6E">
              <w:rPr>
                <w:lang w:val="fr-FR"/>
              </w:rPr>
              <w:t>La Convention et le Protocole fournissent un cadre solide et institutionnalisé qui est déjà intégré, verticalement et horizontalement, dans les Parties (c’est un point fort de la Convention et du Protocole)</w:t>
            </w:r>
          </w:p>
        </w:tc>
        <w:tc>
          <w:tcPr>
            <w:tcW w:w="2350" w:type="dxa"/>
            <w:shd w:val="clear" w:color="auto" w:fill="auto"/>
          </w:tcPr>
          <w:p w14:paraId="2F0351B0" w14:textId="4AE10442" w:rsidR="005E0CBD" w:rsidRPr="00267A6E" w:rsidRDefault="005E0CBD" w:rsidP="005E0CBD">
            <w:pPr>
              <w:pStyle w:val="Bullet1G"/>
              <w:ind w:left="170" w:right="0"/>
              <w:jc w:val="left"/>
              <w:rPr>
                <w:lang w:val="fr-FR"/>
              </w:rPr>
            </w:pPr>
            <w:r w:rsidRPr="00267A6E">
              <w:rPr>
                <w:lang w:val="fr-FR"/>
              </w:rPr>
              <w:t xml:space="preserve">Acquisition de compétences dans l’intégration des principes de l’économie circulaire dans l’évaluation de l’impact sur l’environnement et l’évaluation stratégique environnementale </w:t>
            </w:r>
            <w:r w:rsidR="007C5253" w:rsidRPr="00267A6E">
              <w:rPr>
                <w:lang w:val="fr-FR"/>
              </w:rPr>
              <w:br/>
            </w:r>
            <w:r w:rsidRPr="00267A6E">
              <w:rPr>
                <w:lang w:val="fr-FR"/>
              </w:rPr>
              <w:t>(c’est un objectif visé par la Convention et le Protocole)</w:t>
            </w:r>
          </w:p>
        </w:tc>
        <w:tc>
          <w:tcPr>
            <w:tcW w:w="2216" w:type="dxa"/>
            <w:shd w:val="clear" w:color="auto" w:fill="auto"/>
          </w:tcPr>
          <w:p w14:paraId="2E01B49A" w14:textId="7B073CBF" w:rsidR="005E0CBD" w:rsidRPr="00267A6E" w:rsidRDefault="005E0CBD" w:rsidP="00B93C2D">
            <w:pPr>
              <w:pStyle w:val="Bullet1G"/>
              <w:spacing w:line="210" w:lineRule="atLeast"/>
              <w:ind w:left="170" w:right="0"/>
              <w:jc w:val="left"/>
              <w:rPr>
                <w:spacing w:val="-5"/>
                <w:lang w:val="fr-FR"/>
              </w:rPr>
            </w:pPr>
            <w:r w:rsidRPr="00267A6E">
              <w:rPr>
                <w:spacing w:val="-5"/>
                <w:lang w:val="fr-FR"/>
              </w:rPr>
              <w:t>Une transition plus cohérente et plus rapide vers l’économie circulaire dans l’ensemble des Parties, et une exploitation des possibilités offertes par la circularité, en particulier en s’appuyant sur les dispositions transfrontières de la Convention (c’est une possibilité offerte par la Convention et le Protocole)</w:t>
            </w:r>
          </w:p>
        </w:tc>
        <w:tc>
          <w:tcPr>
            <w:tcW w:w="2490" w:type="dxa"/>
            <w:shd w:val="clear" w:color="auto" w:fill="auto"/>
          </w:tcPr>
          <w:p w14:paraId="24521D6A" w14:textId="653ED019" w:rsidR="005E0CBD" w:rsidRPr="00267A6E" w:rsidRDefault="005E0CBD" w:rsidP="005E0CBD">
            <w:pPr>
              <w:pStyle w:val="Bullet1G"/>
              <w:ind w:left="170" w:right="0"/>
              <w:jc w:val="left"/>
              <w:rPr>
                <w:lang w:val="fr-FR"/>
              </w:rPr>
            </w:pPr>
            <w:r w:rsidRPr="00267A6E">
              <w:rPr>
                <w:lang w:val="fr-FR"/>
              </w:rPr>
              <w:t>Définir la meilleure façon de prendre en considération la circularité dans la Convention et le Protocole, en tenant compte des probables résistances politiques (c’est une solution envisageable dans le cadre de la Convention et du Protocole)</w:t>
            </w:r>
          </w:p>
        </w:tc>
      </w:tr>
      <w:tr w:rsidR="005E0CBD" w:rsidRPr="00267A6E" w14:paraId="3808B28B" w14:textId="77777777" w:rsidTr="005E0CBD">
        <w:trPr>
          <w:trHeight w:val="3087"/>
        </w:trPr>
        <w:tc>
          <w:tcPr>
            <w:tcW w:w="2581" w:type="dxa"/>
            <w:tcBorders>
              <w:bottom w:val="single" w:sz="12" w:space="0" w:color="auto"/>
            </w:tcBorders>
            <w:shd w:val="clear" w:color="auto" w:fill="auto"/>
          </w:tcPr>
          <w:p w14:paraId="6C4457E8" w14:textId="7C672753" w:rsidR="005E0CBD" w:rsidRPr="00267A6E" w:rsidRDefault="005E0CBD" w:rsidP="005E0CBD">
            <w:pPr>
              <w:pStyle w:val="Bullet1G"/>
              <w:keepLines/>
              <w:ind w:left="170" w:right="0"/>
              <w:jc w:val="left"/>
              <w:rPr>
                <w:lang w:val="fr-FR"/>
              </w:rPr>
            </w:pPr>
            <w:r w:rsidRPr="00267A6E">
              <w:rPr>
                <w:lang w:val="fr-FR"/>
              </w:rPr>
              <w:t>Des dispositions détaillées en</w:t>
            </w:r>
            <w:r w:rsidR="00F6504A" w:rsidRPr="00267A6E">
              <w:rPr>
                <w:lang w:val="fr-FR"/>
              </w:rPr>
              <w:t> </w:t>
            </w:r>
            <w:r w:rsidRPr="00267A6E">
              <w:rPr>
                <w:lang w:val="fr-FR"/>
              </w:rPr>
              <w:t>matière de consultation et de participation du public ainsi que des documents d’orientation en la matière contribuent à garantir une participation effective et en temps voulu des acteurs de la société civile (c’est un point fort de la Convention et du Protocole)</w:t>
            </w:r>
          </w:p>
          <w:p w14:paraId="14ED3D8B" w14:textId="77777777" w:rsidR="005E0CBD" w:rsidRPr="00267A6E" w:rsidRDefault="005E0CBD" w:rsidP="005E0CBD">
            <w:pPr>
              <w:pStyle w:val="Bullet1G"/>
              <w:ind w:left="170" w:right="0"/>
              <w:jc w:val="left"/>
              <w:rPr>
                <w:lang w:val="fr-FR"/>
              </w:rPr>
            </w:pPr>
            <w:r w:rsidRPr="00267A6E">
              <w:rPr>
                <w:lang w:val="fr-FR"/>
              </w:rPr>
              <w:t>L’OMS est consciente du rôle que jouent l’évaluation de l’impact sur l’environnement et l’évaluation stratégique environnementale dans la création de possibilités en matière de santé grâce à l’économie circulaire (c’est un point fort de la Convention et du Protocole)</w:t>
            </w:r>
          </w:p>
          <w:p w14:paraId="2668CD9E" w14:textId="6C5EC473" w:rsidR="005E0CBD" w:rsidRPr="00267A6E" w:rsidRDefault="005E0CBD" w:rsidP="005E0CBD">
            <w:pPr>
              <w:pStyle w:val="Bullet1G"/>
              <w:ind w:left="170" w:right="0"/>
              <w:jc w:val="left"/>
              <w:rPr>
                <w:lang w:val="fr-FR"/>
              </w:rPr>
            </w:pPr>
            <w:r w:rsidRPr="00267A6E">
              <w:rPr>
                <w:lang w:val="fr-FR"/>
              </w:rPr>
              <w:t>La Convention et le Protocole exigent déjà des évaluations de l’impact sur un large éventail de composantes environnementales et sanitaires, qui sont fondamentales pour la mise en œuvre de trois principes clefs de l’économie circulaire (c’est un point fort de la Convention et du Protocole)</w:t>
            </w:r>
          </w:p>
        </w:tc>
        <w:tc>
          <w:tcPr>
            <w:tcW w:w="2350" w:type="dxa"/>
            <w:tcBorders>
              <w:bottom w:val="single" w:sz="12" w:space="0" w:color="auto"/>
            </w:tcBorders>
            <w:shd w:val="clear" w:color="auto" w:fill="auto"/>
          </w:tcPr>
          <w:p w14:paraId="1DA4F97F" w14:textId="452E6D28" w:rsidR="005E0CBD" w:rsidRPr="00267A6E" w:rsidRDefault="005E0CBD" w:rsidP="00F6504A">
            <w:pPr>
              <w:pStyle w:val="Bullet1G"/>
              <w:ind w:left="170" w:right="57"/>
              <w:jc w:val="left"/>
              <w:rPr>
                <w:lang w:val="fr-FR"/>
              </w:rPr>
            </w:pPr>
            <w:r w:rsidRPr="00267A6E">
              <w:rPr>
                <w:lang w:val="fr-FR"/>
              </w:rPr>
              <w:t>Instauration de l’obligation de prendre en compte la circularité dans l’évaluation stratégique environnementale ou l’évaluation de l’impact transfrontière sur l’environnement (c’est un objectif visé par la Convention et le Protocole)</w:t>
            </w:r>
          </w:p>
        </w:tc>
        <w:tc>
          <w:tcPr>
            <w:tcW w:w="2216" w:type="dxa"/>
            <w:tcBorders>
              <w:bottom w:val="single" w:sz="12" w:space="0" w:color="auto"/>
            </w:tcBorders>
            <w:shd w:val="clear" w:color="auto" w:fill="auto"/>
          </w:tcPr>
          <w:p w14:paraId="7ED9EA9C" w14:textId="77777777" w:rsidR="005E0CBD" w:rsidRPr="00267A6E" w:rsidRDefault="005E0CBD" w:rsidP="005E0CBD">
            <w:pPr>
              <w:pStyle w:val="Bullet1G"/>
              <w:ind w:left="170" w:right="0"/>
              <w:jc w:val="left"/>
              <w:rPr>
                <w:lang w:val="fr-FR"/>
              </w:rPr>
            </w:pPr>
            <w:r w:rsidRPr="00267A6E">
              <w:rPr>
                <w:lang w:val="fr-FR"/>
              </w:rPr>
              <w:t>L’évaluation de la circularité des plans, programmes ou projets proposés peut permettre de réduire au minimum les émissions de carbone (c’est une possibilité offerte par la Convention et le Protocole)</w:t>
            </w:r>
          </w:p>
          <w:p w14:paraId="090A6C18" w14:textId="77777777" w:rsidR="005E0CBD" w:rsidRPr="00267A6E" w:rsidRDefault="005E0CBD" w:rsidP="005E0CBD">
            <w:pPr>
              <w:pStyle w:val="Bullet1G"/>
              <w:ind w:left="170" w:right="0"/>
              <w:jc w:val="left"/>
              <w:rPr>
                <w:lang w:val="fr-FR"/>
              </w:rPr>
            </w:pPr>
            <w:r w:rsidRPr="00267A6E">
              <w:rPr>
                <w:lang w:val="fr-FR"/>
              </w:rPr>
              <w:t>Possibilité de faire évoluer les mentalités pour que les modèles linéaires de développement ne soient envisagés qu’en dernier ressort (c’est une possibilité offerte par la Convention et le Protocole)</w:t>
            </w:r>
          </w:p>
          <w:p w14:paraId="5D044178" w14:textId="2D04D743" w:rsidR="005E0CBD" w:rsidRPr="00267A6E" w:rsidRDefault="005E0CBD" w:rsidP="005E0CBD">
            <w:pPr>
              <w:pStyle w:val="Bullet1G"/>
              <w:spacing w:line="210" w:lineRule="atLeast"/>
              <w:ind w:left="170" w:right="0"/>
              <w:jc w:val="left"/>
              <w:rPr>
                <w:spacing w:val="-6"/>
                <w:lang w:val="fr-FR"/>
              </w:rPr>
            </w:pPr>
            <w:r w:rsidRPr="00267A6E">
              <w:rPr>
                <w:lang w:val="fr-FR"/>
              </w:rPr>
              <w:t>S’agissant des normes d’information sur la durabilité, l’application du principe de double importance relative (voir sect</w:t>
            </w:r>
            <w:r w:rsidR="00F6504A" w:rsidRPr="00267A6E">
              <w:rPr>
                <w:lang w:val="fr-FR"/>
              </w:rPr>
              <w:t>. </w:t>
            </w:r>
            <w:r w:rsidRPr="00267A6E">
              <w:rPr>
                <w:lang w:val="fr-FR"/>
              </w:rPr>
              <w:t>IV consacrée au financement vert) peut faciliter le recensement des approches circulaires qui induisent des risques financiers pour les entreprises (c’est une possibilité offerte par la Convention et le Protocole)</w:t>
            </w:r>
          </w:p>
        </w:tc>
        <w:tc>
          <w:tcPr>
            <w:tcW w:w="2490" w:type="dxa"/>
            <w:tcBorders>
              <w:bottom w:val="single" w:sz="12" w:space="0" w:color="auto"/>
            </w:tcBorders>
            <w:shd w:val="clear" w:color="auto" w:fill="auto"/>
          </w:tcPr>
          <w:p w14:paraId="28C59F96" w14:textId="77777777" w:rsidR="005E0CBD" w:rsidRPr="00267A6E" w:rsidRDefault="005E0CBD" w:rsidP="005E0CBD">
            <w:pPr>
              <w:pStyle w:val="Bullet1G"/>
              <w:keepLines/>
              <w:ind w:left="170" w:right="0"/>
              <w:jc w:val="left"/>
              <w:rPr>
                <w:lang w:val="fr-FR"/>
              </w:rPr>
            </w:pPr>
            <w:r w:rsidRPr="00267A6E">
              <w:rPr>
                <w:lang w:val="fr-FR"/>
              </w:rPr>
              <w:t>Harmoniser entre les Parties et les futures Parties le rythme de la transition vers une économie circulaire afin que la concurrence économique s’exerce à armes égales (c’est une solution envisageable dans le cadre de la Convention et du Protocole)</w:t>
            </w:r>
          </w:p>
          <w:p w14:paraId="408817DB" w14:textId="77777777" w:rsidR="005E0CBD" w:rsidRPr="00267A6E" w:rsidRDefault="005E0CBD" w:rsidP="005E0CBD">
            <w:pPr>
              <w:pStyle w:val="Bullet1G"/>
              <w:ind w:left="170" w:right="0"/>
              <w:jc w:val="left"/>
              <w:rPr>
                <w:lang w:val="fr-FR"/>
              </w:rPr>
            </w:pPr>
            <w:r w:rsidRPr="00267A6E">
              <w:rPr>
                <w:lang w:val="fr-FR"/>
              </w:rPr>
              <w:t>Mettre en place un système de certification des émissions relevant du champ d’application 3 pour faciliter la prise en compte de ces émissions dans les évaluations environnementales (c’est une solution envisageable dans le cadre de la Convention et du Protocole)</w:t>
            </w:r>
          </w:p>
          <w:p w14:paraId="07508B9D" w14:textId="400808A5" w:rsidR="005E0CBD" w:rsidRPr="00267A6E" w:rsidRDefault="005E0CBD" w:rsidP="005E0CBD">
            <w:pPr>
              <w:pStyle w:val="Bullet1G"/>
              <w:ind w:left="170" w:right="0"/>
              <w:jc w:val="left"/>
              <w:rPr>
                <w:lang w:val="fr-FR"/>
              </w:rPr>
            </w:pPr>
            <w:r w:rsidRPr="00267A6E">
              <w:rPr>
                <w:lang w:val="fr-FR"/>
              </w:rPr>
              <w:t>Rendre obligatoire la mise en place d’une économie circulaire pour surmonter les réticences liées aux implications financières à court terme (c’est une solution envisageable dans le cadre de la Convention et du Protocole)</w:t>
            </w:r>
          </w:p>
        </w:tc>
      </w:tr>
    </w:tbl>
    <w:p w14:paraId="7C26BD9A" w14:textId="6B0AB3AA" w:rsidR="003373A7" w:rsidRPr="00267A6E" w:rsidRDefault="003373A7" w:rsidP="00DA464C">
      <w:pPr>
        <w:pStyle w:val="HChG"/>
        <w:rPr>
          <w:sz w:val="24"/>
          <w:lang w:val="fr-FR"/>
        </w:rPr>
      </w:pPr>
      <w:r w:rsidRPr="00267A6E">
        <w:rPr>
          <w:lang w:val="fr-FR"/>
        </w:rPr>
        <w:tab/>
        <w:t>IV</w:t>
      </w:r>
      <w:r w:rsidR="00967A77" w:rsidRPr="00267A6E">
        <w:rPr>
          <w:lang w:val="fr-FR"/>
        </w:rPr>
        <w:t>.</w:t>
      </w:r>
      <w:r w:rsidRPr="00267A6E">
        <w:rPr>
          <w:lang w:val="fr-FR"/>
        </w:rPr>
        <w:tab/>
        <w:t>Financement vert</w:t>
      </w:r>
    </w:p>
    <w:p w14:paraId="11E86202" w14:textId="2A8FE7A2" w:rsidR="00C25C7D" w:rsidRPr="00267A6E" w:rsidRDefault="003373A7" w:rsidP="00DA464C">
      <w:pPr>
        <w:pStyle w:val="H1G"/>
        <w:rPr>
          <w:lang w:val="fr-FR"/>
        </w:rPr>
      </w:pPr>
      <w:r w:rsidRPr="00267A6E">
        <w:rPr>
          <w:lang w:val="fr-FR"/>
        </w:rPr>
        <w:tab/>
        <w:t>A</w:t>
      </w:r>
      <w:r w:rsidR="00967A77" w:rsidRPr="00267A6E">
        <w:rPr>
          <w:lang w:val="fr-FR"/>
        </w:rPr>
        <w:t>.</w:t>
      </w:r>
      <w:r w:rsidRPr="00267A6E">
        <w:rPr>
          <w:lang w:val="fr-FR"/>
        </w:rPr>
        <w:tab/>
        <w:t>Présentation du concept</w:t>
      </w:r>
    </w:p>
    <w:p w14:paraId="659854E6" w14:textId="5B002A1D" w:rsidR="003373A7" w:rsidRPr="00267A6E" w:rsidRDefault="003373A7" w:rsidP="00DA464C">
      <w:pPr>
        <w:pStyle w:val="SingleTxtG"/>
        <w:rPr>
          <w:lang w:val="fr-FR"/>
        </w:rPr>
      </w:pPr>
      <w:r w:rsidRPr="00267A6E">
        <w:rPr>
          <w:lang w:val="fr-FR"/>
        </w:rPr>
        <w:t>40</w:t>
      </w:r>
      <w:r w:rsidR="00967A77" w:rsidRPr="00267A6E">
        <w:rPr>
          <w:lang w:val="fr-FR"/>
        </w:rPr>
        <w:t>.</w:t>
      </w:r>
      <w:r w:rsidRPr="00267A6E">
        <w:rPr>
          <w:lang w:val="fr-FR"/>
        </w:rPr>
        <w:tab/>
        <w:t>Le financement vert consiste à veiller à ce que les investissements financiers soient en phase avec les objectifs climatiques et les impératifs du développement durable</w:t>
      </w:r>
      <w:r w:rsidR="00967A77" w:rsidRPr="00267A6E">
        <w:rPr>
          <w:lang w:val="fr-FR"/>
        </w:rPr>
        <w:t>.</w:t>
      </w:r>
      <w:r w:rsidRPr="00267A6E">
        <w:rPr>
          <w:lang w:val="fr-FR"/>
        </w:rPr>
        <w:t xml:space="preserve"> Ce</w:t>
      </w:r>
      <w:r w:rsidR="004C210B" w:rsidRPr="00267A6E">
        <w:rPr>
          <w:lang w:val="fr-FR"/>
        </w:rPr>
        <w:t> </w:t>
      </w:r>
      <w:r w:rsidRPr="00267A6E">
        <w:rPr>
          <w:lang w:val="fr-FR"/>
        </w:rPr>
        <w:t>financement peut être soumis à des principes volontaires de haut niveau, tels que ceux adoptés par le groupe de travail du G20 sur la finance durable</w:t>
      </w:r>
      <w:r w:rsidR="00D82B54" w:rsidRPr="00267A6E">
        <w:rPr>
          <w:lang w:val="fr-FR"/>
        </w:rPr>
        <w:t> :</w:t>
      </w:r>
    </w:p>
    <w:p w14:paraId="1FFDEFC5" w14:textId="3066C86D" w:rsidR="003373A7" w:rsidRPr="00267A6E" w:rsidRDefault="003373A7" w:rsidP="004D5ED6">
      <w:pPr>
        <w:pStyle w:val="SingleTxtG"/>
        <w:ind w:firstLine="567"/>
        <w:rPr>
          <w:lang w:val="fr-FR"/>
        </w:rPr>
      </w:pPr>
      <w:r w:rsidRPr="00267A6E">
        <w:rPr>
          <w:lang w:val="fr-FR"/>
        </w:rPr>
        <w:t>a)</w:t>
      </w:r>
      <w:r w:rsidRPr="00267A6E">
        <w:rPr>
          <w:lang w:val="fr-FR"/>
        </w:rPr>
        <w:tab/>
        <w:t>Principe 1</w:t>
      </w:r>
      <w:r w:rsidR="00D82B54" w:rsidRPr="00267A6E">
        <w:rPr>
          <w:lang w:val="fr-FR"/>
        </w:rPr>
        <w:t> :</w:t>
      </w:r>
      <w:r w:rsidRPr="00267A6E">
        <w:rPr>
          <w:lang w:val="fr-FR"/>
        </w:rPr>
        <w:t xml:space="preserve"> Contribuer de manière concrète à la réalisation des objectifs de développement durable et mettre l</w:t>
      </w:r>
      <w:r w:rsidR="00D82B54" w:rsidRPr="00267A6E">
        <w:rPr>
          <w:lang w:val="fr-FR"/>
        </w:rPr>
        <w:t>’</w:t>
      </w:r>
      <w:r w:rsidRPr="00267A6E">
        <w:rPr>
          <w:lang w:val="fr-FR"/>
        </w:rPr>
        <w:t>accent sur les résultats</w:t>
      </w:r>
      <w:r w:rsidR="00D82B54" w:rsidRPr="00267A6E">
        <w:rPr>
          <w:lang w:val="fr-FR"/>
        </w:rPr>
        <w:t> ;</w:t>
      </w:r>
    </w:p>
    <w:p w14:paraId="6BE427D7" w14:textId="7F0C5BB7" w:rsidR="003373A7" w:rsidRPr="00267A6E" w:rsidRDefault="003373A7" w:rsidP="004D5ED6">
      <w:pPr>
        <w:pStyle w:val="SingleTxtG"/>
        <w:ind w:firstLine="567"/>
        <w:rPr>
          <w:lang w:val="fr-FR"/>
        </w:rPr>
      </w:pPr>
      <w:r w:rsidRPr="00267A6E">
        <w:rPr>
          <w:lang w:val="fr-FR"/>
        </w:rPr>
        <w:t>b)</w:t>
      </w:r>
      <w:r w:rsidRPr="00267A6E">
        <w:rPr>
          <w:lang w:val="fr-FR"/>
        </w:rPr>
        <w:tab/>
      </w:r>
      <w:r w:rsidRPr="00267A6E">
        <w:rPr>
          <w:spacing w:val="-2"/>
          <w:lang w:val="fr-FR"/>
        </w:rPr>
        <w:t>Principe 2</w:t>
      </w:r>
      <w:r w:rsidR="00D82B54" w:rsidRPr="00267A6E">
        <w:rPr>
          <w:spacing w:val="-2"/>
          <w:lang w:val="fr-FR"/>
        </w:rPr>
        <w:t> :</w:t>
      </w:r>
      <w:r w:rsidRPr="00267A6E">
        <w:rPr>
          <w:spacing w:val="-2"/>
          <w:lang w:val="fr-FR"/>
        </w:rPr>
        <w:t xml:space="preserve"> Éviter d</w:t>
      </w:r>
      <w:r w:rsidR="00D82B54" w:rsidRPr="00267A6E">
        <w:rPr>
          <w:spacing w:val="-2"/>
          <w:lang w:val="fr-FR"/>
        </w:rPr>
        <w:t>’</w:t>
      </w:r>
      <w:r w:rsidRPr="00267A6E">
        <w:rPr>
          <w:spacing w:val="-2"/>
          <w:lang w:val="fr-FR"/>
        </w:rPr>
        <w:t>entraver la réalisation d</w:t>
      </w:r>
      <w:r w:rsidR="00D82B54" w:rsidRPr="00267A6E">
        <w:rPr>
          <w:spacing w:val="-2"/>
          <w:lang w:val="fr-FR"/>
        </w:rPr>
        <w:t>’</w:t>
      </w:r>
      <w:r w:rsidRPr="00267A6E">
        <w:rPr>
          <w:spacing w:val="-2"/>
          <w:lang w:val="fr-FR"/>
        </w:rPr>
        <w:t>autres objectifs de développement durable (application du principe consistant à «</w:t>
      </w:r>
      <w:r w:rsidR="004C210B" w:rsidRPr="00267A6E">
        <w:rPr>
          <w:spacing w:val="-2"/>
          <w:lang w:val="fr-FR"/>
        </w:rPr>
        <w:t> </w:t>
      </w:r>
      <w:r w:rsidRPr="00267A6E">
        <w:rPr>
          <w:spacing w:val="-2"/>
          <w:lang w:val="fr-FR"/>
        </w:rPr>
        <w:t>ne pas causer de préjudice important », par exemple)</w:t>
      </w:r>
      <w:r w:rsidR="00D82B54" w:rsidRPr="00267A6E">
        <w:rPr>
          <w:spacing w:val="-2"/>
          <w:lang w:val="fr-FR"/>
        </w:rPr>
        <w:t> ;</w:t>
      </w:r>
    </w:p>
    <w:p w14:paraId="2AD943B1" w14:textId="5F368074" w:rsidR="003373A7" w:rsidRPr="00267A6E" w:rsidRDefault="003373A7" w:rsidP="004D5ED6">
      <w:pPr>
        <w:pStyle w:val="SingleTxtG"/>
        <w:ind w:firstLine="567"/>
        <w:rPr>
          <w:lang w:val="fr-FR"/>
        </w:rPr>
      </w:pPr>
      <w:r w:rsidRPr="00267A6E">
        <w:rPr>
          <w:lang w:val="fr-FR"/>
        </w:rPr>
        <w:t>c)</w:t>
      </w:r>
      <w:r w:rsidRPr="00267A6E">
        <w:rPr>
          <w:lang w:val="fr-FR"/>
        </w:rPr>
        <w:tab/>
        <w:t>Principe 3</w:t>
      </w:r>
      <w:r w:rsidR="00D82B54" w:rsidRPr="00267A6E">
        <w:rPr>
          <w:lang w:val="fr-FR"/>
        </w:rPr>
        <w:t> :</w:t>
      </w:r>
      <w:r w:rsidRPr="00267A6E">
        <w:rPr>
          <w:lang w:val="fr-FR"/>
        </w:rPr>
        <w:t xml:space="preserve"> S</w:t>
      </w:r>
      <w:r w:rsidR="00D82B54" w:rsidRPr="00267A6E">
        <w:rPr>
          <w:lang w:val="fr-FR"/>
        </w:rPr>
        <w:t>’</w:t>
      </w:r>
      <w:r w:rsidRPr="00267A6E">
        <w:rPr>
          <w:lang w:val="fr-FR"/>
        </w:rPr>
        <w:t>adapter de manière dynamique à l</w:t>
      </w:r>
      <w:r w:rsidR="00D82B54" w:rsidRPr="00267A6E">
        <w:rPr>
          <w:lang w:val="fr-FR"/>
        </w:rPr>
        <w:t>’</w:t>
      </w:r>
      <w:r w:rsidRPr="00267A6E">
        <w:rPr>
          <w:lang w:val="fr-FR"/>
        </w:rPr>
        <w:t>évolution des politiques, des technologies et de la transition</w:t>
      </w:r>
      <w:r w:rsidR="00D82B54" w:rsidRPr="00267A6E">
        <w:rPr>
          <w:lang w:val="fr-FR"/>
        </w:rPr>
        <w:t> ;</w:t>
      </w:r>
    </w:p>
    <w:p w14:paraId="6C069605" w14:textId="73C6B4FC" w:rsidR="003373A7" w:rsidRPr="00267A6E" w:rsidRDefault="003373A7" w:rsidP="004D5ED6">
      <w:pPr>
        <w:pStyle w:val="SingleTxtG"/>
        <w:ind w:firstLine="567"/>
        <w:rPr>
          <w:lang w:val="fr-FR"/>
        </w:rPr>
      </w:pPr>
      <w:r w:rsidRPr="00267A6E">
        <w:rPr>
          <w:lang w:val="fr-FR"/>
        </w:rPr>
        <w:t>d)</w:t>
      </w:r>
      <w:r w:rsidRPr="00267A6E">
        <w:rPr>
          <w:lang w:val="fr-FR"/>
        </w:rPr>
        <w:tab/>
        <w:t>Principe 4</w:t>
      </w:r>
      <w:r w:rsidR="00D82B54" w:rsidRPr="00267A6E">
        <w:rPr>
          <w:lang w:val="fr-FR"/>
        </w:rPr>
        <w:t> :</w:t>
      </w:r>
      <w:r w:rsidRPr="00267A6E">
        <w:rPr>
          <w:lang w:val="fr-FR"/>
        </w:rPr>
        <w:t xml:space="preserve"> Exercer une bonne gouvernance et faire preuve de transparence</w:t>
      </w:r>
      <w:r w:rsidR="00D82B54" w:rsidRPr="00267A6E">
        <w:rPr>
          <w:lang w:val="fr-FR"/>
        </w:rPr>
        <w:t> ;</w:t>
      </w:r>
    </w:p>
    <w:p w14:paraId="53B62AE9" w14:textId="6BB2FFA6" w:rsidR="003373A7" w:rsidRPr="00267A6E" w:rsidRDefault="003373A7" w:rsidP="00FD5756">
      <w:pPr>
        <w:pStyle w:val="SingleTxtG"/>
        <w:spacing w:after="100" w:line="232" w:lineRule="atLeast"/>
        <w:ind w:firstLine="567"/>
        <w:rPr>
          <w:lang w:val="fr-FR"/>
        </w:rPr>
      </w:pPr>
      <w:r w:rsidRPr="00267A6E">
        <w:rPr>
          <w:lang w:val="fr-FR"/>
        </w:rPr>
        <w:t>e)</w:t>
      </w:r>
      <w:r w:rsidRPr="00267A6E">
        <w:rPr>
          <w:lang w:val="fr-FR"/>
        </w:rPr>
        <w:tab/>
        <w:t>Principe 5</w:t>
      </w:r>
      <w:r w:rsidR="00D82B54" w:rsidRPr="00267A6E">
        <w:rPr>
          <w:lang w:val="fr-FR"/>
        </w:rPr>
        <w:t> :</w:t>
      </w:r>
      <w:r w:rsidRPr="00267A6E">
        <w:rPr>
          <w:lang w:val="fr-FR"/>
        </w:rPr>
        <w:t xml:space="preserve"> Se fonder sur la science pour les objectifs environnementaux et sur la science ou les preuves empiriques pour d</w:t>
      </w:r>
      <w:r w:rsidR="00D82B54" w:rsidRPr="00267A6E">
        <w:rPr>
          <w:lang w:val="fr-FR"/>
        </w:rPr>
        <w:t>’</w:t>
      </w:r>
      <w:r w:rsidRPr="00267A6E">
        <w:rPr>
          <w:lang w:val="fr-FR"/>
        </w:rPr>
        <w:t>autres questions de développement durable</w:t>
      </w:r>
      <w:r w:rsidR="00D82B54" w:rsidRPr="00267A6E">
        <w:rPr>
          <w:lang w:val="fr-FR"/>
        </w:rPr>
        <w:t> ;</w:t>
      </w:r>
    </w:p>
    <w:p w14:paraId="0E991878" w14:textId="65A73B85" w:rsidR="003373A7" w:rsidRPr="00267A6E" w:rsidRDefault="003373A7" w:rsidP="00FD5756">
      <w:pPr>
        <w:pStyle w:val="SingleTxtG"/>
        <w:spacing w:after="100" w:line="232" w:lineRule="atLeast"/>
        <w:ind w:firstLine="567"/>
        <w:rPr>
          <w:lang w:val="fr-FR"/>
        </w:rPr>
      </w:pPr>
      <w:r w:rsidRPr="00267A6E">
        <w:rPr>
          <w:lang w:val="fr-FR"/>
        </w:rPr>
        <w:t>f)</w:t>
      </w:r>
      <w:r w:rsidRPr="00267A6E">
        <w:rPr>
          <w:lang w:val="fr-FR"/>
        </w:rPr>
        <w:tab/>
        <w:t>Principe 6</w:t>
      </w:r>
      <w:r w:rsidR="00D82B54" w:rsidRPr="00267A6E">
        <w:rPr>
          <w:lang w:val="fr-FR"/>
        </w:rPr>
        <w:t> :</w:t>
      </w:r>
      <w:r w:rsidRPr="00267A6E">
        <w:rPr>
          <w:lang w:val="fr-FR"/>
        </w:rPr>
        <w:t xml:space="preserve"> Prendre en compte les considérations relatives à la transition</w:t>
      </w:r>
      <w:r w:rsidRPr="00267A6E">
        <w:rPr>
          <w:rStyle w:val="FootnoteReference"/>
          <w:lang w:val="fr-FR"/>
        </w:rPr>
        <w:footnoteReference w:id="71"/>
      </w:r>
      <w:r w:rsidR="00967A77" w:rsidRPr="00267A6E">
        <w:rPr>
          <w:lang w:val="fr-FR"/>
        </w:rPr>
        <w:t>.</w:t>
      </w:r>
    </w:p>
    <w:p w14:paraId="39C95CA8" w14:textId="2B09AFEC" w:rsidR="00D82B54" w:rsidRPr="00267A6E" w:rsidRDefault="003373A7" w:rsidP="00FD5756">
      <w:pPr>
        <w:pStyle w:val="SingleTxtG"/>
        <w:spacing w:after="100" w:line="232" w:lineRule="atLeast"/>
        <w:rPr>
          <w:lang w:val="fr-FR"/>
        </w:rPr>
      </w:pPr>
      <w:r w:rsidRPr="00267A6E">
        <w:rPr>
          <w:lang w:val="fr-FR"/>
        </w:rPr>
        <w:t>41</w:t>
      </w:r>
      <w:r w:rsidR="00967A77" w:rsidRPr="00267A6E">
        <w:rPr>
          <w:lang w:val="fr-FR"/>
        </w:rPr>
        <w:t>.</w:t>
      </w:r>
      <w:r w:rsidRPr="00267A6E">
        <w:rPr>
          <w:lang w:val="fr-FR"/>
        </w:rPr>
        <w:tab/>
        <w:t>Plus de 20 taxonomies (systèmes de classification de ce qui constitue un financement vert ou durable) ont été élaborées ou sont en cours d</w:t>
      </w:r>
      <w:r w:rsidR="00D82B54" w:rsidRPr="00267A6E">
        <w:rPr>
          <w:lang w:val="fr-FR"/>
        </w:rPr>
        <w:t>’</w:t>
      </w:r>
      <w:r w:rsidRPr="00267A6E">
        <w:rPr>
          <w:lang w:val="fr-FR"/>
        </w:rPr>
        <w:t>élaboration dans le monde (dont une pour l</w:t>
      </w:r>
      <w:r w:rsidR="00D82B54" w:rsidRPr="00267A6E">
        <w:rPr>
          <w:lang w:val="fr-FR"/>
        </w:rPr>
        <w:t>’</w:t>
      </w:r>
      <w:r w:rsidRPr="00267A6E">
        <w:rPr>
          <w:lang w:val="fr-FR"/>
        </w:rPr>
        <w:t>Union européenne, qui concerne les 27 États membres, et une pour les 11</w:t>
      </w:r>
      <w:r w:rsidR="005D431A" w:rsidRPr="00267A6E">
        <w:rPr>
          <w:lang w:val="fr-FR"/>
        </w:rPr>
        <w:t> </w:t>
      </w:r>
      <w:r w:rsidRPr="00267A6E">
        <w:rPr>
          <w:lang w:val="fr-FR"/>
        </w:rPr>
        <w:t>États membres de l</w:t>
      </w:r>
      <w:r w:rsidR="00D82B54" w:rsidRPr="00267A6E">
        <w:rPr>
          <w:lang w:val="fr-FR"/>
        </w:rPr>
        <w:t>’</w:t>
      </w:r>
      <w:r w:rsidRPr="00267A6E">
        <w:rPr>
          <w:lang w:val="fr-FR"/>
        </w:rPr>
        <w:t>Association des nations de l</w:t>
      </w:r>
      <w:r w:rsidR="00D82B54" w:rsidRPr="00267A6E">
        <w:rPr>
          <w:lang w:val="fr-FR"/>
        </w:rPr>
        <w:t>’</w:t>
      </w:r>
      <w:r w:rsidRPr="00267A6E">
        <w:rPr>
          <w:lang w:val="fr-FR"/>
        </w:rPr>
        <w:t>Asie du Sud-Est) et s</w:t>
      </w:r>
      <w:r w:rsidR="00D82B54" w:rsidRPr="00267A6E">
        <w:rPr>
          <w:lang w:val="fr-FR"/>
        </w:rPr>
        <w:t>’</w:t>
      </w:r>
      <w:r w:rsidRPr="00267A6E">
        <w:rPr>
          <w:lang w:val="fr-FR"/>
        </w:rPr>
        <w:t>appliquent à plus de 50</w:t>
      </w:r>
      <w:r w:rsidR="005D431A" w:rsidRPr="00267A6E">
        <w:rPr>
          <w:lang w:val="fr-FR"/>
        </w:rPr>
        <w:t> </w:t>
      </w:r>
      <w:r w:rsidRPr="00267A6E">
        <w:rPr>
          <w:lang w:val="fr-FR"/>
        </w:rPr>
        <w:t>pays</w:t>
      </w:r>
      <w:r w:rsidR="00967A77" w:rsidRPr="00267A6E">
        <w:rPr>
          <w:lang w:val="fr-FR"/>
        </w:rPr>
        <w:t>.</w:t>
      </w:r>
      <w:r w:rsidRPr="00267A6E">
        <w:rPr>
          <w:lang w:val="fr-FR"/>
        </w:rPr>
        <w:t xml:space="preserve"> Bien que chacune d</w:t>
      </w:r>
      <w:r w:rsidR="00D82B54" w:rsidRPr="00267A6E">
        <w:rPr>
          <w:lang w:val="fr-FR"/>
        </w:rPr>
        <w:t>’</w:t>
      </w:r>
      <w:r w:rsidRPr="00267A6E">
        <w:rPr>
          <w:lang w:val="fr-FR"/>
        </w:rPr>
        <w:t>entre elles repose sur des définitions différentes de ce qui constitue ou non un investissement vert, la plupart intègrent des mesures visant à « ne pas causer de préjudice important »</w:t>
      </w:r>
      <w:r w:rsidRPr="00267A6E">
        <w:rPr>
          <w:rStyle w:val="FootnoteReference"/>
          <w:lang w:val="fr-FR"/>
        </w:rPr>
        <w:footnoteReference w:id="72"/>
      </w:r>
      <w:r w:rsidR="00967A77" w:rsidRPr="00267A6E">
        <w:rPr>
          <w:lang w:val="fr-FR"/>
        </w:rPr>
        <w:t>.</w:t>
      </w:r>
    </w:p>
    <w:p w14:paraId="6A4B75FD" w14:textId="24C0E509" w:rsidR="003373A7" w:rsidRPr="00267A6E" w:rsidRDefault="003373A7" w:rsidP="002B1A2C">
      <w:pPr>
        <w:pStyle w:val="H1G"/>
        <w:spacing w:before="320" w:after="200"/>
        <w:rPr>
          <w:color w:val="000000"/>
          <w:lang w:val="fr-FR"/>
        </w:rPr>
      </w:pPr>
      <w:r w:rsidRPr="00267A6E">
        <w:rPr>
          <w:lang w:val="fr-FR"/>
        </w:rPr>
        <w:tab/>
        <w:t>B</w:t>
      </w:r>
      <w:r w:rsidR="00967A77" w:rsidRPr="00267A6E">
        <w:rPr>
          <w:lang w:val="fr-FR"/>
        </w:rPr>
        <w:t>.</w:t>
      </w:r>
      <w:r w:rsidRPr="00267A6E">
        <w:rPr>
          <w:lang w:val="fr-FR"/>
        </w:rPr>
        <w:tab/>
        <w:t xml:space="preserve">Cadres de politique générale propices à un financement vert </w:t>
      </w:r>
      <w:r w:rsidR="00DA464C" w:rsidRPr="00267A6E">
        <w:rPr>
          <w:lang w:val="fr-FR"/>
        </w:rPr>
        <w:br/>
      </w:r>
      <w:r w:rsidRPr="00267A6E">
        <w:rPr>
          <w:lang w:val="fr-FR"/>
        </w:rPr>
        <w:t>et état de l</w:t>
      </w:r>
      <w:r w:rsidR="00D82B54" w:rsidRPr="00267A6E">
        <w:rPr>
          <w:lang w:val="fr-FR"/>
        </w:rPr>
        <w:t>’</w:t>
      </w:r>
      <w:r w:rsidRPr="00267A6E">
        <w:rPr>
          <w:lang w:val="fr-FR"/>
        </w:rPr>
        <w:t>application</w:t>
      </w:r>
    </w:p>
    <w:p w14:paraId="6BFA6CAF" w14:textId="4119534C" w:rsidR="003373A7" w:rsidRPr="00267A6E" w:rsidRDefault="003373A7" w:rsidP="00FD5756">
      <w:pPr>
        <w:pStyle w:val="SingleTxtG"/>
        <w:spacing w:after="100" w:line="232" w:lineRule="atLeast"/>
        <w:rPr>
          <w:rFonts w:eastAsia="MyriadPro-Regular"/>
          <w:lang w:val="fr-FR"/>
        </w:rPr>
      </w:pPr>
      <w:r w:rsidRPr="00267A6E">
        <w:rPr>
          <w:lang w:val="fr-FR"/>
        </w:rPr>
        <w:t>42</w:t>
      </w:r>
      <w:r w:rsidR="00967A77" w:rsidRPr="00267A6E">
        <w:rPr>
          <w:lang w:val="fr-FR"/>
        </w:rPr>
        <w:t>.</w:t>
      </w:r>
      <w:r w:rsidRPr="00267A6E">
        <w:rPr>
          <w:lang w:val="fr-FR"/>
        </w:rPr>
        <w:tab/>
        <w:t>Parmi les nombreuses taxonomies vertes en cours d</w:t>
      </w:r>
      <w:r w:rsidR="00D82B54" w:rsidRPr="00267A6E">
        <w:rPr>
          <w:lang w:val="fr-FR"/>
        </w:rPr>
        <w:t>’</w:t>
      </w:r>
      <w:r w:rsidRPr="00267A6E">
        <w:rPr>
          <w:lang w:val="fr-FR"/>
        </w:rPr>
        <w:t>élaboration, on peut citer la taxonomie des activités durables de l</w:t>
      </w:r>
      <w:r w:rsidR="00D82B54" w:rsidRPr="00267A6E">
        <w:rPr>
          <w:lang w:val="fr-FR"/>
        </w:rPr>
        <w:t>’</w:t>
      </w:r>
      <w:r w:rsidRPr="00267A6E">
        <w:rPr>
          <w:lang w:val="fr-FR"/>
        </w:rPr>
        <w:t>Union européenne</w:t>
      </w:r>
      <w:r w:rsidRPr="00267A6E">
        <w:rPr>
          <w:rStyle w:val="FootnoteReference"/>
          <w:lang w:val="fr-FR"/>
        </w:rPr>
        <w:footnoteReference w:id="73"/>
      </w:r>
      <w:r w:rsidRPr="00267A6E">
        <w:rPr>
          <w:lang w:val="fr-FR"/>
        </w:rPr>
        <w:t>, qui comporte les six objectifs suivants</w:t>
      </w:r>
      <w:r w:rsidR="00D82B54" w:rsidRPr="00267A6E">
        <w:rPr>
          <w:lang w:val="fr-FR"/>
        </w:rPr>
        <w:t> :</w:t>
      </w:r>
      <w:r w:rsidRPr="00267A6E">
        <w:rPr>
          <w:lang w:val="fr-FR"/>
        </w:rPr>
        <w:t xml:space="preserve"> l</w:t>
      </w:r>
      <w:r w:rsidR="00D82B54" w:rsidRPr="00267A6E">
        <w:rPr>
          <w:lang w:val="fr-FR"/>
        </w:rPr>
        <w:t>’</w:t>
      </w:r>
      <w:r w:rsidRPr="00267A6E">
        <w:rPr>
          <w:lang w:val="fr-FR"/>
        </w:rPr>
        <w:t>atténuation des changements climatiques</w:t>
      </w:r>
      <w:r w:rsidR="00D82B54" w:rsidRPr="00267A6E">
        <w:rPr>
          <w:lang w:val="fr-FR"/>
        </w:rPr>
        <w:t> ;</w:t>
      </w:r>
      <w:r w:rsidRPr="00267A6E">
        <w:rPr>
          <w:lang w:val="fr-FR"/>
        </w:rPr>
        <w:t xml:space="preserve"> l</w:t>
      </w:r>
      <w:r w:rsidR="00D82B54" w:rsidRPr="00267A6E">
        <w:rPr>
          <w:lang w:val="fr-FR"/>
        </w:rPr>
        <w:t>’</w:t>
      </w:r>
      <w:r w:rsidRPr="00267A6E">
        <w:rPr>
          <w:lang w:val="fr-FR"/>
        </w:rPr>
        <w:t>adaptation aux changements climatiques</w:t>
      </w:r>
      <w:r w:rsidR="00D82B54" w:rsidRPr="00267A6E">
        <w:rPr>
          <w:lang w:val="fr-FR"/>
        </w:rPr>
        <w:t> ;</w:t>
      </w:r>
      <w:r w:rsidRPr="00267A6E">
        <w:rPr>
          <w:lang w:val="fr-FR"/>
        </w:rPr>
        <w:t xml:space="preserve"> l</w:t>
      </w:r>
      <w:r w:rsidR="00D82B54" w:rsidRPr="00267A6E">
        <w:rPr>
          <w:lang w:val="fr-FR"/>
        </w:rPr>
        <w:t>’</w:t>
      </w:r>
      <w:r w:rsidRPr="00267A6E">
        <w:rPr>
          <w:lang w:val="fr-FR"/>
        </w:rPr>
        <w:t>utilisation durable et la protection des ressources aquatiques et marines</w:t>
      </w:r>
      <w:r w:rsidR="00D82B54" w:rsidRPr="00267A6E">
        <w:rPr>
          <w:lang w:val="fr-FR"/>
        </w:rPr>
        <w:t> ;</w:t>
      </w:r>
      <w:r w:rsidRPr="00267A6E">
        <w:rPr>
          <w:lang w:val="fr-FR"/>
        </w:rPr>
        <w:t xml:space="preserve"> la</w:t>
      </w:r>
      <w:r w:rsidR="002B1A2C" w:rsidRPr="00267A6E">
        <w:rPr>
          <w:lang w:val="fr-FR"/>
        </w:rPr>
        <w:t> </w:t>
      </w:r>
      <w:r w:rsidRPr="00267A6E">
        <w:rPr>
          <w:lang w:val="fr-FR"/>
        </w:rPr>
        <w:t>transition vers une économie circulaire</w:t>
      </w:r>
      <w:r w:rsidR="00D82B54" w:rsidRPr="00267A6E">
        <w:rPr>
          <w:lang w:val="fr-FR"/>
        </w:rPr>
        <w:t> ;</w:t>
      </w:r>
      <w:r w:rsidRPr="00267A6E">
        <w:rPr>
          <w:lang w:val="fr-FR"/>
        </w:rPr>
        <w:t xml:space="preserve"> la prévention et le contrôle de la pollution</w:t>
      </w:r>
      <w:r w:rsidR="00D82B54" w:rsidRPr="00267A6E">
        <w:rPr>
          <w:lang w:val="fr-FR"/>
        </w:rPr>
        <w:t> ;</w:t>
      </w:r>
      <w:r w:rsidRPr="00267A6E">
        <w:rPr>
          <w:lang w:val="fr-FR"/>
        </w:rPr>
        <w:t xml:space="preserve"> la</w:t>
      </w:r>
      <w:r w:rsidR="002B1A2C" w:rsidRPr="00267A6E">
        <w:rPr>
          <w:lang w:val="fr-FR"/>
        </w:rPr>
        <w:t> </w:t>
      </w:r>
      <w:r w:rsidRPr="00267A6E">
        <w:rPr>
          <w:lang w:val="fr-FR"/>
        </w:rPr>
        <w:t>protection et la restauration de la biodiversité et des écosystèmes</w:t>
      </w:r>
      <w:r w:rsidR="00967A77" w:rsidRPr="00267A6E">
        <w:rPr>
          <w:lang w:val="fr-FR"/>
        </w:rPr>
        <w:t>.</w:t>
      </w:r>
      <w:r w:rsidRPr="00267A6E">
        <w:rPr>
          <w:lang w:val="fr-FR"/>
        </w:rPr>
        <w:t xml:space="preserve"> Selon cette taxonomie, une activité économique est durable uniquement lorsqu</w:t>
      </w:r>
      <w:r w:rsidR="00D82B54" w:rsidRPr="00267A6E">
        <w:rPr>
          <w:lang w:val="fr-FR"/>
        </w:rPr>
        <w:t>’</w:t>
      </w:r>
      <w:r w:rsidRPr="00267A6E">
        <w:rPr>
          <w:lang w:val="fr-FR"/>
        </w:rPr>
        <w:t>elle</w:t>
      </w:r>
      <w:r w:rsidR="00D82B54" w:rsidRPr="00267A6E">
        <w:rPr>
          <w:lang w:val="fr-FR"/>
        </w:rPr>
        <w:t> :</w:t>
      </w:r>
      <w:bookmarkStart w:id="12" w:name="_Ref133325422"/>
      <w:bookmarkStart w:id="13" w:name="_Ref140149671"/>
      <w:bookmarkEnd w:id="12"/>
      <w:bookmarkEnd w:id="13"/>
    </w:p>
    <w:p w14:paraId="45E75343" w14:textId="50116BA3" w:rsidR="00C25C7D" w:rsidRPr="00267A6E" w:rsidRDefault="003373A7" w:rsidP="00FD5756">
      <w:pPr>
        <w:pStyle w:val="SingleTxtG"/>
        <w:spacing w:after="100" w:line="232" w:lineRule="atLeast"/>
        <w:ind w:firstLine="567"/>
        <w:rPr>
          <w:lang w:val="fr-FR"/>
        </w:rPr>
      </w:pPr>
      <w:r w:rsidRPr="00267A6E">
        <w:rPr>
          <w:lang w:val="fr-FR"/>
        </w:rPr>
        <w:t>a)</w:t>
      </w:r>
      <w:r w:rsidRPr="00267A6E">
        <w:rPr>
          <w:lang w:val="fr-FR"/>
        </w:rPr>
        <w:tab/>
        <w:t>Contribue de manière substantielle à la réalisation d</w:t>
      </w:r>
      <w:r w:rsidR="00D82B54" w:rsidRPr="00267A6E">
        <w:rPr>
          <w:lang w:val="fr-FR"/>
        </w:rPr>
        <w:t>’</w:t>
      </w:r>
      <w:r w:rsidRPr="00267A6E">
        <w:rPr>
          <w:lang w:val="fr-FR"/>
        </w:rPr>
        <w:t>au moins un des objectifs environnementaux susmentionnés</w:t>
      </w:r>
      <w:r w:rsidR="00D82B54" w:rsidRPr="00267A6E">
        <w:rPr>
          <w:lang w:val="fr-FR"/>
        </w:rPr>
        <w:t> ;</w:t>
      </w:r>
    </w:p>
    <w:p w14:paraId="6ED64462" w14:textId="0EA77A92" w:rsidR="00C25C7D" w:rsidRPr="00267A6E" w:rsidRDefault="003373A7" w:rsidP="00FD5756">
      <w:pPr>
        <w:pStyle w:val="SingleTxtG"/>
        <w:spacing w:after="100" w:line="232" w:lineRule="atLeast"/>
        <w:ind w:firstLine="567"/>
        <w:rPr>
          <w:spacing w:val="-2"/>
          <w:lang w:val="fr-FR"/>
        </w:rPr>
      </w:pPr>
      <w:r w:rsidRPr="00267A6E">
        <w:rPr>
          <w:spacing w:val="-2"/>
          <w:lang w:val="fr-FR"/>
        </w:rPr>
        <w:t>b)</w:t>
      </w:r>
      <w:r w:rsidRPr="00267A6E">
        <w:rPr>
          <w:spacing w:val="-2"/>
          <w:lang w:val="fr-FR"/>
        </w:rPr>
        <w:tab/>
        <w:t>Ne cause pas de préjudice important à la réalisation d</w:t>
      </w:r>
      <w:r w:rsidR="00D82B54" w:rsidRPr="00267A6E">
        <w:rPr>
          <w:spacing w:val="-2"/>
          <w:lang w:val="fr-FR"/>
        </w:rPr>
        <w:t>’</w:t>
      </w:r>
      <w:r w:rsidRPr="00267A6E">
        <w:rPr>
          <w:spacing w:val="-2"/>
          <w:lang w:val="fr-FR"/>
        </w:rPr>
        <w:t>autres objectifs environnementaux</w:t>
      </w:r>
      <w:r w:rsidR="00D82B54" w:rsidRPr="00267A6E">
        <w:rPr>
          <w:spacing w:val="-2"/>
          <w:lang w:val="fr-FR"/>
        </w:rPr>
        <w:t> ;</w:t>
      </w:r>
    </w:p>
    <w:p w14:paraId="7FEC6F4B" w14:textId="480D8709" w:rsidR="003373A7" w:rsidRPr="00267A6E" w:rsidRDefault="003373A7" w:rsidP="00FD5756">
      <w:pPr>
        <w:pStyle w:val="SingleTxtG"/>
        <w:spacing w:after="100" w:line="232" w:lineRule="atLeast"/>
        <w:ind w:firstLine="567"/>
        <w:rPr>
          <w:lang w:val="fr-FR"/>
        </w:rPr>
      </w:pPr>
      <w:r w:rsidRPr="00267A6E">
        <w:rPr>
          <w:lang w:val="fr-FR"/>
        </w:rPr>
        <w:t>c)</w:t>
      </w:r>
      <w:r w:rsidRPr="00267A6E">
        <w:rPr>
          <w:lang w:val="fr-FR"/>
        </w:rPr>
        <w:tab/>
        <w:t>Respecte les garanties sociales minimales</w:t>
      </w:r>
      <w:r w:rsidR="00D82B54" w:rsidRPr="00267A6E">
        <w:rPr>
          <w:lang w:val="fr-FR"/>
        </w:rPr>
        <w:t> ;</w:t>
      </w:r>
    </w:p>
    <w:p w14:paraId="2C768C83" w14:textId="4A932563" w:rsidR="003373A7" w:rsidRPr="00267A6E" w:rsidRDefault="003373A7" w:rsidP="00FD5756">
      <w:pPr>
        <w:pStyle w:val="SingleTxtG"/>
        <w:spacing w:after="100" w:line="232" w:lineRule="atLeast"/>
        <w:ind w:firstLine="567"/>
        <w:rPr>
          <w:lang w:val="fr-FR"/>
        </w:rPr>
      </w:pPr>
      <w:r w:rsidRPr="00267A6E">
        <w:rPr>
          <w:lang w:val="fr-FR"/>
        </w:rPr>
        <w:t>d)</w:t>
      </w:r>
      <w:r w:rsidRPr="00267A6E">
        <w:rPr>
          <w:lang w:val="fr-FR"/>
        </w:rPr>
        <w:tab/>
        <w:t>Est conforme aux critères d</w:t>
      </w:r>
      <w:r w:rsidR="00D82B54" w:rsidRPr="00267A6E">
        <w:rPr>
          <w:lang w:val="fr-FR"/>
        </w:rPr>
        <w:t>’</w:t>
      </w:r>
      <w:r w:rsidRPr="00267A6E">
        <w:rPr>
          <w:lang w:val="fr-FR"/>
        </w:rPr>
        <w:t>examen techniques établis par la Commission européenne dans des actes délégués</w:t>
      </w:r>
      <w:r w:rsidR="00967A77" w:rsidRPr="00267A6E">
        <w:rPr>
          <w:lang w:val="fr-FR"/>
        </w:rPr>
        <w:t>.</w:t>
      </w:r>
    </w:p>
    <w:p w14:paraId="5AF94658" w14:textId="7CA27C26" w:rsidR="003373A7" w:rsidRPr="00267A6E" w:rsidRDefault="003373A7" w:rsidP="00FD5756">
      <w:pPr>
        <w:pStyle w:val="SingleTxtG"/>
        <w:spacing w:line="232" w:lineRule="atLeast"/>
        <w:rPr>
          <w:color w:val="000000"/>
          <w:spacing w:val="-2"/>
          <w:lang w:val="fr-FR"/>
        </w:rPr>
      </w:pPr>
      <w:r w:rsidRPr="00267A6E">
        <w:rPr>
          <w:spacing w:val="-2"/>
          <w:lang w:val="fr-FR"/>
        </w:rPr>
        <w:t>43</w:t>
      </w:r>
      <w:r w:rsidR="00967A77" w:rsidRPr="00267A6E">
        <w:rPr>
          <w:spacing w:val="-2"/>
          <w:lang w:val="fr-FR"/>
        </w:rPr>
        <w:t>.</w:t>
      </w:r>
      <w:r w:rsidRPr="00267A6E">
        <w:rPr>
          <w:spacing w:val="-2"/>
          <w:lang w:val="fr-FR"/>
        </w:rPr>
        <w:tab/>
        <w:t>La taxonomie de l</w:t>
      </w:r>
      <w:r w:rsidR="00D82B54" w:rsidRPr="00267A6E">
        <w:rPr>
          <w:spacing w:val="-2"/>
          <w:lang w:val="fr-FR"/>
        </w:rPr>
        <w:t>’</w:t>
      </w:r>
      <w:r w:rsidRPr="00267A6E">
        <w:rPr>
          <w:spacing w:val="-2"/>
          <w:lang w:val="fr-FR"/>
        </w:rPr>
        <w:t>Union européenne s</w:t>
      </w:r>
      <w:r w:rsidR="00D82B54" w:rsidRPr="00267A6E">
        <w:rPr>
          <w:spacing w:val="-2"/>
          <w:lang w:val="fr-FR"/>
        </w:rPr>
        <w:t>’</w:t>
      </w:r>
      <w:r w:rsidRPr="00267A6E">
        <w:rPr>
          <w:spacing w:val="-2"/>
          <w:lang w:val="fr-FR"/>
        </w:rPr>
        <w:t>appuie sur des actes délégués qui définissent les critères d</w:t>
      </w:r>
      <w:r w:rsidR="00D82B54" w:rsidRPr="00267A6E">
        <w:rPr>
          <w:spacing w:val="-2"/>
          <w:lang w:val="fr-FR"/>
        </w:rPr>
        <w:t>’</w:t>
      </w:r>
      <w:r w:rsidRPr="00267A6E">
        <w:rPr>
          <w:spacing w:val="-2"/>
          <w:lang w:val="fr-FR"/>
        </w:rPr>
        <w:t>examen techniques à respecter pour qu</w:t>
      </w:r>
      <w:r w:rsidR="00D82B54" w:rsidRPr="00267A6E">
        <w:rPr>
          <w:spacing w:val="-2"/>
          <w:lang w:val="fr-FR"/>
        </w:rPr>
        <w:t>’</w:t>
      </w:r>
      <w:r w:rsidRPr="00267A6E">
        <w:rPr>
          <w:spacing w:val="-2"/>
          <w:lang w:val="fr-FR"/>
        </w:rPr>
        <w:t>une activité économique soit considérée comme durable</w:t>
      </w:r>
      <w:r w:rsidRPr="00267A6E">
        <w:rPr>
          <w:rStyle w:val="FootnoteReference"/>
          <w:spacing w:val="-2"/>
          <w:lang w:val="fr-FR"/>
        </w:rPr>
        <w:footnoteReference w:id="74"/>
      </w:r>
      <w:r w:rsidR="00967A77" w:rsidRPr="00267A6E">
        <w:rPr>
          <w:spacing w:val="-2"/>
          <w:lang w:val="fr-FR"/>
        </w:rPr>
        <w:t>.</w:t>
      </w:r>
      <w:r w:rsidRPr="00267A6E">
        <w:rPr>
          <w:spacing w:val="-2"/>
          <w:lang w:val="fr-FR"/>
        </w:rPr>
        <w:t xml:space="preserve"> Par conséquent, ces taxonomies commenceront à influer sur les investissements des banques</w:t>
      </w:r>
      <w:r w:rsidR="00967A77" w:rsidRPr="00267A6E">
        <w:rPr>
          <w:spacing w:val="-2"/>
          <w:lang w:val="fr-FR"/>
        </w:rPr>
        <w:t>.</w:t>
      </w:r>
    </w:p>
    <w:p w14:paraId="7F790C0D" w14:textId="1656D5B1" w:rsidR="00C25C7D" w:rsidRPr="00267A6E" w:rsidRDefault="003373A7" w:rsidP="00FD5756">
      <w:pPr>
        <w:pStyle w:val="SingleTxtG"/>
        <w:widowControl w:val="0"/>
        <w:spacing w:line="232" w:lineRule="atLeast"/>
        <w:rPr>
          <w:lang w:val="fr-FR"/>
        </w:rPr>
      </w:pPr>
      <w:r w:rsidRPr="00267A6E">
        <w:rPr>
          <w:lang w:val="fr-FR"/>
        </w:rPr>
        <w:t>44</w:t>
      </w:r>
      <w:r w:rsidR="00967A77" w:rsidRPr="00267A6E">
        <w:rPr>
          <w:lang w:val="fr-FR"/>
        </w:rPr>
        <w:t>.</w:t>
      </w:r>
      <w:r w:rsidRPr="00267A6E">
        <w:rPr>
          <w:lang w:val="fr-FR"/>
        </w:rPr>
        <w:tab/>
        <w:t>Entrée en vigueur en janvier 2023, la Directive de l</w:t>
      </w:r>
      <w:r w:rsidR="00D82B54" w:rsidRPr="00267A6E">
        <w:rPr>
          <w:lang w:val="fr-FR"/>
        </w:rPr>
        <w:t>’</w:t>
      </w:r>
      <w:r w:rsidRPr="00267A6E">
        <w:rPr>
          <w:lang w:val="fr-FR"/>
        </w:rPr>
        <w:t>Union européenne en ce qui concerne la publication d</w:t>
      </w:r>
      <w:r w:rsidR="00D82B54" w:rsidRPr="00267A6E">
        <w:rPr>
          <w:lang w:val="fr-FR"/>
        </w:rPr>
        <w:t>’</w:t>
      </w:r>
      <w:r w:rsidRPr="00267A6E">
        <w:rPr>
          <w:lang w:val="fr-FR"/>
        </w:rPr>
        <w:t xml:space="preserve">informations en matière de durabilité par les entreprises dispose que </w:t>
      </w:r>
      <w:r w:rsidRPr="00267A6E">
        <w:rPr>
          <w:spacing w:val="-2"/>
          <w:lang w:val="fr-FR"/>
        </w:rPr>
        <w:t>les entreprises d</w:t>
      </w:r>
      <w:r w:rsidR="00D82B54" w:rsidRPr="00267A6E">
        <w:rPr>
          <w:spacing w:val="-2"/>
          <w:lang w:val="fr-FR"/>
        </w:rPr>
        <w:t>’</w:t>
      </w:r>
      <w:r w:rsidRPr="00267A6E">
        <w:rPr>
          <w:spacing w:val="-2"/>
          <w:lang w:val="fr-FR"/>
        </w:rPr>
        <w:t>une certaine taille doivent communiquer des informations sur la durabilité de leurs activités</w:t>
      </w:r>
      <w:r w:rsidRPr="00267A6E">
        <w:rPr>
          <w:rStyle w:val="FootnoteReference"/>
          <w:spacing w:val="-2"/>
          <w:lang w:val="fr-FR"/>
        </w:rPr>
        <w:footnoteReference w:id="75"/>
      </w:r>
      <w:r w:rsidR="00967A77" w:rsidRPr="00267A6E">
        <w:rPr>
          <w:spacing w:val="-2"/>
          <w:lang w:val="fr-FR"/>
        </w:rPr>
        <w:t>.</w:t>
      </w:r>
      <w:r w:rsidRPr="00267A6E">
        <w:rPr>
          <w:spacing w:val="-2"/>
          <w:lang w:val="fr-FR"/>
        </w:rPr>
        <w:t xml:space="preserve"> La publication de ces informations sera régie par les normes européennes d</w:t>
      </w:r>
      <w:r w:rsidR="00D82B54" w:rsidRPr="00267A6E">
        <w:rPr>
          <w:spacing w:val="-2"/>
          <w:lang w:val="fr-FR"/>
        </w:rPr>
        <w:t>’</w:t>
      </w:r>
      <w:r w:rsidRPr="00267A6E">
        <w:rPr>
          <w:spacing w:val="-2"/>
          <w:lang w:val="fr-FR"/>
        </w:rPr>
        <w:t>information en matière de durabilité, dont un avant-projet a été publié</w:t>
      </w:r>
      <w:r w:rsidRPr="00267A6E">
        <w:rPr>
          <w:rStyle w:val="FootnoteReference"/>
          <w:spacing w:val="-2"/>
          <w:lang w:val="fr-FR"/>
        </w:rPr>
        <w:footnoteReference w:id="76"/>
      </w:r>
      <w:r w:rsidR="00967A77" w:rsidRPr="00267A6E">
        <w:rPr>
          <w:spacing w:val="-2"/>
          <w:lang w:val="fr-FR"/>
        </w:rPr>
        <w:t>.</w:t>
      </w:r>
      <w:r w:rsidRPr="00267A6E">
        <w:rPr>
          <w:spacing w:val="-2"/>
          <w:lang w:val="fr-FR"/>
        </w:rPr>
        <w:t xml:space="preserve"> Ces normes sont élaborées par le Groupe consultatif pour l</w:t>
      </w:r>
      <w:r w:rsidR="00D82B54" w:rsidRPr="00267A6E">
        <w:rPr>
          <w:spacing w:val="-2"/>
          <w:lang w:val="fr-FR"/>
        </w:rPr>
        <w:t>’</w:t>
      </w:r>
      <w:r w:rsidRPr="00267A6E">
        <w:rPr>
          <w:spacing w:val="-2"/>
          <w:lang w:val="fr-FR"/>
        </w:rPr>
        <w:t>information financière en Europe, un organisme indépendant qui s</w:t>
      </w:r>
      <w:r w:rsidR="00D82B54" w:rsidRPr="00267A6E">
        <w:rPr>
          <w:spacing w:val="-2"/>
          <w:lang w:val="fr-FR"/>
        </w:rPr>
        <w:t>’</w:t>
      </w:r>
      <w:r w:rsidRPr="00267A6E">
        <w:rPr>
          <w:spacing w:val="-2"/>
          <w:lang w:val="fr-FR"/>
        </w:rPr>
        <w:t>appuie également sur les normes du Conseil international des normes de durabilité (créé le 3 novembre 2021 à la vingt-sixième session de la Conférence des Parties à la CCNUCC), et contribue à leur développement</w:t>
      </w:r>
      <w:r w:rsidR="00967A77" w:rsidRPr="00267A6E">
        <w:rPr>
          <w:spacing w:val="-2"/>
          <w:lang w:val="fr-FR"/>
        </w:rPr>
        <w:t>.</w:t>
      </w:r>
      <w:r w:rsidRPr="00267A6E">
        <w:rPr>
          <w:spacing w:val="-2"/>
          <w:lang w:val="fr-FR"/>
        </w:rPr>
        <w:t xml:space="preserve"> Ces normes d</w:t>
      </w:r>
      <w:r w:rsidR="00D82B54" w:rsidRPr="00267A6E">
        <w:rPr>
          <w:spacing w:val="-2"/>
          <w:lang w:val="fr-FR"/>
        </w:rPr>
        <w:t>’</w:t>
      </w:r>
      <w:r w:rsidRPr="00267A6E">
        <w:rPr>
          <w:spacing w:val="-2"/>
          <w:lang w:val="fr-FR"/>
        </w:rPr>
        <w:t>information intègrent le principe de double importance relative, selon lequel les entreprises doivent évaluer non seulement l</w:t>
      </w:r>
      <w:r w:rsidR="00D82B54" w:rsidRPr="00267A6E">
        <w:rPr>
          <w:spacing w:val="-2"/>
          <w:lang w:val="fr-FR"/>
        </w:rPr>
        <w:t>’</w:t>
      </w:r>
      <w:r w:rsidRPr="00267A6E">
        <w:rPr>
          <w:spacing w:val="-2"/>
          <w:lang w:val="fr-FR"/>
        </w:rPr>
        <w:t>impact de leurs activités en termes de durabilité, mais aussi, à l</w:t>
      </w:r>
      <w:r w:rsidR="00D82B54" w:rsidRPr="00267A6E">
        <w:rPr>
          <w:spacing w:val="-2"/>
          <w:lang w:val="fr-FR"/>
        </w:rPr>
        <w:t>’</w:t>
      </w:r>
      <w:r w:rsidRPr="00267A6E">
        <w:rPr>
          <w:spacing w:val="-2"/>
          <w:lang w:val="fr-FR"/>
        </w:rPr>
        <w:t>inverse, l</w:t>
      </w:r>
      <w:r w:rsidR="00D82B54" w:rsidRPr="00267A6E">
        <w:rPr>
          <w:spacing w:val="-2"/>
          <w:lang w:val="fr-FR"/>
        </w:rPr>
        <w:t>’</w:t>
      </w:r>
      <w:r w:rsidRPr="00267A6E">
        <w:rPr>
          <w:spacing w:val="-2"/>
          <w:lang w:val="fr-FR"/>
        </w:rPr>
        <w:t>impact des exigences de durabilité sur leurs activités</w:t>
      </w:r>
      <w:r w:rsidR="00967A77" w:rsidRPr="00267A6E">
        <w:rPr>
          <w:spacing w:val="-2"/>
          <w:lang w:val="fr-FR"/>
        </w:rPr>
        <w:t>.</w:t>
      </w:r>
      <w:r w:rsidRPr="00267A6E">
        <w:rPr>
          <w:spacing w:val="-2"/>
          <w:lang w:val="fr-FR"/>
        </w:rPr>
        <w:t xml:space="preserve"> Bien que les normes n</w:t>
      </w:r>
      <w:r w:rsidR="00D82B54" w:rsidRPr="00267A6E">
        <w:rPr>
          <w:spacing w:val="-2"/>
          <w:lang w:val="fr-FR"/>
        </w:rPr>
        <w:t>’</w:t>
      </w:r>
      <w:r w:rsidRPr="00267A6E">
        <w:rPr>
          <w:spacing w:val="-2"/>
          <w:lang w:val="fr-FR"/>
        </w:rPr>
        <w:t>influencent pas directement le financement vert, les entreprises veilleront à coup sûr à ce</w:t>
      </w:r>
      <w:r w:rsidRPr="00267A6E">
        <w:rPr>
          <w:lang w:val="fr-FR"/>
        </w:rPr>
        <w:t xml:space="preserve"> que leurs investissements puissent être présentés sous un jour favorable, au cas où elles auraient ultérieurement l</w:t>
      </w:r>
      <w:r w:rsidR="00D82B54" w:rsidRPr="00267A6E">
        <w:rPr>
          <w:lang w:val="fr-FR"/>
        </w:rPr>
        <w:t>’</w:t>
      </w:r>
      <w:r w:rsidRPr="00267A6E">
        <w:rPr>
          <w:lang w:val="fr-FR"/>
        </w:rPr>
        <w:t>obligation de communiquer des informations à ce sujet</w:t>
      </w:r>
      <w:r w:rsidR="00967A77" w:rsidRPr="00267A6E">
        <w:rPr>
          <w:lang w:val="fr-FR"/>
        </w:rPr>
        <w:t>.</w:t>
      </w:r>
    </w:p>
    <w:p w14:paraId="0382192D" w14:textId="2A18451F" w:rsidR="003373A7" w:rsidRPr="00267A6E" w:rsidRDefault="003373A7" w:rsidP="00DA464C">
      <w:pPr>
        <w:pStyle w:val="SingleTxtG"/>
        <w:rPr>
          <w:color w:val="000000"/>
          <w:lang w:val="fr-FR"/>
        </w:rPr>
      </w:pPr>
      <w:r w:rsidRPr="00267A6E">
        <w:rPr>
          <w:lang w:val="fr-FR"/>
        </w:rPr>
        <w:t>45</w:t>
      </w:r>
      <w:r w:rsidR="00967A77" w:rsidRPr="00267A6E">
        <w:rPr>
          <w:lang w:val="fr-FR"/>
        </w:rPr>
        <w:t>.</w:t>
      </w:r>
      <w:r w:rsidRPr="00267A6E">
        <w:rPr>
          <w:lang w:val="fr-FR"/>
        </w:rPr>
        <w:tab/>
        <w:t>Ainsi, dans le cadre du financement vert, les banques devront de plus en plus tenir compte des questions d</w:t>
      </w:r>
      <w:r w:rsidR="00D82B54" w:rsidRPr="00267A6E">
        <w:rPr>
          <w:lang w:val="fr-FR"/>
        </w:rPr>
        <w:t>’</w:t>
      </w:r>
      <w:r w:rsidRPr="00267A6E">
        <w:rPr>
          <w:lang w:val="fr-FR"/>
        </w:rPr>
        <w:t>environnement, de société et de gouvernance dans leurs décisions d</w:t>
      </w:r>
      <w:r w:rsidR="00D82B54" w:rsidRPr="00267A6E">
        <w:rPr>
          <w:lang w:val="fr-FR"/>
        </w:rPr>
        <w:t>’</w:t>
      </w:r>
      <w:r w:rsidRPr="00267A6E">
        <w:rPr>
          <w:lang w:val="fr-FR"/>
        </w:rPr>
        <w:t>investissement, c</w:t>
      </w:r>
      <w:r w:rsidR="00D82B54" w:rsidRPr="00267A6E">
        <w:rPr>
          <w:lang w:val="fr-FR"/>
        </w:rPr>
        <w:t>’</w:t>
      </w:r>
      <w:r w:rsidRPr="00267A6E">
        <w:rPr>
          <w:lang w:val="fr-FR"/>
        </w:rPr>
        <w:t>est-à-dire évaluer la durabilité de leurs investissements</w:t>
      </w:r>
      <w:r w:rsidR="00967A77" w:rsidRPr="00267A6E">
        <w:rPr>
          <w:lang w:val="fr-FR"/>
        </w:rPr>
        <w:t>.</w:t>
      </w:r>
      <w:r w:rsidRPr="00267A6E">
        <w:rPr>
          <w:lang w:val="fr-FR"/>
        </w:rPr>
        <w:t xml:space="preserve"> Il en sera de même pour les entreprises, qui devront rendre compte de la durabilité de leurs activités (en risquant de mécontenter leurs actionnaires si leurs résultats sont décevants à cet égard)</w:t>
      </w:r>
      <w:r w:rsidR="00967A77" w:rsidRPr="00267A6E">
        <w:rPr>
          <w:lang w:val="fr-FR"/>
        </w:rPr>
        <w:t>.</w:t>
      </w:r>
    </w:p>
    <w:p w14:paraId="310C7285" w14:textId="7C73050B" w:rsidR="003373A7" w:rsidRPr="00267A6E" w:rsidRDefault="003373A7" w:rsidP="00DA464C">
      <w:pPr>
        <w:pStyle w:val="H1G"/>
        <w:rPr>
          <w:color w:val="000000"/>
          <w:lang w:val="fr-FR"/>
        </w:rPr>
      </w:pPr>
      <w:r w:rsidRPr="00267A6E">
        <w:rPr>
          <w:lang w:val="fr-FR"/>
        </w:rPr>
        <w:tab/>
        <w:t>C</w:t>
      </w:r>
      <w:r w:rsidR="00967A77" w:rsidRPr="00267A6E">
        <w:rPr>
          <w:lang w:val="fr-FR"/>
        </w:rPr>
        <w:t>.</w:t>
      </w:r>
      <w:r w:rsidRPr="00267A6E">
        <w:rPr>
          <w:lang w:val="fr-FR"/>
        </w:rPr>
        <w:tab/>
        <w:t>Rôle et avantages avérés et potentiels de la Convention et du Protocole dans la promotion du financement vert</w:t>
      </w:r>
    </w:p>
    <w:p w14:paraId="4592215F" w14:textId="719ACE56" w:rsidR="003373A7" w:rsidRPr="00267A6E" w:rsidRDefault="003373A7" w:rsidP="00DA464C">
      <w:pPr>
        <w:pStyle w:val="SingleTxtG"/>
        <w:rPr>
          <w:lang w:val="fr-FR"/>
        </w:rPr>
      </w:pPr>
      <w:r w:rsidRPr="00267A6E">
        <w:rPr>
          <w:lang w:val="fr-FR"/>
        </w:rPr>
        <w:t>46</w:t>
      </w:r>
      <w:r w:rsidR="00967A77" w:rsidRPr="00267A6E">
        <w:rPr>
          <w:lang w:val="fr-FR"/>
        </w:rPr>
        <w:t>.</w:t>
      </w:r>
      <w:r w:rsidRPr="00267A6E">
        <w:rPr>
          <w:lang w:val="fr-FR"/>
        </w:rPr>
        <w:tab/>
        <w:t>Selon les trois autorités de surveillance de l</w:t>
      </w:r>
      <w:r w:rsidR="00D82B54" w:rsidRPr="00267A6E">
        <w:rPr>
          <w:lang w:val="fr-FR"/>
        </w:rPr>
        <w:t>’</w:t>
      </w:r>
      <w:r w:rsidRPr="00267A6E">
        <w:rPr>
          <w:lang w:val="fr-FR"/>
        </w:rPr>
        <w:t>Union européenne (l</w:t>
      </w:r>
      <w:r w:rsidR="00D82B54" w:rsidRPr="00267A6E">
        <w:rPr>
          <w:lang w:val="fr-FR"/>
        </w:rPr>
        <w:t>’</w:t>
      </w:r>
      <w:r w:rsidRPr="00267A6E">
        <w:rPr>
          <w:lang w:val="fr-FR"/>
        </w:rPr>
        <w:t>Autorité européenne des assurances et des pensions professionnelles, l</w:t>
      </w:r>
      <w:r w:rsidR="00D82B54" w:rsidRPr="00267A6E">
        <w:rPr>
          <w:lang w:val="fr-FR"/>
        </w:rPr>
        <w:t>’</w:t>
      </w:r>
      <w:r w:rsidRPr="00267A6E">
        <w:rPr>
          <w:lang w:val="fr-FR"/>
        </w:rPr>
        <w:t>Autorité bancaire européenne et l</w:t>
      </w:r>
      <w:r w:rsidR="00D82B54" w:rsidRPr="00267A6E">
        <w:rPr>
          <w:lang w:val="fr-FR"/>
        </w:rPr>
        <w:t>’</w:t>
      </w:r>
      <w:r w:rsidRPr="00267A6E">
        <w:rPr>
          <w:lang w:val="fr-FR"/>
        </w:rPr>
        <w:t>Autorité européenne des marchés financiers)</w:t>
      </w:r>
      <w:r w:rsidR="008D7609" w:rsidRPr="00267A6E">
        <w:rPr>
          <w:lang w:val="fr-FR"/>
        </w:rPr>
        <w:t xml:space="preserve"> </w:t>
      </w:r>
      <w:r w:rsidRPr="00267A6E">
        <w:rPr>
          <w:lang w:val="fr-FR"/>
        </w:rPr>
        <w:t>l</w:t>
      </w:r>
      <w:r w:rsidR="00D82B54" w:rsidRPr="00267A6E">
        <w:rPr>
          <w:lang w:val="fr-FR"/>
        </w:rPr>
        <w:t>’</w:t>
      </w:r>
      <w:r w:rsidRPr="00267A6E">
        <w:rPr>
          <w:lang w:val="fr-FR"/>
        </w:rPr>
        <w:t>écoblanchiment s</w:t>
      </w:r>
      <w:r w:rsidR="00D82B54" w:rsidRPr="00267A6E">
        <w:rPr>
          <w:lang w:val="fr-FR"/>
        </w:rPr>
        <w:t>’</w:t>
      </w:r>
      <w:r w:rsidRPr="00267A6E">
        <w:rPr>
          <w:lang w:val="fr-FR"/>
        </w:rPr>
        <w:t>entend d</w:t>
      </w:r>
      <w:r w:rsidR="00D82B54" w:rsidRPr="00267A6E">
        <w:rPr>
          <w:lang w:val="fr-FR"/>
        </w:rPr>
        <w:t>’</w:t>
      </w:r>
      <w:r w:rsidRPr="00267A6E">
        <w:rPr>
          <w:lang w:val="fr-FR"/>
        </w:rPr>
        <w:t>« une pratique dans laquelle les déclarations, les actions ou les communications liées au développement durable ne reflètent pas clairement et équitablement le profil de développement durable sous-jacent d</w:t>
      </w:r>
      <w:r w:rsidR="00D82B54" w:rsidRPr="00267A6E">
        <w:rPr>
          <w:lang w:val="fr-FR"/>
        </w:rPr>
        <w:t>’</w:t>
      </w:r>
      <w:r w:rsidRPr="00267A6E">
        <w:rPr>
          <w:lang w:val="fr-FR"/>
        </w:rPr>
        <w:t>une entité, d</w:t>
      </w:r>
      <w:r w:rsidR="00D82B54" w:rsidRPr="00267A6E">
        <w:rPr>
          <w:lang w:val="fr-FR"/>
        </w:rPr>
        <w:t>’</w:t>
      </w:r>
      <w:r w:rsidRPr="00267A6E">
        <w:rPr>
          <w:lang w:val="fr-FR"/>
        </w:rPr>
        <w:t>un produit financier ou d</w:t>
      </w:r>
      <w:r w:rsidR="00D82B54" w:rsidRPr="00267A6E">
        <w:rPr>
          <w:lang w:val="fr-FR"/>
        </w:rPr>
        <w:t>’</w:t>
      </w:r>
      <w:r w:rsidRPr="00267A6E">
        <w:rPr>
          <w:lang w:val="fr-FR"/>
        </w:rPr>
        <w:t>un service financier</w:t>
      </w:r>
      <w:r w:rsidR="00967A77" w:rsidRPr="00267A6E">
        <w:rPr>
          <w:lang w:val="fr-FR"/>
        </w:rPr>
        <w:t>.</w:t>
      </w:r>
      <w:r w:rsidRPr="00267A6E">
        <w:rPr>
          <w:lang w:val="fr-FR"/>
        </w:rPr>
        <w:t xml:space="preserve"> Cette pratique peut induire en erreur les consommateurs, les investisseurs ou d</w:t>
      </w:r>
      <w:r w:rsidR="00D82B54" w:rsidRPr="00267A6E">
        <w:rPr>
          <w:lang w:val="fr-FR"/>
        </w:rPr>
        <w:t>’</w:t>
      </w:r>
      <w:r w:rsidRPr="00267A6E">
        <w:rPr>
          <w:lang w:val="fr-FR"/>
        </w:rPr>
        <w:t>autres acteurs du marché »</w:t>
      </w:r>
      <w:r w:rsidRPr="00267A6E">
        <w:rPr>
          <w:rStyle w:val="FootnoteReference"/>
          <w:lang w:val="fr-FR"/>
        </w:rPr>
        <w:footnoteReference w:id="77"/>
      </w:r>
      <w:r w:rsidR="00967A77" w:rsidRPr="00267A6E">
        <w:rPr>
          <w:lang w:val="fr-FR"/>
        </w:rPr>
        <w:t>.</w:t>
      </w:r>
      <w:r w:rsidRPr="00267A6E">
        <w:rPr>
          <w:lang w:val="fr-FR"/>
        </w:rPr>
        <w:t xml:space="preserve"> En matière de financement et de publication d</w:t>
      </w:r>
      <w:r w:rsidR="00D82B54" w:rsidRPr="00267A6E">
        <w:rPr>
          <w:lang w:val="fr-FR"/>
        </w:rPr>
        <w:t>’</w:t>
      </w:r>
      <w:r w:rsidRPr="00267A6E">
        <w:rPr>
          <w:lang w:val="fr-FR"/>
        </w:rPr>
        <w:t>informations, l</w:t>
      </w:r>
      <w:r w:rsidR="00D82B54" w:rsidRPr="00267A6E">
        <w:rPr>
          <w:lang w:val="fr-FR"/>
        </w:rPr>
        <w:t>’</w:t>
      </w:r>
      <w:r w:rsidRPr="00267A6E">
        <w:rPr>
          <w:lang w:val="fr-FR"/>
        </w:rPr>
        <w:t>une des préoccupations majeures du public est le risque d</w:t>
      </w:r>
      <w:r w:rsidR="00D82B54" w:rsidRPr="00267A6E">
        <w:rPr>
          <w:lang w:val="fr-FR"/>
        </w:rPr>
        <w:t>’</w:t>
      </w:r>
      <w:r w:rsidRPr="00267A6E">
        <w:rPr>
          <w:lang w:val="fr-FR"/>
        </w:rPr>
        <w:t>écoblanchiment associé aux allégations de contribution au développement durable</w:t>
      </w:r>
      <w:r w:rsidR="00967A77" w:rsidRPr="00267A6E">
        <w:rPr>
          <w:lang w:val="fr-FR"/>
        </w:rPr>
        <w:t>.</w:t>
      </w:r>
      <w:r w:rsidRPr="00267A6E">
        <w:rPr>
          <w:lang w:val="fr-FR"/>
        </w:rPr>
        <w:t xml:space="preserve"> Dans le cadre d</w:t>
      </w:r>
      <w:r w:rsidR="00D82B54" w:rsidRPr="00267A6E">
        <w:rPr>
          <w:lang w:val="fr-FR"/>
        </w:rPr>
        <w:t>’</w:t>
      </w:r>
      <w:r w:rsidRPr="00267A6E">
        <w:rPr>
          <w:lang w:val="fr-FR"/>
        </w:rPr>
        <w:t>une enquête réalisée par l</w:t>
      </w:r>
      <w:r w:rsidR="00D82B54" w:rsidRPr="00267A6E">
        <w:rPr>
          <w:lang w:val="fr-FR"/>
        </w:rPr>
        <w:t>’</w:t>
      </w:r>
      <w:r w:rsidRPr="00267A6E">
        <w:rPr>
          <w:lang w:val="fr-FR"/>
        </w:rPr>
        <w:t>Autorité européenne des assurances et des pensions professionnelles, 63</w:t>
      </w:r>
      <w:r w:rsidR="00D82B54" w:rsidRPr="00267A6E">
        <w:rPr>
          <w:lang w:val="fr-FR"/>
        </w:rPr>
        <w:t> %</w:t>
      </w:r>
      <w:r w:rsidRPr="00267A6E">
        <w:rPr>
          <w:lang w:val="fr-FR"/>
        </w:rPr>
        <w:t xml:space="preserve"> des consommateurs interrogés ont affirmé qu</w:t>
      </w:r>
      <w:r w:rsidR="00D82B54" w:rsidRPr="00267A6E">
        <w:rPr>
          <w:lang w:val="fr-FR"/>
        </w:rPr>
        <w:t>’</w:t>
      </w:r>
      <w:r w:rsidRPr="00267A6E">
        <w:rPr>
          <w:lang w:val="fr-FR"/>
        </w:rPr>
        <w:t>ils n</w:t>
      </w:r>
      <w:r w:rsidR="00D82B54" w:rsidRPr="00267A6E">
        <w:rPr>
          <w:lang w:val="fr-FR"/>
        </w:rPr>
        <w:t>’</w:t>
      </w:r>
      <w:r w:rsidRPr="00267A6E">
        <w:rPr>
          <w:lang w:val="fr-FR"/>
        </w:rPr>
        <w:t>avaient pas confiance dans les allégations environnementales des fournisseurs et des distributeurs</w:t>
      </w:r>
      <w:r w:rsidRPr="00267A6E">
        <w:rPr>
          <w:rStyle w:val="FootnoteReference"/>
          <w:lang w:val="fr-FR"/>
        </w:rPr>
        <w:footnoteReference w:id="78"/>
      </w:r>
      <w:r w:rsidR="00967A77" w:rsidRPr="00267A6E">
        <w:rPr>
          <w:lang w:val="fr-FR"/>
        </w:rPr>
        <w:t>.</w:t>
      </w:r>
      <w:r w:rsidRPr="00267A6E">
        <w:rPr>
          <w:lang w:val="fr-FR"/>
        </w:rPr>
        <w:t xml:space="preserve"> Selon l</w:t>
      </w:r>
      <w:r w:rsidR="00D82B54" w:rsidRPr="00267A6E">
        <w:rPr>
          <w:lang w:val="fr-FR"/>
        </w:rPr>
        <w:t>’</w:t>
      </w:r>
      <w:r w:rsidRPr="00267A6E">
        <w:rPr>
          <w:lang w:val="fr-FR"/>
        </w:rPr>
        <w:t>Autorité bancaire européenne, il ressort des analyses quantitatives réalisées récemment que les cas potentiels d</w:t>
      </w:r>
      <w:r w:rsidR="00D82B54" w:rsidRPr="00267A6E">
        <w:rPr>
          <w:lang w:val="fr-FR"/>
        </w:rPr>
        <w:t>’</w:t>
      </w:r>
      <w:r w:rsidRPr="00267A6E">
        <w:rPr>
          <w:lang w:val="fr-FR"/>
        </w:rPr>
        <w:t>écoblanchiment sont en nette augmentation dans tous les secteurs, y compris dans les banques de l</w:t>
      </w:r>
      <w:r w:rsidR="00D82B54" w:rsidRPr="00267A6E">
        <w:rPr>
          <w:lang w:val="fr-FR"/>
        </w:rPr>
        <w:t>’</w:t>
      </w:r>
      <w:r w:rsidRPr="00267A6E">
        <w:rPr>
          <w:lang w:val="fr-FR"/>
        </w:rPr>
        <w:t>Union européenne</w:t>
      </w:r>
      <w:r w:rsidRPr="00267A6E">
        <w:rPr>
          <w:rStyle w:val="FootnoteReference"/>
          <w:lang w:val="fr-FR"/>
        </w:rPr>
        <w:footnoteReference w:id="79"/>
      </w:r>
      <w:r w:rsidR="00967A77" w:rsidRPr="00267A6E">
        <w:rPr>
          <w:lang w:val="fr-FR"/>
        </w:rPr>
        <w:t>.</w:t>
      </w:r>
      <w:r w:rsidRPr="00267A6E">
        <w:rPr>
          <w:lang w:val="fr-FR"/>
        </w:rPr>
        <w:t xml:space="preserve"> On pourrait remédier à cette situation en encourageant la transparence méthodologique et en veillant à ce que des évaluations approfondies soient réalisées au titre de la Convention ou du Protocole, dont les processus d</w:t>
      </w:r>
      <w:r w:rsidR="00D82B54" w:rsidRPr="00267A6E">
        <w:rPr>
          <w:lang w:val="fr-FR"/>
        </w:rPr>
        <w:t>’</w:t>
      </w:r>
      <w:r w:rsidRPr="00267A6E">
        <w:rPr>
          <w:lang w:val="fr-FR"/>
        </w:rPr>
        <w:t>évaluation transparents et objectifs sont de nature à susciter la confiance du public et des parties prenantes</w:t>
      </w:r>
      <w:r w:rsidR="00967A77" w:rsidRPr="00267A6E">
        <w:rPr>
          <w:lang w:val="fr-FR"/>
        </w:rPr>
        <w:t>.</w:t>
      </w:r>
    </w:p>
    <w:p w14:paraId="1217172D" w14:textId="77B6C189" w:rsidR="003373A7" w:rsidRPr="00267A6E" w:rsidRDefault="003373A7" w:rsidP="00DA464C">
      <w:pPr>
        <w:pStyle w:val="SingleTxtG"/>
        <w:rPr>
          <w:lang w:val="fr-FR"/>
        </w:rPr>
      </w:pPr>
      <w:r w:rsidRPr="00267A6E">
        <w:rPr>
          <w:lang w:val="fr-FR"/>
        </w:rPr>
        <w:t>47</w:t>
      </w:r>
      <w:r w:rsidR="00967A77" w:rsidRPr="00267A6E">
        <w:rPr>
          <w:lang w:val="fr-FR"/>
        </w:rPr>
        <w:t>.</w:t>
      </w:r>
      <w:r w:rsidRPr="00267A6E">
        <w:rPr>
          <w:lang w:val="fr-FR"/>
        </w:rPr>
        <w:tab/>
      </w:r>
      <w:bookmarkStart w:id="14" w:name="_Ref134968236"/>
      <w:bookmarkEnd w:id="14"/>
      <w:r w:rsidRPr="00267A6E">
        <w:rPr>
          <w:lang w:val="fr-FR"/>
        </w:rPr>
        <w:t>De plus en plus, l</w:t>
      </w:r>
      <w:r w:rsidR="00D82B54" w:rsidRPr="00267A6E">
        <w:rPr>
          <w:lang w:val="fr-FR"/>
        </w:rPr>
        <w:t>’</w:t>
      </w:r>
      <w:r w:rsidRPr="00267A6E">
        <w:rPr>
          <w:lang w:val="fr-FR"/>
        </w:rPr>
        <w:t>octroi d</w:t>
      </w:r>
      <w:r w:rsidR="00D82B54" w:rsidRPr="00267A6E">
        <w:rPr>
          <w:lang w:val="fr-FR"/>
        </w:rPr>
        <w:t>’</w:t>
      </w:r>
      <w:r w:rsidRPr="00267A6E">
        <w:rPr>
          <w:lang w:val="fr-FR"/>
        </w:rPr>
        <w:t>un financement sera conditionné à la durabilité des investissements proposés</w:t>
      </w:r>
      <w:r w:rsidR="00967A77" w:rsidRPr="00267A6E">
        <w:rPr>
          <w:lang w:val="fr-FR"/>
        </w:rPr>
        <w:t>.</w:t>
      </w:r>
      <w:r w:rsidRPr="00267A6E">
        <w:rPr>
          <w:lang w:val="fr-FR"/>
        </w:rPr>
        <w:t xml:space="preserve"> Ainsi, la Banque européenne pour la reconstruction et le développement a revu à la hausse son objectif de consacrer au moins 50</w:t>
      </w:r>
      <w:r w:rsidR="00D82B54" w:rsidRPr="00267A6E">
        <w:rPr>
          <w:lang w:val="fr-FR"/>
        </w:rPr>
        <w:t> %</w:t>
      </w:r>
      <w:r w:rsidRPr="00267A6E">
        <w:rPr>
          <w:lang w:val="fr-FR"/>
        </w:rPr>
        <w:t xml:space="preserve"> de son financement annuel à des investissements verts d</w:t>
      </w:r>
      <w:r w:rsidR="00D82B54" w:rsidRPr="00267A6E">
        <w:rPr>
          <w:lang w:val="fr-FR"/>
        </w:rPr>
        <w:t>’</w:t>
      </w:r>
      <w:r w:rsidRPr="00267A6E">
        <w:rPr>
          <w:lang w:val="fr-FR"/>
        </w:rPr>
        <w:t>ici à 2025</w:t>
      </w:r>
      <w:r w:rsidRPr="00267A6E">
        <w:rPr>
          <w:rStyle w:val="FootnoteReference"/>
          <w:lang w:val="fr-FR"/>
        </w:rPr>
        <w:footnoteReference w:id="80"/>
      </w:r>
      <w:r w:rsidR="00967A77" w:rsidRPr="00267A6E">
        <w:rPr>
          <w:lang w:val="fr-FR"/>
        </w:rPr>
        <w:t>.</w:t>
      </w:r>
      <w:r w:rsidRPr="00267A6E">
        <w:rPr>
          <w:lang w:val="fr-FR"/>
        </w:rPr>
        <w:t xml:space="preserve"> On peut donc s</w:t>
      </w:r>
      <w:r w:rsidR="00D82B54" w:rsidRPr="00267A6E">
        <w:rPr>
          <w:lang w:val="fr-FR"/>
        </w:rPr>
        <w:t>’</w:t>
      </w:r>
      <w:r w:rsidRPr="00267A6E">
        <w:rPr>
          <w:lang w:val="fr-FR"/>
        </w:rPr>
        <w:t>attendre à ce que les décisions d</w:t>
      </w:r>
      <w:r w:rsidR="00D82B54" w:rsidRPr="00267A6E">
        <w:rPr>
          <w:lang w:val="fr-FR"/>
        </w:rPr>
        <w:t>’</w:t>
      </w:r>
      <w:r w:rsidRPr="00267A6E">
        <w:rPr>
          <w:lang w:val="fr-FR"/>
        </w:rPr>
        <w:t>investissement s</w:t>
      </w:r>
      <w:r w:rsidR="00D82B54" w:rsidRPr="00267A6E">
        <w:rPr>
          <w:lang w:val="fr-FR"/>
        </w:rPr>
        <w:t>’</w:t>
      </w:r>
      <w:r w:rsidRPr="00267A6E">
        <w:rPr>
          <w:lang w:val="fr-FR"/>
        </w:rPr>
        <w:t>appuient de plus en plus sur des taxonomies vertes</w:t>
      </w:r>
      <w:r w:rsidR="00967A77" w:rsidRPr="00267A6E">
        <w:rPr>
          <w:lang w:val="fr-FR"/>
        </w:rPr>
        <w:t>.</w:t>
      </w:r>
      <w:r w:rsidRPr="00267A6E">
        <w:rPr>
          <w:lang w:val="fr-FR"/>
        </w:rPr>
        <w:t xml:space="preserve"> Il a déjà été avancé que les évaluations de l</w:t>
      </w:r>
      <w:r w:rsidR="00D82B54" w:rsidRPr="00267A6E">
        <w:rPr>
          <w:lang w:val="fr-FR"/>
        </w:rPr>
        <w:t>’</w:t>
      </w:r>
      <w:r w:rsidRPr="00267A6E">
        <w:rPr>
          <w:lang w:val="fr-FR"/>
        </w:rPr>
        <w:t>impact sur l</w:t>
      </w:r>
      <w:r w:rsidR="00D82B54" w:rsidRPr="00267A6E">
        <w:rPr>
          <w:lang w:val="fr-FR"/>
        </w:rPr>
        <w:t>’</w:t>
      </w:r>
      <w:r w:rsidRPr="00267A6E">
        <w:rPr>
          <w:lang w:val="fr-FR"/>
        </w:rPr>
        <w:t>environnement (notamment celles menées au titre de la Convention et du Protocole) pourraient jouer un rôle important en permettant de déterminer si les investissements proposés répondent aux exigences de la taxonomie européenne à plusieurs étapes du processus, à savoir la délimitation du champ d</w:t>
      </w:r>
      <w:r w:rsidR="00D82B54" w:rsidRPr="00267A6E">
        <w:rPr>
          <w:lang w:val="fr-FR"/>
        </w:rPr>
        <w:t>’</w:t>
      </w:r>
      <w:r w:rsidRPr="00267A6E">
        <w:rPr>
          <w:lang w:val="fr-FR"/>
        </w:rPr>
        <w:t>application, l</w:t>
      </w:r>
      <w:r w:rsidR="00D82B54" w:rsidRPr="00267A6E">
        <w:rPr>
          <w:lang w:val="fr-FR"/>
        </w:rPr>
        <w:t>’</w:t>
      </w:r>
      <w:r w:rsidRPr="00267A6E">
        <w:rPr>
          <w:lang w:val="fr-FR"/>
        </w:rPr>
        <w:t>examen des solutions de remplacement et l</w:t>
      </w:r>
      <w:r w:rsidR="00D82B54" w:rsidRPr="00267A6E">
        <w:rPr>
          <w:lang w:val="fr-FR"/>
        </w:rPr>
        <w:t>’</w:t>
      </w:r>
      <w:r w:rsidRPr="00267A6E">
        <w:rPr>
          <w:lang w:val="fr-FR"/>
        </w:rPr>
        <w:t>élaboration de mesures d</w:t>
      </w:r>
      <w:r w:rsidR="00D82B54" w:rsidRPr="00267A6E">
        <w:rPr>
          <w:lang w:val="fr-FR"/>
        </w:rPr>
        <w:t>’</w:t>
      </w:r>
      <w:r w:rsidRPr="00267A6E">
        <w:rPr>
          <w:lang w:val="fr-FR"/>
        </w:rPr>
        <w:t>atténuation, ainsi que l</w:t>
      </w:r>
      <w:r w:rsidR="00D82B54" w:rsidRPr="00267A6E">
        <w:rPr>
          <w:lang w:val="fr-FR"/>
        </w:rPr>
        <w:t>’</w:t>
      </w:r>
      <w:r w:rsidRPr="00267A6E">
        <w:rPr>
          <w:lang w:val="fr-FR"/>
        </w:rPr>
        <w:t>examen du dossier d</w:t>
      </w:r>
      <w:r w:rsidR="00D82B54" w:rsidRPr="00267A6E">
        <w:rPr>
          <w:lang w:val="fr-FR"/>
        </w:rPr>
        <w:t>’</w:t>
      </w:r>
      <w:r w:rsidRPr="00267A6E">
        <w:rPr>
          <w:lang w:val="fr-FR"/>
        </w:rPr>
        <w:t>évaluation de l</w:t>
      </w:r>
      <w:r w:rsidR="00D82B54" w:rsidRPr="00267A6E">
        <w:rPr>
          <w:lang w:val="fr-FR"/>
        </w:rPr>
        <w:t>’</w:t>
      </w:r>
      <w:r w:rsidRPr="00267A6E">
        <w:rPr>
          <w:lang w:val="fr-FR"/>
        </w:rPr>
        <w:t>impact sur l</w:t>
      </w:r>
      <w:r w:rsidR="00D82B54" w:rsidRPr="00267A6E">
        <w:rPr>
          <w:lang w:val="fr-FR"/>
        </w:rPr>
        <w:t>’</w:t>
      </w:r>
      <w:r w:rsidRPr="00267A6E">
        <w:rPr>
          <w:lang w:val="fr-FR"/>
        </w:rPr>
        <w:t>environnement</w:t>
      </w:r>
      <w:r w:rsidRPr="00267A6E">
        <w:rPr>
          <w:rStyle w:val="FootnoteReference"/>
          <w:lang w:val="fr-FR"/>
        </w:rPr>
        <w:footnoteReference w:id="81"/>
      </w:r>
      <w:r w:rsidR="00967A77" w:rsidRPr="00267A6E">
        <w:rPr>
          <w:lang w:val="fr-FR"/>
        </w:rPr>
        <w:t>.</w:t>
      </w:r>
    </w:p>
    <w:p w14:paraId="1AE0CEC6" w14:textId="3891EB7F" w:rsidR="003373A7" w:rsidRPr="00267A6E" w:rsidRDefault="003373A7" w:rsidP="00DA464C">
      <w:pPr>
        <w:pStyle w:val="SingleTxtG"/>
        <w:rPr>
          <w:lang w:val="fr-FR"/>
        </w:rPr>
      </w:pPr>
      <w:r w:rsidRPr="00267A6E">
        <w:rPr>
          <w:lang w:val="fr-FR"/>
        </w:rPr>
        <w:t>48</w:t>
      </w:r>
      <w:r w:rsidR="00967A77" w:rsidRPr="00267A6E">
        <w:rPr>
          <w:lang w:val="fr-FR"/>
        </w:rPr>
        <w:t>.</w:t>
      </w:r>
      <w:r w:rsidRPr="00267A6E">
        <w:rPr>
          <w:lang w:val="fr-FR"/>
        </w:rPr>
        <w:tab/>
        <w:t>Le financement durable intéresse à la fois la transition énergétique (via les objectifs d</w:t>
      </w:r>
      <w:r w:rsidR="00D82B54" w:rsidRPr="00267A6E">
        <w:rPr>
          <w:lang w:val="fr-FR"/>
        </w:rPr>
        <w:t>’</w:t>
      </w:r>
      <w:r w:rsidRPr="00267A6E">
        <w:rPr>
          <w:lang w:val="fr-FR"/>
        </w:rPr>
        <w:t>atténuation des changements climatiques et d</w:t>
      </w:r>
      <w:r w:rsidR="00D82B54" w:rsidRPr="00267A6E">
        <w:rPr>
          <w:lang w:val="fr-FR"/>
        </w:rPr>
        <w:t>’</w:t>
      </w:r>
      <w:r w:rsidRPr="00267A6E">
        <w:rPr>
          <w:lang w:val="fr-FR"/>
        </w:rPr>
        <w:t>adaptation à ces changements) et la transition vers une économie circulaire</w:t>
      </w:r>
      <w:r w:rsidR="00967A77" w:rsidRPr="00267A6E">
        <w:rPr>
          <w:lang w:val="fr-FR"/>
        </w:rPr>
        <w:t>.</w:t>
      </w:r>
      <w:r w:rsidRPr="00267A6E">
        <w:rPr>
          <w:lang w:val="fr-FR"/>
        </w:rPr>
        <w:t xml:space="preserve"> Les objectifs visés par les taxonomies sont également liés aux composantes environnementales qui sont au centre de la Convention et du Protocole, lesquels ont vocation à garantir la durabilité et l</w:t>
      </w:r>
      <w:r w:rsidR="00D82B54" w:rsidRPr="00267A6E">
        <w:rPr>
          <w:lang w:val="fr-FR"/>
        </w:rPr>
        <w:t>’</w:t>
      </w:r>
      <w:r w:rsidRPr="00267A6E">
        <w:rPr>
          <w:lang w:val="fr-FR"/>
        </w:rPr>
        <w:t>acceptabilité par le public des politiques, plans, programmes et projets nécessitant une assistance financière</w:t>
      </w:r>
      <w:r w:rsidR="00967A77" w:rsidRPr="00267A6E">
        <w:rPr>
          <w:lang w:val="fr-FR"/>
        </w:rPr>
        <w:t>.</w:t>
      </w:r>
    </w:p>
    <w:p w14:paraId="3D6948F6" w14:textId="777B6574" w:rsidR="003373A7" w:rsidRPr="00267A6E" w:rsidRDefault="003373A7" w:rsidP="006F7E3F">
      <w:pPr>
        <w:pStyle w:val="SingleTxtG"/>
        <w:keepLines/>
        <w:rPr>
          <w:lang w:val="fr-FR"/>
        </w:rPr>
      </w:pPr>
      <w:r w:rsidRPr="00267A6E">
        <w:rPr>
          <w:lang w:val="fr-FR"/>
        </w:rPr>
        <w:t>49</w:t>
      </w:r>
      <w:r w:rsidR="00967A77" w:rsidRPr="00267A6E">
        <w:rPr>
          <w:lang w:val="fr-FR"/>
        </w:rPr>
        <w:t>.</w:t>
      </w:r>
      <w:r w:rsidRPr="00267A6E">
        <w:rPr>
          <w:lang w:val="fr-FR"/>
        </w:rPr>
        <w:tab/>
      </w:r>
      <w:bookmarkStart w:id="15" w:name="_Ref138238476"/>
      <w:bookmarkEnd w:id="15"/>
      <w:r w:rsidRPr="00267A6E">
        <w:rPr>
          <w:lang w:val="fr-FR"/>
        </w:rPr>
        <w:t>Les taxonomies de la finance durable étant relativement nouvelles, le chevauchement entre l</w:t>
      </w:r>
      <w:r w:rsidR="00D82B54" w:rsidRPr="00267A6E">
        <w:rPr>
          <w:lang w:val="fr-FR"/>
        </w:rPr>
        <w:t>’</w:t>
      </w:r>
      <w:r w:rsidRPr="00267A6E">
        <w:rPr>
          <w:lang w:val="fr-FR"/>
        </w:rPr>
        <w:t>application d</w:t>
      </w:r>
      <w:r w:rsidR="00D82B54" w:rsidRPr="00267A6E">
        <w:rPr>
          <w:lang w:val="fr-FR"/>
        </w:rPr>
        <w:t>’</w:t>
      </w:r>
      <w:r w:rsidRPr="00267A6E">
        <w:rPr>
          <w:lang w:val="fr-FR"/>
        </w:rPr>
        <w:t>une taxonomie verte et la pratique de l</w:t>
      </w:r>
      <w:r w:rsidR="00D82B54" w:rsidRPr="00267A6E">
        <w:rPr>
          <w:lang w:val="fr-FR"/>
        </w:rPr>
        <w:t>’</w:t>
      </w:r>
      <w:r w:rsidRPr="00267A6E">
        <w:rPr>
          <w:lang w:val="fr-FR"/>
        </w:rPr>
        <w:t>évaluation stratégique environnementale ou de l</w:t>
      </w:r>
      <w:r w:rsidR="00D82B54" w:rsidRPr="00267A6E">
        <w:rPr>
          <w:lang w:val="fr-FR"/>
        </w:rPr>
        <w:t>’</w:t>
      </w:r>
      <w:r w:rsidRPr="00267A6E">
        <w:rPr>
          <w:lang w:val="fr-FR"/>
        </w:rPr>
        <w:t>évaluation de l</w:t>
      </w:r>
      <w:r w:rsidR="00D82B54" w:rsidRPr="00267A6E">
        <w:rPr>
          <w:lang w:val="fr-FR"/>
        </w:rPr>
        <w:t>’</w:t>
      </w:r>
      <w:r w:rsidRPr="00267A6E">
        <w:rPr>
          <w:lang w:val="fr-FR"/>
        </w:rPr>
        <w:t>impact sur l</w:t>
      </w:r>
      <w:r w:rsidR="00D82B54" w:rsidRPr="00267A6E">
        <w:rPr>
          <w:lang w:val="fr-FR"/>
        </w:rPr>
        <w:t>’</w:t>
      </w:r>
      <w:r w:rsidRPr="00267A6E">
        <w:rPr>
          <w:lang w:val="fr-FR"/>
        </w:rPr>
        <w:t>environnement n</w:t>
      </w:r>
      <w:r w:rsidR="00D82B54" w:rsidRPr="00267A6E">
        <w:rPr>
          <w:lang w:val="fr-FR"/>
        </w:rPr>
        <w:t>’</w:t>
      </w:r>
      <w:r w:rsidRPr="00267A6E">
        <w:rPr>
          <w:lang w:val="fr-FR"/>
        </w:rPr>
        <w:t>a encore été que très peu étudié</w:t>
      </w:r>
      <w:r w:rsidR="00967A77" w:rsidRPr="00267A6E">
        <w:rPr>
          <w:lang w:val="fr-FR"/>
        </w:rPr>
        <w:t>.</w:t>
      </w:r>
      <w:r w:rsidRPr="00267A6E">
        <w:rPr>
          <w:lang w:val="fr-FR"/>
        </w:rPr>
        <w:t xml:space="preserve"> D</w:t>
      </w:r>
      <w:r w:rsidR="00D82B54" w:rsidRPr="00267A6E">
        <w:rPr>
          <w:lang w:val="fr-FR"/>
        </w:rPr>
        <w:t>’</w:t>
      </w:r>
      <w:r w:rsidRPr="00267A6E">
        <w:rPr>
          <w:lang w:val="fr-FR"/>
        </w:rPr>
        <w:t>après une étude menée en République tchèque, il serait utile d</w:t>
      </w:r>
      <w:r w:rsidR="00D82B54" w:rsidRPr="00267A6E">
        <w:rPr>
          <w:lang w:val="fr-FR"/>
        </w:rPr>
        <w:t>’</w:t>
      </w:r>
      <w:r w:rsidRPr="00267A6E">
        <w:rPr>
          <w:lang w:val="fr-FR"/>
        </w:rPr>
        <w:t>intégrer systématiquement dans l</w:t>
      </w:r>
      <w:r w:rsidR="00D82B54" w:rsidRPr="00267A6E">
        <w:rPr>
          <w:lang w:val="fr-FR"/>
        </w:rPr>
        <w:t>’</w:t>
      </w:r>
      <w:r w:rsidRPr="00267A6E">
        <w:rPr>
          <w:lang w:val="fr-FR"/>
        </w:rPr>
        <w:t>évaluation environnementale d</w:t>
      </w:r>
      <w:r w:rsidR="00D82B54" w:rsidRPr="00267A6E">
        <w:rPr>
          <w:lang w:val="fr-FR"/>
        </w:rPr>
        <w:t>’</w:t>
      </w:r>
      <w:r w:rsidRPr="00267A6E">
        <w:rPr>
          <w:lang w:val="fr-FR"/>
        </w:rPr>
        <w:t>un programme opérationnel les critères d</w:t>
      </w:r>
      <w:r w:rsidR="00D82B54" w:rsidRPr="00267A6E">
        <w:rPr>
          <w:lang w:val="fr-FR"/>
        </w:rPr>
        <w:t>’</w:t>
      </w:r>
      <w:r w:rsidRPr="00267A6E">
        <w:rPr>
          <w:lang w:val="fr-FR"/>
        </w:rPr>
        <w:t>examen techniques associés à la taxonomie de la finance durable de l</w:t>
      </w:r>
      <w:r w:rsidR="00D82B54" w:rsidRPr="00267A6E">
        <w:rPr>
          <w:lang w:val="fr-FR"/>
        </w:rPr>
        <w:t>’</w:t>
      </w:r>
      <w:r w:rsidRPr="00267A6E">
        <w:rPr>
          <w:lang w:val="fr-FR"/>
        </w:rPr>
        <w:t>Union européenne</w:t>
      </w:r>
      <w:r w:rsidRPr="00267A6E">
        <w:rPr>
          <w:rStyle w:val="FootnoteReference"/>
          <w:lang w:val="fr-FR"/>
        </w:rPr>
        <w:footnoteReference w:id="82"/>
      </w:r>
      <w:r w:rsidR="00967A77" w:rsidRPr="00267A6E">
        <w:rPr>
          <w:lang w:val="fr-FR"/>
        </w:rPr>
        <w:t>.</w:t>
      </w:r>
      <w:r w:rsidRPr="00267A6E">
        <w:rPr>
          <w:lang w:val="fr-FR"/>
        </w:rPr>
        <w:t xml:space="preserve"> L</w:t>
      </w:r>
      <w:r w:rsidR="00D82B54" w:rsidRPr="00267A6E">
        <w:rPr>
          <w:lang w:val="fr-FR"/>
        </w:rPr>
        <w:t>’</w:t>
      </w:r>
      <w:r w:rsidR="00CE2EB6" w:rsidRPr="00267A6E">
        <w:rPr>
          <w:lang w:val="fr-FR"/>
        </w:rPr>
        <w:t>encadré </w:t>
      </w:r>
      <w:r w:rsidRPr="00267A6E">
        <w:rPr>
          <w:lang w:val="fr-FR"/>
        </w:rPr>
        <w:t>4 ci-dessous résume les enseignements de cette étude</w:t>
      </w:r>
      <w:r w:rsidR="00967A77" w:rsidRPr="00267A6E">
        <w:rPr>
          <w:lang w:val="fr-FR"/>
        </w:rPr>
        <w:t>.</w:t>
      </w:r>
    </w:p>
    <w:tbl>
      <w:tblPr>
        <w:tblStyle w:val="TableGrid"/>
        <w:tblW w:w="7653" w:type="dxa"/>
        <w:jc w:val="center"/>
        <w:tblBorders>
          <w:top w:val="none" w:sz="0" w:space="0" w:color="auto"/>
          <w:left w:val="none" w:sz="0" w:space="0" w:color="auto"/>
          <w:bottom w:val="none" w:sz="0" w:space="0" w:color="auto"/>
          <w:right w:val="none" w:sz="0" w:space="0" w:color="auto"/>
          <w:insideH w:val="none" w:sz="0" w:space="0" w:color="auto"/>
        </w:tblBorders>
        <w:tblLayout w:type="fixed"/>
        <w:tblCellMar>
          <w:left w:w="142" w:type="dxa"/>
          <w:right w:w="142" w:type="dxa"/>
        </w:tblCellMar>
        <w:tblLook w:val="04A0" w:firstRow="1" w:lastRow="0" w:firstColumn="1" w:lastColumn="0" w:noHBand="0" w:noVBand="1"/>
      </w:tblPr>
      <w:tblGrid>
        <w:gridCol w:w="7653"/>
      </w:tblGrid>
      <w:tr w:rsidR="00DA464C" w:rsidRPr="00267A6E" w14:paraId="6D4E2298" w14:textId="77777777">
        <w:trPr>
          <w:trHeight w:hRule="exact" w:val="240"/>
          <w:jc w:val="center"/>
        </w:trPr>
        <w:tc>
          <w:tcPr>
            <w:tcW w:w="7653" w:type="dxa"/>
            <w:tcBorders>
              <w:top w:val="single" w:sz="4" w:space="0" w:color="auto"/>
              <w:left w:val="single" w:sz="4" w:space="0" w:color="auto"/>
              <w:bottom w:val="nil"/>
              <w:right w:val="single" w:sz="4" w:space="0" w:color="auto"/>
            </w:tcBorders>
            <w:shd w:val="clear" w:color="auto" w:fill="auto"/>
          </w:tcPr>
          <w:p w14:paraId="2AB7EEBA" w14:textId="60CC70E9" w:rsidR="00DA464C" w:rsidRPr="00267A6E" w:rsidRDefault="00CE2EB6">
            <w:pPr>
              <w:rPr>
                <w:lang w:val="fr-FR"/>
              </w:rPr>
            </w:pPr>
            <w:r w:rsidRPr="00267A6E">
              <w:rPr>
                <w:lang w:val="fr-FR"/>
              </w:rPr>
              <w:t>Encadré </w:t>
            </w:r>
            <w:r w:rsidR="00DA464C" w:rsidRPr="00267A6E">
              <w:rPr>
                <w:lang w:val="fr-FR"/>
              </w:rPr>
              <w:t>4</w:t>
            </w:r>
          </w:p>
        </w:tc>
      </w:tr>
      <w:tr w:rsidR="00DA464C" w:rsidRPr="00267A6E" w14:paraId="24869017" w14:textId="77777777">
        <w:trPr>
          <w:jc w:val="center"/>
        </w:trPr>
        <w:tc>
          <w:tcPr>
            <w:tcW w:w="7653" w:type="dxa"/>
            <w:tcBorders>
              <w:left w:val="single" w:sz="4" w:space="0" w:color="auto"/>
              <w:bottom w:val="nil"/>
              <w:right w:val="single" w:sz="4" w:space="0" w:color="auto"/>
            </w:tcBorders>
            <w:shd w:val="clear" w:color="auto" w:fill="auto"/>
          </w:tcPr>
          <w:p w14:paraId="699216EE" w14:textId="6A9AC180" w:rsidR="00DA464C" w:rsidRPr="00267A6E" w:rsidRDefault="00DA464C" w:rsidP="00BD44CF">
            <w:pPr>
              <w:spacing w:after="100"/>
              <w:jc w:val="both"/>
              <w:rPr>
                <w:lang w:val="fr-FR"/>
              </w:rPr>
            </w:pPr>
            <w:r w:rsidRPr="00267A6E">
              <w:rPr>
                <w:b/>
                <w:bCs/>
                <w:lang w:val="fr-FR"/>
              </w:rPr>
              <w:t>Application du Protocole compte tenu des éléments de la taxonomie de la finance durable de l</w:t>
            </w:r>
            <w:r w:rsidR="00D82B54" w:rsidRPr="00267A6E">
              <w:rPr>
                <w:b/>
                <w:bCs/>
                <w:lang w:val="fr-FR"/>
              </w:rPr>
              <w:t>’</w:t>
            </w:r>
            <w:r w:rsidRPr="00267A6E">
              <w:rPr>
                <w:b/>
                <w:bCs/>
                <w:lang w:val="fr-FR"/>
              </w:rPr>
              <w:t>Union européenne – étude de cas menée en République tchèque</w:t>
            </w:r>
            <w:r w:rsidRPr="00267A6E">
              <w:rPr>
                <w:i/>
                <w:iCs/>
                <w:vertAlign w:val="superscript"/>
                <w:lang w:val="fr-FR"/>
              </w:rPr>
              <w:t>a</w:t>
            </w:r>
          </w:p>
        </w:tc>
      </w:tr>
      <w:tr w:rsidR="00DA464C" w:rsidRPr="00267A6E" w14:paraId="4065E9A7" w14:textId="77777777">
        <w:trPr>
          <w:jc w:val="center"/>
        </w:trPr>
        <w:tc>
          <w:tcPr>
            <w:tcW w:w="7653" w:type="dxa"/>
            <w:tcBorders>
              <w:left w:val="single" w:sz="4" w:space="0" w:color="auto"/>
              <w:bottom w:val="nil"/>
              <w:right w:val="single" w:sz="4" w:space="0" w:color="auto"/>
            </w:tcBorders>
            <w:shd w:val="clear" w:color="auto" w:fill="auto"/>
          </w:tcPr>
          <w:p w14:paraId="62FDDF21" w14:textId="2FE23328" w:rsidR="00DA464C" w:rsidRPr="00267A6E" w:rsidRDefault="00DA464C" w:rsidP="00BD44CF">
            <w:pPr>
              <w:spacing w:after="100"/>
              <w:ind w:firstLine="567"/>
              <w:jc w:val="both"/>
              <w:rPr>
                <w:lang w:val="fr-FR"/>
              </w:rPr>
            </w:pPr>
            <w:r w:rsidRPr="00267A6E">
              <w:rPr>
                <w:lang w:val="fr-FR"/>
              </w:rPr>
              <w:t>Dans le cadre des activités de clôture d</w:t>
            </w:r>
            <w:r w:rsidR="00D82B54" w:rsidRPr="00267A6E">
              <w:rPr>
                <w:lang w:val="fr-FR"/>
              </w:rPr>
              <w:t>’</w:t>
            </w:r>
            <w:r w:rsidRPr="00267A6E">
              <w:rPr>
                <w:lang w:val="fr-FR"/>
              </w:rPr>
              <w:t>une évaluation environnementale d</w:t>
            </w:r>
            <w:r w:rsidR="00D82B54" w:rsidRPr="00267A6E">
              <w:rPr>
                <w:lang w:val="fr-FR"/>
              </w:rPr>
              <w:t>’</w:t>
            </w:r>
            <w:r w:rsidRPr="00267A6E">
              <w:rPr>
                <w:lang w:val="fr-FR"/>
              </w:rPr>
              <w:t>un programme opérationnel consacré à la mise en œuvre des technologies en faveur de la compétitivité pour la période 2021-2027, Integra Consulting, le cabinet mandaté par la République tchèque, devait produire des recommandations visant à améliorer ses procédures internes de respect des questions environnementales</w:t>
            </w:r>
            <w:r w:rsidR="00967A77" w:rsidRPr="00267A6E">
              <w:rPr>
                <w:lang w:val="fr-FR"/>
              </w:rPr>
              <w:t>.</w:t>
            </w:r>
            <w:r w:rsidRPr="00267A6E">
              <w:rPr>
                <w:lang w:val="fr-FR"/>
              </w:rPr>
              <w:t xml:space="preserve"> Les consultants ont profité de cette occasion pour élaborer un document d</w:t>
            </w:r>
            <w:r w:rsidR="00D82B54" w:rsidRPr="00267A6E">
              <w:rPr>
                <w:lang w:val="fr-FR"/>
              </w:rPr>
              <w:t>’</w:t>
            </w:r>
            <w:r w:rsidRPr="00267A6E">
              <w:rPr>
                <w:lang w:val="fr-FR"/>
              </w:rPr>
              <w:t>information dans lequel ils ont examiné les possibilités d</w:t>
            </w:r>
            <w:r w:rsidR="00D82B54" w:rsidRPr="00267A6E">
              <w:rPr>
                <w:lang w:val="fr-FR"/>
              </w:rPr>
              <w:t>’</w:t>
            </w:r>
            <w:r w:rsidRPr="00267A6E">
              <w:rPr>
                <w:lang w:val="fr-FR"/>
              </w:rPr>
              <w:t>intégrer des critères techniques de la taxonomie de l</w:t>
            </w:r>
            <w:r w:rsidR="00D82B54" w:rsidRPr="00267A6E">
              <w:rPr>
                <w:lang w:val="fr-FR"/>
              </w:rPr>
              <w:t>’</w:t>
            </w:r>
            <w:r w:rsidRPr="00267A6E">
              <w:rPr>
                <w:lang w:val="fr-FR"/>
              </w:rPr>
              <w:t>Union européenne dans le processus de sélection des futurs projets (par exemple, dans les domaines de la production d</w:t>
            </w:r>
            <w:r w:rsidR="00D82B54" w:rsidRPr="00267A6E">
              <w:rPr>
                <w:lang w:val="fr-FR"/>
              </w:rPr>
              <w:t>’</w:t>
            </w:r>
            <w:r w:rsidRPr="00267A6E">
              <w:rPr>
                <w:lang w:val="fr-FR"/>
              </w:rPr>
              <w:t>énergie, de l</w:t>
            </w:r>
            <w:r w:rsidR="00D82B54" w:rsidRPr="00267A6E">
              <w:rPr>
                <w:lang w:val="fr-FR"/>
              </w:rPr>
              <w:t>’</w:t>
            </w:r>
            <w:r w:rsidRPr="00267A6E">
              <w:rPr>
                <w:lang w:val="fr-FR"/>
              </w:rPr>
              <w:t>économie circulaire et de l</w:t>
            </w:r>
            <w:r w:rsidR="00D82B54" w:rsidRPr="00267A6E">
              <w:rPr>
                <w:lang w:val="fr-FR"/>
              </w:rPr>
              <w:t>’</w:t>
            </w:r>
            <w:r w:rsidRPr="00267A6E">
              <w:rPr>
                <w:lang w:val="fr-FR"/>
              </w:rPr>
              <w:t>innovation) qui bénéficieraient de l</w:t>
            </w:r>
            <w:r w:rsidR="00D82B54" w:rsidRPr="00267A6E">
              <w:rPr>
                <w:lang w:val="fr-FR"/>
              </w:rPr>
              <w:t>’</w:t>
            </w:r>
            <w:r w:rsidRPr="00267A6E">
              <w:rPr>
                <w:lang w:val="fr-FR"/>
              </w:rPr>
              <w:t>appui de ce programme opérationnel</w:t>
            </w:r>
            <w:r w:rsidR="00967A77" w:rsidRPr="00267A6E">
              <w:rPr>
                <w:lang w:val="fr-FR"/>
              </w:rPr>
              <w:t>.</w:t>
            </w:r>
            <w:r w:rsidRPr="00267A6E">
              <w:rPr>
                <w:lang w:val="fr-FR"/>
              </w:rPr>
              <w:t xml:space="preserve"> Le caractère innovant de cette démarche a incité le client à mener un examen interministériel approfondi</w:t>
            </w:r>
            <w:r w:rsidR="00967A77" w:rsidRPr="00267A6E">
              <w:rPr>
                <w:lang w:val="fr-FR"/>
              </w:rPr>
              <w:t>.</w:t>
            </w:r>
            <w:r w:rsidRPr="00267A6E">
              <w:rPr>
                <w:lang w:val="fr-FR"/>
              </w:rPr>
              <w:t xml:space="preserve"> Les pouvoirs publics ont conclu que l</w:t>
            </w:r>
            <w:r w:rsidR="00D82B54" w:rsidRPr="00267A6E">
              <w:rPr>
                <w:lang w:val="fr-FR"/>
              </w:rPr>
              <w:t>’</w:t>
            </w:r>
            <w:r w:rsidRPr="00267A6E">
              <w:rPr>
                <w:lang w:val="fr-FR"/>
              </w:rPr>
              <w:t>alignement proposé entre le programme opérationnel et la taxonomie de l</w:t>
            </w:r>
            <w:r w:rsidR="00D82B54" w:rsidRPr="00267A6E">
              <w:rPr>
                <w:lang w:val="fr-FR"/>
              </w:rPr>
              <w:t>’</w:t>
            </w:r>
            <w:r w:rsidRPr="00267A6E">
              <w:rPr>
                <w:lang w:val="fr-FR"/>
              </w:rPr>
              <w:t>Union européenne était effectivement utile et devrait donner lieu à un suivi pendant la phase de mise en œuvre</w:t>
            </w:r>
            <w:r w:rsidR="00967A77" w:rsidRPr="00267A6E">
              <w:rPr>
                <w:lang w:val="fr-FR"/>
              </w:rPr>
              <w:t>.</w:t>
            </w:r>
          </w:p>
        </w:tc>
      </w:tr>
      <w:tr w:rsidR="00DA464C" w:rsidRPr="00267A6E" w14:paraId="27340E55" w14:textId="77777777">
        <w:trPr>
          <w:jc w:val="center"/>
        </w:trPr>
        <w:tc>
          <w:tcPr>
            <w:tcW w:w="7653" w:type="dxa"/>
            <w:tcBorders>
              <w:left w:val="single" w:sz="4" w:space="0" w:color="auto"/>
              <w:bottom w:val="nil"/>
              <w:right w:val="single" w:sz="4" w:space="0" w:color="auto"/>
            </w:tcBorders>
            <w:shd w:val="clear" w:color="auto" w:fill="auto"/>
          </w:tcPr>
          <w:p w14:paraId="3A1A8A2F" w14:textId="08BE4790" w:rsidR="00DA464C" w:rsidRPr="00267A6E" w:rsidRDefault="00DA464C" w:rsidP="00BD44CF">
            <w:pPr>
              <w:spacing w:after="100"/>
              <w:ind w:firstLine="567"/>
              <w:jc w:val="both"/>
              <w:rPr>
                <w:lang w:val="fr-FR"/>
              </w:rPr>
            </w:pPr>
            <w:r w:rsidRPr="00267A6E">
              <w:rPr>
                <w:lang w:val="fr-FR"/>
              </w:rPr>
              <w:t>Dans le cadre du programme pour une transition juste (2021-2027), la République tchèque entend faciliter le développement de trois régions charbonnières dont l</w:t>
            </w:r>
            <w:r w:rsidR="00D82B54" w:rsidRPr="00267A6E">
              <w:rPr>
                <w:lang w:val="fr-FR"/>
              </w:rPr>
              <w:t>’</w:t>
            </w:r>
            <w:r w:rsidRPr="00267A6E">
              <w:rPr>
                <w:lang w:val="fr-FR"/>
              </w:rPr>
              <w:t>économie sera perturbée par la transition énergétique, grâce à un ensemble de projets et d</w:t>
            </w:r>
            <w:r w:rsidR="00D82B54" w:rsidRPr="00267A6E">
              <w:rPr>
                <w:lang w:val="fr-FR"/>
              </w:rPr>
              <w:t>’</w:t>
            </w:r>
            <w:r w:rsidRPr="00267A6E">
              <w:rPr>
                <w:lang w:val="fr-FR"/>
              </w:rPr>
              <w:t>initiatives de diversification</w:t>
            </w:r>
            <w:r w:rsidR="00967A77" w:rsidRPr="00267A6E">
              <w:rPr>
                <w:lang w:val="fr-FR"/>
              </w:rPr>
              <w:t>.</w:t>
            </w:r>
            <w:r w:rsidRPr="00267A6E">
              <w:rPr>
                <w:lang w:val="fr-FR"/>
              </w:rPr>
              <w:t xml:space="preserve"> Le cadre de référence de l</w:t>
            </w:r>
            <w:r w:rsidR="00D82B54" w:rsidRPr="00267A6E">
              <w:rPr>
                <w:lang w:val="fr-FR"/>
              </w:rPr>
              <w:t>’</w:t>
            </w:r>
            <w:r w:rsidRPr="00267A6E">
              <w:rPr>
                <w:lang w:val="fr-FR"/>
              </w:rPr>
              <w:t>évaluation environnementale stratégique comportait une nouvelle prescription, à savoir la prise en compte du principe de neutralité environnementale</w:t>
            </w:r>
            <w:r w:rsidR="00967A77" w:rsidRPr="00267A6E">
              <w:rPr>
                <w:lang w:val="fr-FR"/>
              </w:rPr>
              <w:t>.</w:t>
            </w:r>
            <w:r w:rsidRPr="00267A6E">
              <w:rPr>
                <w:lang w:val="fr-FR"/>
              </w:rPr>
              <w:t xml:space="preserve"> Les consultants ont évalué toutes les propositions contenues dans les programmes sur la base des prescriptions de la taxonomie et ont mis en évidence les critères à prendre en compte lors de la conception des projets et des études d</w:t>
            </w:r>
            <w:r w:rsidR="00D82B54" w:rsidRPr="00267A6E">
              <w:rPr>
                <w:lang w:val="fr-FR"/>
              </w:rPr>
              <w:t>’</w:t>
            </w:r>
            <w:r w:rsidRPr="00267A6E">
              <w:rPr>
                <w:lang w:val="fr-FR"/>
              </w:rPr>
              <w:t>impact environnemental, ainsi que de l</w:t>
            </w:r>
            <w:r w:rsidR="00D82B54" w:rsidRPr="00267A6E">
              <w:rPr>
                <w:lang w:val="fr-FR"/>
              </w:rPr>
              <w:t>’</w:t>
            </w:r>
            <w:r w:rsidRPr="00267A6E">
              <w:rPr>
                <w:lang w:val="fr-FR"/>
              </w:rPr>
              <w:t>élaboration des appels à financement</w:t>
            </w:r>
            <w:r w:rsidR="00967A77" w:rsidRPr="00267A6E">
              <w:rPr>
                <w:lang w:val="fr-FR"/>
              </w:rPr>
              <w:t>.</w:t>
            </w:r>
          </w:p>
        </w:tc>
      </w:tr>
      <w:tr w:rsidR="00DA464C" w:rsidRPr="00267A6E" w14:paraId="30F9323F" w14:textId="77777777">
        <w:trPr>
          <w:jc w:val="center"/>
        </w:trPr>
        <w:tc>
          <w:tcPr>
            <w:tcW w:w="7653" w:type="dxa"/>
            <w:tcBorders>
              <w:left w:val="single" w:sz="4" w:space="0" w:color="auto"/>
              <w:bottom w:val="nil"/>
              <w:right w:val="single" w:sz="4" w:space="0" w:color="auto"/>
            </w:tcBorders>
            <w:shd w:val="clear" w:color="auto" w:fill="auto"/>
          </w:tcPr>
          <w:p w14:paraId="6699AFC6" w14:textId="13496EA5" w:rsidR="00DA464C" w:rsidRPr="00267A6E" w:rsidRDefault="00DA464C" w:rsidP="00BD44CF">
            <w:pPr>
              <w:spacing w:after="100"/>
              <w:ind w:firstLine="170"/>
              <w:jc w:val="both"/>
              <w:rPr>
                <w:spacing w:val="-3"/>
                <w:sz w:val="18"/>
                <w:szCs w:val="18"/>
                <w:lang w:val="fr-FR"/>
              </w:rPr>
            </w:pPr>
            <w:r w:rsidRPr="00267A6E">
              <w:rPr>
                <w:i/>
                <w:iCs/>
                <w:spacing w:val="-3"/>
                <w:sz w:val="18"/>
                <w:szCs w:val="18"/>
                <w:vertAlign w:val="superscript"/>
                <w:lang w:val="fr-FR"/>
              </w:rPr>
              <w:t>a</w:t>
            </w:r>
            <w:r w:rsidRPr="00267A6E">
              <w:rPr>
                <w:spacing w:val="-3"/>
                <w:sz w:val="18"/>
                <w:szCs w:val="18"/>
                <w:lang w:val="fr-FR"/>
              </w:rPr>
              <w:t xml:space="preserve"> </w:t>
            </w:r>
            <w:r w:rsidR="0057104F" w:rsidRPr="00267A6E">
              <w:rPr>
                <w:spacing w:val="-3"/>
                <w:sz w:val="18"/>
                <w:szCs w:val="18"/>
                <w:lang w:val="fr-FR"/>
              </w:rPr>
              <w:t xml:space="preserve"> </w:t>
            </w:r>
            <w:r w:rsidRPr="00267A6E">
              <w:rPr>
                <w:spacing w:val="-3"/>
                <w:sz w:val="18"/>
                <w:szCs w:val="18"/>
                <w:lang w:val="fr-FR"/>
              </w:rPr>
              <w:t xml:space="preserve">Alan Bond et Jiří Dusík, </w:t>
            </w:r>
            <w:r w:rsidR="0019199C" w:rsidRPr="00267A6E">
              <w:rPr>
                <w:spacing w:val="-3"/>
                <w:sz w:val="18"/>
                <w:szCs w:val="18"/>
                <w:lang w:val="fr-FR"/>
              </w:rPr>
              <w:t>« </w:t>
            </w:r>
            <w:r w:rsidRPr="00267A6E">
              <w:rPr>
                <w:spacing w:val="-3"/>
                <w:sz w:val="18"/>
                <w:szCs w:val="18"/>
                <w:lang w:val="fr-FR"/>
              </w:rPr>
              <w:t>Environmental assessments and sustainable finance taxonomies – a riposte</w:t>
            </w:r>
            <w:r w:rsidR="0019199C" w:rsidRPr="00267A6E">
              <w:rPr>
                <w:spacing w:val="-3"/>
                <w:sz w:val="18"/>
                <w:szCs w:val="18"/>
                <w:lang w:val="fr-FR"/>
              </w:rPr>
              <w:t> »</w:t>
            </w:r>
            <w:r w:rsidRPr="00267A6E">
              <w:rPr>
                <w:spacing w:val="-3"/>
                <w:sz w:val="18"/>
                <w:szCs w:val="18"/>
                <w:lang w:val="fr-FR"/>
              </w:rPr>
              <w:t xml:space="preserve">, </w:t>
            </w:r>
            <w:r w:rsidRPr="00267A6E">
              <w:rPr>
                <w:i/>
                <w:iCs/>
                <w:spacing w:val="-3"/>
                <w:sz w:val="18"/>
                <w:szCs w:val="18"/>
                <w:lang w:val="fr-FR"/>
              </w:rPr>
              <w:t>Impact Assessment and Project Appraisal</w:t>
            </w:r>
            <w:r w:rsidRPr="00267A6E">
              <w:rPr>
                <w:spacing w:val="-3"/>
                <w:sz w:val="18"/>
                <w:szCs w:val="18"/>
                <w:lang w:val="fr-FR"/>
              </w:rPr>
              <w:t xml:space="preserve">, </w:t>
            </w:r>
            <w:r w:rsidR="00D82B54" w:rsidRPr="00267A6E">
              <w:rPr>
                <w:spacing w:val="-3"/>
                <w:sz w:val="18"/>
                <w:szCs w:val="18"/>
                <w:lang w:val="fr-FR"/>
              </w:rPr>
              <w:t>vol</w:t>
            </w:r>
            <w:r w:rsidR="00967A77" w:rsidRPr="00267A6E">
              <w:rPr>
                <w:spacing w:val="-3"/>
                <w:sz w:val="18"/>
                <w:szCs w:val="18"/>
                <w:lang w:val="fr-FR"/>
              </w:rPr>
              <w:t>.</w:t>
            </w:r>
            <w:r w:rsidR="0019199C" w:rsidRPr="00267A6E">
              <w:rPr>
                <w:spacing w:val="-3"/>
                <w:sz w:val="18"/>
                <w:szCs w:val="18"/>
                <w:lang w:val="fr-FR"/>
              </w:rPr>
              <w:t> </w:t>
            </w:r>
            <w:r w:rsidRPr="00267A6E">
              <w:rPr>
                <w:spacing w:val="-3"/>
                <w:sz w:val="18"/>
                <w:szCs w:val="18"/>
                <w:lang w:val="fr-FR"/>
              </w:rPr>
              <w:t xml:space="preserve">40, </w:t>
            </w:r>
            <w:r w:rsidR="00D82B54" w:rsidRPr="00267A6E">
              <w:rPr>
                <w:spacing w:val="-3"/>
                <w:sz w:val="18"/>
                <w:szCs w:val="18"/>
                <w:lang w:val="fr-FR"/>
              </w:rPr>
              <w:t>n</w:t>
            </w:r>
            <w:r w:rsidR="00D82B54" w:rsidRPr="00267A6E">
              <w:rPr>
                <w:spacing w:val="-3"/>
                <w:sz w:val="18"/>
                <w:szCs w:val="18"/>
                <w:vertAlign w:val="superscript"/>
                <w:lang w:val="fr-FR"/>
              </w:rPr>
              <w:t>o</w:t>
            </w:r>
            <w:r w:rsidR="0019199C" w:rsidRPr="00267A6E">
              <w:rPr>
                <w:spacing w:val="-3"/>
                <w:sz w:val="18"/>
                <w:szCs w:val="18"/>
                <w:lang w:val="fr-FR"/>
              </w:rPr>
              <w:t> </w:t>
            </w:r>
            <w:r w:rsidRPr="00267A6E">
              <w:rPr>
                <w:spacing w:val="-3"/>
                <w:sz w:val="18"/>
                <w:szCs w:val="18"/>
                <w:lang w:val="fr-FR"/>
              </w:rPr>
              <w:t xml:space="preserve">2 (2022), </w:t>
            </w:r>
            <w:r w:rsidR="00D82B54" w:rsidRPr="00267A6E">
              <w:rPr>
                <w:spacing w:val="-3"/>
                <w:sz w:val="18"/>
                <w:szCs w:val="18"/>
                <w:lang w:val="fr-FR"/>
              </w:rPr>
              <w:t>p</w:t>
            </w:r>
            <w:r w:rsidR="00967A77" w:rsidRPr="00267A6E">
              <w:rPr>
                <w:spacing w:val="-3"/>
                <w:sz w:val="18"/>
                <w:szCs w:val="18"/>
                <w:lang w:val="fr-FR"/>
              </w:rPr>
              <w:t>.</w:t>
            </w:r>
            <w:r w:rsidR="00D82B54" w:rsidRPr="00267A6E">
              <w:rPr>
                <w:spacing w:val="-3"/>
                <w:sz w:val="18"/>
                <w:szCs w:val="18"/>
                <w:lang w:val="fr-FR"/>
              </w:rPr>
              <w:t> </w:t>
            </w:r>
            <w:r w:rsidRPr="00267A6E">
              <w:rPr>
                <w:spacing w:val="-3"/>
                <w:sz w:val="18"/>
                <w:szCs w:val="18"/>
                <w:lang w:val="fr-FR"/>
              </w:rPr>
              <w:t>123 à 128</w:t>
            </w:r>
            <w:r w:rsidR="00967A77" w:rsidRPr="00267A6E">
              <w:rPr>
                <w:spacing w:val="-3"/>
                <w:sz w:val="18"/>
                <w:szCs w:val="18"/>
                <w:lang w:val="fr-FR"/>
              </w:rPr>
              <w:t>.</w:t>
            </w:r>
          </w:p>
        </w:tc>
      </w:tr>
      <w:tr w:rsidR="00DA464C" w:rsidRPr="00267A6E" w14:paraId="4CB2D036" w14:textId="77777777">
        <w:trPr>
          <w:trHeight w:hRule="exact" w:val="23"/>
          <w:jc w:val="center"/>
        </w:trPr>
        <w:tc>
          <w:tcPr>
            <w:tcW w:w="7653" w:type="dxa"/>
            <w:tcBorders>
              <w:left w:val="single" w:sz="4" w:space="0" w:color="auto"/>
              <w:bottom w:val="single" w:sz="4" w:space="0" w:color="auto"/>
              <w:right w:val="single" w:sz="4" w:space="0" w:color="auto"/>
            </w:tcBorders>
            <w:shd w:val="clear" w:color="auto" w:fill="auto"/>
          </w:tcPr>
          <w:p w14:paraId="59527DD9" w14:textId="77777777" w:rsidR="00DA464C" w:rsidRPr="00267A6E" w:rsidRDefault="00DA464C">
            <w:pPr>
              <w:rPr>
                <w:lang w:val="fr-FR"/>
              </w:rPr>
            </w:pPr>
          </w:p>
        </w:tc>
      </w:tr>
    </w:tbl>
    <w:p w14:paraId="1B44C679" w14:textId="11A69FB7" w:rsidR="00C25C7D" w:rsidRPr="00267A6E" w:rsidRDefault="003373A7" w:rsidP="00BD44CF">
      <w:pPr>
        <w:pStyle w:val="SingleTxtG"/>
        <w:spacing w:before="220"/>
        <w:rPr>
          <w:lang w:val="fr-FR"/>
        </w:rPr>
      </w:pPr>
      <w:r w:rsidRPr="00267A6E">
        <w:rPr>
          <w:lang w:val="fr-FR"/>
        </w:rPr>
        <w:t>50</w:t>
      </w:r>
      <w:r w:rsidR="00967A77" w:rsidRPr="00267A6E">
        <w:rPr>
          <w:lang w:val="fr-FR"/>
        </w:rPr>
        <w:t>.</w:t>
      </w:r>
      <w:r w:rsidRPr="00267A6E">
        <w:rPr>
          <w:lang w:val="fr-FR"/>
        </w:rPr>
        <w:tab/>
        <w:t>Pour satisfaire aux normes d</w:t>
      </w:r>
      <w:r w:rsidR="00D82B54" w:rsidRPr="00267A6E">
        <w:rPr>
          <w:lang w:val="fr-FR"/>
        </w:rPr>
        <w:t>’</w:t>
      </w:r>
      <w:r w:rsidRPr="00267A6E">
        <w:rPr>
          <w:lang w:val="fr-FR"/>
        </w:rPr>
        <w:t>information sur la durabilité, il faudra collecter des données probantes sur les questions de développement durable, et les évaluations réalisées au titre de la Convention et du Protocole sont susceptibles de contribuer à ce processus en améliorant son efficacité et en contrant les éventuelles accusations d</w:t>
      </w:r>
      <w:r w:rsidR="00D82B54" w:rsidRPr="00267A6E">
        <w:rPr>
          <w:lang w:val="fr-FR"/>
        </w:rPr>
        <w:t>’</w:t>
      </w:r>
      <w:r w:rsidRPr="00267A6E">
        <w:rPr>
          <w:lang w:val="fr-FR"/>
        </w:rPr>
        <w:t>écoblanchiment</w:t>
      </w:r>
      <w:r w:rsidR="00967A77" w:rsidRPr="00267A6E">
        <w:rPr>
          <w:lang w:val="fr-FR"/>
        </w:rPr>
        <w:t>.</w:t>
      </w:r>
    </w:p>
    <w:p w14:paraId="2A8C0577" w14:textId="6DF65E47" w:rsidR="003373A7" w:rsidRPr="00267A6E" w:rsidRDefault="003373A7" w:rsidP="00BD44CF">
      <w:pPr>
        <w:pStyle w:val="H1G"/>
        <w:spacing w:before="340" w:after="220"/>
        <w:rPr>
          <w:lang w:val="fr-FR"/>
        </w:rPr>
      </w:pPr>
      <w:r w:rsidRPr="00267A6E">
        <w:rPr>
          <w:lang w:val="fr-FR"/>
        </w:rPr>
        <w:tab/>
        <w:t>D</w:t>
      </w:r>
      <w:r w:rsidR="00967A77" w:rsidRPr="00267A6E">
        <w:rPr>
          <w:lang w:val="fr-FR"/>
        </w:rPr>
        <w:t>.</w:t>
      </w:r>
      <w:r w:rsidRPr="00267A6E">
        <w:rPr>
          <w:lang w:val="fr-FR"/>
        </w:rPr>
        <w:tab/>
        <w:t>Domaines dans lesquels la Convention et le Protocole pourraient davantage contribuer à la mise en place d</w:t>
      </w:r>
      <w:r w:rsidR="00D82B54" w:rsidRPr="00267A6E">
        <w:rPr>
          <w:lang w:val="fr-FR"/>
        </w:rPr>
        <w:t>’</w:t>
      </w:r>
      <w:r w:rsidRPr="00267A6E">
        <w:rPr>
          <w:lang w:val="fr-FR"/>
        </w:rPr>
        <w:t>un financement vert</w:t>
      </w:r>
    </w:p>
    <w:p w14:paraId="716A1303" w14:textId="4CFFB95B" w:rsidR="00C25C7D" w:rsidRPr="00267A6E" w:rsidRDefault="003373A7" w:rsidP="00BD44CF">
      <w:pPr>
        <w:pStyle w:val="SingleTxtG"/>
        <w:spacing w:after="100"/>
        <w:rPr>
          <w:lang w:val="fr-FR"/>
        </w:rPr>
      </w:pPr>
      <w:r w:rsidRPr="00267A6E">
        <w:rPr>
          <w:lang w:val="fr-FR"/>
        </w:rPr>
        <w:t>51</w:t>
      </w:r>
      <w:r w:rsidR="00967A77" w:rsidRPr="00267A6E">
        <w:rPr>
          <w:lang w:val="fr-FR"/>
        </w:rPr>
        <w:t>.</w:t>
      </w:r>
      <w:r w:rsidRPr="00267A6E">
        <w:rPr>
          <w:lang w:val="fr-FR"/>
        </w:rPr>
        <w:tab/>
        <w:t>La taxonomie de l</w:t>
      </w:r>
      <w:r w:rsidR="00D82B54" w:rsidRPr="00267A6E">
        <w:rPr>
          <w:lang w:val="fr-FR"/>
        </w:rPr>
        <w:t>’</w:t>
      </w:r>
      <w:r w:rsidRPr="00267A6E">
        <w:rPr>
          <w:lang w:val="fr-FR"/>
        </w:rPr>
        <w:t>Union européenne a pour objectif d</w:t>
      </w:r>
      <w:r w:rsidR="00D82B54" w:rsidRPr="00267A6E">
        <w:rPr>
          <w:lang w:val="fr-FR"/>
        </w:rPr>
        <w:t>’</w:t>
      </w:r>
      <w:r w:rsidRPr="00267A6E">
        <w:rPr>
          <w:lang w:val="fr-FR"/>
        </w:rPr>
        <w:t>apporter une contribution substantielle dans les domaines suivants</w:t>
      </w:r>
      <w:r w:rsidR="00D82B54" w:rsidRPr="00267A6E">
        <w:rPr>
          <w:lang w:val="fr-FR"/>
        </w:rPr>
        <w:t> :</w:t>
      </w:r>
    </w:p>
    <w:p w14:paraId="75575845" w14:textId="0B559C8D" w:rsidR="00C25C7D" w:rsidRPr="00267A6E" w:rsidRDefault="003373A7" w:rsidP="00BD44CF">
      <w:pPr>
        <w:pStyle w:val="SingleTxtG"/>
        <w:spacing w:after="100"/>
        <w:ind w:firstLine="567"/>
        <w:rPr>
          <w:spacing w:val="-2"/>
          <w:lang w:val="fr-FR"/>
        </w:rPr>
      </w:pPr>
      <w:r w:rsidRPr="00267A6E">
        <w:rPr>
          <w:spacing w:val="-2"/>
          <w:lang w:val="fr-FR"/>
        </w:rPr>
        <w:t>a)</w:t>
      </w:r>
      <w:r w:rsidRPr="00267A6E">
        <w:rPr>
          <w:spacing w:val="-2"/>
          <w:lang w:val="fr-FR"/>
        </w:rPr>
        <w:tab/>
        <w:t>Le climat (atténuation des changements climatiques et adaptation à leurs effets)</w:t>
      </w:r>
      <w:r w:rsidR="00D82B54" w:rsidRPr="00267A6E">
        <w:rPr>
          <w:spacing w:val="-2"/>
          <w:lang w:val="fr-FR"/>
        </w:rPr>
        <w:t> ;</w:t>
      </w:r>
    </w:p>
    <w:p w14:paraId="2C309C9C" w14:textId="7C49EDCE" w:rsidR="00C25C7D" w:rsidRPr="00267A6E" w:rsidRDefault="003373A7" w:rsidP="00BD44CF">
      <w:pPr>
        <w:pStyle w:val="SingleTxtG"/>
        <w:spacing w:after="100"/>
        <w:ind w:firstLine="567"/>
        <w:rPr>
          <w:lang w:val="fr-FR"/>
        </w:rPr>
      </w:pPr>
      <w:r w:rsidRPr="00267A6E">
        <w:rPr>
          <w:lang w:val="fr-FR"/>
        </w:rPr>
        <w:t>b)</w:t>
      </w:r>
      <w:r w:rsidRPr="00267A6E">
        <w:rPr>
          <w:lang w:val="fr-FR"/>
        </w:rPr>
        <w:tab/>
        <w:t>L</w:t>
      </w:r>
      <w:r w:rsidR="00D82B54" w:rsidRPr="00267A6E">
        <w:rPr>
          <w:lang w:val="fr-FR"/>
        </w:rPr>
        <w:t>’</w:t>
      </w:r>
      <w:r w:rsidRPr="00267A6E">
        <w:rPr>
          <w:lang w:val="fr-FR"/>
        </w:rPr>
        <w:t>eau (protection des ressources aquatiques et marines)</w:t>
      </w:r>
      <w:r w:rsidR="00D82B54" w:rsidRPr="00267A6E">
        <w:rPr>
          <w:lang w:val="fr-FR"/>
        </w:rPr>
        <w:t> ;</w:t>
      </w:r>
    </w:p>
    <w:p w14:paraId="3C4BEEF1" w14:textId="79F9EAEE" w:rsidR="00D82B54" w:rsidRPr="00267A6E" w:rsidRDefault="003373A7" w:rsidP="00BD44CF">
      <w:pPr>
        <w:pStyle w:val="SingleTxtG"/>
        <w:spacing w:after="100"/>
        <w:ind w:firstLine="567"/>
        <w:rPr>
          <w:lang w:val="fr-FR"/>
        </w:rPr>
      </w:pPr>
      <w:r w:rsidRPr="00267A6E">
        <w:rPr>
          <w:lang w:val="fr-FR"/>
        </w:rPr>
        <w:t>c)</w:t>
      </w:r>
      <w:r w:rsidRPr="00267A6E">
        <w:rPr>
          <w:lang w:val="fr-FR"/>
        </w:rPr>
        <w:tab/>
        <w:t>Les sols et l</w:t>
      </w:r>
      <w:r w:rsidR="00D82B54" w:rsidRPr="00267A6E">
        <w:rPr>
          <w:lang w:val="fr-FR"/>
        </w:rPr>
        <w:t>’</w:t>
      </w:r>
      <w:r w:rsidRPr="00267A6E">
        <w:rPr>
          <w:lang w:val="fr-FR"/>
        </w:rPr>
        <w:t>air (prévention et réduction de la pollution) et la biodiversité (concerne uniquement le Protocole)</w:t>
      </w:r>
      <w:r w:rsidR="00D82B54" w:rsidRPr="00267A6E">
        <w:rPr>
          <w:lang w:val="fr-FR"/>
        </w:rPr>
        <w:t> ;</w:t>
      </w:r>
    </w:p>
    <w:p w14:paraId="622EFEBA" w14:textId="27D04A88" w:rsidR="003373A7" w:rsidRPr="00267A6E" w:rsidRDefault="003373A7" w:rsidP="004D5ED6">
      <w:pPr>
        <w:pStyle w:val="SingleTxtG"/>
        <w:ind w:firstLine="567"/>
        <w:rPr>
          <w:rFonts w:eastAsia="MyriadPro-Regular"/>
          <w:lang w:val="fr-FR"/>
        </w:rPr>
      </w:pPr>
      <w:r w:rsidRPr="00267A6E">
        <w:rPr>
          <w:lang w:val="fr-FR"/>
        </w:rPr>
        <w:t>d)</w:t>
      </w:r>
      <w:r w:rsidRPr="00267A6E">
        <w:rPr>
          <w:lang w:val="fr-FR"/>
        </w:rPr>
        <w:tab/>
        <w:t>La faune et la flore (protection et restauration de la biodiversité et des écosystèmes)</w:t>
      </w:r>
      <w:r w:rsidR="00967A77" w:rsidRPr="00267A6E">
        <w:rPr>
          <w:lang w:val="fr-FR"/>
        </w:rPr>
        <w:t>.</w:t>
      </w:r>
    </w:p>
    <w:p w14:paraId="3FEF1AFC" w14:textId="58AF9E3F" w:rsidR="003373A7" w:rsidRPr="00267A6E" w:rsidRDefault="003373A7" w:rsidP="0057104F">
      <w:pPr>
        <w:pStyle w:val="SingleTxtG"/>
        <w:rPr>
          <w:rFonts w:eastAsia="MyriadPro-Regular"/>
          <w:lang w:val="fr-FR"/>
        </w:rPr>
      </w:pPr>
      <w:r w:rsidRPr="00267A6E">
        <w:rPr>
          <w:lang w:val="fr-FR"/>
        </w:rPr>
        <w:t>52</w:t>
      </w:r>
      <w:r w:rsidR="00967A77" w:rsidRPr="00267A6E">
        <w:rPr>
          <w:lang w:val="fr-FR"/>
        </w:rPr>
        <w:t>.</w:t>
      </w:r>
      <w:r w:rsidRPr="00267A6E">
        <w:rPr>
          <w:lang w:val="fr-FR"/>
        </w:rPr>
        <w:tab/>
        <w:t>Les projets nécessitant une évaluation de l</w:t>
      </w:r>
      <w:r w:rsidR="00D82B54" w:rsidRPr="00267A6E">
        <w:rPr>
          <w:lang w:val="fr-FR"/>
        </w:rPr>
        <w:t>’</w:t>
      </w:r>
      <w:r w:rsidRPr="00267A6E">
        <w:rPr>
          <w:lang w:val="fr-FR"/>
        </w:rPr>
        <w:t>impact transfrontière sur l</w:t>
      </w:r>
      <w:r w:rsidR="00D82B54" w:rsidRPr="00267A6E">
        <w:rPr>
          <w:lang w:val="fr-FR"/>
        </w:rPr>
        <w:t>’</w:t>
      </w:r>
      <w:r w:rsidRPr="00267A6E">
        <w:rPr>
          <w:lang w:val="fr-FR"/>
        </w:rPr>
        <w:t>environnement, et les plans ou programmes soumis à une évaluation stratégique environnementale pourraient être approuvés moyennant l</w:t>
      </w:r>
      <w:r w:rsidR="00D82B54" w:rsidRPr="00267A6E">
        <w:rPr>
          <w:lang w:val="fr-FR"/>
        </w:rPr>
        <w:t>’</w:t>
      </w:r>
      <w:r w:rsidRPr="00267A6E">
        <w:rPr>
          <w:lang w:val="fr-FR"/>
        </w:rPr>
        <w:t>acceptation par les autorités compétentes des incidences et des mesures d</w:t>
      </w:r>
      <w:r w:rsidR="00D82B54" w:rsidRPr="00267A6E">
        <w:rPr>
          <w:lang w:val="fr-FR"/>
        </w:rPr>
        <w:t>’</w:t>
      </w:r>
      <w:r w:rsidRPr="00267A6E">
        <w:rPr>
          <w:lang w:val="fr-FR"/>
        </w:rPr>
        <w:t>atténuation définies</w:t>
      </w:r>
      <w:r w:rsidR="00967A77" w:rsidRPr="00267A6E">
        <w:rPr>
          <w:lang w:val="fr-FR"/>
        </w:rPr>
        <w:t>.</w:t>
      </w:r>
      <w:r w:rsidRPr="00267A6E">
        <w:rPr>
          <w:lang w:val="fr-FR"/>
        </w:rPr>
        <w:t xml:space="preserve"> Cependant, le financement pourrait ne pas être accordé s</w:t>
      </w:r>
      <w:r w:rsidR="00D82B54" w:rsidRPr="00267A6E">
        <w:rPr>
          <w:lang w:val="fr-FR"/>
        </w:rPr>
        <w:t>’</w:t>
      </w:r>
      <w:r w:rsidRPr="00267A6E">
        <w:rPr>
          <w:lang w:val="fr-FR"/>
        </w:rPr>
        <w:t>il n</w:t>
      </w:r>
      <w:r w:rsidR="00D82B54" w:rsidRPr="00267A6E">
        <w:rPr>
          <w:lang w:val="fr-FR"/>
        </w:rPr>
        <w:t>’</w:t>
      </w:r>
      <w:r w:rsidRPr="00267A6E">
        <w:rPr>
          <w:lang w:val="fr-FR"/>
        </w:rPr>
        <w:t>était pas démontré que ces activités répondaient à des critères de neutralité environnementale ou contribuaient de manière substantielle aux objectifs de la politique environnementale définis dans la taxonomie</w:t>
      </w:r>
      <w:r w:rsidR="00967A77" w:rsidRPr="00267A6E">
        <w:rPr>
          <w:lang w:val="fr-FR"/>
        </w:rPr>
        <w:t>.</w:t>
      </w:r>
      <w:r w:rsidRPr="00267A6E">
        <w:rPr>
          <w:lang w:val="fr-FR"/>
        </w:rPr>
        <w:t xml:space="preserve"> Il est donc nécessaire d</w:t>
      </w:r>
      <w:r w:rsidR="00D82B54" w:rsidRPr="00267A6E">
        <w:rPr>
          <w:lang w:val="fr-FR"/>
        </w:rPr>
        <w:t>’</w:t>
      </w:r>
      <w:r w:rsidRPr="00267A6E">
        <w:rPr>
          <w:lang w:val="fr-FR"/>
        </w:rPr>
        <w:t>assurer la cohérence entre la taxonomie et l</w:t>
      </w:r>
      <w:r w:rsidR="00D82B54" w:rsidRPr="00267A6E">
        <w:rPr>
          <w:lang w:val="fr-FR"/>
        </w:rPr>
        <w:t>’</w:t>
      </w:r>
      <w:r w:rsidRPr="00267A6E">
        <w:rPr>
          <w:lang w:val="fr-FR"/>
        </w:rPr>
        <w:t>évaluation du caractère significatif des éléments de l</w:t>
      </w:r>
      <w:r w:rsidR="00D82B54" w:rsidRPr="00267A6E">
        <w:rPr>
          <w:lang w:val="fr-FR"/>
        </w:rPr>
        <w:t>’</w:t>
      </w:r>
      <w:r w:rsidRPr="00267A6E">
        <w:rPr>
          <w:lang w:val="fr-FR"/>
        </w:rPr>
        <w:t>évaluation de l</w:t>
      </w:r>
      <w:r w:rsidR="00D82B54" w:rsidRPr="00267A6E">
        <w:rPr>
          <w:lang w:val="fr-FR"/>
        </w:rPr>
        <w:t>’</w:t>
      </w:r>
      <w:r w:rsidRPr="00267A6E">
        <w:rPr>
          <w:lang w:val="fr-FR"/>
        </w:rPr>
        <w:t>impact transfrontière sur l</w:t>
      </w:r>
      <w:r w:rsidR="00D82B54" w:rsidRPr="00267A6E">
        <w:rPr>
          <w:lang w:val="fr-FR"/>
        </w:rPr>
        <w:t>’</w:t>
      </w:r>
      <w:r w:rsidRPr="00267A6E">
        <w:rPr>
          <w:lang w:val="fr-FR"/>
        </w:rPr>
        <w:t>environnement réalisée au titre de la Convention et de l</w:t>
      </w:r>
      <w:r w:rsidR="00D82B54" w:rsidRPr="00267A6E">
        <w:rPr>
          <w:lang w:val="fr-FR"/>
        </w:rPr>
        <w:t>’</w:t>
      </w:r>
      <w:r w:rsidRPr="00267A6E">
        <w:rPr>
          <w:lang w:val="fr-FR"/>
        </w:rPr>
        <w:t>évaluation stratégique environnementale menée au titre du Protocole, et de tenir compte des objectifs visés par la taxonomie</w:t>
      </w:r>
      <w:r w:rsidR="00967A77" w:rsidRPr="00267A6E">
        <w:rPr>
          <w:lang w:val="fr-FR"/>
        </w:rPr>
        <w:t>.</w:t>
      </w:r>
    </w:p>
    <w:p w14:paraId="52EB0139" w14:textId="2ACC2F87" w:rsidR="003373A7" w:rsidRPr="00267A6E" w:rsidRDefault="003373A7" w:rsidP="0057104F">
      <w:pPr>
        <w:pStyle w:val="SingleTxtG"/>
        <w:rPr>
          <w:lang w:val="fr-FR"/>
        </w:rPr>
      </w:pPr>
      <w:r w:rsidRPr="00267A6E">
        <w:rPr>
          <w:lang w:val="fr-FR"/>
        </w:rPr>
        <w:t>53</w:t>
      </w:r>
      <w:r w:rsidR="00967A77" w:rsidRPr="00267A6E">
        <w:rPr>
          <w:lang w:val="fr-FR"/>
        </w:rPr>
        <w:t>.</w:t>
      </w:r>
      <w:r w:rsidRPr="00267A6E">
        <w:rPr>
          <w:lang w:val="fr-FR"/>
        </w:rPr>
        <w:tab/>
        <w:t>La Convention et le Protocole ne mettent pas l</w:t>
      </w:r>
      <w:r w:rsidR="00D82B54" w:rsidRPr="00267A6E">
        <w:rPr>
          <w:lang w:val="fr-FR"/>
        </w:rPr>
        <w:t>’</w:t>
      </w:r>
      <w:r w:rsidRPr="00267A6E">
        <w:rPr>
          <w:lang w:val="fr-FR"/>
        </w:rPr>
        <w:t>accent sur la notion de double importance relative, car ces instruments concernent les incidences environnementales des projets, plans ou programmes</w:t>
      </w:r>
      <w:r w:rsidR="00967A77" w:rsidRPr="00267A6E">
        <w:rPr>
          <w:lang w:val="fr-FR"/>
        </w:rPr>
        <w:t>.</w:t>
      </w:r>
      <w:r w:rsidRPr="00267A6E">
        <w:rPr>
          <w:lang w:val="fr-FR"/>
        </w:rPr>
        <w:t xml:space="preserve"> Bien que ces évaluations puissent fournir des indications précieuses quant au caractère durable des opérations commerciales, les risques que font peser les questions environnementales sur le projet, le plan ou le programme proposé ne sont pas explicitement pris en compte dans la Convention ou le Protocole (voir l</w:t>
      </w:r>
      <w:r w:rsidR="00D82B54" w:rsidRPr="00267A6E">
        <w:rPr>
          <w:lang w:val="fr-FR"/>
        </w:rPr>
        <w:t>’</w:t>
      </w:r>
      <w:r w:rsidR="00CE2EB6" w:rsidRPr="00267A6E">
        <w:rPr>
          <w:lang w:val="fr-FR"/>
        </w:rPr>
        <w:t>encadré </w:t>
      </w:r>
      <w:r w:rsidRPr="00267A6E">
        <w:rPr>
          <w:lang w:val="fr-FR"/>
        </w:rPr>
        <w:t>5 pour des suggestions de points et questions qui pourraient servir de fil conducteur aux discussions)</w:t>
      </w:r>
      <w:r w:rsidR="00967A77" w:rsidRPr="00267A6E">
        <w:rPr>
          <w:lang w:val="fr-FR"/>
        </w:rPr>
        <w:t>.</w:t>
      </w:r>
    </w:p>
    <w:tbl>
      <w:tblPr>
        <w:tblStyle w:val="TableGrid"/>
        <w:tblW w:w="7653" w:type="dxa"/>
        <w:jc w:val="center"/>
        <w:tblBorders>
          <w:top w:val="none" w:sz="0" w:space="0" w:color="auto"/>
          <w:left w:val="none" w:sz="0" w:space="0" w:color="auto"/>
          <w:bottom w:val="none" w:sz="0" w:space="0" w:color="auto"/>
          <w:right w:val="none" w:sz="0" w:space="0" w:color="auto"/>
          <w:insideH w:val="none" w:sz="0" w:space="0" w:color="auto"/>
        </w:tblBorders>
        <w:tblLayout w:type="fixed"/>
        <w:tblCellMar>
          <w:left w:w="142" w:type="dxa"/>
          <w:right w:w="142" w:type="dxa"/>
        </w:tblCellMar>
        <w:tblLook w:val="04A0" w:firstRow="1" w:lastRow="0" w:firstColumn="1" w:lastColumn="0" w:noHBand="0" w:noVBand="1"/>
      </w:tblPr>
      <w:tblGrid>
        <w:gridCol w:w="7653"/>
      </w:tblGrid>
      <w:tr w:rsidR="0057104F" w:rsidRPr="00267A6E" w14:paraId="78CC957B" w14:textId="77777777">
        <w:trPr>
          <w:trHeight w:hRule="exact" w:val="240"/>
          <w:jc w:val="center"/>
        </w:trPr>
        <w:tc>
          <w:tcPr>
            <w:tcW w:w="7653" w:type="dxa"/>
            <w:tcBorders>
              <w:top w:val="single" w:sz="4" w:space="0" w:color="auto"/>
              <w:left w:val="single" w:sz="4" w:space="0" w:color="auto"/>
              <w:bottom w:val="nil"/>
              <w:right w:val="single" w:sz="4" w:space="0" w:color="auto"/>
            </w:tcBorders>
            <w:shd w:val="clear" w:color="auto" w:fill="auto"/>
          </w:tcPr>
          <w:p w14:paraId="5A8B60CF" w14:textId="1876CEAC" w:rsidR="0057104F" w:rsidRPr="00267A6E" w:rsidRDefault="00CE2EB6" w:rsidP="0057104F">
            <w:pPr>
              <w:rPr>
                <w:lang w:val="fr-FR"/>
              </w:rPr>
            </w:pPr>
            <w:r w:rsidRPr="00267A6E">
              <w:rPr>
                <w:lang w:val="fr-FR"/>
              </w:rPr>
              <w:t>Encadré </w:t>
            </w:r>
            <w:r w:rsidR="0057104F" w:rsidRPr="00267A6E">
              <w:rPr>
                <w:lang w:val="fr-FR"/>
              </w:rPr>
              <w:t>5</w:t>
            </w:r>
          </w:p>
          <w:p w14:paraId="26F75034" w14:textId="77777777" w:rsidR="0057104F" w:rsidRPr="00267A6E" w:rsidRDefault="0057104F">
            <w:pPr>
              <w:rPr>
                <w:lang w:val="fr-FR"/>
              </w:rPr>
            </w:pPr>
          </w:p>
        </w:tc>
      </w:tr>
      <w:tr w:rsidR="0057104F" w:rsidRPr="00267A6E" w14:paraId="2DCF065E" w14:textId="77777777">
        <w:trPr>
          <w:jc w:val="center"/>
        </w:trPr>
        <w:tc>
          <w:tcPr>
            <w:tcW w:w="7653" w:type="dxa"/>
            <w:tcBorders>
              <w:left w:val="single" w:sz="4" w:space="0" w:color="auto"/>
              <w:bottom w:val="nil"/>
              <w:right w:val="single" w:sz="4" w:space="0" w:color="auto"/>
            </w:tcBorders>
            <w:shd w:val="clear" w:color="auto" w:fill="auto"/>
          </w:tcPr>
          <w:p w14:paraId="5B8F9188" w14:textId="4DCBDE9D" w:rsidR="0057104F" w:rsidRPr="00267A6E" w:rsidRDefault="0057104F">
            <w:pPr>
              <w:spacing w:after="120"/>
              <w:jc w:val="both"/>
              <w:rPr>
                <w:lang w:val="fr-FR"/>
              </w:rPr>
            </w:pPr>
            <w:r w:rsidRPr="00267A6E">
              <w:rPr>
                <w:b/>
                <w:bCs/>
                <w:lang w:val="fr-FR"/>
              </w:rPr>
              <w:t>Principaux points et questions qui pourraient servir de fil conducteur aux discussions</w:t>
            </w:r>
          </w:p>
        </w:tc>
      </w:tr>
      <w:tr w:rsidR="0057104F" w:rsidRPr="00267A6E" w14:paraId="035DB942" w14:textId="77777777">
        <w:trPr>
          <w:jc w:val="center"/>
        </w:trPr>
        <w:tc>
          <w:tcPr>
            <w:tcW w:w="7653" w:type="dxa"/>
            <w:tcBorders>
              <w:left w:val="single" w:sz="4" w:space="0" w:color="auto"/>
              <w:bottom w:val="nil"/>
              <w:right w:val="single" w:sz="4" w:space="0" w:color="auto"/>
            </w:tcBorders>
            <w:shd w:val="clear" w:color="auto" w:fill="auto"/>
          </w:tcPr>
          <w:p w14:paraId="65DA50E1" w14:textId="4871234F" w:rsidR="0057104F" w:rsidRPr="00267A6E" w:rsidRDefault="0057104F" w:rsidP="0057104F">
            <w:pPr>
              <w:tabs>
                <w:tab w:val="left" w:pos="388"/>
              </w:tabs>
              <w:spacing w:after="120"/>
              <w:ind w:left="388" w:hanging="388"/>
              <w:jc w:val="both"/>
              <w:rPr>
                <w:lang w:val="fr-FR"/>
              </w:rPr>
            </w:pPr>
            <w:r w:rsidRPr="00267A6E">
              <w:rPr>
                <w:lang w:val="fr-FR"/>
              </w:rPr>
              <w:t>1</w:t>
            </w:r>
            <w:r w:rsidR="00967A77" w:rsidRPr="00267A6E">
              <w:rPr>
                <w:lang w:val="fr-FR"/>
              </w:rPr>
              <w:t>.</w:t>
            </w:r>
            <w:r w:rsidRPr="00267A6E">
              <w:rPr>
                <w:lang w:val="fr-FR"/>
              </w:rPr>
              <w:tab/>
              <w:t>Comment faire concorder au mieux les principes clefs des taxonomies vertes (notamment celui de ne pas causer de préjudice important et de contribuer de manière substantielle à au moins un des objectifs environnementaux</w:t>
            </w:r>
            <w:r w:rsidR="00361003" w:rsidRPr="00267A6E">
              <w:rPr>
                <w:lang w:val="fr-FR"/>
              </w:rPr>
              <w:t xml:space="preserve"> </w:t>
            </w:r>
            <w:r w:rsidRPr="00267A6E">
              <w:rPr>
                <w:lang w:val="fr-FR"/>
              </w:rPr>
              <w:t>que sont l</w:t>
            </w:r>
            <w:r w:rsidR="00D82B54" w:rsidRPr="00267A6E">
              <w:rPr>
                <w:lang w:val="fr-FR"/>
              </w:rPr>
              <w:t>’</w:t>
            </w:r>
            <w:r w:rsidRPr="00267A6E">
              <w:rPr>
                <w:lang w:val="fr-FR"/>
              </w:rPr>
              <w:t>atténuation des changements climatiques, l</w:t>
            </w:r>
            <w:r w:rsidR="00D82B54" w:rsidRPr="00267A6E">
              <w:rPr>
                <w:lang w:val="fr-FR"/>
              </w:rPr>
              <w:t>’</w:t>
            </w:r>
            <w:r w:rsidRPr="00267A6E">
              <w:rPr>
                <w:lang w:val="fr-FR"/>
              </w:rPr>
              <w:t>adaptation aux changements climatiques, l</w:t>
            </w:r>
            <w:r w:rsidR="00D82B54" w:rsidRPr="00267A6E">
              <w:rPr>
                <w:lang w:val="fr-FR"/>
              </w:rPr>
              <w:t>’</w:t>
            </w:r>
            <w:r w:rsidRPr="00267A6E">
              <w:rPr>
                <w:lang w:val="fr-FR"/>
              </w:rPr>
              <w:t>utilisation durable et la protection des ressources aquatiques et maritimes, la transition vers une économie circulaire, la prévention et le contrôle de la pollution et la protection et la restauration de la biodiversité et des écosystèmes) avec la Convention et le Protocole afin d</w:t>
            </w:r>
            <w:r w:rsidR="00D82B54" w:rsidRPr="00267A6E">
              <w:rPr>
                <w:lang w:val="fr-FR"/>
              </w:rPr>
              <w:t>’</w:t>
            </w:r>
            <w:r w:rsidRPr="00267A6E">
              <w:rPr>
                <w:lang w:val="fr-FR"/>
              </w:rPr>
              <w:t>assurer la cohérence entre les différentes décisions prises à tous les stades de la planification et du financement ?</w:t>
            </w:r>
          </w:p>
        </w:tc>
      </w:tr>
      <w:tr w:rsidR="0057104F" w:rsidRPr="00267A6E" w14:paraId="3C6C0391" w14:textId="77777777">
        <w:trPr>
          <w:jc w:val="center"/>
        </w:trPr>
        <w:tc>
          <w:tcPr>
            <w:tcW w:w="7653" w:type="dxa"/>
            <w:tcBorders>
              <w:left w:val="single" w:sz="4" w:space="0" w:color="auto"/>
              <w:bottom w:val="nil"/>
              <w:right w:val="single" w:sz="4" w:space="0" w:color="auto"/>
            </w:tcBorders>
            <w:shd w:val="clear" w:color="auto" w:fill="auto"/>
          </w:tcPr>
          <w:p w14:paraId="2AF96387" w14:textId="2257E5A2" w:rsidR="0057104F" w:rsidRPr="00267A6E" w:rsidRDefault="0057104F" w:rsidP="0057104F">
            <w:pPr>
              <w:tabs>
                <w:tab w:val="left" w:pos="388"/>
              </w:tabs>
              <w:spacing w:after="120"/>
              <w:ind w:left="388" w:hanging="388"/>
              <w:jc w:val="both"/>
              <w:rPr>
                <w:lang w:val="fr-FR"/>
              </w:rPr>
            </w:pPr>
            <w:r w:rsidRPr="00267A6E">
              <w:rPr>
                <w:lang w:val="fr-FR"/>
              </w:rPr>
              <w:t>2</w:t>
            </w:r>
            <w:r w:rsidR="00967A77" w:rsidRPr="00267A6E">
              <w:rPr>
                <w:lang w:val="fr-FR"/>
              </w:rPr>
              <w:t>.</w:t>
            </w:r>
            <w:r w:rsidRPr="00267A6E">
              <w:rPr>
                <w:lang w:val="fr-FR"/>
              </w:rPr>
              <w:tab/>
              <w:t>Comment encourager au mieux les Parties à mettre en œuvre la recommandation du Protocole relative à la réalisation d</w:t>
            </w:r>
            <w:r w:rsidR="00D82B54" w:rsidRPr="00267A6E">
              <w:rPr>
                <w:lang w:val="fr-FR"/>
              </w:rPr>
              <w:t>’</w:t>
            </w:r>
            <w:r w:rsidRPr="00267A6E">
              <w:rPr>
                <w:lang w:val="fr-FR"/>
              </w:rPr>
              <w:t>une évaluation stratégique environnementale des politiques menées afin d</w:t>
            </w:r>
            <w:r w:rsidR="00D82B54" w:rsidRPr="00267A6E">
              <w:rPr>
                <w:lang w:val="fr-FR"/>
              </w:rPr>
              <w:t>’</w:t>
            </w:r>
            <w:r w:rsidRPr="00267A6E">
              <w:rPr>
                <w:lang w:val="fr-FR"/>
              </w:rPr>
              <w:t>assurer la cohérence des plans sectoriels susceptibles de faire l</w:t>
            </w:r>
            <w:r w:rsidR="00D82B54" w:rsidRPr="00267A6E">
              <w:rPr>
                <w:lang w:val="fr-FR"/>
              </w:rPr>
              <w:t>’</w:t>
            </w:r>
            <w:r w:rsidRPr="00267A6E">
              <w:rPr>
                <w:lang w:val="fr-FR"/>
              </w:rPr>
              <w:t>objet d</w:t>
            </w:r>
            <w:r w:rsidR="00D82B54" w:rsidRPr="00267A6E">
              <w:rPr>
                <w:lang w:val="fr-FR"/>
              </w:rPr>
              <w:t>’</w:t>
            </w:r>
            <w:r w:rsidRPr="00267A6E">
              <w:rPr>
                <w:lang w:val="fr-FR"/>
              </w:rPr>
              <w:t>un financement vert</w:t>
            </w:r>
            <w:r w:rsidR="00BE5BF0" w:rsidRPr="00267A6E">
              <w:rPr>
                <w:lang w:val="fr-FR"/>
              </w:rPr>
              <w:t> </w:t>
            </w:r>
            <w:r w:rsidRPr="00267A6E">
              <w:rPr>
                <w:lang w:val="fr-FR"/>
              </w:rPr>
              <w:t>?</w:t>
            </w:r>
          </w:p>
        </w:tc>
      </w:tr>
      <w:tr w:rsidR="0057104F" w:rsidRPr="00267A6E" w14:paraId="62C14081" w14:textId="77777777">
        <w:trPr>
          <w:jc w:val="center"/>
        </w:trPr>
        <w:tc>
          <w:tcPr>
            <w:tcW w:w="7653" w:type="dxa"/>
            <w:tcBorders>
              <w:left w:val="single" w:sz="4" w:space="0" w:color="auto"/>
              <w:bottom w:val="nil"/>
              <w:right w:val="single" w:sz="4" w:space="0" w:color="auto"/>
            </w:tcBorders>
            <w:shd w:val="clear" w:color="auto" w:fill="auto"/>
          </w:tcPr>
          <w:p w14:paraId="0285D176" w14:textId="2EB19968" w:rsidR="0057104F" w:rsidRPr="00267A6E" w:rsidRDefault="0057104F" w:rsidP="0057104F">
            <w:pPr>
              <w:tabs>
                <w:tab w:val="left" w:pos="388"/>
              </w:tabs>
              <w:spacing w:after="120"/>
              <w:ind w:left="388" w:hanging="388"/>
              <w:jc w:val="both"/>
              <w:rPr>
                <w:lang w:val="fr-FR"/>
              </w:rPr>
            </w:pPr>
            <w:r w:rsidRPr="00267A6E">
              <w:rPr>
                <w:lang w:val="fr-FR"/>
              </w:rPr>
              <w:t>3</w:t>
            </w:r>
            <w:r w:rsidR="00967A77" w:rsidRPr="00267A6E">
              <w:rPr>
                <w:lang w:val="fr-FR"/>
              </w:rPr>
              <w:t>.</w:t>
            </w:r>
            <w:r w:rsidRPr="00267A6E">
              <w:rPr>
                <w:lang w:val="fr-FR"/>
              </w:rPr>
              <w:tab/>
              <w:t>En lien avec la question 3 du thème de la transition énergétique (voir l</w:t>
            </w:r>
            <w:r w:rsidR="00D82B54" w:rsidRPr="00267A6E">
              <w:rPr>
                <w:lang w:val="fr-FR"/>
              </w:rPr>
              <w:t>’</w:t>
            </w:r>
            <w:r w:rsidR="00CE2EB6" w:rsidRPr="00267A6E">
              <w:rPr>
                <w:lang w:val="fr-FR"/>
              </w:rPr>
              <w:t>encadré </w:t>
            </w:r>
            <w:r w:rsidRPr="00267A6E">
              <w:rPr>
                <w:lang w:val="fr-FR"/>
              </w:rPr>
              <w:t>2), faudrait-il harmoniser les définitions du terme « climat » figurant dans la Convention et le Protocole d</w:t>
            </w:r>
            <w:r w:rsidR="00D82B54" w:rsidRPr="00267A6E">
              <w:rPr>
                <w:lang w:val="fr-FR"/>
              </w:rPr>
              <w:t>’</w:t>
            </w:r>
            <w:r w:rsidRPr="00267A6E">
              <w:rPr>
                <w:lang w:val="fr-FR"/>
              </w:rPr>
              <w:t>une part, et dans les taxonomies de la finance verte</w:t>
            </w:r>
            <w:r w:rsidR="00BE5BF0" w:rsidRPr="00267A6E">
              <w:rPr>
                <w:lang w:val="fr-FR"/>
              </w:rPr>
              <w:t xml:space="preserve"> </w:t>
            </w:r>
            <w:r w:rsidRPr="00267A6E">
              <w:rPr>
                <w:lang w:val="fr-FR"/>
              </w:rPr>
              <w:t>d</w:t>
            </w:r>
            <w:r w:rsidR="00D82B54" w:rsidRPr="00267A6E">
              <w:rPr>
                <w:lang w:val="fr-FR"/>
              </w:rPr>
              <w:t>’</w:t>
            </w:r>
            <w:r w:rsidRPr="00267A6E">
              <w:rPr>
                <w:lang w:val="fr-FR"/>
              </w:rPr>
              <w:t>autre part</w:t>
            </w:r>
            <w:r w:rsidR="00BE5BF0" w:rsidRPr="00267A6E">
              <w:rPr>
                <w:lang w:val="fr-FR"/>
              </w:rPr>
              <w:t> </w:t>
            </w:r>
            <w:r w:rsidRPr="00267A6E">
              <w:rPr>
                <w:lang w:val="fr-FR"/>
              </w:rPr>
              <w:t>?</w:t>
            </w:r>
          </w:p>
        </w:tc>
      </w:tr>
      <w:tr w:rsidR="0057104F" w:rsidRPr="00267A6E" w14:paraId="45E4F878" w14:textId="77777777">
        <w:trPr>
          <w:jc w:val="center"/>
        </w:trPr>
        <w:tc>
          <w:tcPr>
            <w:tcW w:w="7653" w:type="dxa"/>
            <w:tcBorders>
              <w:left w:val="single" w:sz="4" w:space="0" w:color="auto"/>
              <w:bottom w:val="nil"/>
              <w:right w:val="single" w:sz="4" w:space="0" w:color="auto"/>
            </w:tcBorders>
            <w:shd w:val="clear" w:color="auto" w:fill="auto"/>
          </w:tcPr>
          <w:p w14:paraId="3762019F" w14:textId="1B1F9C06" w:rsidR="0057104F" w:rsidRPr="00267A6E" w:rsidRDefault="0057104F" w:rsidP="0057104F">
            <w:pPr>
              <w:tabs>
                <w:tab w:val="left" w:pos="388"/>
              </w:tabs>
              <w:spacing w:after="120"/>
              <w:ind w:left="388" w:hanging="388"/>
              <w:jc w:val="both"/>
              <w:rPr>
                <w:lang w:val="fr-FR"/>
              </w:rPr>
            </w:pPr>
            <w:r w:rsidRPr="00267A6E">
              <w:rPr>
                <w:lang w:val="fr-FR"/>
              </w:rPr>
              <w:t>4</w:t>
            </w:r>
            <w:r w:rsidR="00967A77" w:rsidRPr="00267A6E">
              <w:rPr>
                <w:lang w:val="fr-FR"/>
              </w:rPr>
              <w:t>.</w:t>
            </w:r>
            <w:r w:rsidRPr="00267A6E">
              <w:rPr>
                <w:lang w:val="fr-FR"/>
              </w:rPr>
              <w:tab/>
              <w:t>Existe-t-il un intérêt à déterminer la façon dont on pourrait concilier les critères d</w:t>
            </w:r>
            <w:r w:rsidR="00D82B54" w:rsidRPr="00267A6E">
              <w:rPr>
                <w:lang w:val="fr-FR"/>
              </w:rPr>
              <w:t>’</w:t>
            </w:r>
            <w:r w:rsidRPr="00267A6E">
              <w:rPr>
                <w:lang w:val="fr-FR"/>
              </w:rPr>
              <w:t>examen utilisés pour appliquer les taxonomies de la finance durable et les obligations d</w:t>
            </w:r>
            <w:r w:rsidR="00D82B54" w:rsidRPr="00267A6E">
              <w:rPr>
                <w:lang w:val="fr-FR"/>
              </w:rPr>
              <w:t>’</w:t>
            </w:r>
            <w:r w:rsidRPr="00267A6E">
              <w:rPr>
                <w:lang w:val="fr-FR"/>
              </w:rPr>
              <w:t>évaluation imposées par la Convention et le Protocole ?</w:t>
            </w:r>
          </w:p>
        </w:tc>
      </w:tr>
      <w:tr w:rsidR="0057104F" w:rsidRPr="00267A6E" w14:paraId="7AB8EF9C" w14:textId="77777777">
        <w:trPr>
          <w:jc w:val="center"/>
        </w:trPr>
        <w:tc>
          <w:tcPr>
            <w:tcW w:w="7653" w:type="dxa"/>
            <w:tcBorders>
              <w:left w:val="single" w:sz="4" w:space="0" w:color="auto"/>
              <w:bottom w:val="nil"/>
              <w:right w:val="single" w:sz="4" w:space="0" w:color="auto"/>
            </w:tcBorders>
            <w:shd w:val="clear" w:color="auto" w:fill="auto"/>
          </w:tcPr>
          <w:p w14:paraId="7BD3783E" w14:textId="7A990663" w:rsidR="0057104F" w:rsidRPr="00267A6E" w:rsidRDefault="0057104F" w:rsidP="0057104F">
            <w:pPr>
              <w:tabs>
                <w:tab w:val="left" w:pos="388"/>
              </w:tabs>
              <w:spacing w:after="120"/>
              <w:ind w:left="388" w:hanging="388"/>
              <w:jc w:val="both"/>
              <w:rPr>
                <w:lang w:val="fr-FR"/>
              </w:rPr>
            </w:pPr>
            <w:r w:rsidRPr="00267A6E">
              <w:rPr>
                <w:lang w:val="fr-FR"/>
              </w:rPr>
              <w:t>5</w:t>
            </w:r>
            <w:r w:rsidR="00967A77" w:rsidRPr="00267A6E">
              <w:rPr>
                <w:lang w:val="fr-FR"/>
              </w:rPr>
              <w:t>.</w:t>
            </w:r>
            <w:r w:rsidRPr="00267A6E">
              <w:rPr>
                <w:lang w:val="fr-FR"/>
              </w:rPr>
              <w:tab/>
              <w:t>Quel rôle la Convention et le Protocole peuvent-ils jouer dans l</w:t>
            </w:r>
            <w:r w:rsidR="00D82B54" w:rsidRPr="00267A6E">
              <w:rPr>
                <w:lang w:val="fr-FR"/>
              </w:rPr>
              <w:t>’</w:t>
            </w:r>
            <w:r w:rsidRPr="00267A6E">
              <w:rPr>
                <w:lang w:val="fr-FR"/>
              </w:rPr>
              <w:t>élaboration de normes d</w:t>
            </w:r>
            <w:r w:rsidR="00D82B54" w:rsidRPr="00267A6E">
              <w:rPr>
                <w:lang w:val="fr-FR"/>
              </w:rPr>
              <w:t>’</w:t>
            </w:r>
            <w:r w:rsidRPr="00267A6E">
              <w:rPr>
                <w:lang w:val="fr-FR"/>
              </w:rPr>
              <w:t>information sur la durabilité</w:t>
            </w:r>
            <w:r w:rsidR="00BE5BF0" w:rsidRPr="00267A6E">
              <w:rPr>
                <w:lang w:val="fr-FR"/>
              </w:rPr>
              <w:t> </w:t>
            </w:r>
            <w:r w:rsidRPr="00267A6E">
              <w:rPr>
                <w:lang w:val="fr-FR"/>
              </w:rPr>
              <w:t>?</w:t>
            </w:r>
          </w:p>
        </w:tc>
      </w:tr>
      <w:tr w:rsidR="0057104F" w:rsidRPr="00267A6E" w14:paraId="69C825DE" w14:textId="77777777">
        <w:trPr>
          <w:jc w:val="center"/>
        </w:trPr>
        <w:tc>
          <w:tcPr>
            <w:tcW w:w="7653" w:type="dxa"/>
            <w:tcBorders>
              <w:left w:val="single" w:sz="4" w:space="0" w:color="auto"/>
              <w:bottom w:val="nil"/>
              <w:right w:val="single" w:sz="4" w:space="0" w:color="auto"/>
            </w:tcBorders>
            <w:shd w:val="clear" w:color="auto" w:fill="auto"/>
          </w:tcPr>
          <w:p w14:paraId="1279E80E" w14:textId="4CFD668E" w:rsidR="0057104F" w:rsidRPr="00267A6E" w:rsidRDefault="0057104F" w:rsidP="0057104F">
            <w:pPr>
              <w:tabs>
                <w:tab w:val="left" w:pos="388"/>
              </w:tabs>
              <w:spacing w:after="120"/>
              <w:ind w:left="388" w:hanging="388"/>
              <w:jc w:val="both"/>
              <w:rPr>
                <w:lang w:val="fr-FR"/>
              </w:rPr>
            </w:pPr>
            <w:r w:rsidRPr="00267A6E">
              <w:rPr>
                <w:lang w:val="fr-FR"/>
              </w:rPr>
              <w:t>6</w:t>
            </w:r>
            <w:r w:rsidR="00967A77" w:rsidRPr="00267A6E">
              <w:rPr>
                <w:lang w:val="fr-FR"/>
              </w:rPr>
              <w:t>.</w:t>
            </w:r>
            <w:r w:rsidRPr="00267A6E">
              <w:rPr>
                <w:lang w:val="fr-FR"/>
              </w:rPr>
              <w:tab/>
              <w:t>Le concept de double importance relative, tel qu</w:t>
            </w:r>
            <w:r w:rsidR="00D82B54" w:rsidRPr="00267A6E">
              <w:rPr>
                <w:lang w:val="fr-FR"/>
              </w:rPr>
              <w:t>’</w:t>
            </w:r>
            <w:r w:rsidRPr="00267A6E">
              <w:rPr>
                <w:lang w:val="fr-FR"/>
              </w:rPr>
              <w:t>il est intégré dans les normes d</w:t>
            </w:r>
            <w:r w:rsidR="00D82B54" w:rsidRPr="00267A6E">
              <w:rPr>
                <w:lang w:val="fr-FR"/>
              </w:rPr>
              <w:t>’</w:t>
            </w:r>
            <w:r w:rsidRPr="00267A6E">
              <w:rPr>
                <w:lang w:val="fr-FR"/>
              </w:rPr>
              <w:t>information sur la durabilité, est-il pertinent pour l</w:t>
            </w:r>
            <w:r w:rsidR="00D82B54" w:rsidRPr="00267A6E">
              <w:rPr>
                <w:lang w:val="fr-FR"/>
              </w:rPr>
              <w:t>’</w:t>
            </w:r>
            <w:r w:rsidRPr="00267A6E">
              <w:rPr>
                <w:lang w:val="fr-FR"/>
              </w:rPr>
              <w:t>évaluation de l</w:t>
            </w:r>
            <w:r w:rsidR="00D82B54" w:rsidRPr="00267A6E">
              <w:rPr>
                <w:lang w:val="fr-FR"/>
              </w:rPr>
              <w:t>’</w:t>
            </w:r>
            <w:r w:rsidRPr="00267A6E">
              <w:rPr>
                <w:lang w:val="fr-FR"/>
              </w:rPr>
              <w:t>impact transfrontière sur l</w:t>
            </w:r>
            <w:r w:rsidR="00D82B54" w:rsidRPr="00267A6E">
              <w:rPr>
                <w:lang w:val="fr-FR"/>
              </w:rPr>
              <w:t>’</w:t>
            </w:r>
            <w:r w:rsidRPr="00267A6E">
              <w:rPr>
                <w:lang w:val="fr-FR"/>
              </w:rPr>
              <w:t>environnement réalisée au titre de la Convention et pour l</w:t>
            </w:r>
            <w:r w:rsidR="00D82B54" w:rsidRPr="00267A6E">
              <w:rPr>
                <w:lang w:val="fr-FR"/>
              </w:rPr>
              <w:t>’</w:t>
            </w:r>
            <w:r w:rsidRPr="00267A6E">
              <w:rPr>
                <w:lang w:val="fr-FR"/>
              </w:rPr>
              <w:t>évaluation stratégique environnementale réalisée au titre du Protocole ? Dans l</w:t>
            </w:r>
            <w:r w:rsidR="00D82B54" w:rsidRPr="00267A6E">
              <w:rPr>
                <w:lang w:val="fr-FR"/>
              </w:rPr>
              <w:t>’</w:t>
            </w:r>
            <w:r w:rsidRPr="00267A6E">
              <w:rPr>
                <w:lang w:val="fr-FR"/>
              </w:rPr>
              <w:t>affirmative, que pourrait-on faire pour renforcer les liens entre ces instruments et les prescriptions des normes d</w:t>
            </w:r>
            <w:r w:rsidR="00D82B54" w:rsidRPr="00267A6E">
              <w:rPr>
                <w:lang w:val="fr-FR"/>
              </w:rPr>
              <w:t>’</w:t>
            </w:r>
            <w:r w:rsidRPr="00267A6E">
              <w:rPr>
                <w:lang w:val="fr-FR"/>
              </w:rPr>
              <w:t>information sur la durabilité</w:t>
            </w:r>
            <w:r w:rsidR="00BE5BF0" w:rsidRPr="00267A6E">
              <w:rPr>
                <w:lang w:val="fr-FR"/>
              </w:rPr>
              <w:t> </w:t>
            </w:r>
            <w:r w:rsidRPr="00267A6E">
              <w:rPr>
                <w:lang w:val="fr-FR"/>
              </w:rPr>
              <w:t>?</w:t>
            </w:r>
          </w:p>
        </w:tc>
      </w:tr>
      <w:tr w:rsidR="0057104F" w:rsidRPr="00267A6E" w14:paraId="3B52B163" w14:textId="77777777">
        <w:trPr>
          <w:trHeight w:hRule="exact" w:val="23"/>
          <w:jc w:val="center"/>
        </w:trPr>
        <w:tc>
          <w:tcPr>
            <w:tcW w:w="7653" w:type="dxa"/>
            <w:tcBorders>
              <w:left w:val="single" w:sz="4" w:space="0" w:color="auto"/>
              <w:bottom w:val="single" w:sz="4" w:space="0" w:color="auto"/>
              <w:right w:val="single" w:sz="4" w:space="0" w:color="auto"/>
            </w:tcBorders>
            <w:shd w:val="clear" w:color="auto" w:fill="auto"/>
          </w:tcPr>
          <w:p w14:paraId="7A341691" w14:textId="77777777" w:rsidR="0057104F" w:rsidRPr="00267A6E" w:rsidRDefault="0057104F">
            <w:pPr>
              <w:rPr>
                <w:lang w:val="fr-FR"/>
              </w:rPr>
            </w:pPr>
          </w:p>
        </w:tc>
      </w:tr>
    </w:tbl>
    <w:p w14:paraId="3F0FFFAA" w14:textId="29DA0CB1" w:rsidR="003373A7" w:rsidRPr="00267A6E" w:rsidRDefault="003373A7" w:rsidP="0057104F">
      <w:pPr>
        <w:pStyle w:val="H1G"/>
        <w:rPr>
          <w:lang w:val="fr-FR"/>
        </w:rPr>
      </w:pPr>
      <w:r w:rsidRPr="00267A6E">
        <w:rPr>
          <w:lang w:val="fr-FR"/>
        </w:rPr>
        <w:tab/>
        <w:t>E</w:t>
      </w:r>
      <w:r w:rsidR="00967A77" w:rsidRPr="00267A6E">
        <w:rPr>
          <w:lang w:val="fr-FR"/>
        </w:rPr>
        <w:t>.</w:t>
      </w:r>
      <w:r w:rsidRPr="00267A6E">
        <w:rPr>
          <w:lang w:val="fr-FR"/>
        </w:rPr>
        <w:tab/>
        <w:t xml:space="preserve">Analyse des points forts, des aspirations, des possibilités offertes </w:t>
      </w:r>
      <w:r w:rsidR="0057104F" w:rsidRPr="00267A6E">
        <w:rPr>
          <w:lang w:val="fr-FR"/>
        </w:rPr>
        <w:br/>
      </w:r>
      <w:r w:rsidRPr="00267A6E">
        <w:rPr>
          <w:lang w:val="fr-FR"/>
        </w:rPr>
        <w:t xml:space="preserve">et des solutions envisageables dans le cadre de la Convention </w:t>
      </w:r>
      <w:r w:rsidR="0057104F" w:rsidRPr="00267A6E">
        <w:rPr>
          <w:lang w:val="fr-FR"/>
        </w:rPr>
        <w:br/>
      </w:r>
      <w:r w:rsidRPr="00267A6E">
        <w:rPr>
          <w:lang w:val="fr-FR"/>
        </w:rPr>
        <w:t>et du Protocole s</w:t>
      </w:r>
      <w:r w:rsidR="00D82B54" w:rsidRPr="00267A6E">
        <w:rPr>
          <w:lang w:val="fr-FR"/>
        </w:rPr>
        <w:t>’</w:t>
      </w:r>
      <w:r w:rsidRPr="00267A6E">
        <w:rPr>
          <w:lang w:val="fr-FR"/>
        </w:rPr>
        <w:t>agissant du financement vert</w:t>
      </w:r>
    </w:p>
    <w:tbl>
      <w:tblPr>
        <w:tblW w:w="9637" w:type="dxa"/>
        <w:tblLayout w:type="fixed"/>
        <w:tblCellMar>
          <w:left w:w="0" w:type="dxa"/>
          <w:right w:w="0" w:type="dxa"/>
        </w:tblCellMar>
        <w:tblLook w:val="04A0" w:firstRow="1" w:lastRow="0" w:firstColumn="1" w:lastColumn="0" w:noHBand="0" w:noVBand="1"/>
      </w:tblPr>
      <w:tblGrid>
        <w:gridCol w:w="2541"/>
        <w:gridCol w:w="2538"/>
        <w:gridCol w:w="2279"/>
        <w:gridCol w:w="2279"/>
      </w:tblGrid>
      <w:tr w:rsidR="00250885" w:rsidRPr="00267A6E" w14:paraId="3B81C66D" w14:textId="77777777" w:rsidTr="0051491B">
        <w:trPr>
          <w:tblHeader/>
        </w:trPr>
        <w:tc>
          <w:tcPr>
            <w:tcW w:w="1943" w:type="dxa"/>
            <w:tcBorders>
              <w:top w:val="single" w:sz="4" w:space="0" w:color="auto"/>
              <w:bottom w:val="single" w:sz="12" w:space="0" w:color="auto"/>
            </w:tcBorders>
            <w:shd w:val="clear" w:color="auto" w:fill="auto"/>
            <w:tcMar>
              <w:left w:w="108" w:type="dxa"/>
              <w:right w:w="108" w:type="dxa"/>
            </w:tcMar>
            <w:vAlign w:val="bottom"/>
          </w:tcPr>
          <w:p w14:paraId="63CFEC68" w14:textId="77777777" w:rsidR="003373A7" w:rsidRPr="00267A6E" w:rsidRDefault="003373A7" w:rsidP="00250885">
            <w:pPr>
              <w:spacing w:before="80" w:after="80" w:line="200" w:lineRule="exact"/>
              <w:ind w:right="113"/>
              <w:rPr>
                <w:i/>
                <w:sz w:val="16"/>
                <w:lang w:val="fr-FR"/>
              </w:rPr>
            </w:pPr>
            <w:r w:rsidRPr="00267A6E">
              <w:rPr>
                <w:i/>
                <w:sz w:val="16"/>
                <w:lang w:val="fr-FR"/>
              </w:rPr>
              <w:t>Points forts</w:t>
            </w:r>
          </w:p>
        </w:tc>
        <w:tc>
          <w:tcPr>
            <w:tcW w:w="1941" w:type="dxa"/>
            <w:tcBorders>
              <w:top w:val="single" w:sz="4" w:space="0" w:color="auto"/>
              <w:bottom w:val="single" w:sz="12" w:space="0" w:color="auto"/>
            </w:tcBorders>
            <w:shd w:val="clear" w:color="auto" w:fill="auto"/>
            <w:tcMar>
              <w:left w:w="108" w:type="dxa"/>
              <w:right w:w="108" w:type="dxa"/>
            </w:tcMar>
            <w:vAlign w:val="bottom"/>
          </w:tcPr>
          <w:p w14:paraId="3AAD2ED8" w14:textId="77777777" w:rsidR="003373A7" w:rsidRPr="00267A6E" w:rsidRDefault="003373A7" w:rsidP="00250885">
            <w:pPr>
              <w:spacing w:before="80" w:after="80" w:line="200" w:lineRule="exact"/>
              <w:ind w:right="113"/>
              <w:rPr>
                <w:i/>
                <w:sz w:val="16"/>
                <w:lang w:val="fr-FR"/>
              </w:rPr>
            </w:pPr>
            <w:r w:rsidRPr="00267A6E">
              <w:rPr>
                <w:i/>
                <w:sz w:val="16"/>
                <w:lang w:val="fr-FR"/>
              </w:rPr>
              <w:t>Aspirations</w:t>
            </w:r>
          </w:p>
        </w:tc>
        <w:tc>
          <w:tcPr>
            <w:tcW w:w="1743" w:type="dxa"/>
            <w:tcBorders>
              <w:top w:val="single" w:sz="4" w:space="0" w:color="auto"/>
              <w:bottom w:val="single" w:sz="12" w:space="0" w:color="auto"/>
            </w:tcBorders>
            <w:shd w:val="clear" w:color="auto" w:fill="auto"/>
            <w:vAlign w:val="bottom"/>
          </w:tcPr>
          <w:p w14:paraId="20EADEE0" w14:textId="77777777" w:rsidR="003373A7" w:rsidRPr="00267A6E" w:rsidRDefault="003373A7" w:rsidP="00250885">
            <w:pPr>
              <w:spacing w:before="80" w:after="80" w:line="200" w:lineRule="exact"/>
              <w:ind w:right="113"/>
              <w:rPr>
                <w:i/>
                <w:sz w:val="16"/>
                <w:lang w:val="fr-FR"/>
              </w:rPr>
            </w:pPr>
            <w:r w:rsidRPr="00267A6E">
              <w:rPr>
                <w:i/>
                <w:sz w:val="16"/>
                <w:lang w:val="fr-FR"/>
              </w:rPr>
              <w:t>Possibilités offertes</w:t>
            </w:r>
          </w:p>
        </w:tc>
        <w:tc>
          <w:tcPr>
            <w:tcW w:w="1743" w:type="dxa"/>
            <w:tcBorders>
              <w:top w:val="single" w:sz="4" w:space="0" w:color="auto"/>
              <w:bottom w:val="single" w:sz="12" w:space="0" w:color="auto"/>
            </w:tcBorders>
            <w:shd w:val="clear" w:color="auto" w:fill="auto"/>
            <w:vAlign w:val="bottom"/>
          </w:tcPr>
          <w:p w14:paraId="6D74F902" w14:textId="77777777" w:rsidR="003373A7" w:rsidRPr="00267A6E" w:rsidRDefault="003373A7" w:rsidP="00250885">
            <w:pPr>
              <w:spacing w:before="80" w:after="80" w:line="200" w:lineRule="exact"/>
              <w:ind w:right="113"/>
              <w:rPr>
                <w:i/>
                <w:sz w:val="16"/>
                <w:lang w:val="fr-FR"/>
              </w:rPr>
            </w:pPr>
            <w:r w:rsidRPr="00267A6E">
              <w:rPr>
                <w:i/>
                <w:sz w:val="16"/>
                <w:lang w:val="fr-FR"/>
              </w:rPr>
              <w:t>Solutions envisagées</w:t>
            </w:r>
          </w:p>
        </w:tc>
      </w:tr>
      <w:tr w:rsidR="00250885" w:rsidRPr="00267A6E" w14:paraId="28B771CB" w14:textId="77777777" w:rsidTr="0051491B">
        <w:trPr>
          <w:trHeight w:hRule="exact" w:val="113"/>
          <w:tblHeader/>
        </w:trPr>
        <w:tc>
          <w:tcPr>
            <w:tcW w:w="1943" w:type="dxa"/>
            <w:tcBorders>
              <w:top w:val="single" w:sz="12" w:space="0" w:color="auto"/>
            </w:tcBorders>
            <w:shd w:val="clear" w:color="auto" w:fill="auto"/>
            <w:tcMar>
              <w:left w:w="108" w:type="dxa"/>
              <w:right w:w="108" w:type="dxa"/>
            </w:tcMar>
          </w:tcPr>
          <w:p w14:paraId="20729893" w14:textId="77777777" w:rsidR="00250885" w:rsidRPr="00267A6E" w:rsidRDefault="00250885" w:rsidP="00250885">
            <w:pPr>
              <w:spacing w:before="40" w:after="120"/>
              <w:ind w:right="113"/>
              <w:rPr>
                <w:lang w:val="fr-FR"/>
              </w:rPr>
            </w:pPr>
          </w:p>
        </w:tc>
        <w:tc>
          <w:tcPr>
            <w:tcW w:w="1941" w:type="dxa"/>
            <w:tcBorders>
              <w:top w:val="single" w:sz="12" w:space="0" w:color="auto"/>
            </w:tcBorders>
            <w:shd w:val="clear" w:color="auto" w:fill="auto"/>
            <w:tcMar>
              <w:left w:w="108" w:type="dxa"/>
              <w:right w:w="108" w:type="dxa"/>
            </w:tcMar>
          </w:tcPr>
          <w:p w14:paraId="6753F2CD" w14:textId="77777777" w:rsidR="00250885" w:rsidRPr="00267A6E" w:rsidRDefault="00250885" w:rsidP="00250885">
            <w:pPr>
              <w:spacing w:before="40" w:after="120"/>
              <w:ind w:right="113"/>
              <w:rPr>
                <w:lang w:val="fr-FR"/>
              </w:rPr>
            </w:pPr>
          </w:p>
        </w:tc>
        <w:tc>
          <w:tcPr>
            <w:tcW w:w="1743" w:type="dxa"/>
            <w:tcBorders>
              <w:top w:val="single" w:sz="12" w:space="0" w:color="auto"/>
            </w:tcBorders>
            <w:shd w:val="clear" w:color="auto" w:fill="auto"/>
          </w:tcPr>
          <w:p w14:paraId="1A96938B" w14:textId="77777777" w:rsidR="00250885" w:rsidRPr="00267A6E" w:rsidRDefault="00250885" w:rsidP="00250885">
            <w:pPr>
              <w:spacing w:before="40" w:after="120"/>
              <w:ind w:right="113"/>
              <w:rPr>
                <w:lang w:val="fr-FR"/>
              </w:rPr>
            </w:pPr>
          </w:p>
        </w:tc>
        <w:tc>
          <w:tcPr>
            <w:tcW w:w="1743" w:type="dxa"/>
            <w:tcBorders>
              <w:top w:val="single" w:sz="12" w:space="0" w:color="auto"/>
            </w:tcBorders>
            <w:shd w:val="clear" w:color="auto" w:fill="auto"/>
          </w:tcPr>
          <w:p w14:paraId="1DA6F2A5" w14:textId="77777777" w:rsidR="00250885" w:rsidRPr="00267A6E" w:rsidRDefault="00250885" w:rsidP="00250885">
            <w:pPr>
              <w:spacing w:before="40" w:after="120"/>
              <w:ind w:right="113"/>
              <w:rPr>
                <w:lang w:val="fr-FR"/>
              </w:rPr>
            </w:pPr>
          </w:p>
        </w:tc>
      </w:tr>
      <w:tr w:rsidR="00250885" w:rsidRPr="00267A6E" w14:paraId="5DCE7818" w14:textId="77777777" w:rsidTr="0051491B">
        <w:tc>
          <w:tcPr>
            <w:tcW w:w="1943" w:type="dxa"/>
            <w:tcBorders>
              <w:bottom w:val="single" w:sz="12" w:space="0" w:color="auto"/>
            </w:tcBorders>
            <w:shd w:val="clear" w:color="auto" w:fill="auto"/>
            <w:tcMar>
              <w:left w:w="108" w:type="dxa"/>
              <w:right w:w="108" w:type="dxa"/>
            </w:tcMar>
          </w:tcPr>
          <w:p w14:paraId="79924511" w14:textId="0AD75D8A" w:rsidR="003373A7" w:rsidRPr="00267A6E" w:rsidRDefault="003373A7" w:rsidP="000E01D3">
            <w:pPr>
              <w:pStyle w:val="Bullet1G"/>
              <w:spacing w:line="230" w:lineRule="atLeast"/>
              <w:ind w:left="170" w:right="0"/>
              <w:jc w:val="left"/>
              <w:rPr>
                <w:spacing w:val="-2"/>
                <w:lang w:val="fr-FR"/>
              </w:rPr>
            </w:pPr>
            <w:r w:rsidRPr="00267A6E">
              <w:rPr>
                <w:spacing w:val="-2"/>
                <w:lang w:val="fr-FR"/>
              </w:rPr>
              <w:t>Des dispositions détaillées en matière de consultation et de participation du public ainsi que les documents d</w:t>
            </w:r>
            <w:r w:rsidR="00D82B54" w:rsidRPr="00267A6E">
              <w:rPr>
                <w:spacing w:val="-2"/>
                <w:lang w:val="fr-FR"/>
              </w:rPr>
              <w:t>’</w:t>
            </w:r>
            <w:r w:rsidRPr="00267A6E">
              <w:rPr>
                <w:spacing w:val="-2"/>
                <w:lang w:val="fr-FR"/>
              </w:rPr>
              <w:t>orientation en la matière contribuent à garantir une participation effective et en temps voulu des acteurs de la société civile (c</w:t>
            </w:r>
            <w:r w:rsidR="00D82B54" w:rsidRPr="00267A6E">
              <w:rPr>
                <w:spacing w:val="-2"/>
                <w:lang w:val="fr-FR"/>
              </w:rPr>
              <w:t>’</w:t>
            </w:r>
            <w:r w:rsidRPr="00267A6E">
              <w:rPr>
                <w:spacing w:val="-2"/>
                <w:lang w:val="fr-FR"/>
              </w:rPr>
              <w:t>est un point fort de la Convention et du Protocole)</w:t>
            </w:r>
          </w:p>
          <w:p w14:paraId="7B708BD7" w14:textId="537B4BF5" w:rsidR="003373A7" w:rsidRPr="00267A6E" w:rsidRDefault="003373A7" w:rsidP="000E01D3">
            <w:pPr>
              <w:pStyle w:val="Bullet1G"/>
              <w:spacing w:line="230" w:lineRule="atLeast"/>
              <w:ind w:left="170" w:right="0"/>
              <w:jc w:val="left"/>
              <w:rPr>
                <w:spacing w:val="-3"/>
                <w:lang w:val="fr-FR"/>
              </w:rPr>
            </w:pPr>
            <w:r w:rsidRPr="00267A6E">
              <w:rPr>
                <w:spacing w:val="-3"/>
                <w:lang w:val="fr-FR"/>
              </w:rPr>
              <w:t>L</w:t>
            </w:r>
            <w:r w:rsidR="00D82B54" w:rsidRPr="00267A6E">
              <w:rPr>
                <w:spacing w:val="-3"/>
                <w:lang w:val="fr-FR"/>
              </w:rPr>
              <w:t>’</w:t>
            </w:r>
            <w:r w:rsidRPr="00267A6E">
              <w:rPr>
                <w:spacing w:val="-3"/>
                <w:lang w:val="fr-FR"/>
              </w:rPr>
              <w:t>évaluation de l</w:t>
            </w:r>
            <w:r w:rsidR="00D82B54" w:rsidRPr="00267A6E">
              <w:rPr>
                <w:spacing w:val="-3"/>
                <w:lang w:val="fr-FR"/>
              </w:rPr>
              <w:t>’</w:t>
            </w:r>
            <w:r w:rsidRPr="00267A6E">
              <w:rPr>
                <w:spacing w:val="-3"/>
                <w:lang w:val="fr-FR"/>
              </w:rPr>
              <w:t>impact transfrontière sur l</w:t>
            </w:r>
            <w:r w:rsidR="00D82B54" w:rsidRPr="00267A6E">
              <w:rPr>
                <w:spacing w:val="-3"/>
                <w:lang w:val="fr-FR"/>
              </w:rPr>
              <w:t>’</w:t>
            </w:r>
            <w:r w:rsidRPr="00267A6E">
              <w:rPr>
                <w:spacing w:val="-3"/>
                <w:lang w:val="fr-FR"/>
              </w:rPr>
              <w:t>environnement au titre de la Convention et l</w:t>
            </w:r>
            <w:r w:rsidR="00D82B54" w:rsidRPr="00267A6E">
              <w:rPr>
                <w:spacing w:val="-3"/>
                <w:lang w:val="fr-FR"/>
              </w:rPr>
              <w:t>’</w:t>
            </w:r>
            <w:r w:rsidRPr="00267A6E">
              <w:rPr>
                <w:spacing w:val="-3"/>
                <w:lang w:val="fr-FR"/>
              </w:rPr>
              <w:t>évaluation stratégique environnementale au titre du Protocole pourraient jouer un rôle important dans la certification de la durabilité des investissements au regard des critères d</w:t>
            </w:r>
            <w:r w:rsidR="00D82B54" w:rsidRPr="00267A6E">
              <w:rPr>
                <w:spacing w:val="-3"/>
                <w:lang w:val="fr-FR"/>
              </w:rPr>
              <w:t>’</w:t>
            </w:r>
            <w:r w:rsidRPr="00267A6E">
              <w:rPr>
                <w:spacing w:val="-3"/>
                <w:lang w:val="fr-FR"/>
              </w:rPr>
              <w:t>examen techniques énoncés dans les taxonomies vertes (c</w:t>
            </w:r>
            <w:r w:rsidR="00D82B54" w:rsidRPr="00267A6E">
              <w:rPr>
                <w:spacing w:val="-3"/>
                <w:lang w:val="fr-FR"/>
              </w:rPr>
              <w:t>’</w:t>
            </w:r>
            <w:r w:rsidRPr="00267A6E">
              <w:rPr>
                <w:spacing w:val="-3"/>
                <w:lang w:val="fr-FR"/>
              </w:rPr>
              <w:t>est un point fort de la Convention et du Protocole)</w:t>
            </w:r>
          </w:p>
          <w:p w14:paraId="27B1C240" w14:textId="0F388E42" w:rsidR="003373A7" w:rsidRPr="00267A6E" w:rsidRDefault="003373A7" w:rsidP="000E01D3">
            <w:pPr>
              <w:pStyle w:val="Bullet1G"/>
              <w:spacing w:line="230" w:lineRule="atLeast"/>
              <w:ind w:left="170" w:right="0"/>
              <w:jc w:val="left"/>
              <w:rPr>
                <w:spacing w:val="-2"/>
                <w:lang w:val="fr-FR"/>
              </w:rPr>
            </w:pPr>
            <w:r w:rsidRPr="00267A6E">
              <w:rPr>
                <w:spacing w:val="-2"/>
                <w:lang w:val="fr-FR"/>
              </w:rPr>
              <w:t>La Convention et le Protocole prévoient déjà l</w:t>
            </w:r>
            <w:r w:rsidR="00D82B54" w:rsidRPr="00267A6E">
              <w:rPr>
                <w:spacing w:val="-2"/>
                <w:lang w:val="fr-FR"/>
              </w:rPr>
              <w:t>’</w:t>
            </w:r>
            <w:r w:rsidRPr="00267A6E">
              <w:rPr>
                <w:spacing w:val="-2"/>
                <w:lang w:val="fr-FR"/>
              </w:rPr>
              <w:t>obligation d</w:t>
            </w:r>
            <w:r w:rsidR="00D82B54" w:rsidRPr="00267A6E">
              <w:rPr>
                <w:spacing w:val="-2"/>
                <w:lang w:val="fr-FR"/>
              </w:rPr>
              <w:t>’</w:t>
            </w:r>
            <w:r w:rsidRPr="00267A6E">
              <w:rPr>
                <w:spacing w:val="-2"/>
                <w:lang w:val="fr-FR"/>
              </w:rPr>
              <w:t>étudier les incidences sur des aspects environnementaux précis qui, selon les prescriptions du financement vert, doivent être protégés contre les dommages, notamment le climat, l</w:t>
            </w:r>
            <w:r w:rsidR="00D82B54" w:rsidRPr="00267A6E">
              <w:rPr>
                <w:spacing w:val="-2"/>
                <w:lang w:val="fr-FR"/>
              </w:rPr>
              <w:t>’</w:t>
            </w:r>
            <w:r w:rsidRPr="00267A6E">
              <w:rPr>
                <w:spacing w:val="-2"/>
                <w:lang w:val="fr-FR"/>
              </w:rPr>
              <w:t>eau et la biodiversité (c</w:t>
            </w:r>
            <w:r w:rsidR="00D82B54" w:rsidRPr="00267A6E">
              <w:rPr>
                <w:spacing w:val="-2"/>
                <w:lang w:val="fr-FR"/>
              </w:rPr>
              <w:t>’</w:t>
            </w:r>
            <w:r w:rsidRPr="00267A6E">
              <w:rPr>
                <w:spacing w:val="-2"/>
                <w:lang w:val="fr-FR"/>
              </w:rPr>
              <w:t>est un point fort de la Convention et du Protocole)</w:t>
            </w:r>
          </w:p>
          <w:p w14:paraId="67CF10CE" w14:textId="7BCDD523" w:rsidR="003373A7" w:rsidRPr="00267A6E" w:rsidRDefault="003373A7" w:rsidP="000E01D3">
            <w:pPr>
              <w:pStyle w:val="Bullet1G"/>
              <w:spacing w:line="230" w:lineRule="atLeast"/>
              <w:ind w:left="170" w:right="0"/>
              <w:jc w:val="left"/>
              <w:rPr>
                <w:spacing w:val="-4"/>
                <w:lang w:val="fr-FR"/>
              </w:rPr>
            </w:pPr>
            <w:r w:rsidRPr="00267A6E">
              <w:rPr>
                <w:spacing w:val="-4"/>
                <w:lang w:val="fr-FR"/>
              </w:rPr>
              <w:t>Les premières tentatives d</w:t>
            </w:r>
            <w:r w:rsidR="00D82B54" w:rsidRPr="00267A6E">
              <w:rPr>
                <w:spacing w:val="-4"/>
                <w:lang w:val="fr-FR"/>
              </w:rPr>
              <w:t>’</w:t>
            </w:r>
            <w:r w:rsidRPr="00267A6E">
              <w:rPr>
                <w:spacing w:val="-4"/>
                <w:lang w:val="fr-FR"/>
              </w:rPr>
              <w:t>alignement de l</w:t>
            </w:r>
            <w:r w:rsidR="00D82B54" w:rsidRPr="00267A6E">
              <w:rPr>
                <w:spacing w:val="-4"/>
                <w:lang w:val="fr-FR"/>
              </w:rPr>
              <w:t>’</w:t>
            </w:r>
            <w:r w:rsidRPr="00267A6E">
              <w:rPr>
                <w:spacing w:val="-4"/>
                <w:lang w:val="fr-FR"/>
              </w:rPr>
              <w:t>évaluation environnementale stratégique et de la taxonomie de l</w:t>
            </w:r>
            <w:r w:rsidR="00D82B54" w:rsidRPr="00267A6E">
              <w:rPr>
                <w:spacing w:val="-4"/>
                <w:lang w:val="fr-FR"/>
              </w:rPr>
              <w:t>’</w:t>
            </w:r>
            <w:r w:rsidRPr="00267A6E">
              <w:rPr>
                <w:spacing w:val="-4"/>
                <w:lang w:val="fr-FR"/>
              </w:rPr>
              <w:t>Union européenne ont été jugées utiles (c</w:t>
            </w:r>
            <w:r w:rsidR="00D82B54" w:rsidRPr="00267A6E">
              <w:rPr>
                <w:spacing w:val="-4"/>
                <w:lang w:val="fr-FR"/>
              </w:rPr>
              <w:t>’</w:t>
            </w:r>
            <w:r w:rsidRPr="00267A6E">
              <w:rPr>
                <w:spacing w:val="-4"/>
                <w:lang w:val="fr-FR"/>
              </w:rPr>
              <w:t>est un point fort du Protocole)</w:t>
            </w:r>
          </w:p>
        </w:tc>
        <w:tc>
          <w:tcPr>
            <w:tcW w:w="1941" w:type="dxa"/>
            <w:tcBorders>
              <w:bottom w:val="single" w:sz="12" w:space="0" w:color="auto"/>
            </w:tcBorders>
            <w:shd w:val="clear" w:color="auto" w:fill="auto"/>
            <w:tcMar>
              <w:left w:w="108" w:type="dxa"/>
              <w:right w:w="108" w:type="dxa"/>
            </w:tcMar>
          </w:tcPr>
          <w:p w14:paraId="0DC4AFA4" w14:textId="3D1DFDE4" w:rsidR="003373A7" w:rsidRPr="00267A6E" w:rsidRDefault="003373A7" w:rsidP="000E01D3">
            <w:pPr>
              <w:pStyle w:val="Bullet1G"/>
              <w:spacing w:line="230" w:lineRule="atLeast"/>
              <w:ind w:left="170" w:right="0"/>
              <w:jc w:val="left"/>
              <w:rPr>
                <w:lang w:val="fr-FR"/>
              </w:rPr>
            </w:pPr>
            <w:r w:rsidRPr="00267A6E">
              <w:rPr>
                <w:lang w:val="fr-FR"/>
              </w:rPr>
              <w:t>Veiller à ce que la Convention et le Protocole respectent les principes consistant à « ne pas causer de préjudice important » et à apporter une « contribution positive » (c</w:t>
            </w:r>
            <w:r w:rsidR="00D82B54" w:rsidRPr="00267A6E">
              <w:rPr>
                <w:lang w:val="fr-FR"/>
              </w:rPr>
              <w:t>’</w:t>
            </w:r>
            <w:r w:rsidRPr="00267A6E">
              <w:rPr>
                <w:lang w:val="fr-FR"/>
              </w:rPr>
              <w:t>est un objectif visé par la Convention et le Protocole)</w:t>
            </w:r>
          </w:p>
          <w:p w14:paraId="1725ACDA" w14:textId="02B08270" w:rsidR="003373A7" w:rsidRPr="00267A6E" w:rsidRDefault="003373A7" w:rsidP="000E01D3">
            <w:pPr>
              <w:pStyle w:val="Bullet1G"/>
              <w:spacing w:line="230" w:lineRule="atLeast"/>
              <w:ind w:left="170" w:right="0"/>
              <w:jc w:val="left"/>
              <w:rPr>
                <w:lang w:val="fr-FR"/>
              </w:rPr>
            </w:pPr>
            <w:r w:rsidRPr="00267A6E">
              <w:rPr>
                <w:lang w:val="fr-FR"/>
              </w:rPr>
              <w:t>Mieux comprendre comment l</w:t>
            </w:r>
            <w:r w:rsidR="00D82B54" w:rsidRPr="00267A6E">
              <w:rPr>
                <w:lang w:val="fr-FR"/>
              </w:rPr>
              <w:t>’</w:t>
            </w:r>
            <w:r w:rsidRPr="00267A6E">
              <w:rPr>
                <w:lang w:val="fr-FR"/>
              </w:rPr>
              <w:t>évaluation de l</w:t>
            </w:r>
            <w:r w:rsidR="00D82B54" w:rsidRPr="00267A6E">
              <w:rPr>
                <w:lang w:val="fr-FR"/>
              </w:rPr>
              <w:t>’</w:t>
            </w:r>
            <w:r w:rsidRPr="00267A6E">
              <w:rPr>
                <w:lang w:val="fr-FR"/>
              </w:rPr>
              <w:t>impact sur l</w:t>
            </w:r>
            <w:r w:rsidR="00D82B54" w:rsidRPr="00267A6E">
              <w:rPr>
                <w:lang w:val="fr-FR"/>
              </w:rPr>
              <w:t>’</w:t>
            </w:r>
            <w:r w:rsidRPr="00267A6E">
              <w:rPr>
                <w:lang w:val="fr-FR"/>
              </w:rPr>
              <w:t>environnement et l</w:t>
            </w:r>
            <w:r w:rsidR="00D82B54" w:rsidRPr="00267A6E">
              <w:rPr>
                <w:lang w:val="fr-FR"/>
              </w:rPr>
              <w:t>’</w:t>
            </w:r>
            <w:r w:rsidRPr="00267A6E">
              <w:rPr>
                <w:lang w:val="fr-FR"/>
              </w:rPr>
              <w:t>évaluation stratégique environnementale peuvent contribuer à l</w:t>
            </w:r>
            <w:r w:rsidR="00D82B54" w:rsidRPr="00267A6E">
              <w:rPr>
                <w:lang w:val="fr-FR"/>
              </w:rPr>
              <w:t>’</w:t>
            </w:r>
            <w:r w:rsidRPr="00267A6E">
              <w:rPr>
                <w:lang w:val="fr-FR"/>
              </w:rPr>
              <w:t>application des taxonomies et des normes d</w:t>
            </w:r>
            <w:r w:rsidR="00D82B54" w:rsidRPr="00267A6E">
              <w:rPr>
                <w:lang w:val="fr-FR"/>
              </w:rPr>
              <w:t>’</w:t>
            </w:r>
            <w:r w:rsidRPr="00267A6E">
              <w:rPr>
                <w:lang w:val="fr-FR"/>
              </w:rPr>
              <w:t>information sur la durabilité (c</w:t>
            </w:r>
            <w:r w:rsidR="00D82B54" w:rsidRPr="00267A6E">
              <w:rPr>
                <w:lang w:val="fr-FR"/>
              </w:rPr>
              <w:t>’</w:t>
            </w:r>
            <w:r w:rsidRPr="00267A6E">
              <w:rPr>
                <w:lang w:val="fr-FR"/>
              </w:rPr>
              <w:t>est un objectif visé par la Convention et le Protocole)</w:t>
            </w:r>
          </w:p>
        </w:tc>
        <w:tc>
          <w:tcPr>
            <w:tcW w:w="1743" w:type="dxa"/>
            <w:tcBorders>
              <w:bottom w:val="single" w:sz="12" w:space="0" w:color="auto"/>
            </w:tcBorders>
            <w:shd w:val="clear" w:color="auto" w:fill="auto"/>
          </w:tcPr>
          <w:p w14:paraId="1B64F86C" w14:textId="3BEE69BA" w:rsidR="003373A7" w:rsidRPr="00267A6E" w:rsidRDefault="003373A7" w:rsidP="000E01D3">
            <w:pPr>
              <w:pStyle w:val="Bullet1G"/>
              <w:spacing w:line="230" w:lineRule="atLeast"/>
              <w:ind w:left="170" w:right="0"/>
              <w:jc w:val="left"/>
              <w:rPr>
                <w:lang w:val="fr-FR"/>
              </w:rPr>
            </w:pPr>
            <w:r w:rsidRPr="00267A6E">
              <w:rPr>
                <w:lang w:val="fr-FR"/>
              </w:rPr>
              <w:t>La Convention et le Protocole peuvent contribuer à fournir des données aux fins du respect des principes du financement vert consistant à « ne pas causer de préjudice important » et à apporter une « contribution positive » (c</w:t>
            </w:r>
            <w:r w:rsidR="00D82B54" w:rsidRPr="00267A6E">
              <w:rPr>
                <w:lang w:val="fr-FR"/>
              </w:rPr>
              <w:t>’</w:t>
            </w:r>
            <w:r w:rsidRPr="00267A6E">
              <w:rPr>
                <w:lang w:val="fr-FR"/>
              </w:rPr>
              <w:t>est une possibilité offerte par la Convention et le Protocole)</w:t>
            </w:r>
          </w:p>
          <w:p w14:paraId="0B9AF6D1" w14:textId="65667084" w:rsidR="003373A7" w:rsidRPr="00267A6E" w:rsidRDefault="003373A7" w:rsidP="000E01D3">
            <w:pPr>
              <w:pStyle w:val="Bullet1G"/>
              <w:spacing w:line="230" w:lineRule="atLeast"/>
              <w:ind w:left="170" w:right="0"/>
              <w:jc w:val="left"/>
              <w:rPr>
                <w:lang w:val="fr-FR"/>
              </w:rPr>
            </w:pPr>
            <w:r w:rsidRPr="00267A6E">
              <w:rPr>
                <w:lang w:val="fr-FR"/>
              </w:rPr>
              <w:t>Les principes du financement vert consistant à « ne pas causer de préjudice important » et à apporter une « contribution positive » pourraient renforcer la protection de</w:t>
            </w:r>
            <w:r w:rsidR="00967A77" w:rsidRPr="00267A6E">
              <w:rPr>
                <w:lang w:val="fr-FR"/>
              </w:rPr>
              <w:t> </w:t>
            </w:r>
            <w:r w:rsidRPr="00267A6E">
              <w:rPr>
                <w:lang w:val="fr-FR"/>
              </w:rPr>
              <w:t>l</w:t>
            </w:r>
            <w:r w:rsidR="00D82B54" w:rsidRPr="00267A6E">
              <w:rPr>
                <w:lang w:val="fr-FR"/>
              </w:rPr>
              <w:t>’</w:t>
            </w:r>
            <w:r w:rsidRPr="00267A6E">
              <w:rPr>
                <w:lang w:val="fr-FR"/>
              </w:rPr>
              <w:t>environnement, et ainsi contribuer grandement à la réalisation des objectifs de développement durable (c</w:t>
            </w:r>
            <w:r w:rsidR="00D82B54" w:rsidRPr="00267A6E">
              <w:rPr>
                <w:lang w:val="fr-FR"/>
              </w:rPr>
              <w:t>’</w:t>
            </w:r>
            <w:r w:rsidRPr="00267A6E">
              <w:rPr>
                <w:lang w:val="fr-FR"/>
              </w:rPr>
              <w:t>est une possibilité offerte par la Convention et le Protocole)</w:t>
            </w:r>
          </w:p>
          <w:p w14:paraId="52FB7083" w14:textId="4E9A4A62" w:rsidR="003373A7" w:rsidRPr="00267A6E" w:rsidRDefault="003373A7" w:rsidP="000E01D3">
            <w:pPr>
              <w:pStyle w:val="Bullet1G"/>
              <w:spacing w:line="230" w:lineRule="atLeast"/>
              <w:ind w:left="170" w:right="0"/>
              <w:jc w:val="left"/>
              <w:rPr>
                <w:lang w:val="fr-FR"/>
              </w:rPr>
            </w:pPr>
            <w:r w:rsidRPr="00267A6E">
              <w:rPr>
                <w:lang w:val="fr-FR"/>
              </w:rPr>
              <w:t>Les évaluations réalisées au titre de la Convention et du Protocole pourraient fournir certaines des données dont ont besoin les entreprises tenues de présenter des rapports au titre des normes d</w:t>
            </w:r>
            <w:r w:rsidR="00D82B54" w:rsidRPr="00267A6E">
              <w:rPr>
                <w:lang w:val="fr-FR"/>
              </w:rPr>
              <w:t>’</w:t>
            </w:r>
            <w:r w:rsidRPr="00267A6E">
              <w:rPr>
                <w:lang w:val="fr-FR"/>
              </w:rPr>
              <w:t>information sur la durabilité (c</w:t>
            </w:r>
            <w:r w:rsidR="00D82B54" w:rsidRPr="00267A6E">
              <w:rPr>
                <w:lang w:val="fr-FR"/>
              </w:rPr>
              <w:t>’</w:t>
            </w:r>
            <w:r w:rsidRPr="00267A6E">
              <w:rPr>
                <w:lang w:val="fr-FR"/>
              </w:rPr>
              <w:t>est une possibilité offerte par la Convention et le Protocole)</w:t>
            </w:r>
          </w:p>
        </w:tc>
        <w:tc>
          <w:tcPr>
            <w:tcW w:w="1743" w:type="dxa"/>
            <w:tcBorders>
              <w:bottom w:val="single" w:sz="12" w:space="0" w:color="auto"/>
            </w:tcBorders>
            <w:shd w:val="clear" w:color="auto" w:fill="auto"/>
          </w:tcPr>
          <w:p w14:paraId="13184176" w14:textId="1A033606" w:rsidR="003373A7" w:rsidRPr="00267A6E" w:rsidRDefault="003373A7" w:rsidP="000E01D3">
            <w:pPr>
              <w:pStyle w:val="Bullet1G"/>
              <w:spacing w:line="230" w:lineRule="atLeast"/>
              <w:ind w:left="170" w:right="0"/>
              <w:jc w:val="left"/>
              <w:rPr>
                <w:lang w:val="fr-FR"/>
              </w:rPr>
            </w:pPr>
            <w:r w:rsidRPr="00267A6E">
              <w:rPr>
                <w:lang w:val="fr-FR"/>
              </w:rPr>
              <w:t>Mettre en évidence la façon dont le Protocole et la Convention peuvent permettre de prévenir les accusations d</w:t>
            </w:r>
            <w:r w:rsidR="00D82B54" w:rsidRPr="00267A6E">
              <w:rPr>
                <w:lang w:val="fr-FR"/>
              </w:rPr>
              <w:t>’</w:t>
            </w:r>
            <w:r w:rsidRPr="00267A6E">
              <w:rPr>
                <w:lang w:val="fr-FR"/>
              </w:rPr>
              <w:t>écoblanchiment</w:t>
            </w:r>
            <w:r w:rsidR="00967A77" w:rsidRPr="00267A6E">
              <w:rPr>
                <w:lang w:val="fr-FR"/>
              </w:rPr>
              <w:t>.</w:t>
            </w:r>
            <w:r w:rsidRPr="00267A6E">
              <w:rPr>
                <w:lang w:val="fr-FR"/>
              </w:rPr>
              <w:t xml:space="preserve"> Cela permettrait d</w:t>
            </w:r>
            <w:r w:rsidR="00D82B54" w:rsidRPr="00267A6E">
              <w:rPr>
                <w:lang w:val="fr-FR"/>
              </w:rPr>
              <w:t>’</w:t>
            </w:r>
            <w:r w:rsidRPr="00267A6E">
              <w:rPr>
                <w:lang w:val="fr-FR"/>
              </w:rPr>
              <w:t>éviter que les cabinets d</w:t>
            </w:r>
            <w:r w:rsidR="00D82B54" w:rsidRPr="00267A6E">
              <w:rPr>
                <w:lang w:val="fr-FR"/>
              </w:rPr>
              <w:t>’</w:t>
            </w:r>
            <w:r w:rsidRPr="00267A6E">
              <w:rPr>
                <w:lang w:val="fr-FR"/>
              </w:rPr>
              <w:t>experts</w:t>
            </w:r>
            <w:r w:rsidR="00967A77" w:rsidRPr="00267A6E">
              <w:rPr>
                <w:lang w:val="fr-FR"/>
              </w:rPr>
              <w:noBreakHyphen/>
            </w:r>
            <w:r w:rsidRPr="00267A6E">
              <w:rPr>
                <w:lang w:val="fr-FR"/>
              </w:rPr>
              <w:t>comptables ne développent des systèmes internes d</w:t>
            </w:r>
            <w:r w:rsidR="00D82B54" w:rsidRPr="00267A6E">
              <w:rPr>
                <w:lang w:val="fr-FR"/>
              </w:rPr>
              <w:t>’</w:t>
            </w:r>
            <w:r w:rsidRPr="00267A6E">
              <w:rPr>
                <w:lang w:val="fr-FR"/>
              </w:rPr>
              <w:t>établissement de rapports sur le développement durable qui ne soient pas conformes aux exigences de la Convention et du Protocole (c</w:t>
            </w:r>
            <w:r w:rsidR="00D82B54" w:rsidRPr="00267A6E">
              <w:rPr>
                <w:lang w:val="fr-FR"/>
              </w:rPr>
              <w:t>’</w:t>
            </w:r>
            <w:r w:rsidRPr="00267A6E">
              <w:rPr>
                <w:lang w:val="fr-FR"/>
              </w:rPr>
              <w:t>est une solution envisageable dans le cadre de la Convention et du Protocole)</w:t>
            </w:r>
          </w:p>
          <w:p w14:paraId="2494069D" w14:textId="44EB2FA4" w:rsidR="003373A7" w:rsidRPr="00267A6E" w:rsidRDefault="003373A7" w:rsidP="000E01D3">
            <w:pPr>
              <w:pStyle w:val="Bullet1G"/>
              <w:spacing w:line="230" w:lineRule="atLeast"/>
              <w:ind w:left="170" w:right="0"/>
              <w:jc w:val="left"/>
              <w:rPr>
                <w:lang w:val="fr-FR"/>
              </w:rPr>
            </w:pPr>
            <w:r w:rsidRPr="00267A6E">
              <w:rPr>
                <w:lang w:val="fr-FR"/>
              </w:rPr>
              <w:t>Orienter les modalités d</w:t>
            </w:r>
            <w:r w:rsidR="00D82B54" w:rsidRPr="00267A6E">
              <w:rPr>
                <w:lang w:val="fr-FR"/>
              </w:rPr>
              <w:t>’</w:t>
            </w:r>
            <w:r w:rsidRPr="00267A6E">
              <w:rPr>
                <w:lang w:val="fr-FR"/>
              </w:rPr>
              <w:t>application du Protocole et de la Convention afin de mieux les aligner sur les nouvelles exigences de durabilité des investissements (intégration des principes consistant à « ne pas causer de préjudice important » et à apporter une « contribution positive ») (c</w:t>
            </w:r>
            <w:r w:rsidR="00D82B54" w:rsidRPr="00267A6E">
              <w:rPr>
                <w:lang w:val="fr-FR"/>
              </w:rPr>
              <w:t>’</w:t>
            </w:r>
            <w:r w:rsidRPr="00267A6E">
              <w:rPr>
                <w:lang w:val="fr-FR"/>
              </w:rPr>
              <w:t>est une solution envisageable dans le cadre de la Convention et du Protocole)</w:t>
            </w:r>
          </w:p>
        </w:tc>
      </w:tr>
    </w:tbl>
    <w:p w14:paraId="3D7C8797" w14:textId="7889667C" w:rsidR="005F26E5" w:rsidRPr="00267A6E" w:rsidRDefault="003373A7" w:rsidP="003373A7">
      <w:pPr>
        <w:pStyle w:val="SingleTxtG"/>
        <w:spacing w:before="240" w:after="0"/>
        <w:jc w:val="center"/>
        <w:rPr>
          <w:u w:val="single"/>
          <w:lang w:val="fr-FR"/>
        </w:rPr>
      </w:pPr>
      <w:r w:rsidRPr="00267A6E">
        <w:rPr>
          <w:u w:val="single"/>
          <w:lang w:val="fr-FR"/>
        </w:rPr>
        <w:tab/>
      </w:r>
      <w:r w:rsidRPr="00267A6E">
        <w:rPr>
          <w:u w:val="single"/>
          <w:lang w:val="fr-FR"/>
        </w:rPr>
        <w:tab/>
      </w:r>
      <w:r w:rsidRPr="00267A6E">
        <w:rPr>
          <w:u w:val="single"/>
          <w:lang w:val="fr-FR"/>
        </w:rPr>
        <w:tab/>
      </w:r>
    </w:p>
    <w:sectPr w:rsidR="005F26E5" w:rsidRPr="00267A6E" w:rsidSect="003373A7">
      <w:headerReference w:type="even" r:id="rId13"/>
      <w:headerReference w:type="default" r:id="rId14"/>
      <w:footerReference w:type="even" r:id="rId15"/>
      <w:footerReference w:type="default" r:id="rId16"/>
      <w:footerReference w:type="first" r:id="rId17"/>
      <w:endnotePr>
        <w:numFmt w:val="decimal"/>
      </w:endnotePr>
      <w:pgSz w:w="11906" w:h="16838" w:code="9"/>
      <w:pgMar w:top="1417" w:right="1134" w:bottom="1134"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27D57" w14:textId="77777777" w:rsidR="006A24A7" w:rsidRDefault="006A24A7" w:rsidP="00F95C08">
      <w:pPr>
        <w:spacing w:line="240" w:lineRule="auto"/>
      </w:pPr>
    </w:p>
  </w:endnote>
  <w:endnote w:type="continuationSeparator" w:id="0">
    <w:p w14:paraId="0520F52E" w14:textId="77777777" w:rsidR="006A24A7" w:rsidRPr="00AC3823" w:rsidRDefault="006A24A7" w:rsidP="00AC3823">
      <w:pPr>
        <w:pStyle w:val="Footer"/>
      </w:pPr>
    </w:p>
  </w:endnote>
  <w:endnote w:type="continuationNotice" w:id="1">
    <w:p w14:paraId="7FAEE1AD" w14:textId="77777777" w:rsidR="006A24A7" w:rsidRDefault="006A24A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Pro-Regular">
    <w:altName w:val="Yu Gothic"/>
    <w:panose1 w:val="00000000000000000000"/>
    <w:charset w:val="80"/>
    <w:family w:val="swiss"/>
    <w:notTrueType/>
    <w:pitch w:val="default"/>
    <w:sig w:usb0="00000201" w:usb1="08070000" w:usb2="00000010" w:usb3="00000000" w:csb0="00020004"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4676" w14:textId="04001AEC" w:rsidR="003373A7" w:rsidRPr="003373A7" w:rsidRDefault="003373A7" w:rsidP="003373A7">
    <w:pPr>
      <w:pStyle w:val="Footer"/>
      <w:tabs>
        <w:tab w:val="right" w:pos="9638"/>
      </w:tabs>
    </w:pPr>
    <w:r w:rsidRPr="003373A7">
      <w:rPr>
        <w:b/>
        <w:sz w:val="18"/>
      </w:rPr>
      <w:fldChar w:fldCharType="begin"/>
    </w:r>
    <w:r w:rsidRPr="003373A7">
      <w:rPr>
        <w:b/>
        <w:sz w:val="18"/>
      </w:rPr>
      <w:instrText xml:space="preserve"> PAGE  \* MERGEFORMAT </w:instrText>
    </w:r>
    <w:r w:rsidRPr="003373A7">
      <w:rPr>
        <w:b/>
        <w:sz w:val="18"/>
      </w:rPr>
      <w:fldChar w:fldCharType="separate"/>
    </w:r>
    <w:r w:rsidRPr="003373A7">
      <w:rPr>
        <w:b/>
        <w:noProof/>
        <w:sz w:val="18"/>
      </w:rPr>
      <w:t>2</w:t>
    </w:r>
    <w:r w:rsidRPr="003373A7">
      <w:rPr>
        <w:b/>
        <w:sz w:val="18"/>
      </w:rPr>
      <w:fldChar w:fldCharType="end"/>
    </w:r>
    <w:r>
      <w:rPr>
        <w:b/>
        <w:sz w:val="18"/>
      </w:rPr>
      <w:tab/>
    </w:r>
    <w:r>
      <w:t>GE.23-18920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D3E1" w14:textId="662936B9" w:rsidR="003373A7" w:rsidRPr="003373A7" w:rsidRDefault="003373A7" w:rsidP="003373A7">
    <w:pPr>
      <w:pStyle w:val="Footer"/>
      <w:tabs>
        <w:tab w:val="right" w:pos="9638"/>
      </w:tabs>
      <w:rPr>
        <w:b/>
        <w:sz w:val="18"/>
      </w:rPr>
    </w:pPr>
    <w:r>
      <w:t>GE.23-18920</w:t>
    </w:r>
    <w:r>
      <w:tab/>
    </w:r>
    <w:r w:rsidRPr="003373A7">
      <w:rPr>
        <w:b/>
        <w:sz w:val="18"/>
      </w:rPr>
      <w:fldChar w:fldCharType="begin"/>
    </w:r>
    <w:r w:rsidRPr="003373A7">
      <w:rPr>
        <w:b/>
        <w:sz w:val="18"/>
      </w:rPr>
      <w:instrText xml:space="preserve"> PAGE  \* MERGEFORMAT </w:instrText>
    </w:r>
    <w:r w:rsidRPr="003373A7">
      <w:rPr>
        <w:b/>
        <w:sz w:val="18"/>
      </w:rPr>
      <w:fldChar w:fldCharType="separate"/>
    </w:r>
    <w:r w:rsidRPr="003373A7">
      <w:rPr>
        <w:b/>
        <w:noProof/>
        <w:sz w:val="18"/>
      </w:rPr>
      <w:t>3</w:t>
    </w:r>
    <w:r w:rsidRPr="003373A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8A9B" w14:textId="43C10D2A" w:rsidR="00A14420" w:rsidRPr="003373A7" w:rsidRDefault="003373A7" w:rsidP="003373A7">
    <w:pPr>
      <w:pStyle w:val="Footer"/>
      <w:spacing w:before="120"/>
      <w:rPr>
        <w:sz w:val="20"/>
      </w:rPr>
    </w:pPr>
    <w:r>
      <w:rPr>
        <w:sz w:val="20"/>
      </w:rPr>
      <w:t>GE.</w:t>
    </w:r>
    <w:r w:rsidR="00A14420">
      <w:rPr>
        <w:noProof/>
        <w:lang w:eastAsia="fr-CH"/>
      </w:rPr>
      <w:drawing>
        <wp:anchor distT="0" distB="0" distL="114300" distR="114300" simplePos="0" relativeHeight="251659264" behindDoc="0" locked="0" layoutInCell="1" allowOverlap="0" wp14:anchorId="02390C79" wp14:editId="70604D17">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23-18920  (F)</w:t>
    </w:r>
    <w:r>
      <w:rPr>
        <w:noProof/>
        <w:sz w:val="20"/>
      </w:rPr>
      <w:drawing>
        <wp:anchor distT="0" distB="0" distL="114300" distR="114300" simplePos="0" relativeHeight="251660288" behindDoc="0" locked="0" layoutInCell="1" allowOverlap="1" wp14:anchorId="1F0E1CFB" wp14:editId="57D4035E">
          <wp:simplePos x="0" y="0"/>
          <wp:positionH relativeFrom="margin">
            <wp:posOffset>5489575</wp:posOffset>
          </wp:positionH>
          <wp:positionV relativeFrom="margin">
            <wp:posOffset>8891905</wp:posOffset>
          </wp:positionV>
          <wp:extent cx="561975" cy="561975"/>
          <wp:effectExtent l="0" t="0" r="9525" b="9525"/>
          <wp:wrapNone/>
          <wp:docPr id="14904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251023    261023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65BA5" w14:textId="77777777" w:rsidR="006A24A7" w:rsidRPr="00AC3823" w:rsidRDefault="006A24A7" w:rsidP="00AC3823">
      <w:pPr>
        <w:pStyle w:val="Footer"/>
        <w:tabs>
          <w:tab w:val="right" w:pos="2155"/>
        </w:tabs>
        <w:spacing w:after="80" w:line="240" w:lineRule="atLeast"/>
        <w:ind w:left="680"/>
        <w:rPr>
          <w:u w:val="single"/>
        </w:rPr>
      </w:pPr>
      <w:r>
        <w:rPr>
          <w:u w:val="single"/>
        </w:rPr>
        <w:tab/>
      </w:r>
    </w:p>
  </w:footnote>
  <w:footnote w:type="continuationSeparator" w:id="0">
    <w:p w14:paraId="53911536" w14:textId="77777777" w:rsidR="006A24A7" w:rsidRPr="00AC3823" w:rsidRDefault="006A24A7" w:rsidP="00AC3823">
      <w:pPr>
        <w:pStyle w:val="Footer"/>
        <w:tabs>
          <w:tab w:val="right" w:pos="2155"/>
        </w:tabs>
        <w:spacing w:after="80" w:line="240" w:lineRule="atLeast"/>
        <w:ind w:left="680"/>
        <w:rPr>
          <w:u w:val="single"/>
        </w:rPr>
      </w:pPr>
      <w:r>
        <w:rPr>
          <w:u w:val="single"/>
        </w:rPr>
        <w:tab/>
      </w:r>
    </w:p>
  </w:footnote>
  <w:footnote w:type="continuationNotice" w:id="1">
    <w:p w14:paraId="75543CDC" w14:textId="77777777" w:rsidR="006A24A7" w:rsidRPr="00AC3823" w:rsidRDefault="006A24A7">
      <w:pPr>
        <w:spacing w:line="240" w:lineRule="auto"/>
        <w:rPr>
          <w:sz w:val="2"/>
          <w:szCs w:val="2"/>
        </w:rPr>
      </w:pPr>
    </w:p>
  </w:footnote>
  <w:footnote w:id="2">
    <w:p w14:paraId="02005BFE" w14:textId="30690215" w:rsidR="003373A7" w:rsidRPr="0053293A" w:rsidRDefault="003373A7" w:rsidP="00C30EEB">
      <w:pPr>
        <w:pStyle w:val="FootnoteText"/>
        <w:rPr>
          <w:lang w:val="fr-FR"/>
        </w:rPr>
      </w:pPr>
      <w:r w:rsidRPr="0053293A">
        <w:rPr>
          <w:lang w:val="fr-FR"/>
        </w:rPr>
        <w:tab/>
      </w:r>
      <w:r w:rsidRPr="00967A77">
        <w:rPr>
          <w:rStyle w:val="FootnoteReference"/>
          <w:lang w:val="fr-FR"/>
        </w:rPr>
        <w:footnoteRef/>
      </w:r>
      <w:r w:rsidRPr="0053293A">
        <w:rPr>
          <w:lang w:val="fr-FR"/>
        </w:rPr>
        <w:tab/>
      </w:r>
      <w:hyperlink r:id="rId1" w:history="1">
        <w:r w:rsidRPr="0035452E">
          <w:rPr>
            <w:rStyle w:val="Hyperlink"/>
            <w:lang w:val="fr-FR"/>
          </w:rPr>
          <w:t>ECE/MP</w:t>
        </w:r>
        <w:r w:rsidR="00967A77" w:rsidRPr="0035452E">
          <w:rPr>
            <w:rStyle w:val="Hyperlink"/>
            <w:lang w:val="fr-FR"/>
          </w:rPr>
          <w:t>.</w:t>
        </w:r>
        <w:r w:rsidRPr="0035452E">
          <w:rPr>
            <w:rStyle w:val="Hyperlink"/>
            <w:lang w:val="fr-FR"/>
          </w:rPr>
          <w:t>E</w:t>
        </w:r>
        <w:r w:rsidRPr="0035452E">
          <w:rPr>
            <w:rStyle w:val="Hyperlink"/>
            <w:lang w:val="fr-FR"/>
          </w:rPr>
          <w:t>I</w:t>
        </w:r>
        <w:r w:rsidRPr="0035452E">
          <w:rPr>
            <w:rStyle w:val="Hyperlink"/>
            <w:lang w:val="fr-FR"/>
          </w:rPr>
          <w:t>A/30/Add</w:t>
        </w:r>
        <w:r w:rsidR="00967A77" w:rsidRPr="0035452E">
          <w:rPr>
            <w:rStyle w:val="Hyperlink"/>
            <w:lang w:val="fr-FR"/>
          </w:rPr>
          <w:t>.</w:t>
        </w:r>
        <w:r w:rsidRPr="0035452E">
          <w:rPr>
            <w:rStyle w:val="Hyperlink"/>
            <w:lang w:val="fr-FR"/>
          </w:rPr>
          <w:t>1</w:t>
        </w:r>
      </w:hyperlink>
      <w:r w:rsidRPr="0035452E">
        <w:rPr>
          <w:color w:val="0000FF"/>
          <w:lang w:val="fr-FR"/>
        </w:rPr>
        <w:t>–</w:t>
      </w:r>
      <w:hyperlink r:id="rId2" w:history="1">
        <w:r w:rsidRPr="0035452E">
          <w:rPr>
            <w:rStyle w:val="Hyperlink"/>
            <w:lang w:val="fr-FR"/>
          </w:rPr>
          <w:t>ECE/MP</w:t>
        </w:r>
        <w:r w:rsidR="00967A77" w:rsidRPr="0035452E">
          <w:rPr>
            <w:rStyle w:val="Hyperlink"/>
            <w:lang w:val="fr-FR"/>
          </w:rPr>
          <w:t>.</w:t>
        </w:r>
        <w:r w:rsidRPr="0035452E">
          <w:rPr>
            <w:rStyle w:val="Hyperlink"/>
            <w:lang w:val="fr-FR"/>
          </w:rPr>
          <w:t>EIA/SEA/13/Add</w:t>
        </w:r>
        <w:r w:rsidR="00967A77" w:rsidRPr="0035452E">
          <w:rPr>
            <w:rStyle w:val="Hyperlink"/>
            <w:lang w:val="fr-FR"/>
          </w:rPr>
          <w:t>.</w:t>
        </w:r>
        <w:r w:rsidRPr="0035452E">
          <w:rPr>
            <w:rStyle w:val="Hyperlink"/>
            <w:lang w:val="fr-FR"/>
          </w:rPr>
          <w:t>1</w:t>
        </w:r>
      </w:hyperlink>
      <w:r w:rsidRPr="0053293A">
        <w:rPr>
          <w:lang w:val="fr-FR"/>
        </w:rPr>
        <w:t>, décision VIII/</w:t>
      </w:r>
      <w:r w:rsidRPr="00967A77">
        <w:rPr>
          <w:lang w:val="fr-FR"/>
        </w:rPr>
        <w:t>3</w:t>
      </w:r>
      <w:r w:rsidRPr="0053293A">
        <w:rPr>
          <w:lang w:val="fr-FR"/>
        </w:rPr>
        <w:t>–IV/</w:t>
      </w:r>
      <w:r w:rsidRPr="00967A77">
        <w:rPr>
          <w:lang w:val="fr-FR"/>
        </w:rPr>
        <w:t>3</w:t>
      </w:r>
      <w:r w:rsidRPr="0053293A">
        <w:rPr>
          <w:lang w:val="fr-FR"/>
        </w:rPr>
        <w:t xml:space="preserve">, annexe, </w:t>
      </w:r>
      <w:r w:rsidR="00014B0A" w:rsidRPr="0053293A">
        <w:rPr>
          <w:lang w:val="fr-FR"/>
        </w:rPr>
        <w:t>sect</w:t>
      </w:r>
      <w:r w:rsidR="00967A77" w:rsidRPr="00967A77">
        <w:rPr>
          <w:lang w:val="fr-FR"/>
        </w:rPr>
        <w:t>.</w:t>
      </w:r>
      <w:r w:rsidR="00014B0A" w:rsidRPr="0053293A">
        <w:rPr>
          <w:lang w:val="fr-FR"/>
        </w:rPr>
        <w:t> </w:t>
      </w:r>
      <w:r w:rsidRPr="0053293A">
        <w:rPr>
          <w:lang w:val="fr-FR"/>
        </w:rPr>
        <w:t>II</w:t>
      </w:r>
      <w:r w:rsidR="00967A77" w:rsidRPr="00967A77">
        <w:rPr>
          <w:lang w:val="fr-FR"/>
        </w:rPr>
        <w:t>.</w:t>
      </w:r>
      <w:r w:rsidRPr="0053293A">
        <w:rPr>
          <w:lang w:val="fr-FR"/>
        </w:rPr>
        <w:t>B</w:t>
      </w:r>
      <w:r w:rsidR="00967A77" w:rsidRPr="00967A77">
        <w:rPr>
          <w:lang w:val="fr-FR"/>
        </w:rPr>
        <w:t>.</w:t>
      </w:r>
    </w:p>
  </w:footnote>
  <w:footnote w:id="3">
    <w:p w14:paraId="62D5C855" w14:textId="1B912AC4" w:rsidR="003373A7" w:rsidRPr="0053293A" w:rsidRDefault="003373A7" w:rsidP="00C30EEB">
      <w:pPr>
        <w:pStyle w:val="FootnoteText"/>
        <w:rPr>
          <w:lang w:val="fr-FR"/>
        </w:rPr>
      </w:pPr>
      <w:r w:rsidRPr="0053293A">
        <w:rPr>
          <w:lang w:val="fr-FR"/>
        </w:rPr>
        <w:tab/>
      </w:r>
      <w:r w:rsidRPr="00967A77">
        <w:rPr>
          <w:rStyle w:val="FootnoteReference"/>
          <w:lang w:val="fr-FR"/>
        </w:rPr>
        <w:footnoteRef/>
      </w:r>
      <w:r w:rsidRPr="0053293A">
        <w:rPr>
          <w:lang w:val="fr-FR"/>
        </w:rPr>
        <w:tab/>
      </w:r>
      <w:r w:rsidRPr="0053293A">
        <w:rPr>
          <w:spacing w:val="-2"/>
          <w:lang w:val="fr-FR"/>
        </w:rPr>
        <w:t xml:space="preserve">Notes informelles sur la réunion du Bureau (Genève (en ligne), </w:t>
      </w:r>
      <w:r w:rsidRPr="00967A77">
        <w:rPr>
          <w:spacing w:val="-2"/>
          <w:lang w:val="fr-FR"/>
        </w:rPr>
        <w:t>9</w:t>
      </w:r>
      <w:r w:rsidRPr="0053293A">
        <w:rPr>
          <w:spacing w:val="-2"/>
          <w:lang w:val="fr-FR"/>
        </w:rPr>
        <w:t xml:space="preserve"> et </w:t>
      </w:r>
      <w:r w:rsidRPr="00967A77">
        <w:rPr>
          <w:spacing w:val="-2"/>
          <w:lang w:val="fr-FR"/>
        </w:rPr>
        <w:t>10</w:t>
      </w:r>
      <w:r w:rsidRPr="0053293A">
        <w:rPr>
          <w:spacing w:val="-2"/>
          <w:lang w:val="fr-FR"/>
        </w:rPr>
        <w:t xml:space="preserve"> juin </w:t>
      </w:r>
      <w:r w:rsidRPr="00967A77">
        <w:rPr>
          <w:spacing w:val="-2"/>
          <w:lang w:val="fr-FR"/>
        </w:rPr>
        <w:t>2022</w:t>
      </w:r>
      <w:r w:rsidRPr="0053293A">
        <w:rPr>
          <w:spacing w:val="-2"/>
          <w:lang w:val="fr-FR"/>
        </w:rPr>
        <w:t xml:space="preserve">), </w:t>
      </w:r>
      <w:r w:rsidR="00D82B54" w:rsidRPr="0053293A">
        <w:rPr>
          <w:spacing w:val="-2"/>
          <w:lang w:val="fr-FR"/>
        </w:rPr>
        <w:t>par</w:t>
      </w:r>
      <w:r w:rsidR="00967A77" w:rsidRPr="00967A77">
        <w:rPr>
          <w:spacing w:val="-2"/>
          <w:lang w:val="fr-FR"/>
        </w:rPr>
        <w:t>.</w:t>
      </w:r>
      <w:r w:rsidR="00D82B54" w:rsidRPr="0053293A">
        <w:rPr>
          <w:spacing w:val="-2"/>
          <w:lang w:val="fr-FR"/>
        </w:rPr>
        <w:t> </w:t>
      </w:r>
      <w:r w:rsidRPr="00967A77">
        <w:rPr>
          <w:spacing w:val="-2"/>
          <w:lang w:val="fr-FR"/>
        </w:rPr>
        <w:t>49</w:t>
      </w:r>
      <w:r w:rsidRPr="0053293A">
        <w:rPr>
          <w:spacing w:val="-2"/>
          <w:lang w:val="fr-FR"/>
        </w:rPr>
        <w:t xml:space="preserve"> à </w:t>
      </w:r>
      <w:r w:rsidRPr="00967A77">
        <w:rPr>
          <w:spacing w:val="-2"/>
          <w:lang w:val="fr-FR"/>
        </w:rPr>
        <w:t>54</w:t>
      </w:r>
      <w:r w:rsidRPr="0053293A">
        <w:rPr>
          <w:spacing w:val="-2"/>
          <w:lang w:val="fr-FR"/>
        </w:rPr>
        <w:t>, disponible à l</w:t>
      </w:r>
      <w:r w:rsidR="00053E12" w:rsidRPr="0053293A">
        <w:rPr>
          <w:spacing w:val="-2"/>
          <w:lang w:val="fr-FR"/>
        </w:rPr>
        <w:t>’</w:t>
      </w:r>
      <w:r w:rsidRPr="0053293A">
        <w:rPr>
          <w:spacing w:val="-2"/>
          <w:lang w:val="fr-FR"/>
        </w:rPr>
        <w:t xml:space="preserve">adresse </w:t>
      </w:r>
      <w:hyperlink r:id="rId3" w:history="1">
        <w:r w:rsidR="000F1301" w:rsidRPr="0053293A">
          <w:rPr>
            <w:rStyle w:val="Hyperlink"/>
            <w:spacing w:val="-2"/>
            <w:lang w:val="fr-FR"/>
          </w:rPr>
          <w:t>https://unece</w:t>
        </w:r>
        <w:r w:rsidR="00967A77" w:rsidRPr="00967A77">
          <w:rPr>
            <w:rStyle w:val="Hyperlink"/>
            <w:spacing w:val="-2"/>
            <w:lang w:val="fr-FR"/>
          </w:rPr>
          <w:t>.</w:t>
        </w:r>
        <w:r w:rsidR="000F1301" w:rsidRPr="0053293A">
          <w:rPr>
            <w:rStyle w:val="Hyperlink"/>
            <w:spacing w:val="-2"/>
            <w:lang w:val="fr-FR"/>
          </w:rPr>
          <w:t>org/info/Environmental-Policy/Environmental-Impact-Assessment/</w:t>
        </w:r>
        <w:r w:rsidR="000F1301" w:rsidRPr="0053293A">
          <w:rPr>
            <w:rStyle w:val="Hyperlink"/>
            <w:spacing w:val="-2"/>
            <w:lang w:val="fr-FR"/>
          </w:rPr>
          <w:br/>
          <w:t>events/366918</w:t>
        </w:r>
      </w:hyperlink>
      <w:r w:rsidR="00053E12" w:rsidRPr="0053293A">
        <w:rPr>
          <w:spacing w:val="-2"/>
          <w:lang w:val="fr-FR"/>
        </w:rPr>
        <w:t> ;</w:t>
      </w:r>
      <w:r w:rsidRPr="0053293A">
        <w:rPr>
          <w:spacing w:val="-2"/>
          <w:lang w:val="fr-FR"/>
        </w:rPr>
        <w:t xml:space="preserve"> notes informelles sur la réunion du Bureau (Genève, </w:t>
      </w:r>
      <w:r w:rsidRPr="00967A77">
        <w:rPr>
          <w:spacing w:val="-2"/>
          <w:lang w:val="fr-FR"/>
        </w:rPr>
        <w:t>22</w:t>
      </w:r>
      <w:r w:rsidRPr="0053293A">
        <w:rPr>
          <w:spacing w:val="-2"/>
          <w:lang w:val="fr-FR"/>
        </w:rPr>
        <w:t xml:space="preserve"> et </w:t>
      </w:r>
      <w:r w:rsidRPr="00967A77">
        <w:rPr>
          <w:spacing w:val="-2"/>
          <w:lang w:val="fr-FR"/>
        </w:rPr>
        <w:t>23</w:t>
      </w:r>
      <w:r w:rsidRPr="0053293A">
        <w:rPr>
          <w:spacing w:val="-2"/>
          <w:lang w:val="fr-FR"/>
        </w:rPr>
        <w:t xml:space="preserve"> février </w:t>
      </w:r>
      <w:r w:rsidRPr="00967A77">
        <w:rPr>
          <w:spacing w:val="-2"/>
          <w:lang w:val="fr-FR"/>
        </w:rPr>
        <w:t>2023</w:t>
      </w:r>
      <w:r w:rsidRPr="0053293A">
        <w:rPr>
          <w:spacing w:val="-2"/>
          <w:lang w:val="fr-FR"/>
        </w:rPr>
        <w:t xml:space="preserve">), </w:t>
      </w:r>
      <w:r w:rsidR="00D82B54" w:rsidRPr="0053293A">
        <w:rPr>
          <w:spacing w:val="-2"/>
          <w:lang w:val="fr-FR"/>
        </w:rPr>
        <w:t>par</w:t>
      </w:r>
      <w:r w:rsidR="00967A77" w:rsidRPr="00967A77">
        <w:rPr>
          <w:spacing w:val="-2"/>
          <w:lang w:val="fr-FR"/>
        </w:rPr>
        <w:t>.</w:t>
      </w:r>
      <w:r w:rsidR="00D82B54" w:rsidRPr="0053293A">
        <w:rPr>
          <w:spacing w:val="-2"/>
          <w:lang w:val="fr-FR"/>
        </w:rPr>
        <w:t> </w:t>
      </w:r>
      <w:r w:rsidRPr="00967A77">
        <w:rPr>
          <w:spacing w:val="-2"/>
          <w:lang w:val="fr-FR"/>
        </w:rPr>
        <w:t>21</w:t>
      </w:r>
      <w:r w:rsidRPr="0053293A">
        <w:rPr>
          <w:spacing w:val="-2"/>
          <w:lang w:val="fr-FR"/>
        </w:rPr>
        <w:t xml:space="preserve"> à </w:t>
      </w:r>
      <w:r w:rsidRPr="00967A77">
        <w:rPr>
          <w:spacing w:val="-2"/>
          <w:lang w:val="fr-FR"/>
        </w:rPr>
        <w:t>27</w:t>
      </w:r>
      <w:r w:rsidRPr="0053293A">
        <w:rPr>
          <w:spacing w:val="-2"/>
          <w:lang w:val="fr-FR"/>
        </w:rPr>
        <w:t>, disponible à l</w:t>
      </w:r>
      <w:r w:rsidR="00053E12" w:rsidRPr="0053293A">
        <w:rPr>
          <w:spacing w:val="-2"/>
          <w:lang w:val="fr-FR"/>
        </w:rPr>
        <w:t>’</w:t>
      </w:r>
      <w:r w:rsidRPr="0053293A">
        <w:rPr>
          <w:spacing w:val="-2"/>
          <w:lang w:val="fr-FR"/>
        </w:rPr>
        <w:t xml:space="preserve">adresse </w:t>
      </w:r>
      <w:hyperlink r:id="rId4" w:history="1">
        <w:r w:rsidR="000F1301" w:rsidRPr="0053293A">
          <w:rPr>
            <w:rStyle w:val="Hyperlink"/>
            <w:spacing w:val="-2"/>
            <w:lang w:val="fr-FR"/>
          </w:rPr>
          <w:t>https://unece</w:t>
        </w:r>
        <w:r w:rsidR="00967A77" w:rsidRPr="00967A77">
          <w:rPr>
            <w:rStyle w:val="Hyperlink"/>
            <w:spacing w:val="-2"/>
            <w:lang w:val="fr-FR"/>
          </w:rPr>
          <w:t>.</w:t>
        </w:r>
        <w:r w:rsidR="000F1301" w:rsidRPr="0053293A">
          <w:rPr>
            <w:rStyle w:val="Hyperlink"/>
            <w:spacing w:val="-2"/>
            <w:lang w:val="fr-FR"/>
          </w:rPr>
          <w:t>org/info/Environmental-Policy/Environmental-Impact-Assessment/</w:t>
        </w:r>
        <w:r w:rsidR="000F1301" w:rsidRPr="0053293A">
          <w:rPr>
            <w:rStyle w:val="Hyperlink"/>
            <w:spacing w:val="-2"/>
            <w:lang w:val="fr-FR"/>
          </w:rPr>
          <w:br/>
          <w:t>events/364365</w:t>
        </w:r>
      </w:hyperlink>
      <w:r w:rsidR="00967A77" w:rsidRPr="00967A77">
        <w:rPr>
          <w:spacing w:val="-2"/>
          <w:lang w:val="fr-FR"/>
        </w:rPr>
        <w:t>.</w:t>
      </w:r>
    </w:p>
  </w:footnote>
  <w:footnote w:id="4">
    <w:p w14:paraId="3E735367" w14:textId="05059DE6" w:rsidR="003373A7" w:rsidRPr="0053293A" w:rsidRDefault="003373A7" w:rsidP="00C30EEB">
      <w:pPr>
        <w:pStyle w:val="FootnoteText"/>
        <w:rPr>
          <w:lang w:val="fr-FR"/>
        </w:rPr>
      </w:pPr>
      <w:r w:rsidRPr="0053293A">
        <w:rPr>
          <w:lang w:val="fr-FR"/>
        </w:rPr>
        <w:tab/>
      </w:r>
      <w:r w:rsidRPr="00967A77">
        <w:rPr>
          <w:rStyle w:val="FootnoteReference"/>
          <w:lang w:val="fr-FR"/>
        </w:rPr>
        <w:footnoteRef/>
      </w:r>
      <w:r w:rsidRPr="0053293A">
        <w:rPr>
          <w:lang w:val="fr-FR"/>
        </w:rPr>
        <w:tab/>
      </w:r>
      <w:hyperlink r:id="rId5" w:history="1">
        <w:r w:rsidRPr="0035452E">
          <w:rPr>
            <w:rStyle w:val="Hyperlink"/>
            <w:lang w:val="fr-FR"/>
          </w:rPr>
          <w:t>ECE/MP</w:t>
        </w:r>
        <w:r w:rsidR="00967A77" w:rsidRPr="0035452E">
          <w:rPr>
            <w:rStyle w:val="Hyperlink"/>
            <w:lang w:val="fr-FR"/>
          </w:rPr>
          <w:t>.</w:t>
        </w:r>
        <w:r w:rsidRPr="0035452E">
          <w:rPr>
            <w:rStyle w:val="Hyperlink"/>
            <w:lang w:val="fr-FR"/>
          </w:rPr>
          <w:t>EI</w:t>
        </w:r>
        <w:r w:rsidRPr="0035452E">
          <w:rPr>
            <w:rStyle w:val="Hyperlink"/>
            <w:lang w:val="fr-FR"/>
          </w:rPr>
          <w:t>A</w:t>
        </w:r>
        <w:r w:rsidRPr="0035452E">
          <w:rPr>
            <w:rStyle w:val="Hyperlink"/>
            <w:lang w:val="fr-FR"/>
          </w:rPr>
          <w:t>/WG</w:t>
        </w:r>
        <w:r w:rsidR="00967A77" w:rsidRPr="0035452E">
          <w:rPr>
            <w:rStyle w:val="Hyperlink"/>
            <w:lang w:val="fr-FR"/>
          </w:rPr>
          <w:t>.</w:t>
        </w:r>
        <w:r w:rsidRPr="0035452E">
          <w:rPr>
            <w:rStyle w:val="Hyperlink"/>
            <w:lang w:val="fr-FR"/>
          </w:rPr>
          <w:t>2/2022/2</w:t>
        </w:r>
      </w:hyperlink>
      <w:r w:rsidRPr="0053293A">
        <w:rPr>
          <w:lang w:val="fr-FR"/>
        </w:rPr>
        <w:t xml:space="preserve">, </w:t>
      </w:r>
      <w:r w:rsidR="00D82B54" w:rsidRPr="0053293A">
        <w:rPr>
          <w:lang w:val="fr-FR"/>
        </w:rPr>
        <w:t>par</w:t>
      </w:r>
      <w:r w:rsidR="00967A77" w:rsidRPr="00967A77">
        <w:rPr>
          <w:lang w:val="fr-FR"/>
        </w:rPr>
        <w:t>.</w:t>
      </w:r>
      <w:r w:rsidR="00D82B54" w:rsidRPr="0053293A">
        <w:rPr>
          <w:lang w:val="fr-FR"/>
        </w:rPr>
        <w:t> </w:t>
      </w:r>
      <w:r w:rsidRPr="00967A77">
        <w:rPr>
          <w:lang w:val="fr-FR"/>
        </w:rPr>
        <w:t>97</w:t>
      </w:r>
      <w:r w:rsidRPr="0053293A">
        <w:rPr>
          <w:lang w:val="fr-FR"/>
        </w:rPr>
        <w:t xml:space="preserve"> à </w:t>
      </w:r>
      <w:r w:rsidRPr="00967A77">
        <w:rPr>
          <w:lang w:val="fr-FR"/>
        </w:rPr>
        <w:t>99</w:t>
      </w:r>
      <w:r w:rsidRPr="0053293A">
        <w:rPr>
          <w:lang w:val="fr-FR"/>
        </w:rPr>
        <w:t xml:space="preserve">, et </w:t>
      </w:r>
      <w:hyperlink r:id="rId6" w:history="1">
        <w:r w:rsidRPr="0035452E">
          <w:rPr>
            <w:rStyle w:val="Hyperlink"/>
            <w:lang w:val="fr-FR"/>
          </w:rPr>
          <w:t>ECE/MP</w:t>
        </w:r>
        <w:r w:rsidR="00967A77" w:rsidRPr="0035452E">
          <w:rPr>
            <w:rStyle w:val="Hyperlink"/>
            <w:lang w:val="fr-FR"/>
          </w:rPr>
          <w:t>.</w:t>
        </w:r>
        <w:r w:rsidRPr="0035452E">
          <w:rPr>
            <w:rStyle w:val="Hyperlink"/>
            <w:lang w:val="fr-FR"/>
          </w:rPr>
          <w:t>EIA/W</w:t>
        </w:r>
        <w:r w:rsidRPr="0035452E">
          <w:rPr>
            <w:rStyle w:val="Hyperlink"/>
            <w:lang w:val="fr-FR"/>
          </w:rPr>
          <w:t>G</w:t>
        </w:r>
        <w:r w:rsidR="00967A77" w:rsidRPr="0035452E">
          <w:rPr>
            <w:rStyle w:val="Hyperlink"/>
            <w:lang w:val="fr-FR"/>
          </w:rPr>
          <w:t>.</w:t>
        </w:r>
        <w:r w:rsidRPr="0035452E">
          <w:rPr>
            <w:rStyle w:val="Hyperlink"/>
            <w:lang w:val="fr-FR"/>
          </w:rPr>
          <w:t>2/2023/2</w:t>
        </w:r>
      </w:hyperlink>
      <w:r w:rsidRPr="0053293A">
        <w:rPr>
          <w:lang w:val="fr-FR"/>
        </w:rPr>
        <w:t xml:space="preserve">, </w:t>
      </w:r>
      <w:r w:rsidR="00D82B54" w:rsidRPr="0053293A">
        <w:rPr>
          <w:lang w:val="fr-FR"/>
        </w:rPr>
        <w:t>par</w:t>
      </w:r>
      <w:r w:rsidR="00967A77" w:rsidRPr="00967A77">
        <w:rPr>
          <w:lang w:val="fr-FR"/>
        </w:rPr>
        <w:t>.</w:t>
      </w:r>
      <w:r w:rsidR="00D82B54" w:rsidRPr="0053293A">
        <w:rPr>
          <w:lang w:val="fr-FR"/>
        </w:rPr>
        <w:t> </w:t>
      </w:r>
      <w:r w:rsidRPr="00967A77">
        <w:rPr>
          <w:lang w:val="fr-FR"/>
        </w:rPr>
        <w:t>32</w:t>
      </w:r>
      <w:r w:rsidRPr="0053293A">
        <w:rPr>
          <w:lang w:val="fr-FR"/>
        </w:rPr>
        <w:t xml:space="preserve"> à </w:t>
      </w:r>
      <w:r w:rsidRPr="00967A77">
        <w:rPr>
          <w:lang w:val="fr-FR"/>
        </w:rPr>
        <w:t>39</w:t>
      </w:r>
      <w:r w:rsidR="00967A77" w:rsidRPr="00967A77">
        <w:rPr>
          <w:lang w:val="fr-FR"/>
        </w:rPr>
        <w:t>.</w:t>
      </w:r>
    </w:p>
  </w:footnote>
  <w:footnote w:id="5">
    <w:p w14:paraId="69535DD3" w14:textId="34F34204" w:rsidR="003373A7" w:rsidRPr="0053293A" w:rsidRDefault="003373A7" w:rsidP="00C30EEB">
      <w:pPr>
        <w:pStyle w:val="FootnoteText"/>
        <w:rPr>
          <w:lang w:val="fr-FR"/>
        </w:rPr>
      </w:pPr>
      <w:r w:rsidRPr="0053293A">
        <w:rPr>
          <w:lang w:val="fr-FR"/>
        </w:rPr>
        <w:tab/>
      </w:r>
      <w:r w:rsidRPr="00967A77">
        <w:rPr>
          <w:rStyle w:val="FootnoteReference"/>
          <w:lang w:val="fr-FR"/>
        </w:rPr>
        <w:footnoteRef/>
      </w:r>
      <w:r w:rsidRPr="0053293A">
        <w:rPr>
          <w:lang w:val="fr-FR"/>
        </w:rPr>
        <w:tab/>
      </w:r>
      <w:r w:rsidRPr="0035452E">
        <w:rPr>
          <w:lang w:val="fr-FR"/>
        </w:rPr>
        <w:t>A/CO</w:t>
      </w:r>
      <w:r w:rsidRPr="0035452E">
        <w:rPr>
          <w:lang w:val="fr-FR"/>
        </w:rPr>
        <w:t>N</w:t>
      </w:r>
      <w:r w:rsidRPr="0035452E">
        <w:rPr>
          <w:lang w:val="fr-FR"/>
        </w:rPr>
        <w:t>F</w:t>
      </w:r>
      <w:r w:rsidR="00967A77" w:rsidRPr="0035452E">
        <w:rPr>
          <w:lang w:val="fr-FR"/>
        </w:rPr>
        <w:t>.</w:t>
      </w:r>
      <w:r w:rsidRPr="0035452E">
        <w:rPr>
          <w:lang w:val="fr-FR"/>
        </w:rPr>
        <w:t>151/26 (</w:t>
      </w:r>
      <w:r w:rsidR="003B1E3E" w:rsidRPr="0035452E">
        <w:rPr>
          <w:lang w:val="fr-FR"/>
        </w:rPr>
        <w:t>Vol. </w:t>
      </w:r>
      <w:r w:rsidRPr="0035452E">
        <w:rPr>
          <w:lang w:val="fr-FR"/>
        </w:rPr>
        <w:t>I)</w:t>
      </w:r>
      <w:r w:rsidRPr="0053293A">
        <w:rPr>
          <w:lang w:val="fr-FR"/>
        </w:rPr>
        <w:t>, annexe I, Déclaration de Rio sur l</w:t>
      </w:r>
      <w:r w:rsidR="00053E12" w:rsidRPr="0053293A">
        <w:rPr>
          <w:lang w:val="fr-FR"/>
        </w:rPr>
        <w:t>’</w:t>
      </w:r>
      <w:r w:rsidRPr="0053293A">
        <w:rPr>
          <w:lang w:val="fr-FR"/>
        </w:rPr>
        <w:t>environnement et le développement, principe</w:t>
      </w:r>
      <w:r w:rsidR="000567B0" w:rsidRPr="0053293A">
        <w:rPr>
          <w:lang w:val="fr-FR"/>
        </w:rPr>
        <w:t> </w:t>
      </w:r>
      <w:r w:rsidRPr="00967A77">
        <w:rPr>
          <w:lang w:val="fr-FR"/>
        </w:rPr>
        <w:t>19</w:t>
      </w:r>
      <w:r w:rsidR="00967A77" w:rsidRPr="00967A77">
        <w:rPr>
          <w:lang w:val="fr-FR"/>
        </w:rPr>
        <w:t>.</w:t>
      </w:r>
    </w:p>
  </w:footnote>
  <w:footnote w:id="6">
    <w:p w14:paraId="3E434577" w14:textId="5F4F4CD1" w:rsidR="003373A7" w:rsidRPr="0053293A" w:rsidRDefault="003373A7" w:rsidP="00C30EEB">
      <w:pPr>
        <w:pStyle w:val="FootnoteText"/>
        <w:rPr>
          <w:lang w:val="fr-FR"/>
        </w:rPr>
      </w:pPr>
      <w:r w:rsidRPr="0053293A">
        <w:rPr>
          <w:lang w:val="fr-FR"/>
        </w:rPr>
        <w:tab/>
      </w:r>
      <w:r w:rsidRPr="00967A77">
        <w:rPr>
          <w:rStyle w:val="FootnoteReference"/>
          <w:lang w:val="fr-FR"/>
        </w:rPr>
        <w:footnoteRef/>
      </w:r>
      <w:r w:rsidRPr="0053293A">
        <w:rPr>
          <w:lang w:val="fr-FR"/>
        </w:rPr>
        <w:tab/>
        <w:t xml:space="preserve">Au </w:t>
      </w:r>
      <w:r w:rsidRPr="00967A77">
        <w:rPr>
          <w:lang w:val="fr-FR"/>
        </w:rPr>
        <w:t>19</w:t>
      </w:r>
      <w:r w:rsidRPr="0053293A">
        <w:rPr>
          <w:lang w:val="fr-FR"/>
        </w:rPr>
        <w:t xml:space="preserve"> septembre </w:t>
      </w:r>
      <w:r w:rsidRPr="00967A77">
        <w:rPr>
          <w:lang w:val="fr-FR"/>
        </w:rPr>
        <w:t>2023</w:t>
      </w:r>
      <w:r w:rsidRPr="0053293A">
        <w:rPr>
          <w:lang w:val="fr-FR"/>
        </w:rPr>
        <w:t xml:space="preserve">, la Convention comptait </w:t>
      </w:r>
      <w:r w:rsidRPr="00967A77">
        <w:rPr>
          <w:lang w:val="fr-FR"/>
        </w:rPr>
        <w:t>45</w:t>
      </w:r>
      <w:r w:rsidRPr="0053293A">
        <w:rPr>
          <w:lang w:val="fr-FR"/>
        </w:rPr>
        <w:t xml:space="preserve"> Parties</w:t>
      </w:r>
      <w:r w:rsidR="00967A77" w:rsidRPr="00967A77">
        <w:rPr>
          <w:lang w:val="fr-FR"/>
        </w:rPr>
        <w:t>.</w:t>
      </w:r>
      <w:r w:rsidRPr="0053293A">
        <w:rPr>
          <w:lang w:val="fr-FR"/>
        </w:rPr>
        <w:t xml:space="preserve"> Des informations à jour sont disponibles à l</w:t>
      </w:r>
      <w:r w:rsidR="00053E12" w:rsidRPr="0053293A">
        <w:rPr>
          <w:lang w:val="fr-FR"/>
        </w:rPr>
        <w:t>’</w:t>
      </w:r>
      <w:r w:rsidRPr="0053293A">
        <w:rPr>
          <w:lang w:val="fr-FR"/>
        </w:rPr>
        <w:t xml:space="preserve">adresse </w:t>
      </w:r>
      <w:hyperlink r:id="rId7" w:history="1">
        <w:r w:rsidR="0035452E" w:rsidRPr="00CA05A5">
          <w:rPr>
            <w:rStyle w:val="Hyperlink"/>
            <w:lang w:val="fr-FR"/>
          </w:rPr>
          <w:t>https://treaties.un.org/Pages/ViewDetails.aspx?src</w:t>
        </w:r>
        <w:r w:rsidR="0035452E" w:rsidRPr="00CA05A5">
          <w:rPr>
            <w:rStyle w:val="Hyperlink"/>
            <w:lang w:val="fr-FR"/>
          </w:rPr>
          <w:t>=</w:t>
        </w:r>
        <w:r w:rsidR="0035452E" w:rsidRPr="00CA05A5">
          <w:rPr>
            <w:rStyle w:val="Hyperlink"/>
            <w:lang w:val="fr-FR"/>
          </w:rPr>
          <w:t>TREATY&amp;mtdsg_no=XXVII-4&amp;chapter=27&amp;c</w:t>
        </w:r>
        <w:r w:rsidR="0035452E" w:rsidRPr="00CA05A5">
          <w:rPr>
            <w:rStyle w:val="Hyperlink"/>
            <w:lang w:val="fr-FR"/>
          </w:rPr>
          <w:t>l</w:t>
        </w:r>
        <w:r w:rsidR="0035452E" w:rsidRPr="00CA05A5">
          <w:rPr>
            <w:rStyle w:val="Hyperlink"/>
            <w:lang w:val="fr-FR"/>
          </w:rPr>
          <w:t>ang=_fr</w:t>
        </w:r>
      </w:hyperlink>
      <w:r w:rsidR="00967A77" w:rsidRPr="00967A77">
        <w:rPr>
          <w:lang w:val="fr-FR"/>
        </w:rPr>
        <w:t>.</w:t>
      </w:r>
    </w:p>
  </w:footnote>
  <w:footnote w:id="7">
    <w:p w14:paraId="35CCA998" w14:textId="7849AFCE" w:rsidR="003373A7" w:rsidRPr="0053293A" w:rsidRDefault="003373A7" w:rsidP="00C30EEB">
      <w:pPr>
        <w:pStyle w:val="FootnoteText"/>
        <w:rPr>
          <w:lang w:val="fr-FR"/>
        </w:rPr>
      </w:pPr>
      <w:r w:rsidRPr="0053293A">
        <w:rPr>
          <w:lang w:val="fr-FR"/>
        </w:rPr>
        <w:tab/>
      </w:r>
      <w:r w:rsidRPr="00967A77">
        <w:rPr>
          <w:rStyle w:val="FootnoteReference"/>
          <w:lang w:val="fr-FR"/>
        </w:rPr>
        <w:footnoteRef/>
      </w:r>
      <w:r w:rsidRPr="0053293A">
        <w:rPr>
          <w:lang w:val="fr-FR"/>
        </w:rPr>
        <w:tab/>
        <w:t>Les ressources documentaires sur l</w:t>
      </w:r>
      <w:r w:rsidR="00053E12" w:rsidRPr="0053293A">
        <w:rPr>
          <w:lang w:val="fr-FR"/>
        </w:rPr>
        <w:t>’</w:t>
      </w:r>
      <w:r w:rsidRPr="0053293A">
        <w:rPr>
          <w:lang w:val="fr-FR"/>
        </w:rPr>
        <w:t>application de la Convention d</w:t>
      </w:r>
      <w:r w:rsidR="00053E12" w:rsidRPr="0053293A">
        <w:rPr>
          <w:lang w:val="fr-FR"/>
        </w:rPr>
        <w:t>’</w:t>
      </w:r>
      <w:r w:rsidRPr="0053293A">
        <w:rPr>
          <w:lang w:val="fr-FR"/>
        </w:rPr>
        <w:t>Espoo comprennent</w:t>
      </w:r>
      <w:r w:rsidR="00053E12" w:rsidRPr="0053293A">
        <w:rPr>
          <w:lang w:val="fr-FR"/>
        </w:rPr>
        <w:t> :</w:t>
      </w:r>
      <w:r w:rsidRPr="0053293A">
        <w:rPr>
          <w:lang w:val="fr-FR"/>
        </w:rPr>
        <w:t xml:space="preserve"> les directives, disponibles à l</w:t>
      </w:r>
      <w:r w:rsidR="00053E12" w:rsidRPr="0053293A">
        <w:rPr>
          <w:lang w:val="fr-FR"/>
        </w:rPr>
        <w:t>’</w:t>
      </w:r>
      <w:r w:rsidRPr="0053293A">
        <w:rPr>
          <w:lang w:val="fr-FR"/>
        </w:rPr>
        <w:t xml:space="preserve">adresse </w:t>
      </w:r>
      <w:hyperlink r:id="rId8" w:history="1">
        <w:r w:rsidR="000567B0" w:rsidRPr="0053293A">
          <w:rPr>
            <w:rStyle w:val="Hyperlink"/>
            <w:lang w:val="fr-FR"/>
          </w:rPr>
          <w:t>https://u</w:t>
        </w:r>
        <w:r w:rsidR="000567B0" w:rsidRPr="0053293A">
          <w:rPr>
            <w:rStyle w:val="Hyperlink"/>
            <w:lang w:val="fr-FR"/>
          </w:rPr>
          <w:t>n</w:t>
        </w:r>
        <w:r w:rsidR="000567B0" w:rsidRPr="0053293A">
          <w:rPr>
            <w:rStyle w:val="Hyperlink"/>
            <w:lang w:val="fr-FR"/>
          </w:rPr>
          <w:t>ece</w:t>
        </w:r>
        <w:r w:rsidR="00967A77" w:rsidRPr="00967A77">
          <w:rPr>
            <w:rStyle w:val="Hyperlink"/>
            <w:lang w:val="fr-FR"/>
          </w:rPr>
          <w:t>.</w:t>
        </w:r>
        <w:r w:rsidR="000567B0" w:rsidRPr="0053293A">
          <w:rPr>
            <w:rStyle w:val="Hyperlink"/>
            <w:lang w:val="fr-FR"/>
          </w:rPr>
          <w:t>org/publications/environmental-assessment</w:t>
        </w:r>
      </w:hyperlink>
      <w:r w:rsidR="00053E12" w:rsidRPr="0053293A">
        <w:rPr>
          <w:lang w:val="fr-FR"/>
        </w:rPr>
        <w:t> ;</w:t>
      </w:r>
      <w:r w:rsidRPr="0053293A">
        <w:rPr>
          <w:lang w:val="fr-FR"/>
        </w:rPr>
        <w:t xml:space="preserve"> les décisions de la Réunion des Parties, disponibles à l</w:t>
      </w:r>
      <w:r w:rsidR="00053E12" w:rsidRPr="0053293A">
        <w:rPr>
          <w:lang w:val="fr-FR"/>
        </w:rPr>
        <w:t>’</w:t>
      </w:r>
      <w:r w:rsidRPr="0053293A">
        <w:rPr>
          <w:lang w:val="fr-FR"/>
        </w:rPr>
        <w:t xml:space="preserve">adresse </w:t>
      </w:r>
      <w:hyperlink r:id="rId9" w:history="1">
        <w:r w:rsidR="00053E12" w:rsidRPr="0053293A">
          <w:rPr>
            <w:rStyle w:val="Hyperlink"/>
            <w:lang w:val="fr-FR"/>
          </w:rPr>
          <w:t>https://unece</w:t>
        </w:r>
        <w:r w:rsidR="00967A77" w:rsidRPr="00967A77">
          <w:rPr>
            <w:rStyle w:val="Hyperlink"/>
            <w:lang w:val="fr-FR"/>
          </w:rPr>
          <w:t>.</w:t>
        </w:r>
        <w:r w:rsidR="00053E12" w:rsidRPr="0053293A">
          <w:rPr>
            <w:rStyle w:val="Hyperlink"/>
            <w:lang w:val="fr-FR"/>
          </w:rPr>
          <w:t>org/environment-policyenvironmental-assessment/decisions</w:t>
        </w:r>
        <w:r w:rsidR="00053E12" w:rsidRPr="0053293A">
          <w:rPr>
            <w:rStyle w:val="Hyperlink"/>
            <w:lang w:val="fr-FR"/>
          </w:rPr>
          <w:t>-</w:t>
        </w:r>
        <w:r w:rsidR="00053E12" w:rsidRPr="0053293A">
          <w:rPr>
            <w:rStyle w:val="Hyperlink"/>
            <w:lang w:val="fr-FR"/>
          </w:rPr>
          <w:t>taken-meetings-parties</w:t>
        </w:r>
      </w:hyperlink>
      <w:r w:rsidR="00053E12" w:rsidRPr="0053293A">
        <w:rPr>
          <w:lang w:val="fr-FR"/>
        </w:rPr>
        <w:t> ;</w:t>
      </w:r>
      <w:r w:rsidRPr="0053293A">
        <w:rPr>
          <w:lang w:val="fr-FR"/>
        </w:rPr>
        <w:t xml:space="preserve"> les avis du Comité d</w:t>
      </w:r>
      <w:r w:rsidR="00053E12" w:rsidRPr="0053293A">
        <w:rPr>
          <w:lang w:val="fr-FR"/>
        </w:rPr>
        <w:t>’</w:t>
      </w:r>
      <w:r w:rsidRPr="0053293A">
        <w:rPr>
          <w:lang w:val="fr-FR"/>
        </w:rPr>
        <w:t>application, disponibles à l</w:t>
      </w:r>
      <w:r w:rsidR="00053E12" w:rsidRPr="0053293A">
        <w:rPr>
          <w:lang w:val="fr-FR"/>
        </w:rPr>
        <w:t>’</w:t>
      </w:r>
      <w:r w:rsidRPr="0053293A">
        <w:rPr>
          <w:lang w:val="fr-FR"/>
        </w:rPr>
        <w:t xml:space="preserve">adresse </w:t>
      </w:r>
      <w:hyperlink r:id="rId10" w:history="1">
        <w:r w:rsidR="00D82B54" w:rsidRPr="0053293A">
          <w:rPr>
            <w:rStyle w:val="Hyperlink"/>
            <w:lang w:val="fr-FR"/>
          </w:rPr>
          <w:t>https://unece</w:t>
        </w:r>
        <w:r w:rsidR="00967A77" w:rsidRPr="00967A77">
          <w:rPr>
            <w:rStyle w:val="Hyperlink"/>
            <w:lang w:val="fr-FR"/>
          </w:rPr>
          <w:t>.</w:t>
        </w:r>
        <w:r w:rsidR="00D82B54" w:rsidRPr="0053293A">
          <w:rPr>
            <w:rStyle w:val="Hyperlink"/>
            <w:lang w:val="fr-FR"/>
          </w:rPr>
          <w:t>org/en</w:t>
        </w:r>
        <w:r w:rsidR="00D82B54" w:rsidRPr="0053293A">
          <w:rPr>
            <w:rStyle w:val="Hyperlink"/>
            <w:lang w:val="fr-FR"/>
          </w:rPr>
          <w:t>v</w:t>
        </w:r>
        <w:r w:rsidR="00D82B54" w:rsidRPr="0053293A">
          <w:rPr>
            <w:rStyle w:val="Hyperlink"/>
            <w:lang w:val="fr-FR"/>
          </w:rPr>
          <w:t>ironment-policy/environmental-assessment/</w:t>
        </w:r>
        <w:r w:rsidR="00D82B54" w:rsidRPr="0053293A">
          <w:rPr>
            <w:rStyle w:val="Hyperlink"/>
            <w:lang w:val="fr-FR"/>
          </w:rPr>
          <w:br/>
          <w:t>implementation-committee</w:t>
        </w:r>
      </w:hyperlink>
      <w:r w:rsidR="00967A77" w:rsidRPr="00967A77">
        <w:rPr>
          <w:lang w:val="fr-FR"/>
        </w:rPr>
        <w:t>.</w:t>
      </w:r>
    </w:p>
  </w:footnote>
  <w:footnote w:id="8">
    <w:p w14:paraId="0792EB03" w14:textId="3281B178" w:rsidR="003373A7" w:rsidRPr="0053293A" w:rsidRDefault="003373A7" w:rsidP="00C30EEB">
      <w:pPr>
        <w:pStyle w:val="FootnoteText"/>
        <w:rPr>
          <w:lang w:val="fr-FR"/>
        </w:rPr>
      </w:pPr>
      <w:r w:rsidRPr="0053293A">
        <w:rPr>
          <w:lang w:val="fr-FR"/>
        </w:rPr>
        <w:tab/>
      </w:r>
      <w:r w:rsidRPr="00967A77">
        <w:rPr>
          <w:rStyle w:val="FootnoteReference"/>
          <w:lang w:val="fr-FR"/>
        </w:rPr>
        <w:footnoteRef/>
      </w:r>
      <w:r w:rsidRPr="0053293A">
        <w:rPr>
          <w:lang w:val="fr-FR"/>
        </w:rPr>
        <w:tab/>
        <w:t>Si les Parties concernées sont d</w:t>
      </w:r>
      <w:r w:rsidR="00053E12" w:rsidRPr="0053293A">
        <w:rPr>
          <w:lang w:val="fr-FR"/>
        </w:rPr>
        <w:t>’</w:t>
      </w:r>
      <w:r w:rsidRPr="0053293A">
        <w:rPr>
          <w:lang w:val="fr-FR"/>
        </w:rPr>
        <w:t>accord, d</w:t>
      </w:r>
      <w:r w:rsidR="00053E12" w:rsidRPr="0053293A">
        <w:rPr>
          <w:lang w:val="fr-FR"/>
        </w:rPr>
        <w:t>’</w:t>
      </w:r>
      <w:r w:rsidRPr="0053293A">
        <w:rPr>
          <w:lang w:val="fr-FR"/>
        </w:rPr>
        <w:t>autres activités susceptibles d</w:t>
      </w:r>
      <w:r w:rsidR="00053E12" w:rsidRPr="0053293A">
        <w:rPr>
          <w:lang w:val="fr-FR"/>
        </w:rPr>
        <w:t>’</w:t>
      </w:r>
      <w:r w:rsidRPr="0053293A">
        <w:rPr>
          <w:lang w:val="fr-FR"/>
        </w:rPr>
        <w:t>avoir un impact transfrontière préjudiciable important peuvent également être traitées comme si elles étaient inscrites sur la liste figurant à l</w:t>
      </w:r>
      <w:r w:rsidR="00053E12" w:rsidRPr="0053293A">
        <w:rPr>
          <w:lang w:val="fr-FR"/>
        </w:rPr>
        <w:t>’</w:t>
      </w:r>
      <w:r w:rsidR="007E1922" w:rsidRPr="0053293A">
        <w:rPr>
          <w:lang w:val="fr-FR"/>
        </w:rPr>
        <w:t>Appendice </w:t>
      </w:r>
      <w:r w:rsidRPr="0053293A">
        <w:rPr>
          <w:lang w:val="fr-FR"/>
        </w:rPr>
        <w:t>I (</w:t>
      </w:r>
      <w:r w:rsidR="00D82B54" w:rsidRPr="0053293A">
        <w:rPr>
          <w:lang w:val="fr-FR"/>
        </w:rPr>
        <w:t>art</w:t>
      </w:r>
      <w:r w:rsidR="00967A77" w:rsidRPr="00967A77">
        <w:rPr>
          <w:lang w:val="fr-FR"/>
        </w:rPr>
        <w:t>.</w:t>
      </w:r>
      <w:r w:rsidR="00D82B54" w:rsidRPr="0053293A">
        <w:rPr>
          <w:lang w:val="fr-FR"/>
        </w:rPr>
        <w:t> </w:t>
      </w:r>
      <w:r w:rsidRPr="00967A77">
        <w:rPr>
          <w:lang w:val="fr-FR"/>
        </w:rPr>
        <w:t>2</w:t>
      </w:r>
      <w:r w:rsidRPr="0053293A">
        <w:rPr>
          <w:lang w:val="fr-FR"/>
        </w:rPr>
        <w:t xml:space="preserve"> (</w:t>
      </w:r>
      <w:r w:rsidR="00D82B54" w:rsidRPr="0053293A">
        <w:rPr>
          <w:lang w:val="fr-FR"/>
        </w:rPr>
        <w:t>par</w:t>
      </w:r>
      <w:r w:rsidR="00967A77" w:rsidRPr="00967A77">
        <w:rPr>
          <w:lang w:val="fr-FR"/>
        </w:rPr>
        <w:t>.</w:t>
      </w:r>
      <w:r w:rsidR="00D82B54" w:rsidRPr="0053293A">
        <w:rPr>
          <w:lang w:val="fr-FR"/>
        </w:rPr>
        <w:t> </w:t>
      </w:r>
      <w:r w:rsidRPr="00967A77">
        <w:rPr>
          <w:lang w:val="fr-FR"/>
        </w:rPr>
        <w:t>5</w:t>
      </w:r>
      <w:r w:rsidRPr="0053293A">
        <w:rPr>
          <w:lang w:val="fr-FR"/>
        </w:rPr>
        <w:t>))</w:t>
      </w:r>
      <w:r w:rsidR="00967A77" w:rsidRPr="00967A77">
        <w:rPr>
          <w:lang w:val="fr-FR"/>
        </w:rPr>
        <w:t>.</w:t>
      </w:r>
    </w:p>
  </w:footnote>
  <w:footnote w:id="9">
    <w:p w14:paraId="2A4E8DCF" w14:textId="24EB64D5" w:rsidR="003373A7" w:rsidRPr="0053293A" w:rsidRDefault="003373A7" w:rsidP="00C30EEB">
      <w:pPr>
        <w:pStyle w:val="FootnoteText"/>
        <w:rPr>
          <w:lang w:val="fr-FR"/>
        </w:rPr>
      </w:pPr>
      <w:r w:rsidRPr="0053293A">
        <w:rPr>
          <w:lang w:val="fr-FR"/>
        </w:rPr>
        <w:tab/>
      </w:r>
      <w:r w:rsidRPr="00967A77">
        <w:rPr>
          <w:rStyle w:val="FootnoteReference"/>
          <w:lang w:val="fr-FR"/>
        </w:rPr>
        <w:footnoteRef/>
      </w:r>
      <w:r w:rsidRPr="0053293A">
        <w:rPr>
          <w:lang w:val="fr-FR"/>
        </w:rPr>
        <w:tab/>
        <w:t xml:space="preserve">Publication des Nations Unies, </w:t>
      </w:r>
      <w:hyperlink r:id="rId11" w:history="1">
        <w:r w:rsidRPr="0035452E">
          <w:rPr>
            <w:rStyle w:val="Hyperlink"/>
            <w:lang w:val="fr-FR"/>
          </w:rPr>
          <w:t>ECE/</w:t>
        </w:r>
        <w:r w:rsidRPr="0035452E">
          <w:rPr>
            <w:rStyle w:val="Hyperlink"/>
            <w:lang w:val="fr-FR"/>
          </w:rPr>
          <w:t>M</w:t>
        </w:r>
        <w:r w:rsidRPr="0035452E">
          <w:rPr>
            <w:rStyle w:val="Hyperlink"/>
            <w:lang w:val="fr-FR"/>
          </w:rPr>
          <w:t>P</w:t>
        </w:r>
        <w:r w:rsidR="00967A77" w:rsidRPr="0035452E">
          <w:rPr>
            <w:rStyle w:val="Hyperlink"/>
            <w:lang w:val="fr-FR"/>
          </w:rPr>
          <w:t>.</w:t>
        </w:r>
        <w:r w:rsidRPr="0035452E">
          <w:rPr>
            <w:rStyle w:val="Hyperlink"/>
            <w:lang w:val="fr-FR"/>
          </w:rPr>
          <w:t>EIA/8</w:t>
        </w:r>
      </w:hyperlink>
      <w:r w:rsidR="00967A77" w:rsidRPr="00967A77">
        <w:rPr>
          <w:lang w:val="fr-FR"/>
        </w:rPr>
        <w:t>.</w:t>
      </w:r>
    </w:p>
  </w:footnote>
  <w:footnote w:id="10">
    <w:p w14:paraId="22A30F20" w14:textId="5395CC00" w:rsidR="003373A7" w:rsidRPr="0053293A" w:rsidRDefault="003373A7" w:rsidP="00C30EEB">
      <w:pPr>
        <w:pStyle w:val="FootnoteText"/>
        <w:rPr>
          <w:lang w:val="fr-FR"/>
        </w:rPr>
      </w:pPr>
      <w:r w:rsidRPr="0053293A">
        <w:rPr>
          <w:lang w:val="fr-FR"/>
        </w:rPr>
        <w:tab/>
      </w:r>
      <w:r w:rsidRPr="00967A77">
        <w:rPr>
          <w:rStyle w:val="FootnoteReference"/>
          <w:lang w:val="fr-FR"/>
        </w:rPr>
        <w:footnoteRef/>
      </w:r>
      <w:r w:rsidRPr="0053293A">
        <w:rPr>
          <w:lang w:val="fr-FR"/>
        </w:rPr>
        <w:tab/>
        <w:t>Décision III/</w:t>
      </w:r>
      <w:r w:rsidRPr="00967A77">
        <w:rPr>
          <w:lang w:val="fr-FR"/>
        </w:rPr>
        <w:t>7</w:t>
      </w:r>
      <w:r w:rsidRPr="0053293A">
        <w:rPr>
          <w:lang w:val="fr-FR"/>
        </w:rPr>
        <w:t xml:space="preserve"> concernant le deuxième amendement à la Convention d</w:t>
      </w:r>
      <w:r w:rsidR="00053E12" w:rsidRPr="0053293A">
        <w:rPr>
          <w:lang w:val="fr-FR"/>
        </w:rPr>
        <w:t>’</w:t>
      </w:r>
      <w:r w:rsidRPr="0053293A">
        <w:rPr>
          <w:lang w:val="fr-FR"/>
        </w:rPr>
        <w:t xml:space="preserve">Espoo, </w:t>
      </w:r>
      <w:r w:rsidR="00D82B54" w:rsidRPr="0053293A">
        <w:rPr>
          <w:lang w:val="fr-FR"/>
        </w:rPr>
        <w:t>par</w:t>
      </w:r>
      <w:r w:rsidR="00967A77" w:rsidRPr="00967A77">
        <w:rPr>
          <w:lang w:val="fr-FR"/>
        </w:rPr>
        <w:t>.</w:t>
      </w:r>
      <w:r w:rsidR="00D82B54" w:rsidRPr="0053293A">
        <w:rPr>
          <w:lang w:val="fr-FR"/>
        </w:rPr>
        <w:t> </w:t>
      </w:r>
      <w:r w:rsidRPr="00967A77">
        <w:rPr>
          <w:lang w:val="fr-FR"/>
        </w:rPr>
        <w:t>3</w:t>
      </w:r>
      <w:r w:rsidRPr="0053293A">
        <w:rPr>
          <w:lang w:val="fr-FR"/>
        </w:rPr>
        <w:t xml:space="preserve"> a), disponible à l</w:t>
      </w:r>
      <w:r w:rsidR="00053E12" w:rsidRPr="0053293A">
        <w:rPr>
          <w:lang w:val="fr-FR"/>
        </w:rPr>
        <w:t>’</w:t>
      </w:r>
      <w:r w:rsidRPr="0053293A">
        <w:rPr>
          <w:lang w:val="fr-FR"/>
        </w:rPr>
        <w:t xml:space="preserve">adresse </w:t>
      </w:r>
      <w:hyperlink r:id="rId12" w:history="1">
        <w:r w:rsidR="00D82B54" w:rsidRPr="0053293A">
          <w:rPr>
            <w:rStyle w:val="Hyperlink"/>
            <w:lang w:val="fr-FR"/>
          </w:rPr>
          <w:t>https://unece</w:t>
        </w:r>
        <w:r w:rsidR="00967A77" w:rsidRPr="00967A77">
          <w:rPr>
            <w:rStyle w:val="Hyperlink"/>
            <w:lang w:val="fr-FR"/>
          </w:rPr>
          <w:t>.</w:t>
        </w:r>
        <w:r w:rsidR="00D82B54" w:rsidRPr="0053293A">
          <w:rPr>
            <w:rStyle w:val="Hyperlink"/>
            <w:lang w:val="fr-FR"/>
          </w:rPr>
          <w:t>org/environment-policy/environmental-assessment/decisions-taken-meetings-parties</w:t>
        </w:r>
      </w:hyperlink>
      <w:r w:rsidR="00967A77" w:rsidRPr="00967A77">
        <w:rPr>
          <w:lang w:val="fr-FR"/>
        </w:rPr>
        <w:t>.</w:t>
      </w:r>
    </w:p>
  </w:footnote>
  <w:footnote w:id="11">
    <w:p w14:paraId="6487F8B1" w14:textId="57E88AE5" w:rsidR="003373A7" w:rsidRPr="0053293A" w:rsidRDefault="003373A7" w:rsidP="00C30EEB">
      <w:pPr>
        <w:pStyle w:val="FootnoteText"/>
        <w:rPr>
          <w:lang w:val="fr-FR"/>
        </w:rPr>
      </w:pPr>
      <w:r w:rsidRPr="0053293A">
        <w:rPr>
          <w:lang w:val="fr-FR"/>
        </w:rPr>
        <w:tab/>
      </w:r>
      <w:r w:rsidRPr="00967A77">
        <w:rPr>
          <w:rStyle w:val="FootnoteReference"/>
          <w:lang w:val="fr-FR"/>
        </w:rPr>
        <w:footnoteRef/>
      </w:r>
      <w:r w:rsidRPr="0053293A">
        <w:rPr>
          <w:lang w:val="fr-FR"/>
        </w:rPr>
        <w:tab/>
      </w:r>
      <w:hyperlink r:id="rId13" w:history="1">
        <w:r w:rsidRPr="0035452E">
          <w:rPr>
            <w:rStyle w:val="Hyperlink"/>
            <w:lang w:val="fr-FR"/>
          </w:rPr>
          <w:t>ECE/</w:t>
        </w:r>
        <w:r w:rsidRPr="0035452E">
          <w:rPr>
            <w:rStyle w:val="Hyperlink"/>
            <w:lang w:val="fr-FR"/>
          </w:rPr>
          <w:t>M</w:t>
        </w:r>
        <w:r w:rsidRPr="0035452E">
          <w:rPr>
            <w:rStyle w:val="Hyperlink"/>
            <w:lang w:val="fr-FR"/>
          </w:rPr>
          <w:t>P</w:t>
        </w:r>
        <w:r w:rsidR="00967A77" w:rsidRPr="0035452E">
          <w:rPr>
            <w:rStyle w:val="Hyperlink"/>
            <w:lang w:val="fr-FR"/>
          </w:rPr>
          <w:t>.</w:t>
        </w:r>
        <w:r w:rsidRPr="0035452E">
          <w:rPr>
            <w:rStyle w:val="Hyperlink"/>
            <w:lang w:val="fr-FR"/>
          </w:rPr>
          <w:t>EIA/8</w:t>
        </w:r>
      </w:hyperlink>
      <w:r w:rsidRPr="0053293A">
        <w:rPr>
          <w:lang w:val="fr-FR"/>
        </w:rPr>
        <w:t xml:space="preserve">, </w:t>
      </w:r>
      <w:r w:rsidR="00D82B54" w:rsidRPr="0053293A">
        <w:rPr>
          <w:lang w:val="fr-FR"/>
        </w:rPr>
        <w:t>par</w:t>
      </w:r>
      <w:r w:rsidR="00967A77" w:rsidRPr="00967A77">
        <w:rPr>
          <w:lang w:val="fr-FR"/>
        </w:rPr>
        <w:t>.</w:t>
      </w:r>
      <w:r w:rsidR="00D82B54" w:rsidRPr="0053293A">
        <w:rPr>
          <w:lang w:val="fr-FR"/>
        </w:rPr>
        <w:t> </w:t>
      </w:r>
      <w:r w:rsidRPr="00967A77">
        <w:rPr>
          <w:lang w:val="fr-FR"/>
        </w:rPr>
        <w:t>14</w:t>
      </w:r>
      <w:r w:rsidR="00967A77" w:rsidRPr="00967A77">
        <w:rPr>
          <w:lang w:val="fr-FR"/>
        </w:rPr>
        <w:t>.</w:t>
      </w:r>
    </w:p>
  </w:footnote>
  <w:footnote w:id="12">
    <w:p w14:paraId="4F5C95BC" w14:textId="6BB836F7" w:rsidR="003373A7" w:rsidRPr="0053293A" w:rsidRDefault="003373A7" w:rsidP="00C30EEB">
      <w:pPr>
        <w:pStyle w:val="FootnoteText"/>
        <w:rPr>
          <w:lang w:val="fr-FR"/>
        </w:rPr>
      </w:pPr>
      <w:r w:rsidRPr="0053293A">
        <w:rPr>
          <w:lang w:val="fr-FR"/>
        </w:rPr>
        <w:tab/>
      </w:r>
      <w:r w:rsidRPr="00967A77">
        <w:rPr>
          <w:rStyle w:val="FootnoteReference"/>
          <w:lang w:val="fr-FR"/>
        </w:rPr>
        <w:footnoteRef/>
      </w:r>
      <w:r w:rsidRPr="0053293A">
        <w:rPr>
          <w:lang w:val="fr-FR"/>
        </w:rPr>
        <w:tab/>
        <w:t>Ibid</w:t>
      </w:r>
      <w:r w:rsidR="00967A77" w:rsidRPr="00967A77">
        <w:rPr>
          <w:lang w:val="fr-FR"/>
        </w:rPr>
        <w:t>.</w:t>
      </w:r>
      <w:r w:rsidRPr="0053293A">
        <w:rPr>
          <w:lang w:val="fr-FR"/>
        </w:rPr>
        <w:t xml:space="preserve">, </w:t>
      </w:r>
      <w:r w:rsidR="00D82B54" w:rsidRPr="0053293A">
        <w:rPr>
          <w:lang w:val="fr-FR"/>
        </w:rPr>
        <w:t>par</w:t>
      </w:r>
      <w:r w:rsidR="00967A77" w:rsidRPr="00967A77">
        <w:rPr>
          <w:lang w:val="fr-FR"/>
        </w:rPr>
        <w:t>.</w:t>
      </w:r>
      <w:r w:rsidR="00D82B54" w:rsidRPr="0053293A">
        <w:rPr>
          <w:lang w:val="fr-FR"/>
        </w:rPr>
        <w:t> </w:t>
      </w:r>
      <w:r w:rsidRPr="00967A77">
        <w:rPr>
          <w:lang w:val="fr-FR"/>
        </w:rPr>
        <w:t>83</w:t>
      </w:r>
      <w:r w:rsidR="00967A77" w:rsidRPr="00967A77">
        <w:rPr>
          <w:lang w:val="fr-FR"/>
        </w:rPr>
        <w:t>.</w:t>
      </w:r>
    </w:p>
  </w:footnote>
  <w:footnote w:id="13">
    <w:p w14:paraId="2DE93BAB" w14:textId="003770A3" w:rsidR="003373A7" w:rsidRPr="0053293A" w:rsidRDefault="003373A7" w:rsidP="00C30EEB">
      <w:pPr>
        <w:pStyle w:val="FootnoteText"/>
        <w:rPr>
          <w:lang w:val="fr-FR"/>
        </w:rPr>
      </w:pPr>
      <w:r w:rsidRPr="0053293A">
        <w:rPr>
          <w:lang w:val="fr-FR"/>
        </w:rPr>
        <w:tab/>
      </w:r>
      <w:r w:rsidRPr="00967A77">
        <w:rPr>
          <w:rStyle w:val="FootnoteReference"/>
          <w:lang w:val="fr-FR"/>
        </w:rPr>
        <w:footnoteRef/>
      </w:r>
      <w:r w:rsidRPr="0053293A">
        <w:rPr>
          <w:lang w:val="fr-FR"/>
        </w:rPr>
        <w:tab/>
        <w:t xml:space="preserve">Au </w:t>
      </w:r>
      <w:r w:rsidRPr="00967A77">
        <w:rPr>
          <w:lang w:val="fr-FR"/>
        </w:rPr>
        <w:t>19</w:t>
      </w:r>
      <w:r w:rsidRPr="0053293A">
        <w:rPr>
          <w:lang w:val="fr-FR"/>
        </w:rPr>
        <w:t xml:space="preserve"> septembre </w:t>
      </w:r>
      <w:r w:rsidRPr="00967A77">
        <w:rPr>
          <w:lang w:val="fr-FR"/>
        </w:rPr>
        <w:t>2023</w:t>
      </w:r>
      <w:r w:rsidRPr="0053293A">
        <w:rPr>
          <w:lang w:val="fr-FR"/>
        </w:rPr>
        <w:t xml:space="preserve">, le Protocole comptait </w:t>
      </w:r>
      <w:r w:rsidRPr="00967A77">
        <w:rPr>
          <w:lang w:val="fr-FR"/>
        </w:rPr>
        <w:t>33</w:t>
      </w:r>
      <w:r w:rsidRPr="0053293A">
        <w:rPr>
          <w:lang w:val="fr-FR"/>
        </w:rPr>
        <w:t xml:space="preserve"> Parties</w:t>
      </w:r>
      <w:r w:rsidR="00967A77" w:rsidRPr="00967A77">
        <w:rPr>
          <w:lang w:val="fr-FR"/>
        </w:rPr>
        <w:t>.</w:t>
      </w:r>
      <w:r w:rsidRPr="0053293A">
        <w:rPr>
          <w:lang w:val="fr-FR"/>
        </w:rPr>
        <w:t xml:space="preserve"> Des informations à jour sont disponibles à l</w:t>
      </w:r>
      <w:r w:rsidR="00053E12" w:rsidRPr="0053293A">
        <w:rPr>
          <w:lang w:val="fr-FR"/>
        </w:rPr>
        <w:t>’</w:t>
      </w:r>
      <w:r w:rsidRPr="0053293A">
        <w:rPr>
          <w:lang w:val="fr-FR"/>
        </w:rPr>
        <w:t xml:space="preserve">adresse </w:t>
      </w:r>
      <w:hyperlink r:id="rId14" w:history="1">
        <w:r w:rsidR="0098531C" w:rsidRPr="0035452E">
          <w:rPr>
            <w:rStyle w:val="Hyperlink"/>
            <w:lang w:val="fr-FR"/>
          </w:rPr>
          <w:t>https://treaties</w:t>
        </w:r>
        <w:r w:rsidR="00967A77" w:rsidRPr="0035452E">
          <w:rPr>
            <w:rStyle w:val="Hyperlink"/>
            <w:lang w:val="fr-FR"/>
          </w:rPr>
          <w:t>.</w:t>
        </w:r>
        <w:r w:rsidR="0098531C" w:rsidRPr="0035452E">
          <w:rPr>
            <w:rStyle w:val="Hyperlink"/>
            <w:lang w:val="fr-FR"/>
          </w:rPr>
          <w:t>u</w:t>
        </w:r>
        <w:r w:rsidR="0098531C" w:rsidRPr="0035452E">
          <w:rPr>
            <w:rStyle w:val="Hyperlink"/>
            <w:lang w:val="fr-FR"/>
          </w:rPr>
          <w:t>n</w:t>
        </w:r>
        <w:r w:rsidR="00967A77" w:rsidRPr="0035452E">
          <w:rPr>
            <w:rStyle w:val="Hyperlink"/>
            <w:lang w:val="fr-FR"/>
          </w:rPr>
          <w:t>.</w:t>
        </w:r>
        <w:r w:rsidR="0098531C" w:rsidRPr="0035452E">
          <w:rPr>
            <w:rStyle w:val="Hyperlink"/>
            <w:lang w:val="fr-FR"/>
          </w:rPr>
          <w:t>org/Pages/ViewDetails</w:t>
        </w:r>
        <w:r w:rsidR="00967A77" w:rsidRPr="0035452E">
          <w:rPr>
            <w:rStyle w:val="Hyperlink"/>
            <w:lang w:val="fr-FR"/>
          </w:rPr>
          <w:t>.</w:t>
        </w:r>
        <w:r w:rsidR="0098531C" w:rsidRPr="0035452E">
          <w:rPr>
            <w:rStyle w:val="Hyperlink"/>
            <w:lang w:val="fr-FR"/>
          </w:rPr>
          <w:t>aspx?src=TREATY&amp;</w:t>
        </w:r>
        <w:r w:rsidR="0098531C" w:rsidRPr="0035452E">
          <w:rPr>
            <w:rStyle w:val="Hyperlink"/>
            <w:lang w:val="fr-FR"/>
          </w:rPr>
          <w:t>m</w:t>
        </w:r>
        <w:r w:rsidR="0098531C" w:rsidRPr="0035452E">
          <w:rPr>
            <w:rStyle w:val="Hyperlink"/>
            <w:lang w:val="fr-FR"/>
          </w:rPr>
          <w:t>tdsg_n</w:t>
        </w:r>
        <w:r w:rsidR="0098531C" w:rsidRPr="0035452E">
          <w:rPr>
            <w:rStyle w:val="Hyperlink"/>
            <w:lang w:val="fr-FR"/>
          </w:rPr>
          <w:t>o</w:t>
        </w:r>
        <w:r w:rsidR="0098531C" w:rsidRPr="0035452E">
          <w:rPr>
            <w:rStyle w:val="Hyperlink"/>
            <w:lang w:val="fr-FR"/>
          </w:rPr>
          <w:t>=XXVII-4-b&amp;chapter=27&amp;clang=_fr</w:t>
        </w:r>
      </w:hyperlink>
      <w:r w:rsidR="00967A77" w:rsidRPr="00967A77">
        <w:rPr>
          <w:lang w:val="fr-FR"/>
        </w:rPr>
        <w:t>.</w:t>
      </w:r>
    </w:p>
  </w:footnote>
  <w:footnote w:id="14">
    <w:p w14:paraId="67A2D7F3" w14:textId="201877CC" w:rsidR="003373A7" w:rsidRPr="0053293A" w:rsidRDefault="003373A7" w:rsidP="00C30EEB">
      <w:pPr>
        <w:pStyle w:val="FootnoteText"/>
        <w:rPr>
          <w:spacing w:val="-7"/>
          <w:lang w:val="fr-FR"/>
        </w:rPr>
      </w:pPr>
      <w:r w:rsidRPr="0053293A">
        <w:rPr>
          <w:lang w:val="fr-FR"/>
        </w:rPr>
        <w:tab/>
      </w:r>
      <w:r w:rsidRPr="00967A77">
        <w:rPr>
          <w:rStyle w:val="FootnoteReference"/>
          <w:lang w:val="fr-FR"/>
        </w:rPr>
        <w:footnoteRef/>
      </w:r>
      <w:r w:rsidRPr="0053293A">
        <w:rPr>
          <w:lang w:val="fr-FR"/>
        </w:rPr>
        <w:tab/>
      </w:r>
      <w:r w:rsidRPr="0035452E">
        <w:rPr>
          <w:lang w:val="fr-FR"/>
        </w:rPr>
        <w:t>ECE/M</w:t>
      </w:r>
      <w:r w:rsidRPr="0035452E">
        <w:rPr>
          <w:lang w:val="fr-FR"/>
        </w:rPr>
        <w:t>P</w:t>
      </w:r>
      <w:r w:rsidR="00967A77" w:rsidRPr="0035452E">
        <w:rPr>
          <w:lang w:val="fr-FR"/>
        </w:rPr>
        <w:t>.</w:t>
      </w:r>
      <w:r w:rsidRPr="0035452E">
        <w:rPr>
          <w:lang w:val="fr-FR"/>
        </w:rPr>
        <w:t>EIA/SEA/8</w:t>
      </w:r>
      <w:r w:rsidR="00967A77" w:rsidRPr="00967A77">
        <w:rPr>
          <w:lang w:val="fr-FR"/>
        </w:rPr>
        <w:t>.</w:t>
      </w:r>
    </w:p>
  </w:footnote>
  <w:footnote w:id="15">
    <w:p w14:paraId="6D437465" w14:textId="7243B962" w:rsidR="003373A7" w:rsidRPr="0053293A" w:rsidRDefault="003373A7" w:rsidP="00C30EEB">
      <w:pPr>
        <w:pStyle w:val="FootnoteText"/>
        <w:rPr>
          <w:lang w:val="fr-FR"/>
        </w:rPr>
      </w:pPr>
      <w:r w:rsidRPr="0053293A">
        <w:rPr>
          <w:lang w:val="fr-FR"/>
        </w:rPr>
        <w:tab/>
      </w:r>
      <w:r w:rsidRPr="00967A77">
        <w:rPr>
          <w:rStyle w:val="FootnoteReference"/>
          <w:lang w:val="fr-FR"/>
        </w:rPr>
        <w:footnoteRef/>
      </w:r>
      <w:r w:rsidRPr="0053293A">
        <w:rPr>
          <w:lang w:val="fr-FR"/>
        </w:rPr>
        <w:tab/>
      </w:r>
      <w:r w:rsidRPr="00967A77">
        <w:rPr>
          <w:i/>
          <w:iCs/>
          <w:lang w:val="fr-FR"/>
        </w:rPr>
        <w:t>Resource Manual to Support Application of the UNECE Protocol on Strategic Environmental Assessment</w:t>
      </w:r>
      <w:r w:rsidRPr="0053293A">
        <w:rPr>
          <w:lang w:val="fr-FR"/>
        </w:rPr>
        <w:t xml:space="preserve"> (publication des Nations Unies, </w:t>
      </w:r>
      <w:r w:rsidRPr="0035452E">
        <w:rPr>
          <w:lang w:val="fr-FR"/>
        </w:rPr>
        <w:t>ECE/M</w:t>
      </w:r>
      <w:r w:rsidRPr="0035452E">
        <w:rPr>
          <w:lang w:val="fr-FR"/>
        </w:rPr>
        <w:t>P</w:t>
      </w:r>
      <w:r w:rsidR="00967A77" w:rsidRPr="0035452E">
        <w:rPr>
          <w:lang w:val="fr-FR"/>
        </w:rPr>
        <w:t>.</w:t>
      </w:r>
      <w:r w:rsidRPr="0035452E">
        <w:rPr>
          <w:lang w:val="fr-FR"/>
        </w:rPr>
        <w:t>EIA/17</w:t>
      </w:r>
      <w:r w:rsidRPr="0053293A">
        <w:rPr>
          <w:lang w:val="fr-FR"/>
        </w:rPr>
        <w:t>)</w:t>
      </w:r>
      <w:r w:rsidR="00967A77" w:rsidRPr="00967A77">
        <w:rPr>
          <w:lang w:val="fr-FR"/>
        </w:rPr>
        <w:t>.</w:t>
      </w:r>
    </w:p>
  </w:footnote>
  <w:footnote w:id="16">
    <w:p w14:paraId="4FD52ED7" w14:textId="4919D43F" w:rsidR="003373A7" w:rsidRPr="0053293A" w:rsidRDefault="003373A7" w:rsidP="00C30EEB">
      <w:pPr>
        <w:pStyle w:val="FootnoteText"/>
        <w:rPr>
          <w:lang w:val="fr-FR"/>
        </w:rPr>
      </w:pPr>
      <w:r w:rsidRPr="0053293A">
        <w:rPr>
          <w:lang w:val="fr-FR"/>
        </w:rPr>
        <w:tab/>
      </w:r>
      <w:r w:rsidRPr="00967A77">
        <w:rPr>
          <w:rStyle w:val="FootnoteReference"/>
          <w:lang w:val="fr-FR"/>
        </w:rPr>
        <w:footnoteRef/>
      </w:r>
      <w:r w:rsidRPr="0053293A">
        <w:rPr>
          <w:lang w:val="fr-FR"/>
        </w:rPr>
        <w:tab/>
        <w:t xml:space="preserve">Voir </w:t>
      </w:r>
      <w:hyperlink r:id="rId15" w:history="1">
        <w:r w:rsidR="00D82B54" w:rsidRPr="00530045">
          <w:rPr>
            <w:rStyle w:val="Hyperlink"/>
            <w:lang w:val="fr-FR"/>
          </w:rPr>
          <w:t>www</w:t>
        </w:r>
        <w:r w:rsidR="00967A77" w:rsidRPr="00530045">
          <w:rPr>
            <w:rStyle w:val="Hyperlink"/>
            <w:lang w:val="fr-FR"/>
          </w:rPr>
          <w:t>.</w:t>
        </w:r>
        <w:r w:rsidR="00D82B54" w:rsidRPr="00530045">
          <w:rPr>
            <w:rStyle w:val="Hyperlink"/>
            <w:lang w:val="fr-FR"/>
          </w:rPr>
          <w:t>ipcc</w:t>
        </w:r>
        <w:r w:rsidR="00967A77" w:rsidRPr="00530045">
          <w:rPr>
            <w:rStyle w:val="Hyperlink"/>
            <w:lang w:val="fr-FR"/>
          </w:rPr>
          <w:t>.</w:t>
        </w:r>
        <w:r w:rsidR="00D82B54" w:rsidRPr="00530045">
          <w:rPr>
            <w:rStyle w:val="Hyperlink"/>
            <w:lang w:val="fr-FR"/>
          </w:rPr>
          <w:t>c</w:t>
        </w:r>
        <w:r w:rsidR="00D82B54" w:rsidRPr="00530045">
          <w:rPr>
            <w:rStyle w:val="Hyperlink"/>
            <w:lang w:val="fr-FR"/>
          </w:rPr>
          <w:t>h</w:t>
        </w:r>
        <w:r w:rsidR="00D82B54" w:rsidRPr="00530045">
          <w:rPr>
            <w:rStyle w:val="Hyperlink"/>
            <w:lang w:val="fr-FR"/>
          </w:rPr>
          <w:t>/site/assets/uploads/2019/11/11_Annex-I-Glossary</w:t>
        </w:r>
        <w:r w:rsidR="00967A77" w:rsidRPr="00530045">
          <w:rPr>
            <w:rStyle w:val="Hyperlink"/>
            <w:lang w:val="fr-FR"/>
          </w:rPr>
          <w:t>.</w:t>
        </w:r>
        <w:r w:rsidR="00D82B54" w:rsidRPr="00530045">
          <w:rPr>
            <w:rStyle w:val="Hyperlink"/>
            <w:lang w:val="fr-FR"/>
          </w:rPr>
          <w:t>pd</w:t>
        </w:r>
        <w:r w:rsidR="00D82B54" w:rsidRPr="0053293A">
          <w:rPr>
            <w:rStyle w:val="Hyperlink"/>
            <w:lang w:val="fr-FR"/>
          </w:rPr>
          <w:t>f</w:t>
        </w:r>
      </w:hyperlink>
      <w:r w:rsidRPr="0053293A">
        <w:rPr>
          <w:lang w:val="fr-FR"/>
        </w:rPr>
        <w:t xml:space="preserve">, </w:t>
      </w:r>
      <w:r w:rsidR="00D82B54" w:rsidRPr="0053293A">
        <w:rPr>
          <w:lang w:val="fr-FR"/>
        </w:rPr>
        <w:t>p</w:t>
      </w:r>
      <w:r w:rsidR="00967A77" w:rsidRPr="00967A77">
        <w:rPr>
          <w:lang w:val="fr-FR"/>
        </w:rPr>
        <w:t>.</w:t>
      </w:r>
      <w:r w:rsidR="00D82B54" w:rsidRPr="0053293A">
        <w:rPr>
          <w:lang w:val="fr-FR"/>
        </w:rPr>
        <w:t> </w:t>
      </w:r>
      <w:r w:rsidRPr="00967A77">
        <w:rPr>
          <w:lang w:val="fr-FR"/>
        </w:rPr>
        <w:t>825</w:t>
      </w:r>
      <w:r w:rsidR="00967A77" w:rsidRPr="00967A77">
        <w:rPr>
          <w:lang w:val="fr-FR"/>
        </w:rPr>
        <w:t>.</w:t>
      </w:r>
    </w:p>
  </w:footnote>
  <w:footnote w:id="17">
    <w:p w14:paraId="4072DA87" w14:textId="4A59DE9C" w:rsidR="003373A7" w:rsidRPr="0053293A" w:rsidRDefault="003373A7" w:rsidP="00C30EEB">
      <w:pPr>
        <w:pStyle w:val="FootnoteText"/>
        <w:rPr>
          <w:lang w:val="fr-FR"/>
        </w:rPr>
      </w:pPr>
      <w:r w:rsidRPr="0053293A">
        <w:rPr>
          <w:lang w:val="fr-FR"/>
        </w:rPr>
        <w:tab/>
      </w:r>
      <w:r w:rsidRPr="00967A77">
        <w:rPr>
          <w:rStyle w:val="FootnoteReference"/>
          <w:lang w:val="fr-FR"/>
        </w:rPr>
        <w:footnoteRef/>
      </w:r>
      <w:r w:rsidRPr="0053293A">
        <w:rPr>
          <w:lang w:val="fr-FR"/>
        </w:rPr>
        <w:tab/>
      </w:r>
      <w:r w:rsidRPr="0053293A">
        <w:rPr>
          <w:lang w:val="fr-FR"/>
        </w:rPr>
        <w:tab/>
        <w:t xml:space="preserve">Voir </w:t>
      </w:r>
      <w:hyperlink r:id="rId16" w:history="1">
        <w:r w:rsidR="00D82B54" w:rsidRPr="0053293A">
          <w:rPr>
            <w:rStyle w:val="Hyperlink"/>
            <w:lang w:val="fr-FR"/>
          </w:rPr>
          <w:t>http</w:t>
        </w:r>
        <w:r w:rsidR="00D82B54" w:rsidRPr="00530045">
          <w:rPr>
            <w:rStyle w:val="Hyperlink"/>
            <w:lang w:val="fr-FR"/>
          </w:rPr>
          <w:t>s://sdgs</w:t>
        </w:r>
        <w:r w:rsidR="00967A77" w:rsidRPr="00530045">
          <w:rPr>
            <w:rStyle w:val="Hyperlink"/>
            <w:lang w:val="fr-FR"/>
          </w:rPr>
          <w:t>.</w:t>
        </w:r>
        <w:r w:rsidR="00D82B54" w:rsidRPr="00530045">
          <w:rPr>
            <w:rStyle w:val="Hyperlink"/>
            <w:lang w:val="fr-FR"/>
          </w:rPr>
          <w:t>un</w:t>
        </w:r>
        <w:r w:rsidR="00967A77" w:rsidRPr="00530045">
          <w:rPr>
            <w:rStyle w:val="Hyperlink"/>
            <w:lang w:val="fr-FR"/>
          </w:rPr>
          <w:t>.</w:t>
        </w:r>
        <w:r w:rsidR="00D82B54" w:rsidRPr="00530045">
          <w:rPr>
            <w:rStyle w:val="Hyperlink"/>
            <w:lang w:val="fr-FR"/>
          </w:rPr>
          <w:t>org</w:t>
        </w:r>
        <w:r w:rsidR="00D82B54" w:rsidRPr="00530045">
          <w:rPr>
            <w:rStyle w:val="Hyperlink"/>
            <w:lang w:val="fr-FR"/>
          </w:rPr>
          <w:t>/</w:t>
        </w:r>
        <w:r w:rsidR="00D82B54" w:rsidRPr="00530045">
          <w:rPr>
            <w:rStyle w:val="Hyperlink"/>
            <w:lang w:val="fr-FR"/>
          </w:rPr>
          <w:t>fr/goals/goal7</w:t>
        </w:r>
      </w:hyperlink>
      <w:r w:rsidR="00967A77" w:rsidRPr="00967A77">
        <w:rPr>
          <w:lang w:val="fr-FR"/>
        </w:rPr>
        <w:t>.</w:t>
      </w:r>
    </w:p>
  </w:footnote>
  <w:footnote w:id="18">
    <w:p w14:paraId="11364084" w14:textId="586B5EFF" w:rsidR="003373A7" w:rsidRPr="0053293A" w:rsidRDefault="003373A7" w:rsidP="00C30EEB">
      <w:pPr>
        <w:pStyle w:val="FootnoteText"/>
        <w:rPr>
          <w:lang w:val="fr-FR"/>
        </w:rPr>
      </w:pPr>
      <w:r w:rsidRPr="0053293A">
        <w:rPr>
          <w:lang w:val="fr-FR"/>
        </w:rPr>
        <w:tab/>
      </w:r>
      <w:r w:rsidRPr="00967A77">
        <w:rPr>
          <w:rStyle w:val="FootnoteReference"/>
          <w:lang w:val="fr-FR"/>
        </w:rPr>
        <w:footnoteRef/>
      </w:r>
      <w:r w:rsidRPr="0053293A">
        <w:rPr>
          <w:lang w:val="fr-FR"/>
        </w:rPr>
        <w:tab/>
        <w:t xml:space="preserve">Voir </w:t>
      </w:r>
      <w:hyperlink r:id="rId17" w:history="1">
        <w:r w:rsidR="00D82B54" w:rsidRPr="0053293A">
          <w:rPr>
            <w:rStyle w:val="Hyperlink"/>
            <w:lang w:val="fr-FR"/>
          </w:rPr>
          <w:t>https://sdgs</w:t>
        </w:r>
        <w:r w:rsidR="00967A77" w:rsidRPr="00967A77">
          <w:rPr>
            <w:rStyle w:val="Hyperlink"/>
            <w:lang w:val="fr-FR"/>
          </w:rPr>
          <w:t>.</w:t>
        </w:r>
        <w:r w:rsidR="00D82B54" w:rsidRPr="0053293A">
          <w:rPr>
            <w:rStyle w:val="Hyperlink"/>
            <w:lang w:val="fr-FR"/>
          </w:rPr>
          <w:t>un</w:t>
        </w:r>
        <w:r w:rsidR="00967A77" w:rsidRPr="00967A77">
          <w:rPr>
            <w:rStyle w:val="Hyperlink"/>
            <w:lang w:val="fr-FR"/>
          </w:rPr>
          <w:t>.</w:t>
        </w:r>
        <w:r w:rsidR="00D82B54" w:rsidRPr="0053293A">
          <w:rPr>
            <w:rStyle w:val="Hyperlink"/>
            <w:lang w:val="fr-FR"/>
          </w:rPr>
          <w:t>o</w:t>
        </w:r>
        <w:r w:rsidR="00D82B54" w:rsidRPr="0053293A">
          <w:rPr>
            <w:rStyle w:val="Hyperlink"/>
            <w:lang w:val="fr-FR"/>
          </w:rPr>
          <w:t>r</w:t>
        </w:r>
        <w:r w:rsidR="00D82B54" w:rsidRPr="0053293A">
          <w:rPr>
            <w:rStyle w:val="Hyperlink"/>
            <w:lang w:val="fr-FR"/>
          </w:rPr>
          <w:t>g/fr/g</w:t>
        </w:r>
        <w:r w:rsidR="00D82B54" w:rsidRPr="00530045">
          <w:rPr>
            <w:rStyle w:val="Hyperlink"/>
            <w:lang w:val="fr-FR"/>
          </w:rPr>
          <w:t>oals/goal13</w:t>
        </w:r>
      </w:hyperlink>
      <w:r w:rsidR="00967A77" w:rsidRPr="00967A77">
        <w:rPr>
          <w:lang w:val="fr-FR"/>
        </w:rPr>
        <w:t>.</w:t>
      </w:r>
    </w:p>
  </w:footnote>
  <w:footnote w:id="19">
    <w:p w14:paraId="6955C8C4" w14:textId="27C58111" w:rsidR="003373A7" w:rsidRPr="0053293A" w:rsidRDefault="003373A7" w:rsidP="00C30EEB">
      <w:pPr>
        <w:pStyle w:val="FootnoteText"/>
        <w:rPr>
          <w:lang w:val="fr-FR"/>
        </w:rPr>
      </w:pPr>
      <w:r w:rsidRPr="0053293A">
        <w:rPr>
          <w:lang w:val="fr-FR"/>
        </w:rPr>
        <w:tab/>
      </w:r>
      <w:r w:rsidRPr="00967A77">
        <w:rPr>
          <w:rStyle w:val="FootnoteReference"/>
          <w:lang w:val="fr-FR"/>
        </w:rPr>
        <w:footnoteRef/>
      </w:r>
      <w:r w:rsidRPr="0053293A">
        <w:rPr>
          <w:lang w:val="fr-FR"/>
        </w:rPr>
        <w:tab/>
        <w:t xml:space="preserve">Voir </w:t>
      </w:r>
      <w:hyperlink r:id="rId18" w:history="1">
        <w:r w:rsidR="00D82B54" w:rsidRPr="0053293A">
          <w:rPr>
            <w:rStyle w:val="Hyperlink"/>
            <w:lang w:val="fr-FR"/>
          </w:rPr>
          <w:t>https://unfccc</w:t>
        </w:r>
        <w:r w:rsidR="00967A77" w:rsidRPr="00967A77">
          <w:rPr>
            <w:rStyle w:val="Hyperlink"/>
            <w:lang w:val="fr-FR"/>
          </w:rPr>
          <w:t>.</w:t>
        </w:r>
        <w:r w:rsidR="00D82B54" w:rsidRPr="0053293A">
          <w:rPr>
            <w:rStyle w:val="Hyperlink"/>
            <w:lang w:val="fr-FR"/>
          </w:rPr>
          <w:t>int/fr/a-propos-</w:t>
        </w:r>
        <w:r w:rsidR="00D82B54" w:rsidRPr="0053293A">
          <w:rPr>
            <w:rStyle w:val="Hyperlink"/>
            <w:lang w:val="fr-FR"/>
          </w:rPr>
          <w:t>d</w:t>
        </w:r>
        <w:r w:rsidR="00D82B54" w:rsidRPr="0053293A">
          <w:rPr>
            <w:rStyle w:val="Hyperlink"/>
            <w:lang w:val="fr-FR"/>
          </w:rPr>
          <w:t>es-ndcs/l-accord-de-paris</w:t>
        </w:r>
      </w:hyperlink>
      <w:r w:rsidR="00967A77" w:rsidRPr="00967A77">
        <w:rPr>
          <w:lang w:val="fr-FR"/>
        </w:rPr>
        <w:t>.</w:t>
      </w:r>
    </w:p>
  </w:footnote>
  <w:footnote w:id="20">
    <w:p w14:paraId="1B03E59E" w14:textId="79418944" w:rsidR="003373A7" w:rsidRPr="0053293A" w:rsidRDefault="003373A7" w:rsidP="00C30EEB">
      <w:pPr>
        <w:pStyle w:val="FootnoteText"/>
        <w:rPr>
          <w:lang w:val="fr-FR"/>
        </w:rPr>
      </w:pPr>
      <w:r w:rsidRPr="0053293A">
        <w:rPr>
          <w:lang w:val="fr-FR"/>
        </w:rPr>
        <w:tab/>
      </w:r>
      <w:r w:rsidRPr="00967A77">
        <w:rPr>
          <w:rStyle w:val="FootnoteReference"/>
          <w:lang w:val="fr-FR"/>
        </w:rPr>
        <w:footnoteRef/>
      </w:r>
      <w:r w:rsidRPr="0053293A">
        <w:rPr>
          <w:lang w:val="fr-FR"/>
        </w:rPr>
        <w:tab/>
        <w:t xml:space="preserve">Voir </w:t>
      </w:r>
      <w:hyperlink r:id="rId19" w:anchor="Workshops" w:history="1">
        <w:r w:rsidR="00D82B54" w:rsidRPr="0053293A">
          <w:rPr>
            <w:rStyle w:val="Hyperlink"/>
            <w:lang w:val="fr-FR"/>
          </w:rPr>
          <w:t>https://unfccc</w:t>
        </w:r>
        <w:r w:rsidR="00967A77" w:rsidRPr="00967A77">
          <w:rPr>
            <w:rStyle w:val="Hyperlink"/>
            <w:lang w:val="fr-FR"/>
          </w:rPr>
          <w:t>.</w:t>
        </w:r>
        <w:r w:rsidR="00D82B54" w:rsidRPr="0053293A">
          <w:rPr>
            <w:rStyle w:val="Hyperlink"/>
            <w:lang w:val="fr-FR"/>
          </w:rPr>
          <w:t>int/topics/adaptat</w:t>
        </w:r>
        <w:r w:rsidR="00D82B54" w:rsidRPr="0053293A">
          <w:rPr>
            <w:rStyle w:val="Hyperlink"/>
            <w:lang w:val="fr-FR"/>
          </w:rPr>
          <w:t>i</w:t>
        </w:r>
        <w:r w:rsidR="00D82B54" w:rsidRPr="0053293A">
          <w:rPr>
            <w:rStyle w:val="Hyperlink"/>
            <w:lang w:val="fr-FR"/>
          </w:rPr>
          <w:t>on-and-resilience/workstreams/glasgow-sharm-el-sheikh-WP-GGGA#Workshops</w:t>
        </w:r>
      </w:hyperlink>
      <w:r w:rsidR="00967A77" w:rsidRPr="00967A77">
        <w:rPr>
          <w:lang w:val="fr-FR"/>
        </w:rPr>
        <w:t>.</w:t>
      </w:r>
    </w:p>
  </w:footnote>
  <w:footnote w:id="21">
    <w:p w14:paraId="7F8C8CC7" w14:textId="202474F2" w:rsidR="003373A7" w:rsidRPr="0053293A" w:rsidRDefault="003373A7" w:rsidP="00C30EEB">
      <w:pPr>
        <w:pStyle w:val="FootnoteText"/>
        <w:rPr>
          <w:lang w:val="fr-FR"/>
        </w:rPr>
      </w:pPr>
      <w:r w:rsidRPr="0053293A">
        <w:rPr>
          <w:lang w:val="fr-FR"/>
        </w:rPr>
        <w:tab/>
      </w:r>
      <w:r w:rsidRPr="00967A77">
        <w:rPr>
          <w:rStyle w:val="FootnoteReference"/>
          <w:lang w:val="fr-FR"/>
        </w:rPr>
        <w:footnoteRef/>
      </w:r>
      <w:r w:rsidRPr="0053293A">
        <w:rPr>
          <w:lang w:val="fr-FR"/>
        </w:rPr>
        <w:tab/>
        <w:t xml:space="preserve">Voir </w:t>
      </w:r>
      <w:hyperlink r:id="rId20" w:history="1">
        <w:r w:rsidR="00D82B54" w:rsidRPr="00530045">
          <w:rPr>
            <w:rStyle w:val="Hyperlink"/>
            <w:lang w:val="fr-FR"/>
          </w:rPr>
          <w:t>https://unfccc</w:t>
        </w:r>
        <w:r w:rsidR="00967A77" w:rsidRPr="00530045">
          <w:rPr>
            <w:rStyle w:val="Hyperlink"/>
            <w:lang w:val="fr-FR"/>
          </w:rPr>
          <w:t>.</w:t>
        </w:r>
        <w:r w:rsidR="00D82B54" w:rsidRPr="00530045">
          <w:rPr>
            <w:rStyle w:val="Hyperlink"/>
            <w:lang w:val="fr-FR"/>
          </w:rPr>
          <w:t>int/fr/processu</w:t>
        </w:r>
        <w:r w:rsidR="00D82B54" w:rsidRPr="00530045">
          <w:rPr>
            <w:rStyle w:val="Hyperlink"/>
            <w:lang w:val="fr-FR"/>
          </w:rPr>
          <w:t>s</w:t>
        </w:r>
        <w:r w:rsidR="00D82B54" w:rsidRPr="00530045">
          <w:rPr>
            <w:rStyle w:val="Hyperlink"/>
            <w:lang w:val="fr-FR"/>
          </w:rPr>
          <w:t>-et-reunions/les-conferences/sharm-el-sheikh-climate-change-conference-november-2022/les-cinq-points-cles-issus-de-la-cop-27</w:t>
        </w:r>
      </w:hyperlink>
      <w:r w:rsidR="00967A77" w:rsidRPr="00967A77">
        <w:rPr>
          <w:lang w:val="fr-FR"/>
        </w:rPr>
        <w:t>.</w:t>
      </w:r>
    </w:p>
  </w:footnote>
  <w:footnote w:id="22">
    <w:p w14:paraId="4E0198D7" w14:textId="088C993C" w:rsidR="003373A7" w:rsidRPr="0053293A" w:rsidRDefault="003373A7" w:rsidP="00C30EEB">
      <w:pPr>
        <w:pStyle w:val="FootnoteText"/>
        <w:rPr>
          <w:lang w:val="fr-FR"/>
        </w:rPr>
      </w:pPr>
      <w:r w:rsidRPr="0053293A">
        <w:rPr>
          <w:lang w:val="fr-FR"/>
        </w:rPr>
        <w:tab/>
      </w:r>
      <w:r w:rsidRPr="00967A77">
        <w:rPr>
          <w:rStyle w:val="FootnoteReference"/>
          <w:lang w:val="fr-FR"/>
        </w:rPr>
        <w:footnoteRef/>
      </w:r>
      <w:r w:rsidRPr="0053293A">
        <w:rPr>
          <w:lang w:val="fr-FR"/>
        </w:rPr>
        <w:tab/>
        <w:t xml:space="preserve">Voir </w:t>
      </w:r>
      <w:hyperlink r:id="rId21" w:history="1">
        <w:r w:rsidR="00D82B54" w:rsidRPr="0053293A">
          <w:rPr>
            <w:rStyle w:val="Hyperlink"/>
            <w:lang w:val="fr-FR"/>
          </w:rPr>
          <w:t>https://unfccc</w:t>
        </w:r>
        <w:r w:rsidR="00967A77" w:rsidRPr="00967A77">
          <w:rPr>
            <w:rStyle w:val="Hyperlink"/>
            <w:lang w:val="fr-FR"/>
          </w:rPr>
          <w:t>.</w:t>
        </w:r>
        <w:r w:rsidR="00D82B54" w:rsidRPr="0053293A">
          <w:rPr>
            <w:rStyle w:val="Hyperlink"/>
            <w:lang w:val="fr-FR"/>
          </w:rPr>
          <w:t>in</w:t>
        </w:r>
        <w:r w:rsidR="00D82B54" w:rsidRPr="00530045">
          <w:rPr>
            <w:rStyle w:val="Hyperlink"/>
            <w:lang w:val="fr-FR"/>
          </w:rPr>
          <w:t>t/sites/defau</w:t>
        </w:r>
        <w:r w:rsidR="00D82B54" w:rsidRPr="00530045">
          <w:rPr>
            <w:rStyle w:val="Hyperlink"/>
            <w:lang w:val="fr-FR"/>
          </w:rPr>
          <w:t>l</w:t>
        </w:r>
        <w:r w:rsidR="00D82B54" w:rsidRPr="00530045">
          <w:rPr>
            <w:rStyle w:val="Hyperlink"/>
            <w:lang w:val="fr-FR"/>
          </w:rPr>
          <w:t>t/files/resource/cop27_auv_2_cover%20decisio</w:t>
        </w:r>
        <w:r w:rsidR="00D82B54" w:rsidRPr="0053293A">
          <w:rPr>
            <w:rStyle w:val="Hyperlink"/>
            <w:lang w:val="fr-FR"/>
          </w:rPr>
          <w:t>n</w:t>
        </w:r>
        <w:r w:rsidR="00967A77" w:rsidRPr="00967A77">
          <w:rPr>
            <w:rStyle w:val="Hyperlink"/>
            <w:lang w:val="fr-FR"/>
          </w:rPr>
          <w:t>.</w:t>
        </w:r>
        <w:r w:rsidR="00D82B54" w:rsidRPr="0053293A">
          <w:rPr>
            <w:rStyle w:val="Hyperlink"/>
            <w:lang w:val="fr-FR"/>
          </w:rPr>
          <w:t>pdf</w:t>
        </w:r>
      </w:hyperlink>
      <w:r w:rsidR="00967A77" w:rsidRPr="00967A77">
        <w:rPr>
          <w:lang w:val="fr-FR"/>
        </w:rPr>
        <w:t>.</w:t>
      </w:r>
    </w:p>
  </w:footnote>
  <w:footnote w:id="23">
    <w:p w14:paraId="2E515556" w14:textId="4A88637F" w:rsidR="003373A7" w:rsidRPr="0053293A" w:rsidRDefault="003373A7" w:rsidP="00C30EEB">
      <w:pPr>
        <w:pStyle w:val="FootnoteText"/>
        <w:rPr>
          <w:szCs w:val="18"/>
          <w:lang w:val="fr-FR"/>
        </w:rPr>
      </w:pPr>
      <w:r w:rsidRPr="0053293A">
        <w:rPr>
          <w:lang w:val="fr-FR"/>
        </w:rPr>
        <w:tab/>
      </w:r>
      <w:r w:rsidRPr="00967A77">
        <w:rPr>
          <w:rStyle w:val="FootnoteReference"/>
          <w:lang w:val="fr-FR"/>
        </w:rPr>
        <w:footnoteRef/>
      </w:r>
      <w:r w:rsidRPr="0053293A">
        <w:rPr>
          <w:lang w:val="fr-FR"/>
        </w:rPr>
        <w:tab/>
        <w:t xml:space="preserve">Energy Transitions Commission, </w:t>
      </w:r>
      <w:r w:rsidRPr="00967A77">
        <w:rPr>
          <w:i/>
          <w:iCs/>
          <w:szCs w:val="18"/>
          <w:lang w:val="fr-FR"/>
        </w:rPr>
        <w:t>Financing the Transition</w:t>
      </w:r>
      <w:r w:rsidR="00053E12" w:rsidRPr="00967A77">
        <w:rPr>
          <w:i/>
          <w:iCs/>
          <w:szCs w:val="18"/>
          <w:lang w:val="fr-FR"/>
        </w:rPr>
        <w:t>:</w:t>
      </w:r>
      <w:r w:rsidRPr="00967A77">
        <w:rPr>
          <w:i/>
          <w:iCs/>
          <w:szCs w:val="18"/>
          <w:lang w:val="fr-FR"/>
        </w:rPr>
        <w:t xml:space="preserve"> How to Make the Money Flow for a Net</w:t>
      </w:r>
      <w:r w:rsidR="0051191A" w:rsidRPr="00967A77">
        <w:rPr>
          <w:i/>
          <w:iCs/>
          <w:szCs w:val="18"/>
          <w:lang w:val="fr-FR"/>
        </w:rPr>
        <w:noBreakHyphen/>
      </w:r>
      <w:r w:rsidRPr="00967A77">
        <w:rPr>
          <w:i/>
          <w:iCs/>
          <w:szCs w:val="18"/>
          <w:lang w:val="fr-FR"/>
        </w:rPr>
        <w:t>Zero Economy</w:t>
      </w:r>
      <w:r w:rsidRPr="0053293A">
        <w:rPr>
          <w:szCs w:val="18"/>
          <w:lang w:val="fr-FR"/>
        </w:rPr>
        <w:t xml:space="preserve"> (s</w:t>
      </w:r>
      <w:r w:rsidR="00967A77" w:rsidRPr="00967A77">
        <w:rPr>
          <w:szCs w:val="18"/>
          <w:lang w:val="fr-FR"/>
        </w:rPr>
        <w:t>.</w:t>
      </w:r>
      <w:r w:rsidR="0051191A" w:rsidRPr="0053293A">
        <w:rPr>
          <w:szCs w:val="18"/>
          <w:lang w:val="fr-FR"/>
        </w:rPr>
        <w:t> </w:t>
      </w:r>
      <w:r w:rsidRPr="0053293A">
        <w:rPr>
          <w:szCs w:val="18"/>
          <w:lang w:val="fr-FR"/>
        </w:rPr>
        <w:t>p</w:t>
      </w:r>
      <w:r w:rsidR="00967A77" w:rsidRPr="00967A77">
        <w:rPr>
          <w:szCs w:val="18"/>
          <w:lang w:val="fr-FR"/>
        </w:rPr>
        <w:t>.</w:t>
      </w:r>
      <w:r w:rsidRPr="0053293A">
        <w:rPr>
          <w:szCs w:val="18"/>
          <w:lang w:val="fr-FR"/>
        </w:rPr>
        <w:t xml:space="preserve">, </w:t>
      </w:r>
      <w:r w:rsidRPr="00967A77">
        <w:rPr>
          <w:szCs w:val="18"/>
          <w:lang w:val="fr-FR"/>
        </w:rPr>
        <w:t>2023</w:t>
      </w:r>
      <w:r w:rsidRPr="0053293A">
        <w:rPr>
          <w:szCs w:val="18"/>
          <w:lang w:val="fr-FR"/>
        </w:rPr>
        <w:t>)</w:t>
      </w:r>
      <w:r w:rsidR="00967A77" w:rsidRPr="00967A77">
        <w:rPr>
          <w:szCs w:val="18"/>
          <w:lang w:val="fr-FR"/>
        </w:rPr>
        <w:t>.</w:t>
      </w:r>
    </w:p>
  </w:footnote>
  <w:footnote w:id="24">
    <w:p w14:paraId="014386EF" w14:textId="1962C7A7" w:rsidR="003373A7" w:rsidRPr="0053293A" w:rsidRDefault="003373A7" w:rsidP="00C30EEB">
      <w:pPr>
        <w:pStyle w:val="FootnoteText"/>
        <w:rPr>
          <w:szCs w:val="18"/>
          <w:lang w:val="fr-FR"/>
        </w:rPr>
      </w:pPr>
      <w:r w:rsidRPr="0053293A">
        <w:rPr>
          <w:szCs w:val="18"/>
          <w:lang w:val="fr-FR" w:eastAsia="zh-CN"/>
        </w:rPr>
        <w:tab/>
      </w:r>
      <w:r w:rsidRPr="00967A77">
        <w:rPr>
          <w:rStyle w:val="FootnoteReference"/>
          <w:lang w:val="fr-FR"/>
        </w:rPr>
        <w:footnoteRef/>
      </w:r>
      <w:r w:rsidRPr="0053293A">
        <w:rPr>
          <w:szCs w:val="18"/>
          <w:lang w:val="fr-FR"/>
        </w:rPr>
        <w:tab/>
        <w:t xml:space="preserve">Voir </w:t>
      </w:r>
      <w:hyperlink r:id="rId22" w:history="1">
        <w:r w:rsidR="00D82B54" w:rsidRPr="000F285C">
          <w:rPr>
            <w:rStyle w:val="Hyperlink"/>
            <w:szCs w:val="18"/>
            <w:lang w:val="fr-FR"/>
          </w:rPr>
          <w:t>https://eur-lex</w:t>
        </w:r>
        <w:r w:rsidR="00967A77" w:rsidRPr="000F285C">
          <w:rPr>
            <w:rStyle w:val="Hyperlink"/>
            <w:szCs w:val="18"/>
            <w:lang w:val="fr-FR"/>
          </w:rPr>
          <w:t>.</w:t>
        </w:r>
        <w:r w:rsidR="00D82B54" w:rsidRPr="000F285C">
          <w:rPr>
            <w:rStyle w:val="Hyperlink"/>
            <w:szCs w:val="18"/>
            <w:lang w:val="fr-FR"/>
          </w:rPr>
          <w:t>europa</w:t>
        </w:r>
        <w:r w:rsidR="00967A77" w:rsidRPr="000F285C">
          <w:rPr>
            <w:rStyle w:val="Hyperlink"/>
            <w:szCs w:val="18"/>
            <w:lang w:val="fr-FR"/>
          </w:rPr>
          <w:t>.</w:t>
        </w:r>
        <w:r w:rsidR="00D82B54" w:rsidRPr="000F285C">
          <w:rPr>
            <w:rStyle w:val="Hyperlink"/>
            <w:szCs w:val="18"/>
            <w:lang w:val="fr-FR"/>
          </w:rPr>
          <w:t>eu</w:t>
        </w:r>
        <w:r w:rsidR="00D82B54" w:rsidRPr="000F285C">
          <w:rPr>
            <w:rStyle w:val="Hyperlink"/>
            <w:szCs w:val="18"/>
            <w:lang w:val="fr-FR"/>
          </w:rPr>
          <w:t>/</w:t>
        </w:r>
        <w:r w:rsidR="00D82B54" w:rsidRPr="000F285C">
          <w:rPr>
            <w:rStyle w:val="Hyperlink"/>
            <w:szCs w:val="18"/>
            <w:lang w:val="fr-FR"/>
          </w:rPr>
          <w:t>resource</w:t>
        </w:r>
        <w:r w:rsidR="00967A77" w:rsidRPr="000F285C">
          <w:rPr>
            <w:rStyle w:val="Hyperlink"/>
            <w:szCs w:val="18"/>
            <w:lang w:val="fr-FR"/>
          </w:rPr>
          <w:t>.</w:t>
        </w:r>
        <w:r w:rsidR="00D82B54" w:rsidRPr="000F285C">
          <w:rPr>
            <w:rStyle w:val="Hyperlink"/>
            <w:szCs w:val="18"/>
            <w:lang w:val="fr-FR"/>
          </w:rPr>
          <w:t>html?uri=cell</w:t>
        </w:r>
        <w:r w:rsidR="00D82B54" w:rsidRPr="000F285C">
          <w:rPr>
            <w:rStyle w:val="Hyperlink"/>
            <w:szCs w:val="18"/>
            <w:lang w:val="fr-FR"/>
          </w:rPr>
          <w:t>a</w:t>
        </w:r>
        <w:r w:rsidR="00D82B54" w:rsidRPr="000F285C">
          <w:rPr>
            <w:rStyle w:val="Hyperlink"/>
            <w:szCs w:val="18"/>
            <w:lang w:val="fr-FR"/>
          </w:rPr>
          <w:t>r:9903b325-6388-11ea-b735-01aa75ed71a1</w:t>
        </w:r>
        <w:r w:rsidR="00967A77" w:rsidRPr="000F285C">
          <w:rPr>
            <w:rStyle w:val="Hyperlink"/>
            <w:szCs w:val="18"/>
            <w:lang w:val="fr-FR"/>
          </w:rPr>
          <w:t>.</w:t>
        </w:r>
        <w:r w:rsidR="00D82B54" w:rsidRPr="000F285C">
          <w:rPr>
            <w:rStyle w:val="Hyperlink"/>
            <w:szCs w:val="18"/>
            <w:lang w:val="fr-FR"/>
          </w:rPr>
          <w:t>0013</w:t>
        </w:r>
        <w:r w:rsidR="00967A77" w:rsidRPr="000F285C">
          <w:rPr>
            <w:rStyle w:val="Hyperlink"/>
            <w:szCs w:val="18"/>
            <w:lang w:val="fr-FR"/>
          </w:rPr>
          <w:t>.</w:t>
        </w:r>
        <w:r w:rsidR="00D82B54" w:rsidRPr="000F285C">
          <w:rPr>
            <w:rStyle w:val="Hyperlink"/>
            <w:szCs w:val="18"/>
            <w:lang w:val="fr-FR"/>
          </w:rPr>
          <w:t>02/DOC_1&amp;format=PD</w:t>
        </w:r>
        <w:r w:rsidR="00D82B54" w:rsidRPr="0053293A">
          <w:rPr>
            <w:rStyle w:val="Hyperlink"/>
            <w:szCs w:val="18"/>
            <w:lang w:val="fr-FR"/>
          </w:rPr>
          <w:t>F</w:t>
        </w:r>
      </w:hyperlink>
      <w:r w:rsidR="00967A77" w:rsidRPr="00967A77">
        <w:rPr>
          <w:szCs w:val="18"/>
          <w:lang w:val="fr-FR"/>
        </w:rPr>
        <w:t>.</w:t>
      </w:r>
    </w:p>
  </w:footnote>
  <w:footnote w:id="25">
    <w:p w14:paraId="169C2544" w14:textId="0D30B9DC" w:rsidR="003373A7" w:rsidRPr="0053293A" w:rsidRDefault="003373A7" w:rsidP="00C30EEB">
      <w:pPr>
        <w:pStyle w:val="FootnoteText"/>
        <w:rPr>
          <w:szCs w:val="18"/>
          <w:lang w:val="fr-FR"/>
        </w:rPr>
      </w:pPr>
      <w:r w:rsidRPr="0053293A">
        <w:rPr>
          <w:szCs w:val="18"/>
          <w:lang w:val="fr-FR"/>
        </w:rPr>
        <w:tab/>
      </w:r>
      <w:r w:rsidRPr="00967A77">
        <w:rPr>
          <w:rStyle w:val="FootnoteReference"/>
          <w:lang w:val="fr-FR"/>
        </w:rPr>
        <w:footnoteRef/>
      </w:r>
      <w:r w:rsidRPr="0053293A">
        <w:rPr>
          <w:szCs w:val="18"/>
          <w:lang w:val="fr-FR"/>
        </w:rPr>
        <w:tab/>
        <w:t xml:space="preserve">Voir </w:t>
      </w:r>
      <w:hyperlink r:id="rId23" w:history="1">
        <w:r w:rsidR="00D82B54" w:rsidRPr="0053293A">
          <w:rPr>
            <w:rStyle w:val="Hyperlink"/>
            <w:szCs w:val="18"/>
            <w:lang w:val="fr-FR"/>
          </w:rPr>
          <w:t>http</w:t>
        </w:r>
        <w:r w:rsidR="00D82B54" w:rsidRPr="000F285C">
          <w:rPr>
            <w:rStyle w:val="Hyperlink"/>
            <w:szCs w:val="18"/>
            <w:lang w:val="fr-FR"/>
          </w:rPr>
          <w:t>s://eur-lex</w:t>
        </w:r>
        <w:r w:rsidR="00967A77" w:rsidRPr="000F285C">
          <w:rPr>
            <w:rStyle w:val="Hyperlink"/>
            <w:szCs w:val="18"/>
            <w:lang w:val="fr-FR"/>
          </w:rPr>
          <w:t>.</w:t>
        </w:r>
        <w:r w:rsidR="00D82B54" w:rsidRPr="000F285C">
          <w:rPr>
            <w:rStyle w:val="Hyperlink"/>
            <w:szCs w:val="18"/>
            <w:lang w:val="fr-FR"/>
          </w:rPr>
          <w:t>europa</w:t>
        </w:r>
        <w:r w:rsidR="00967A77" w:rsidRPr="000F285C">
          <w:rPr>
            <w:rStyle w:val="Hyperlink"/>
            <w:szCs w:val="18"/>
            <w:lang w:val="fr-FR"/>
          </w:rPr>
          <w:t>.</w:t>
        </w:r>
        <w:r w:rsidR="00D82B54" w:rsidRPr="000F285C">
          <w:rPr>
            <w:rStyle w:val="Hyperlink"/>
            <w:szCs w:val="18"/>
            <w:lang w:val="fr-FR"/>
          </w:rPr>
          <w:t>eu/resource</w:t>
        </w:r>
        <w:r w:rsidR="00967A77" w:rsidRPr="000F285C">
          <w:rPr>
            <w:rStyle w:val="Hyperlink"/>
            <w:szCs w:val="18"/>
            <w:lang w:val="fr-FR"/>
          </w:rPr>
          <w:t>.</w:t>
        </w:r>
        <w:r w:rsidR="00D82B54" w:rsidRPr="000F285C">
          <w:rPr>
            <w:rStyle w:val="Hyperlink"/>
            <w:szCs w:val="18"/>
            <w:lang w:val="fr-FR"/>
          </w:rPr>
          <w:t>html?uri=cell</w:t>
        </w:r>
        <w:r w:rsidR="00D82B54" w:rsidRPr="000F285C">
          <w:rPr>
            <w:rStyle w:val="Hyperlink"/>
            <w:szCs w:val="18"/>
            <w:lang w:val="fr-FR"/>
          </w:rPr>
          <w:t>a</w:t>
        </w:r>
        <w:r w:rsidR="00D82B54" w:rsidRPr="000F285C">
          <w:rPr>
            <w:rStyle w:val="Hyperlink"/>
            <w:szCs w:val="18"/>
            <w:lang w:val="fr-FR"/>
          </w:rPr>
          <w:t>r:b828d165-1c22-11ea-8c1f-01aa75ed71a1</w:t>
        </w:r>
        <w:r w:rsidR="00967A77" w:rsidRPr="000F285C">
          <w:rPr>
            <w:rStyle w:val="Hyperlink"/>
            <w:szCs w:val="18"/>
            <w:lang w:val="fr-FR"/>
          </w:rPr>
          <w:t>.</w:t>
        </w:r>
        <w:r w:rsidR="00D82B54" w:rsidRPr="000F285C">
          <w:rPr>
            <w:rStyle w:val="Hyperlink"/>
            <w:szCs w:val="18"/>
            <w:lang w:val="fr-FR"/>
          </w:rPr>
          <w:t>0022</w:t>
        </w:r>
        <w:r w:rsidR="00967A77" w:rsidRPr="000F285C">
          <w:rPr>
            <w:rStyle w:val="Hyperlink"/>
            <w:szCs w:val="18"/>
            <w:lang w:val="fr-FR"/>
          </w:rPr>
          <w:t>.</w:t>
        </w:r>
        <w:r w:rsidR="00D82B54" w:rsidRPr="000F285C">
          <w:rPr>
            <w:rStyle w:val="Hyperlink"/>
            <w:szCs w:val="18"/>
            <w:lang w:val="fr-FR"/>
          </w:rPr>
          <w:t>02/DOC_1&amp;f</w:t>
        </w:r>
        <w:r w:rsidR="00D82B54" w:rsidRPr="0053293A">
          <w:rPr>
            <w:rStyle w:val="Hyperlink"/>
            <w:szCs w:val="18"/>
            <w:lang w:val="fr-FR"/>
          </w:rPr>
          <w:t>ormat=PDF</w:t>
        </w:r>
      </w:hyperlink>
      <w:r w:rsidR="00967A77" w:rsidRPr="00967A77">
        <w:rPr>
          <w:szCs w:val="18"/>
          <w:lang w:val="fr-FR"/>
        </w:rPr>
        <w:t>.</w:t>
      </w:r>
    </w:p>
  </w:footnote>
  <w:footnote w:id="26">
    <w:p w14:paraId="7F4E5C25" w14:textId="38700103" w:rsidR="003373A7" w:rsidRPr="0053293A" w:rsidRDefault="003373A7" w:rsidP="00C30EEB">
      <w:pPr>
        <w:pStyle w:val="FootnoteText"/>
        <w:rPr>
          <w:szCs w:val="18"/>
          <w:lang w:val="fr-FR"/>
        </w:rPr>
      </w:pPr>
      <w:r w:rsidRPr="0053293A">
        <w:rPr>
          <w:szCs w:val="18"/>
          <w:lang w:val="fr-FR"/>
        </w:rPr>
        <w:tab/>
      </w:r>
      <w:r w:rsidRPr="00967A77">
        <w:rPr>
          <w:rStyle w:val="FootnoteReference"/>
          <w:lang w:val="fr-FR"/>
        </w:rPr>
        <w:footnoteRef/>
      </w:r>
      <w:r w:rsidRPr="0053293A">
        <w:rPr>
          <w:lang w:val="fr-FR"/>
        </w:rPr>
        <w:tab/>
      </w:r>
      <w:r w:rsidRPr="0053293A">
        <w:rPr>
          <w:szCs w:val="18"/>
          <w:lang w:val="fr-FR"/>
        </w:rPr>
        <w:t xml:space="preserve">Voir </w:t>
      </w:r>
      <w:hyperlink r:id="rId24" w:history="1">
        <w:r w:rsidR="00D82B54" w:rsidRPr="000F285C">
          <w:rPr>
            <w:rStyle w:val="Hyperlink"/>
            <w:szCs w:val="18"/>
            <w:lang w:val="fr-FR"/>
          </w:rPr>
          <w:t>https://eur-lex</w:t>
        </w:r>
        <w:r w:rsidR="00967A77" w:rsidRPr="000F285C">
          <w:rPr>
            <w:rStyle w:val="Hyperlink"/>
            <w:szCs w:val="18"/>
            <w:lang w:val="fr-FR"/>
          </w:rPr>
          <w:t>.</w:t>
        </w:r>
        <w:r w:rsidR="00D82B54" w:rsidRPr="000F285C">
          <w:rPr>
            <w:rStyle w:val="Hyperlink"/>
            <w:szCs w:val="18"/>
            <w:lang w:val="fr-FR"/>
          </w:rPr>
          <w:t>europa</w:t>
        </w:r>
        <w:r w:rsidR="00967A77" w:rsidRPr="000F285C">
          <w:rPr>
            <w:rStyle w:val="Hyperlink"/>
            <w:szCs w:val="18"/>
            <w:lang w:val="fr-FR"/>
          </w:rPr>
          <w:t>.</w:t>
        </w:r>
        <w:r w:rsidR="00D82B54" w:rsidRPr="000F285C">
          <w:rPr>
            <w:rStyle w:val="Hyperlink"/>
            <w:szCs w:val="18"/>
            <w:lang w:val="fr-FR"/>
          </w:rPr>
          <w:t>eu/legal-c</w:t>
        </w:r>
        <w:r w:rsidR="00D82B54" w:rsidRPr="000F285C">
          <w:rPr>
            <w:rStyle w:val="Hyperlink"/>
            <w:szCs w:val="18"/>
            <w:lang w:val="fr-FR"/>
          </w:rPr>
          <w:t>o</w:t>
        </w:r>
        <w:r w:rsidR="00D82B54" w:rsidRPr="000F285C">
          <w:rPr>
            <w:rStyle w:val="Hyperlink"/>
            <w:szCs w:val="18"/>
            <w:lang w:val="fr-FR"/>
          </w:rPr>
          <w:t>ntent/fr/TXT/PDF/?uri=CELEX:32021R1119</w:t>
        </w:r>
      </w:hyperlink>
      <w:r w:rsidR="00967A77" w:rsidRPr="00967A77">
        <w:rPr>
          <w:szCs w:val="18"/>
          <w:lang w:val="fr-FR"/>
        </w:rPr>
        <w:t>.</w:t>
      </w:r>
    </w:p>
  </w:footnote>
  <w:footnote w:id="27">
    <w:p w14:paraId="7C31F6DB" w14:textId="192AD648" w:rsidR="003373A7" w:rsidRPr="0053293A" w:rsidRDefault="003373A7" w:rsidP="00C30EEB">
      <w:pPr>
        <w:pStyle w:val="FootnoteText"/>
        <w:rPr>
          <w:szCs w:val="18"/>
          <w:lang w:val="fr-FR"/>
        </w:rPr>
      </w:pPr>
      <w:r w:rsidRPr="0053293A">
        <w:rPr>
          <w:szCs w:val="18"/>
          <w:lang w:val="fr-FR"/>
        </w:rPr>
        <w:tab/>
      </w:r>
      <w:r w:rsidRPr="00967A77">
        <w:rPr>
          <w:rStyle w:val="FootnoteReference"/>
          <w:lang w:val="fr-FR"/>
        </w:rPr>
        <w:footnoteRef/>
      </w:r>
      <w:r w:rsidRPr="0053293A">
        <w:rPr>
          <w:szCs w:val="18"/>
          <w:lang w:val="fr-FR"/>
        </w:rPr>
        <w:tab/>
        <w:t xml:space="preserve">Voir </w:t>
      </w:r>
      <w:hyperlink r:id="rId25" w:history="1">
        <w:r w:rsidR="00D82B54" w:rsidRPr="0053293A">
          <w:rPr>
            <w:rStyle w:val="Hyperlink"/>
            <w:szCs w:val="18"/>
            <w:lang w:val="fr-FR"/>
          </w:rPr>
          <w:t>https://www</w:t>
        </w:r>
        <w:r w:rsidR="00967A77" w:rsidRPr="00967A77">
          <w:rPr>
            <w:rStyle w:val="Hyperlink"/>
            <w:szCs w:val="18"/>
            <w:lang w:val="fr-FR"/>
          </w:rPr>
          <w:t>.</w:t>
        </w:r>
        <w:r w:rsidR="00D82B54" w:rsidRPr="0053293A">
          <w:rPr>
            <w:rStyle w:val="Hyperlink"/>
            <w:szCs w:val="18"/>
            <w:lang w:val="fr-FR"/>
          </w:rPr>
          <w:t>cons</w:t>
        </w:r>
        <w:r w:rsidR="00D82B54" w:rsidRPr="0053293A">
          <w:rPr>
            <w:rStyle w:val="Hyperlink"/>
            <w:szCs w:val="18"/>
            <w:lang w:val="fr-FR"/>
          </w:rPr>
          <w:t>i</w:t>
        </w:r>
        <w:r w:rsidR="00D82B54" w:rsidRPr="0053293A">
          <w:rPr>
            <w:rStyle w:val="Hyperlink"/>
            <w:szCs w:val="18"/>
            <w:lang w:val="fr-FR"/>
          </w:rPr>
          <w:t>lium</w:t>
        </w:r>
        <w:r w:rsidR="00967A77" w:rsidRPr="00967A77">
          <w:rPr>
            <w:rStyle w:val="Hyperlink"/>
            <w:szCs w:val="18"/>
            <w:lang w:val="fr-FR"/>
          </w:rPr>
          <w:t>.</w:t>
        </w:r>
        <w:r w:rsidR="00D82B54" w:rsidRPr="0053293A">
          <w:rPr>
            <w:rStyle w:val="Hyperlink"/>
            <w:szCs w:val="18"/>
            <w:lang w:val="fr-FR"/>
          </w:rPr>
          <w:t>europ</w:t>
        </w:r>
        <w:r w:rsidR="00D82B54" w:rsidRPr="0053293A">
          <w:rPr>
            <w:rStyle w:val="Hyperlink"/>
            <w:szCs w:val="18"/>
            <w:lang w:val="fr-FR"/>
          </w:rPr>
          <w:t>a</w:t>
        </w:r>
        <w:r w:rsidR="00967A77" w:rsidRPr="00967A77">
          <w:rPr>
            <w:rStyle w:val="Hyperlink"/>
            <w:szCs w:val="18"/>
            <w:lang w:val="fr-FR"/>
          </w:rPr>
          <w:t>.</w:t>
        </w:r>
        <w:r w:rsidR="00D82B54" w:rsidRPr="0053293A">
          <w:rPr>
            <w:rStyle w:val="Hyperlink"/>
            <w:szCs w:val="18"/>
            <w:lang w:val="fr-FR"/>
          </w:rPr>
          <w:t>eu/fr/policies/gree</w:t>
        </w:r>
        <w:r w:rsidR="00D82B54" w:rsidRPr="000F285C">
          <w:rPr>
            <w:rStyle w:val="Hyperlink"/>
            <w:szCs w:val="18"/>
            <w:lang w:val="fr-FR"/>
          </w:rPr>
          <w:t>n-deal/fit-for-55-the-eu</w:t>
        </w:r>
        <w:r w:rsidR="00D82B54" w:rsidRPr="0053293A">
          <w:rPr>
            <w:rStyle w:val="Hyperlink"/>
            <w:szCs w:val="18"/>
            <w:lang w:val="fr-FR"/>
          </w:rPr>
          <w:t>-plan-for-a-green-transition/</w:t>
        </w:r>
      </w:hyperlink>
      <w:r w:rsidR="00967A77" w:rsidRPr="00967A77">
        <w:rPr>
          <w:szCs w:val="18"/>
          <w:lang w:val="fr-FR"/>
        </w:rPr>
        <w:t>.</w:t>
      </w:r>
    </w:p>
  </w:footnote>
  <w:footnote w:id="28">
    <w:p w14:paraId="23D81816" w14:textId="4F682D81" w:rsidR="003373A7" w:rsidRPr="0053293A" w:rsidRDefault="003373A7" w:rsidP="00C30EEB">
      <w:pPr>
        <w:pStyle w:val="FootnoteText"/>
        <w:rPr>
          <w:szCs w:val="18"/>
          <w:lang w:val="fr-FR"/>
        </w:rPr>
      </w:pPr>
      <w:r w:rsidRPr="0053293A">
        <w:rPr>
          <w:szCs w:val="18"/>
          <w:lang w:val="fr-FR"/>
        </w:rPr>
        <w:tab/>
      </w:r>
      <w:r w:rsidRPr="00967A77">
        <w:rPr>
          <w:rStyle w:val="FootnoteReference"/>
          <w:lang w:val="fr-FR"/>
        </w:rPr>
        <w:footnoteRef/>
      </w:r>
      <w:r w:rsidRPr="0053293A">
        <w:rPr>
          <w:szCs w:val="18"/>
          <w:lang w:val="fr-FR"/>
        </w:rPr>
        <w:tab/>
        <w:t xml:space="preserve">Voir </w:t>
      </w:r>
      <w:hyperlink r:id="rId26" w:history="1">
        <w:r w:rsidR="00D82B54" w:rsidRPr="0053293A">
          <w:rPr>
            <w:rStyle w:val="Hyperlink"/>
            <w:szCs w:val="18"/>
            <w:lang w:val="fr-FR"/>
          </w:rPr>
          <w:t>https://unfccc</w:t>
        </w:r>
        <w:r w:rsidR="00967A77" w:rsidRPr="00967A77">
          <w:rPr>
            <w:rStyle w:val="Hyperlink"/>
            <w:szCs w:val="18"/>
            <w:lang w:val="fr-FR"/>
          </w:rPr>
          <w:t>.</w:t>
        </w:r>
        <w:r w:rsidR="00D82B54" w:rsidRPr="0053293A">
          <w:rPr>
            <w:rStyle w:val="Hyperlink"/>
            <w:szCs w:val="18"/>
            <w:lang w:val="fr-FR"/>
          </w:rPr>
          <w:t>int/fr/</w:t>
        </w:r>
        <w:r w:rsidR="00D82B54" w:rsidRPr="0053293A">
          <w:rPr>
            <w:rStyle w:val="Hyperlink"/>
            <w:szCs w:val="18"/>
            <w:lang w:val="fr-FR"/>
          </w:rPr>
          <w:t>a</w:t>
        </w:r>
        <w:r w:rsidR="00D82B54" w:rsidRPr="0053293A">
          <w:rPr>
            <w:rStyle w:val="Hyperlink"/>
            <w:szCs w:val="18"/>
            <w:lang w:val="fr-FR"/>
          </w:rPr>
          <w:t>-propos-des-ndcs/contributions-determinees-au-niveau-national-ndcs</w:t>
        </w:r>
      </w:hyperlink>
      <w:r w:rsidR="00967A77" w:rsidRPr="00967A77">
        <w:rPr>
          <w:szCs w:val="18"/>
          <w:lang w:val="fr-FR"/>
        </w:rPr>
        <w:t>.</w:t>
      </w:r>
    </w:p>
  </w:footnote>
  <w:footnote w:id="29">
    <w:p w14:paraId="3420C674" w14:textId="114ACA9F" w:rsidR="003373A7" w:rsidRPr="0053293A" w:rsidRDefault="003373A7" w:rsidP="00C30EEB">
      <w:pPr>
        <w:pStyle w:val="FootnoteText"/>
        <w:rPr>
          <w:szCs w:val="18"/>
          <w:lang w:val="fr-FR"/>
        </w:rPr>
      </w:pPr>
      <w:r w:rsidRPr="0053293A">
        <w:rPr>
          <w:szCs w:val="18"/>
          <w:lang w:val="fr-FR"/>
        </w:rPr>
        <w:tab/>
      </w:r>
      <w:r w:rsidRPr="00967A77">
        <w:rPr>
          <w:rStyle w:val="FootnoteReference"/>
          <w:lang w:val="fr-FR"/>
        </w:rPr>
        <w:footnoteRef/>
      </w:r>
      <w:r w:rsidRPr="0053293A">
        <w:rPr>
          <w:szCs w:val="18"/>
          <w:lang w:val="fr-FR"/>
        </w:rPr>
        <w:tab/>
      </w:r>
      <w:r w:rsidRPr="0053293A">
        <w:rPr>
          <w:szCs w:val="18"/>
          <w:lang w:val="fr-FR"/>
        </w:rPr>
        <w:tab/>
        <w:t>Toute mention du Kosovo s</w:t>
      </w:r>
      <w:r w:rsidR="00053E12" w:rsidRPr="0053293A">
        <w:rPr>
          <w:szCs w:val="18"/>
          <w:lang w:val="fr-FR"/>
        </w:rPr>
        <w:t>’</w:t>
      </w:r>
      <w:r w:rsidRPr="0053293A">
        <w:rPr>
          <w:szCs w:val="18"/>
          <w:lang w:val="fr-FR"/>
        </w:rPr>
        <w:t>entend ici au sens de la résolution </w:t>
      </w:r>
      <w:hyperlink r:id="rId27" w:history="1">
        <w:r w:rsidRPr="00967A77">
          <w:rPr>
            <w:rStyle w:val="Hyperlink"/>
            <w:color w:val="auto"/>
            <w:szCs w:val="18"/>
            <w:lang w:val="fr-FR"/>
          </w:rPr>
          <w:t>1244</w:t>
        </w:r>
        <w:r w:rsidRPr="0053293A">
          <w:rPr>
            <w:rStyle w:val="Hyperlink"/>
            <w:szCs w:val="18"/>
            <w:lang w:val="fr-FR"/>
          </w:rPr>
          <w:t xml:space="preserve"> (</w:t>
        </w:r>
        <w:r w:rsidRPr="00967A77">
          <w:rPr>
            <w:rStyle w:val="Hyperlink"/>
            <w:color w:val="auto"/>
            <w:szCs w:val="18"/>
            <w:lang w:val="fr-FR"/>
          </w:rPr>
          <w:t>1999</w:t>
        </w:r>
        <w:r w:rsidRPr="0053293A">
          <w:rPr>
            <w:rStyle w:val="Hyperlink"/>
            <w:szCs w:val="18"/>
            <w:lang w:val="fr-FR"/>
          </w:rPr>
          <w:t>)</w:t>
        </w:r>
      </w:hyperlink>
      <w:r w:rsidRPr="0053293A">
        <w:rPr>
          <w:szCs w:val="18"/>
          <w:lang w:val="fr-FR"/>
        </w:rPr>
        <w:t xml:space="preserve"> du Conseil de sécurité</w:t>
      </w:r>
      <w:r w:rsidR="00967A77" w:rsidRPr="00967A77">
        <w:rPr>
          <w:szCs w:val="18"/>
          <w:lang w:val="fr-FR"/>
        </w:rPr>
        <w:t>.</w:t>
      </w:r>
    </w:p>
  </w:footnote>
  <w:footnote w:id="30">
    <w:p w14:paraId="686A2E66" w14:textId="521792F2" w:rsidR="003373A7" w:rsidRPr="0053293A" w:rsidRDefault="003373A7" w:rsidP="00C30EEB">
      <w:pPr>
        <w:pStyle w:val="FootnoteText"/>
        <w:rPr>
          <w:szCs w:val="18"/>
          <w:lang w:val="fr-FR"/>
        </w:rPr>
      </w:pPr>
      <w:r w:rsidRPr="0053293A">
        <w:rPr>
          <w:szCs w:val="18"/>
          <w:lang w:val="fr-FR"/>
        </w:rPr>
        <w:tab/>
      </w:r>
      <w:r w:rsidRPr="00967A77">
        <w:rPr>
          <w:rStyle w:val="FootnoteReference"/>
          <w:lang w:val="fr-FR"/>
        </w:rPr>
        <w:footnoteRef/>
      </w:r>
      <w:r w:rsidRPr="0053293A">
        <w:rPr>
          <w:szCs w:val="18"/>
          <w:lang w:val="fr-FR"/>
        </w:rPr>
        <w:tab/>
        <w:t xml:space="preserve">Voir </w:t>
      </w:r>
      <w:hyperlink r:id="rId28" w:history="1">
        <w:r w:rsidR="00D82B54" w:rsidRPr="0053293A">
          <w:rPr>
            <w:rStyle w:val="Hyperlink"/>
            <w:szCs w:val="18"/>
            <w:lang w:val="fr-FR"/>
          </w:rPr>
          <w:t>www</w:t>
        </w:r>
        <w:r w:rsidR="00967A77" w:rsidRPr="000F285C">
          <w:rPr>
            <w:rStyle w:val="Hyperlink"/>
            <w:szCs w:val="18"/>
            <w:lang w:val="fr-FR"/>
          </w:rPr>
          <w:t>.</w:t>
        </w:r>
        <w:r w:rsidR="00D82B54" w:rsidRPr="000F285C">
          <w:rPr>
            <w:rStyle w:val="Hyperlink"/>
            <w:szCs w:val="18"/>
            <w:lang w:val="fr-FR"/>
          </w:rPr>
          <w:t>ren21</w:t>
        </w:r>
        <w:r w:rsidR="00967A77" w:rsidRPr="000F285C">
          <w:rPr>
            <w:rStyle w:val="Hyperlink"/>
            <w:szCs w:val="18"/>
            <w:lang w:val="fr-FR"/>
          </w:rPr>
          <w:t>.</w:t>
        </w:r>
        <w:r w:rsidR="00D82B54" w:rsidRPr="000F285C">
          <w:rPr>
            <w:rStyle w:val="Hyperlink"/>
            <w:szCs w:val="18"/>
            <w:lang w:val="fr-FR"/>
          </w:rPr>
          <w:t>net/wp-con</w:t>
        </w:r>
        <w:r w:rsidR="00D82B54" w:rsidRPr="000F285C">
          <w:rPr>
            <w:rStyle w:val="Hyperlink"/>
            <w:szCs w:val="18"/>
            <w:lang w:val="fr-FR"/>
          </w:rPr>
          <w:t>t</w:t>
        </w:r>
        <w:r w:rsidR="00D82B54" w:rsidRPr="000F285C">
          <w:rPr>
            <w:rStyle w:val="Hyperlink"/>
            <w:szCs w:val="18"/>
            <w:lang w:val="fr-FR"/>
          </w:rPr>
          <w:t>ent/uploads/2019/05/REN21_UNECE2022_Fu</w:t>
        </w:r>
        <w:r w:rsidR="00D82B54" w:rsidRPr="000F285C">
          <w:rPr>
            <w:rStyle w:val="Hyperlink"/>
            <w:szCs w:val="18"/>
            <w:lang w:val="fr-FR"/>
          </w:rPr>
          <w:t>l</w:t>
        </w:r>
        <w:r w:rsidR="00D82B54" w:rsidRPr="000F285C">
          <w:rPr>
            <w:rStyle w:val="Hyperlink"/>
            <w:szCs w:val="18"/>
            <w:lang w:val="fr-FR"/>
          </w:rPr>
          <w:t>l</w:t>
        </w:r>
        <w:r w:rsidR="00D82B54" w:rsidRPr="0053293A">
          <w:rPr>
            <w:rStyle w:val="Hyperlink"/>
            <w:szCs w:val="18"/>
            <w:lang w:val="fr-FR"/>
          </w:rPr>
          <w:t>Report</w:t>
        </w:r>
        <w:r w:rsidR="00967A77" w:rsidRPr="00967A77">
          <w:rPr>
            <w:rStyle w:val="Hyperlink"/>
            <w:szCs w:val="18"/>
            <w:lang w:val="fr-FR"/>
          </w:rPr>
          <w:t>.</w:t>
        </w:r>
        <w:r w:rsidR="00D82B54" w:rsidRPr="0053293A">
          <w:rPr>
            <w:rStyle w:val="Hyperlink"/>
            <w:szCs w:val="18"/>
            <w:lang w:val="fr-FR"/>
          </w:rPr>
          <w:t>pdf</w:t>
        </w:r>
      </w:hyperlink>
      <w:r w:rsidR="00967A77" w:rsidRPr="00967A77">
        <w:rPr>
          <w:szCs w:val="18"/>
          <w:lang w:val="fr-FR"/>
        </w:rPr>
        <w:t>.</w:t>
      </w:r>
    </w:p>
  </w:footnote>
  <w:footnote w:id="31">
    <w:p w14:paraId="4C82EC3A" w14:textId="1AE7C1B1" w:rsidR="003373A7" w:rsidRPr="0053293A" w:rsidRDefault="003373A7" w:rsidP="00C30EEB">
      <w:pPr>
        <w:pStyle w:val="FootnoteText"/>
        <w:rPr>
          <w:szCs w:val="18"/>
          <w:lang w:val="fr-FR"/>
        </w:rPr>
      </w:pPr>
      <w:r w:rsidRPr="0053293A">
        <w:rPr>
          <w:szCs w:val="18"/>
          <w:lang w:val="fr-FR"/>
        </w:rPr>
        <w:tab/>
      </w:r>
      <w:r w:rsidRPr="00967A77">
        <w:rPr>
          <w:rStyle w:val="FootnoteReference"/>
          <w:lang w:val="fr-FR"/>
        </w:rPr>
        <w:footnoteRef/>
      </w:r>
      <w:r w:rsidRPr="0053293A">
        <w:rPr>
          <w:szCs w:val="18"/>
          <w:lang w:val="fr-FR"/>
        </w:rPr>
        <w:tab/>
        <w:t xml:space="preserve">Voir </w:t>
      </w:r>
      <w:hyperlink r:id="rId29" w:history="1">
        <w:r w:rsidR="00D82B54" w:rsidRPr="0053293A">
          <w:rPr>
            <w:rStyle w:val="Hyperlink"/>
            <w:szCs w:val="18"/>
            <w:lang w:val="fr-FR"/>
          </w:rPr>
          <w:t>https://energypress</w:t>
        </w:r>
        <w:r w:rsidR="00967A77" w:rsidRPr="00967A77">
          <w:rPr>
            <w:rStyle w:val="Hyperlink"/>
            <w:szCs w:val="18"/>
            <w:lang w:val="fr-FR"/>
          </w:rPr>
          <w:t>.</w:t>
        </w:r>
        <w:r w:rsidR="00D82B54" w:rsidRPr="0053293A">
          <w:rPr>
            <w:rStyle w:val="Hyperlink"/>
            <w:szCs w:val="18"/>
            <w:lang w:val="fr-FR"/>
          </w:rPr>
          <w:t>eu/tag/res-sec</w:t>
        </w:r>
        <w:r w:rsidR="00D82B54" w:rsidRPr="0053293A">
          <w:rPr>
            <w:rStyle w:val="Hyperlink"/>
            <w:szCs w:val="18"/>
            <w:lang w:val="fr-FR"/>
          </w:rPr>
          <w:t>t</w:t>
        </w:r>
        <w:r w:rsidR="00D82B54" w:rsidRPr="0053293A">
          <w:rPr>
            <w:rStyle w:val="Hyperlink"/>
            <w:szCs w:val="18"/>
            <w:lang w:val="fr-FR"/>
          </w:rPr>
          <w:t>or-special-spatial-plan/</w:t>
        </w:r>
      </w:hyperlink>
      <w:r w:rsidR="00967A77" w:rsidRPr="00967A77">
        <w:rPr>
          <w:szCs w:val="18"/>
          <w:lang w:val="fr-FR"/>
        </w:rPr>
        <w:t>.</w:t>
      </w:r>
    </w:p>
  </w:footnote>
  <w:footnote w:id="32">
    <w:p w14:paraId="55AD397F" w14:textId="33738B97" w:rsidR="003373A7" w:rsidRPr="0053293A" w:rsidRDefault="003373A7" w:rsidP="00C30EEB">
      <w:pPr>
        <w:pStyle w:val="FootnoteText"/>
        <w:rPr>
          <w:szCs w:val="18"/>
          <w:lang w:val="fr-FR"/>
        </w:rPr>
      </w:pPr>
      <w:r w:rsidRPr="0053293A">
        <w:rPr>
          <w:szCs w:val="18"/>
          <w:lang w:val="fr-FR"/>
        </w:rPr>
        <w:tab/>
      </w:r>
      <w:r w:rsidRPr="00967A77">
        <w:rPr>
          <w:rStyle w:val="FootnoteReference"/>
          <w:lang w:val="fr-FR"/>
        </w:rPr>
        <w:footnoteRef/>
      </w:r>
      <w:r w:rsidRPr="0053293A">
        <w:rPr>
          <w:szCs w:val="18"/>
          <w:lang w:val="fr-FR"/>
        </w:rPr>
        <w:tab/>
        <w:t xml:space="preserve">Gernot Stoeglehner, </w:t>
      </w:r>
      <w:r w:rsidR="00D82B54" w:rsidRPr="0053293A">
        <w:rPr>
          <w:szCs w:val="18"/>
          <w:lang w:val="fr-FR"/>
        </w:rPr>
        <w:t>« </w:t>
      </w:r>
      <w:r w:rsidRPr="0053293A">
        <w:rPr>
          <w:szCs w:val="18"/>
          <w:lang w:val="fr-FR"/>
        </w:rPr>
        <w:t>Integrated spatial and energy planning</w:t>
      </w:r>
      <w:r w:rsidR="00053E12" w:rsidRPr="0053293A">
        <w:rPr>
          <w:szCs w:val="18"/>
          <w:lang w:val="fr-FR"/>
        </w:rPr>
        <w:t>:</w:t>
      </w:r>
      <w:r w:rsidRPr="0053293A">
        <w:rPr>
          <w:szCs w:val="18"/>
          <w:lang w:val="fr-FR"/>
        </w:rPr>
        <w:t xml:space="preserve"> a means to reach sustainable development goals</w:t>
      </w:r>
      <w:r w:rsidR="00D82B54" w:rsidRPr="0053293A">
        <w:rPr>
          <w:szCs w:val="18"/>
          <w:lang w:val="fr-FR"/>
        </w:rPr>
        <w:t> »</w:t>
      </w:r>
      <w:r w:rsidRPr="0053293A">
        <w:rPr>
          <w:szCs w:val="18"/>
          <w:lang w:val="fr-FR"/>
        </w:rPr>
        <w:t xml:space="preserve">, </w:t>
      </w:r>
      <w:r w:rsidRPr="00967A77">
        <w:rPr>
          <w:i/>
          <w:iCs/>
          <w:szCs w:val="18"/>
          <w:lang w:val="fr-FR"/>
        </w:rPr>
        <w:t>Evolutionary and Institutional Economics Review</w:t>
      </w:r>
      <w:r w:rsidRPr="0053293A">
        <w:rPr>
          <w:szCs w:val="18"/>
          <w:lang w:val="fr-FR"/>
        </w:rPr>
        <w:t xml:space="preserve">, </w:t>
      </w:r>
      <w:r w:rsidR="003B1E3E" w:rsidRPr="0053293A">
        <w:rPr>
          <w:szCs w:val="18"/>
          <w:lang w:val="fr-FR"/>
        </w:rPr>
        <w:t>vol. </w:t>
      </w:r>
      <w:r w:rsidRPr="00967A77">
        <w:rPr>
          <w:szCs w:val="18"/>
          <w:lang w:val="fr-FR"/>
        </w:rPr>
        <w:t>17</w:t>
      </w:r>
      <w:r w:rsidRPr="0053293A">
        <w:rPr>
          <w:szCs w:val="18"/>
          <w:lang w:val="fr-FR"/>
        </w:rPr>
        <w:t xml:space="preserve"> (</w:t>
      </w:r>
      <w:r w:rsidRPr="00967A77">
        <w:rPr>
          <w:szCs w:val="18"/>
          <w:lang w:val="fr-FR"/>
        </w:rPr>
        <w:t>2020</w:t>
      </w:r>
      <w:r w:rsidRPr="0053293A">
        <w:rPr>
          <w:szCs w:val="18"/>
          <w:lang w:val="fr-FR"/>
        </w:rPr>
        <w:t xml:space="preserve">), </w:t>
      </w:r>
      <w:r w:rsidR="00D82B54" w:rsidRPr="0053293A">
        <w:rPr>
          <w:szCs w:val="18"/>
          <w:lang w:val="fr-FR"/>
        </w:rPr>
        <w:t>p</w:t>
      </w:r>
      <w:r w:rsidR="00967A77" w:rsidRPr="00967A77">
        <w:rPr>
          <w:szCs w:val="18"/>
          <w:lang w:val="fr-FR"/>
        </w:rPr>
        <w:t>.</w:t>
      </w:r>
      <w:r w:rsidR="00D82B54" w:rsidRPr="0053293A">
        <w:rPr>
          <w:szCs w:val="18"/>
          <w:lang w:val="fr-FR"/>
        </w:rPr>
        <w:t> </w:t>
      </w:r>
      <w:r w:rsidRPr="00967A77">
        <w:rPr>
          <w:szCs w:val="18"/>
          <w:lang w:val="fr-FR"/>
        </w:rPr>
        <w:t>473</w:t>
      </w:r>
      <w:r w:rsidRPr="0053293A">
        <w:rPr>
          <w:szCs w:val="18"/>
          <w:lang w:val="fr-FR"/>
        </w:rPr>
        <w:t xml:space="preserve"> à </w:t>
      </w:r>
      <w:r w:rsidRPr="00967A77">
        <w:rPr>
          <w:szCs w:val="18"/>
          <w:lang w:val="fr-FR"/>
        </w:rPr>
        <w:t>486</w:t>
      </w:r>
      <w:r w:rsidR="00967A77" w:rsidRPr="00967A77">
        <w:rPr>
          <w:szCs w:val="18"/>
          <w:lang w:val="fr-FR"/>
        </w:rPr>
        <w:t>.</w:t>
      </w:r>
    </w:p>
  </w:footnote>
  <w:footnote w:id="33">
    <w:p w14:paraId="7183A177" w14:textId="5D456BE4" w:rsidR="003373A7" w:rsidRPr="0053293A" w:rsidRDefault="003373A7" w:rsidP="00C30EEB">
      <w:pPr>
        <w:pStyle w:val="FootnoteText"/>
        <w:rPr>
          <w:szCs w:val="18"/>
          <w:lang w:val="fr-FR"/>
        </w:rPr>
      </w:pPr>
      <w:r w:rsidRPr="0053293A">
        <w:rPr>
          <w:szCs w:val="18"/>
          <w:lang w:val="fr-FR"/>
        </w:rPr>
        <w:tab/>
      </w:r>
      <w:r w:rsidRPr="00967A77">
        <w:rPr>
          <w:rStyle w:val="FootnoteReference"/>
          <w:lang w:val="fr-FR"/>
        </w:rPr>
        <w:footnoteRef/>
      </w:r>
      <w:r w:rsidRPr="0053293A">
        <w:rPr>
          <w:szCs w:val="18"/>
          <w:lang w:val="fr-FR"/>
        </w:rPr>
        <w:tab/>
        <w:t xml:space="preserve">Voir </w:t>
      </w:r>
      <w:hyperlink r:id="rId30" w:history="1">
        <w:r w:rsidR="00D82B54" w:rsidRPr="0053293A">
          <w:rPr>
            <w:rStyle w:val="Hyperlink"/>
            <w:szCs w:val="18"/>
            <w:lang w:val="fr-FR"/>
          </w:rPr>
          <w:t>https://curia</w:t>
        </w:r>
        <w:r w:rsidR="00967A77" w:rsidRPr="00967A77">
          <w:rPr>
            <w:rStyle w:val="Hyperlink"/>
            <w:szCs w:val="18"/>
            <w:lang w:val="fr-FR"/>
          </w:rPr>
          <w:t>.</w:t>
        </w:r>
        <w:r w:rsidR="00D82B54" w:rsidRPr="0053293A">
          <w:rPr>
            <w:rStyle w:val="Hyperlink"/>
            <w:szCs w:val="18"/>
            <w:lang w:val="fr-FR"/>
          </w:rPr>
          <w:t>eu</w:t>
        </w:r>
        <w:r w:rsidR="00D82B54" w:rsidRPr="0053293A">
          <w:rPr>
            <w:rStyle w:val="Hyperlink"/>
            <w:szCs w:val="18"/>
            <w:lang w:val="fr-FR"/>
          </w:rPr>
          <w:t>r</w:t>
        </w:r>
        <w:r w:rsidR="00D82B54" w:rsidRPr="0053293A">
          <w:rPr>
            <w:rStyle w:val="Hyperlink"/>
            <w:szCs w:val="18"/>
            <w:lang w:val="fr-FR"/>
          </w:rPr>
          <w:t>opa</w:t>
        </w:r>
        <w:r w:rsidR="00967A77" w:rsidRPr="00967A77">
          <w:rPr>
            <w:rStyle w:val="Hyperlink"/>
            <w:szCs w:val="18"/>
            <w:lang w:val="fr-FR"/>
          </w:rPr>
          <w:t>.</w:t>
        </w:r>
        <w:r w:rsidR="00D82B54" w:rsidRPr="0053293A">
          <w:rPr>
            <w:rStyle w:val="Hyperlink"/>
            <w:szCs w:val="18"/>
            <w:lang w:val="fr-FR"/>
          </w:rPr>
          <w:t>eu/juris/document/document</w:t>
        </w:r>
        <w:r w:rsidR="00967A77" w:rsidRPr="00967A77">
          <w:rPr>
            <w:rStyle w:val="Hyperlink"/>
            <w:szCs w:val="18"/>
            <w:lang w:val="fr-FR"/>
          </w:rPr>
          <w:t>.</w:t>
        </w:r>
        <w:r w:rsidR="00D82B54" w:rsidRPr="0053293A">
          <w:rPr>
            <w:rStyle w:val="Hyperlink"/>
            <w:szCs w:val="18"/>
            <w:lang w:val="fr-FR"/>
          </w:rPr>
          <w:t>jsf?doci</w:t>
        </w:r>
        <w:r w:rsidR="00D82B54" w:rsidRPr="000F285C">
          <w:rPr>
            <w:rStyle w:val="Hyperlink"/>
            <w:szCs w:val="18"/>
            <w:lang w:val="fr-FR"/>
          </w:rPr>
          <w:t>d=173520</w:t>
        </w:r>
        <w:r w:rsidR="00D82B54" w:rsidRPr="0053293A">
          <w:rPr>
            <w:rStyle w:val="Hyperlink"/>
            <w:szCs w:val="18"/>
            <w:lang w:val="fr-FR"/>
          </w:rPr>
          <w:t>&amp;doclang=FR</w:t>
        </w:r>
      </w:hyperlink>
      <w:r w:rsidR="00967A77" w:rsidRPr="00967A77">
        <w:rPr>
          <w:szCs w:val="18"/>
          <w:lang w:val="fr-FR"/>
        </w:rPr>
        <w:t>.</w:t>
      </w:r>
    </w:p>
  </w:footnote>
  <w:footnote w:id="34">
    <w:p w14:paraId="61D63463" w14:textId="68499320" w:rsidR="003373A7" w:rsidRPr="0053293A" w:rsidRDefault="003373A7" w:rsidP="00C30EEB">
      <w:pPr>
        <w:pStyle w:val="FootnoteText"/>
        <w:rPr>
          <w:szCs w:val="18"/>
          <w:lang w:val="fr-FR"/>
        </w:rPr>
      </w:pPr>
      <w:r w:rsidRPr="0053293A">
        <w:rPr>
          <w:szCs w:val="18"/>
          <w:lang w:val="fr-FR"/>
        </w:rPr>
        <w:tab/>
      </w:r>
      <w:r w:rsidRPr="00967A77">
        <w:rPr>
          <w:rStyle w:val="FootnoteReference"/>
          <w:lang w:val="fr-FR"/>
        </w:rPr>
        <w:footnoteRef/>
      </w:r>
      <w:r w:rsidRPr="0053293A">
        <w:rPr>
          <w:szCs w:val="18"/>
          <w:lang w:val="fr-FR"/>
        </w:rPr>
        <w:tab/>
        <w:t xml:space="preserve">Voir </w:t>
      </w:r>
      <w:hyperlink r:id="rId31" w:history="1">
        <w:r w:rsidR="00D82B54" w:rsidRPr="0053293A">
          <w:rPr>
            <w:rStyle w:val="Hyperlink"/>
            <w:szCs w:val="18"/>
            <w:lang w:val="fr-FR"/>
          </w:rPr>
          <w:t>https://unece</w:t>
        </w:r>
        <w:r w:rsidR="00967A77" w:rsidRPr="00967A77">
          <w:rPr>
            <w:rStyle w:val="Hyperlink"/>
            <w:szCs w:val="18"/>
            <w:lang w:val="fr-FR"/>
          </w:rPr>
          <w:t>.</w:t>
        </w:r>
        <w:r w:rsidR="00D82B54" w:rsidRPr="0053293A">
          <w:rPr>
            <w:rStyle w:val="Hyperlink"/>
            <w:szCs w:val="18"/>
            <w:lang w:val="fr-FR"/>
          </w:rPr>
          <w:t>org/DAM/env/eia/</w:t>
        </w:r>
        <w:r w:rsidR="00D82B54" w:rsidRPr="0053293A">
          <w:rPr>
            <w:rStyle w:val="Hyperlink"/>
            <w:szCs w:val="18"/>
            <w:lang w:val="fr-FR"/>
          </w:rPr>
          <w:t>P</w:t>
        </w:r>
        <w:r w:rsidR="00D82B54" w:rsidRPr="0053293A">
          <w:rPr>
            <w:rStyle w:val="Hyperlink"/>
            <w:szCs w:val="18"/>
            <w:lang w:val="fr-FR"/>
          </w:rPr>
          <w:t>ub</w:t>
        </w:r>
        <w:r w:rsidR="00D82B54" w:rsidRPr="000F285C">
          <w:rPr>
            <w:rStyle w:val="Hyperlink"/>
            <w:szCs w:val="18"/>
            <w:lang w:val="fr-FR"/>
          </w:rPr>
          <w:t>lications/2017/1735979_FR_w</w:t>
        </w:r>
        <w:r w:rsidR="00D82B54" w:rsidRPr="0053293A">
          <w:rPr>
            <w:rStyle w:val="Hyperlink"/>
            <w:szCs w:val="18"/>
            <w:lang w:val="fr-FR"/>
          </w:rPr>
          <w:t>eb</w:t>
        </w:r>
        <w:r w:rsidR="00967A77" w:rsidRPr="00967A77">
          <w:rPr>
            <w:rStyle w:val="Hyperlink"/>
            <w:szCs w:val="18"/>
            <w:lang w:val="fr-FR"/>
          </w:rPr>
          <w:t>.</w:t>
        </w:r>
        <w:r w:rsidR="00D82B54" w:rsidRPr="0053293A">
          <w:rPr>
            <w:rStyle w:val="Hyperlink"/>
            <w:szCs w:val="18"/>
            <w:lang w:val="fr-FR"/>
          </w:rPr>
          <w:t>pdf</w:t>
        </w:r>
      </w:hyperlink>
      <w:r w:rsidR="00967A77" w:rsidRPr="00967A77">
        <w:rPr>
          <w:szCs w:val="18"/>
          <w:lang w:val="fr-FR"/>
        </w:rPr>
        <w:t>.</w:t>
      </w:r>
    </w:p>
  </w:footnote>
  <w:footnote w:id="35">
    <w:p w14:paraId="71A49201" w14:textId="71934602" w:rsidR="003373A7" w:rsidRPr="0053293A" w:rsidRDefault="003373A7" w:rsidP="00C30EEB">
      <w:pPr>
        <w:pStyle w:val="FootnoteText"/>
        <w:rPr>
          <w:lang w:val="fr-FR"/>
        </w:rPr>
      </w:pPr>
      <w:r w:rsidRPr="0053293A">
        <w:rPr>
          <w:szCs w:val="18"/>
          <w:lang w:val="fr-FR"/>
        </w:rPr>
        <w:tab/>
      </w:r>
      <w:r w:rsidRPr="00967A77">
        <w:rPr>
          <w:rStyle w:val="FootnoteReference"/>
          <w:lang w:val="fr-FR"/>
        </w:rPr>
        <w:footnoteRef/>
      </w:r>
      <w:r w:rsidRPr="0053293A">
        <w:rPr>
          <w:szCs w:val="18"/>
          <w:lang w:val="fr-FR"/>
        </w:rPr>
        <w:tab/>
        <w:t xml:space="preserve">Voir </w:t>
      </w:r>
      <w:hyperlink r:id="rId32" w:history="1">
        <w:r w:rsidR="00D82B54" w:rsidRPr="0053293A">
          <w:rPr>
            <w:rStyle w:val="Hyperlink"/>
            <w:szCs w:val="18"/>
            <w:lang w:val="fr-FR"/>
          </w:rPr>
          <w:t>https://unece</w:t>
        </w:r>
        <w:r w:rsidR="00967A77" w:rsidRPr="00967A77">
          <w:rPr>
            <w:rStyle w:val="Hyperlink"/>
            <w:szCs w:val="18"/>
            <w:lang w:val="fr-FR"/>
          </w:rPr>
          <w:t>.</w:t>
        </w:r>
        <w:r w:rsidR="00D82B54" w:rsidRPr="0053293A">
          <w:rPr>
            <w:rStyle w:val="Hyperlink"/>
            <w:szCs w:val="18"/>
            <w:lang w:val="fr-FR"/>
          </w:rPr>
          <w:t>org/sites/defau</w:t>
        </w:r>
        <w:r w:rsidR="00D82B54" w:rsidRPr="000F285C">
          <w:rPr>
            <w:rStyle w:val="Hyperlink"/>
            <w:szCs w:val="18"/>
            <w:lang w:val="fr-FR"/>
          </w:rPr>
          <w:t>lt/files/2022-10/Guidance_LTE_NPP_2106311_F_</w:t>
        </w:r>
        <w:r w:rsidR="00D82B54" w:rsidRPr="0053293A">
          <w:rPr>
            <w:rStyle w:val="Hyperlink"/>
            <w:szCs w:val="18"/>
            <w:lang w:val="fr-FR"/>
          </w:rPr>
          <w:t>WEB_</w:t>
        </w:r>
        <w:r w:rsidR="00D82B54" w:rsidRPr="0053293A">
          <w:rPr>
            <w:rStyle w:val="Hyperlink"/>
            <w:szCs w:val="18"/>
            <w:lang w:val="fr-FR"/>
          </w:rPr>
          <w:br/>
          <w:t>Ligh</w:t>
        </w:r>
        <w:r w:rsidR="00D82B54" w:rsidRPr="000F285C">
          <w:rPr>
            <w:rStyle w:val="Hyperlink"/>
            <w:szCs w:val="18"/>
            <w:lang w:val="fr-FR"/>
          </w:rPr>
          <w:t>t_0</w:t>
        </w:r>
        <w:r w:rsidR="00967A77" w:rsidRPr="000F285C">
          <w:rPr>
            <w:rStyle w:val="Hyperlink"/>
            <w:szCs w:val="18"/>
            <w:lang w:val="fr-FR"/>
          </w:rPr>
          <w:t>.</w:t>
        </w:r>
        <w:r w:rsidR="00D82B54" w:rsidRPr="000F285C">
          <w:rPr>
            <w:rStyle w:val="Hyperlink"/>
            <w:szCs w:val="18"/>
            <w:lang w:val="fr-FR"/>
          </w:rPr>
          <w:t>pd</w:t>
        </w:r>
        <w:r w:rsidR="00D82B54" w:rsidRPr="0053293A">
          <w:rPr>
            <w:rStyle w:val="Hyperlink"/>
            <w:szCs w:val="18"/>
            <w:lang w:val="fr-FR"/>
          </w:rPr>
          <w:t>f</w:t>
        </w:r>
      </w:hyperlink>
      <w:r w:rsidR="00967A77" w:rsidRPr="00967A77">
        <w:rPr>
          <w:szCs w:val="18"/>
          <w:lang w:val="fr-FR"/>
        </w:rPr>
        <w:t>.</w:t>
      </w:r>
    </w:p>
  </w:footnote>
  <w:footnote w:id="36">
    <w:p w14:paraId="51821A9C" w14:textId="7B75FFE2" w:rsidR="003373A7" w:rsidRPr="0053293A" w:rsidRDefault="003373A7" w:rsidP="00C30EEB">
      <w:pPr>
        <w:pStyle w:val="FootnoteText"/>
        <w:rPr>
          <w:szCs w:val="18"/>
          <w:lang w:val="fr-FR"/>
        </w:rPr>
      </w:pPr>
      <w:r w:rsidRPr="0053293A">
        <w:rPr>
          <w:szCs w:val="18"/>
          <w:lang w:val="fr-FR"/>
        </w:rPr>
        <w:tab/>
      </w:r>
      <w:r w:rsidRPr="00967A77">
        <w:rPr>
          <w:rStyle w:val="FootnoteReference"/>
          <w:lang w:val="fr-FR"/>
        </w:rPr>
        <w:footnoteRef/>
      </w:r>
      <w:r w:rsidRPr="0053293A">
        <w:rPr>
          <w:szCs w:val="18"/>
          <w:lang w:val="fr-FR"/>
        </w:rPr>
        <w:tab/>
      </w:r>
      <w:r w:rsidRPr="000F285C">
        <w:rPr>
          <w:szCs w:val="18"/>
          <w:lang w:val="fr-FR"/>
        </w:rPr>
        <w:t>ECE/MP</w:t>
      </w:r>
      <w:r w:rsidR="00967A77" w:rsidRPr="000F285C">
        <w:rPr>
          <w:szCs w:val="18"/>
          <w:lang w:val="fr-FR"/>
        </w:rPr>
        <w:t>.</w:t>
      </w:r>
      <w:r w:rsidRPr="000F285C">
        <w:rPr>
          <w:szCs w:val="18"/>
          <w:lang w:val="fr-FR"/>
        </w:rPr>
        <w:t>EIA</w:t>
      </w:r>
      <w:r w:rsidRPr="000F285C">
        <w:rPr>
          <w:szCs w:val="18"/>
          <w:lang w:val="fr-FR"/>
        </w:rPr>
        <w:t>/</w:t>
      </w:r>
      <w:r w:rsidRPr="000F285C">
        <w:rPr>
          <w:szCs w:val="18"/>
          <w:lang w:val="fr-FR"/>
        </w:rPr>
        <w:t>2014/INF</w:t>
      </w:r>
      <w:r w:rsidR="00967A77" w:rsidRPr="000F285C">
        <w:rPr>
          <w:szCs w:val="18"/>
          <w:lang w:val="fr-FR"/>
        </w:rPr>
        <w:t>.</w:t>
      </w:r>
      <w:r w:rsidRPr="000F285C">
        <w:rPr>
          <w:szCs w:val="18"/>
          <w:lang w:val="fr-FR"/>
        </w:rPr>
        <w:t>7</w:t>
      </w:r>
      <w:r w:rsidR="00967A77" w:rsidRPr="00967A77">
        <w:rPr>
          <w:szCs w:val="18"/>
          <w:lang w:val="fr-FR"/>
        </w:rPr>
        <w:t>.</w:t>
      </w:r>
    </w:p>
  </w:footnote>
  <w:footnote w:id="37">
    <w:p w14:paraId="0743C265" w14:textId="3BB6B935" w:rsidR="003373A7" w:rsidRPr="0053293A" w:rsidRDefault="003373A7" w:rsidP="00C30EEB">
      <w:pPr>
        <w:pStyle w:val="FootnoteText"/>
        <w:rPr>
          <w:szCs w:val="18"/>
          <w:lang w:val="fr-FR"/>
        </w:rPr>
      </w:pPr>
      <w:r w:rsidRPr="0053293A">
        <w:rPr>
          <w:szCs w:val="18"/>
          <w:lang w:val="fr-FR"/>
        </w:rPr>
        <w:tab/>
      </w:r>
      <w:r w:rsidRPr="00967A77">
        <w:rPr>
          <w:rStyle w:val="FootnoteReference"/>
          <w:lang w:val="fr-FR"/>
        </w:rPr>
        <w:footnoteRef/>
      </w:r>
      <w:r w:rsidRPr="0053293A">
        <w:rPr>
          <w:szCs w:val="18"/>
          <w:lang w:val="fr-FR"/>
        </w:rPr>
        <w:tab/>
      </w:r>
      <w:r w:rsidRPr="000F285C">
        <w:rPr>
          <w:szCs w:val="18"/>
          <w:lang w:val="fr-FR"/>
        </w:rPr>
        <w:t>ECE/M</w:t>
      </w:r>
      <w:r w:rsidRPr="000F285C">
        <w:rPr>
          <w:szCs w:val="18"/>
          <w:lang w:val="fr-FR"/>
        </w:rPr>
        <w:t>P</w:t>
      </w:r>
      <w:r w:rsidR="00967A77" w:rsidRPr="000F285C">
        <w:rPr>
          <w:szCs w:val="18"/>
          <w:lang w:val="fr-FR"/>
        </w:rPr>
        <w:t>.</w:t>
      </w:r>
      <w:r w:rsidRPr="000F285C">
        <w:rPr>
          <w:szCs w:val="18"/>
          <w:lang w:val="fr-FR"/>
        </w:rPr>
        <w:t>EIA/2014/INF</w:t>
      </w:r>
      <w:r w:rsidR="00967A77" w:rsidRPr="000F285C">
        <w:rPr>
          <w:szCs w:val="18"/>
          <w:lang w:val="fr-FR"/>
        </w:rPr>
        <w:t>.</w:t>
      </w:r>
      <w:r w:rsidRPr="000F285C">
        <w:rPr>
          <w:szCs w:val="18"/>
          <w:lang w:val="fr-FR"/>
        </w:rPr>
        <w:t>9</w:t>
      </w:r>
      <w:r w:rsidR="00967A77" w:rsidRPr="00967A77">
        <w:rPr>
          <w:szCs w:val="18"/>
          <w:lang w:val="fr-FR"/>
        </w:rPr>
        <w:t>.</w:t>
      </w:r>
    </w:p>
  </w:footnote>
  <w:footnote w:id="38">
    <w:p w14:paraId="4D85497F" w14:textId="570EB2ED" w:rsidR="003373A7" w:rsidRPr="0053293A" w:rsidRDefault="003373A7" w:rsidP="00C30EEB">
      <w:pPr>
        <w:pStyle w:val="FootnoteText"/>
        <w:rPr>
          <w:szCs w:val="18"/>
          <w:lang w:val="fr-FR"/>
        </w:rPr>
      </w:pPr>
      <w:r w:rsidRPr="0053293A">
        <w:rPr>
          <w:szCs w:val="18"/>
          <w:lang w:val="fr-FR"/>
        </w:rPr>
        <w:tab/>
      </w:r>
      <w:r w:rsidRPr="00967A77">
        <w:rPr>
          <w:rStyle w:val="FootnoteReference"/>
          <w:lang w:val="fr-FR"/>
        </w:rPr>
        <w:footnoteRef/>
      </w:r>
      <w:r w:rsidRPr="0053293A">
        <w:rPr>
          <w:szCs w:val="18"/>
          <w:lang w:val="fr-FR"/>
        </w:rPr>
        <w:tab/>
      </w:r>
      <w:r w:rsidRPr="000F285C">
        <w:rPr>
          <w:szCs w:val="18"/>
          <w:lang w:val="fr-FR"/>
        </w:rPr>
        <w:t>ECE</w:t>
      </w:r>
      <w:r w:rsidRPr="000F285C">
        <w:rPr>
          <w:szCs w:val="18"/>
          <w:lang w:val="fr-FR"/>
        </w:rPr>
        <w:t>/</w:t>
      </w:r>
      <w:r w:rsidRPr="000F285C">
        <w:rPr>
          <w:szCs w:val="18"/>
          <w:lang w:val="fr-FR"/>
        </w:rPr>
        <w:t>MP</w:t>
      </w:r>
      <w:r w:rsidR="00967A77" w:rsidRPr="000F285C">
        <w:rPr>
          <w:szCs w:val="18"/>
          <w:lang w:val="fr-FR"/>
        </w:rPr>
        <w:t>.</w:t>
      </w:r>
      <w:r w:rsidRPr="000F285C">
        <w:rPr>
          <w:szCs w:val="18"/>
          <w:lang w:val="fr-FR"/>
        </w:rPr>
        <w:t>EIA/2014/INF</w:t>
      </w:r>
      <w:r w:rsidR="00967A77" w:rsidRPr="000F285C">
        <w:rPr>
          <w:szCs w:val="18"/>
          <w:lang w:val="fr-FR"/>
        </w:rPr>
        <w:t>.</w:t>
      </w:r>
      <w:r w:rsidRPr="000F285C">
        <w:rPr>
          <w:szCs w:val="18"/>
          <w:lang w:val="fr-FR"/>
        </w:rPr>
        <w:t>8</w:t>
      </w:r>
      <w:r w:rsidR="00967A77" w:rsidRPr="00967A77">
        <w:rPr>
          <w:szCs w:val="18"/>
          <w:lang w:val="fr-FR"/>
        </w:rPr>
        <w:t>.</w:t>
      </w:r>
    </w:p>
  </w:footnote>
  <w:footnote w:id="39">
    <w:p w14:paraId="0D617ECE" w14:textId="2BF74EB0" w:rsidR="003373A7" w:rsidRPr="0053293A" w:rsidRDefault="003373A7" w:rsidP="00C30EEB">
      <w:pPr>
        <w:pStyle w:val="FootnoteText"/>
        <w:rPr>
          <w:szCs w:val="18"/>
          <w:lang w:val="fr-FR"/>
        </w:rPr>
      </w:pPr>
      <w:r w:rsidRPr="0053293A">
        <w:rPr>
          <w:szCs w:val="18"/>
          <w:lang w:val="fr-FR"/>
        </w:rPr>
        <w:tab/>
      </w:r>
      <w:r w:rsidRPr="00967A77">
        <w:rPr>
          <w:rStyle w:val="FootnoteReference"/>
          <w:lang w:val="fr-FR"/>
        </w:rPr>
        <w:footnoteRef/>
      </w:r>
      <w:r w:rsidRPr="0053293A">
        <w:rPr>
          <w:szCs w:val="18"/>
          <w:lang w:val="fr-FR"/>
        </w:rPr>
        <w:tab/>
      </w:r>
      <w:r w:rsidRPr="000F285C">
        <w:rPr>
          <w:szCs w:val="18"/>
          <w:lang w:val="fr-FR"/>
        </w:rPr>
        <w:t>ECE/MP</w:t>
      </w:r>
      <w:r w:rsidR="00967A77" w:rsidRPr="000F285C">
        <w:rPr>
          <w:szCs w:val="18"/>
          <w:lang w:val="fr-FR"/>
        </w:rPr>
        <w:t>.</w:t>
      </w:r>
      <w:r w:rsidRPr="000F285C">
        <w:rPr>
          <w:szCs w:val="18"/>
          <w:lang w:val="fr-FR"/>
        </w:rPr>
        <w:t>E</w:t>
      </w:r>
      <w:r w:rsidRPr="000F285C">
        <w:rPr>
          <w:szCs w:val="18"/>
          <w:lang w:val="fr-FR"/>
        </w:rPr>
        <w:t>I</w:t>
      </w:r>
      <w:r w:rsidRPr="000F285C">
        <w:rPr>
          <w:szCs w:val="18"/>
          <w:lang w:val="fr-FR"/>
        </w:rPr>
        <w:t>A/2023/3</w:t>
      </w:r>
      <w:r w:rsidRPr="000F285C">
        <w:rPr>
          <w:color w:val="0000FF"/>
          <w:szCs w:val="18"/>
          <w:lang w:val="fr-FR"/>
        </w:rPr>
        <w:t>–</w:t>
      </w:r>
      <w:r w:rsidRPr="000F285C">
        <w:rPr>
          <w:szCs w:val="18"/>
          <w:lang w:val="fr-FR"/>
        </w:rPr>
        <w:t>EIA/MP</w:t>
      </w:r>
      <w:r w:rsidR="00967A77" w:rsidRPr="000F285C">
        <w:rPr>
          <w:szCs w:val="18"/>
          <w:lang w:val="fr-FR"/>
        </w:rPr>
        <w:t>.</w:t>
      </w:r>
      <w:r w:rsidRPr="000F285C">
        <w:rPr>
          <w:szCs w:val="18"/>
          <w:lang w:val="fr-FR"/>
        </w:rPr>
        <w:t>EIA/SEA/2023/3</w:t>
      </w:r>
      <w:r w:rsidRPr="0053293A">
        <w:rPr>
          <w:szCs w:val="18"/>
          <w:lang w:val="fr-FR"/>
        </w:rPr>
        <w:t xml:space="preserve"> (à paraître)</w:t>
      </w:r>
      <w:r w:rsidR="00967A77" w:rsidRPr="00967A77">
        <w:rPr>
          <w:szCs w:val="18"/>
          <w:lang w:val="fr-FR"/>
        </w:rPr>
        <w:t>.</w:t>
      </w:r>
    </w:p>
  </w:footnote>
  <w:footnote w:id="40">
    <w:p w14:paraId="704A6D5D" w14:textId="0CB64B33" w:rsidR="003373A7" w:rsidRPr="0053293A" w:rsidRDefault="003373A7" w:rsidP="00C30EEB">
      <w:pPr>
        <w:pStyle w:val="FootnoteText"/>
        <w:rPr>
          <w:szCs w:val="18"/>
          <w:lang w:val="fr-FR"/>
        </w:rPr>
      </w:pPr>
      <w:r w:rsidRPr="0053293A">
        <w:rPr>
          <w:szCs w:val="18"/>
          <w:lang w:val="fr-FR"/>
        </w:rPr>
        <w:tab/>
      </w:r>
      <w:r w:rsidRPr="00967A77">
        <w:rPr>
          <w:rStyle w:val="FootnoteReference"/>
          <w:lang w:val="fr-FR"/>
        </w:rPr>
        <w:footnoteRef/>
      </w:r>
      <w:r w:rsidRPr="0053293A">
        <w:rPr>
          <w:szCs w:val="18"/>
          <w:lang w:val="fr-FR"/>
        </w:rPr>
        <w:tab/>
        <w:t xml:space="preserve">Voir </w:t>
      </w:r>
      <w:hyperlink r:id="rId33" w:history="1">
        <w:r w:rsidR="00D82B54" w:rsidRPr="0053293A">
          <w:rPr>
            <w:rStyle w:val="Hyperlink"/>
            <w:szCs w:val="18"/>
            <w:lang w:val="fr-FR"/>
          </w:rPr>
          <w:t>https://eur-lex</w:t>
        </w:r>
        <w:r w:rsidR="00967A77" w:rsidRPr="00967A77">
          <w:rPr>
            <w:rStyle w:val="Hyperlink"/>
            <w:szCs w:val="18"/>
            <w:lang w:val="fr-FR"/>
          </w:rPr>
          <w:t>.</w:t>
        </w:r>
        <w:r w:rsidR="00D82B54" w:rsidRPr="0053293A">
          <w:rPr>
            <w:rStyle w:val="Hyperlink"/>
            <w:szCs w:val="18"/>
            <w:lang w:val="fr-FR"/>
          </w:rPr>
          <w:t>europa</w:t>
        </w:r>
        <w:r w:rsidR="00967A77" w:rsidRPr="00967A77">
          <w:rPr>
            <w:rStyle w:val="Hyperlink"/>
            <w:szCs w:val="18"/>
            <w:lang w:val="fr-FR"/>
          </w:rPr>
          <w:t>.</w:t>
        </w:r>
        <w:r w:rsidR="00D82B54" w:rsidRPr="0053293A">
          <w:rPr>
            <w:rStyle w:val="Hyperlink"/>
            <w:szCs w:val="18"/>
            <w:lang w:val="fr-FR"/>
          </w:rPr>
          <w:t>eu/legal-content/fr/TXT/HTML/?uri=CEL</w:t>
        </w:r>
        <w:r w:rsidR="00D82B54" w:rsidRPr="000F285C">
          <w:rPr>
            <w:rStyle w:val="Hyperlink"/>
            <w:szCs w:val="18"/>
            <w:lang w:val="fr-FR"/>
          </w:rPr>
          <w:t>EX:32014L0089</w:t>
        </w:r>
      </w:hyperlink>
      <w:r w:rsidR="00967A77" w:rsidRPr="00967A77">
        <w:rPr>
          <w:szCs w:val="18"/>
          <w:lang w:val="fr-FR"/>
        </w:rPr>
        <w:t>.</w:t>
      </w:r>
    </w:p>
  </w:footnote>
  <w:footnote w:id="41">
    <w:p w14:paraId="72528264" w14:textId="17DA2CE7" w:rsidR="003373A7" w:rsidRPr="0053293A" w:rsidRDefault="003373A7" w:rsidP="00C30EEB">
      <w:pPr>
        <w:pStyle w:val="FootnoteText"/>
        <w:rPr>
          <w:szCs w:val="18"/>
          <w:lang w:val="fr-FR"/>
        </w:rPr>
      </w:pPr>
      <w:r w:rsidRPr="0053293A">
        <w:rPr>
          <w:szCs w:val="18"/>
          <w:lang w:val="fr-FR"/>
        </w:rPr>
        <w:tab/>
      </w:r>
      <w:r w:rsidRPr="00967A77">
        <w:rPr>
          <w:rStyle w:val="FootnoteReference"/>
          <w:lang w:val="fr-FR"/>
        </w:rPr>
        <w:footnoteRef/>
      </w:r>
      <w:r w:rsidRPr="0053293A">
        <w:rPr>
          <w:szCs w:val="18"/>
          <w:lang w:val="fr-FR"/>
        </w:rPr>
        <w:tab/>
        <w:t xml:space="preserve">Breffní Lennon, Niall Dunphy et Estibaliz Sanvicente, </w:t>
      </w:r>
      <w:r w:rsidR="0010058D" w:rsidRPr="0053293A">
        <w:rPr>
          <w:szCs w:val="18"/>
          <w:lang w:val="fr-FR"/>
        </w:rPr>
        <w:t>« </w:t>
      </w:r>
      <w:r w:rsidRPr="0053293A">
        <w:rPr>
          <w:szCs w:val="18"/>
          <w:lang w:val="fr-FR"/>
        </w:rPr>
        <w:t>Community acceptability and the energy transition</w:t>
      </w:r>
      <w:r w:rsidR="00053E12" w:rsidRPr="0053293A">
        <w:rPr>
          <w:szCs w:val="18"/>
          <w:lang w:val="fr-FR"/>
        </w:rPr>
        <w:t>:</w:t>
      </w:r>
      <w:r w:rsidRPr="0053293A">
        <w:rPr>
          <w:szCs w:val="18"/>
          <w:lang w:val="fr-FR"/>
        </w:rPr>
        <w:t xml:space="preserve"> a citizens</w:t>
      </w:r>
      <w:r w:rsidR="00053E12" w:rsidRPr="0053293A">
        <w:rPr>
          <w:szCs w:val="18"/>
          <w:lang w:val="fr-FR"/>
        </w:rPr>
        <w:t>’</w:t>
      </w:r>
      <w:r w:rsidRPr="0053293A">
        <w:rPr>
          <w:szCs w:val="18"/>
          <w:lang w:val="fr-FR"/>
        </w:rPr>
        <w:t xml:space="preserve"> perspective</w:t>
      </w:r>
      <w:r w:rsidR="0010058D" w:rsidRPr="0053293A">
        <w:rPr>
          <w:szCs w:val="18"/>
          <w:lang w:val="fr-FR"/>
        </w:rPr>
        <w:t> »</w:t>
      </w:r>
      <w:r w:rsidRPr="0053293A">
        <w:rPr>
          <w:szCs w:val="18"/>
          <w:lang w:val="fr-FR"/>
        </w:rPr>
        <w:t xml:space="preserve">, </w:t>
      </w:r>
      <w:r w:rsidRPr="00967A77">
        <w:rPr>
          <w:i/>
          <w:iCs/>
          <w:szCs w:val="18"/>
          <w:lang w:val="fr-FR"/>
        </w:rPr>
        <w:t>Energy, Sustainability and Society</w:t>
      </w:r>
      <w:r w:rsidRPr="0053293A">
        <w:rPr>
          <w:szCs w:val="18"/>
          <w:lang w:val="fr-FR"/>
        </w:rPr>
        <w:t xml:space="preserve">, </w:t>
      </w:r>
      <w:r w:rsidR="003B1E3E" w:rsidRPr="0053293A">
        <w:rPr>
          <w:szCs w:val="18"/>
          <w:lang w:val="fr-FR"/>
        </w:rPr>
        <w:t>vol. </w:t>
      </w:r>
      <w:r w:rsidRPr="00967A77">
        <w:rPr>
          <w:szCs w:val="18"/>
          <w:lang w:val="fr-FR"/>
        </w:rPr>
        <w:t>9</w:t>
      </w:r>
      <w:r w:rsidRPr="0053293A">
        <w:rPr>
          <w:szCs w:val="18"/>
          <w:lang w:val="fr-FR"/>
        </w:rPr>
        <w:t xml:space="preserve">, </w:t>
      </w:r>
      <w:r w:rsidR="00D82B54" w:rsidRPr="0053293A">
        <w:rPr>
          <w:szCs w:val="18"/>
          <w:lang w:val="fr-FR"/>
        </w:rPr>
        <w:t>n</w:t>
      </w:r>
      <w:r w:rsidR="00D82B54" w:rsidRPr="0053293A">
        <w:rPr>
          <w:szCs w:val="18"/>
          <w:vertAlign w:val="superscript"/>
          <w:lang w:val="fr-FR"/>
        </w:rPr>
        <w:t>o</w:t>
      </w:r>
      <w:r w:rsidR="00D82B54" w:rsidRPr="0053293A">
        <w:rPr>
          <w:szCs w:val="18"/>
          <w:lang w:val="fr-FR"/>
        </w:rPr>
        <w:t> </w:t>
      </w:r>
      <w:r w:rsidRPr="00967A77">
        <w:rPr>
          <w:szCs w:val="18"/>
          <w:lang w:val="fr-FR"/>
        </w:rPr>
        <w:t>1</w:t>
      </w:r>
      <w:r w:rsidRPr="0053293A">
        <w:rPr>
          <w:szCs w:val="18"/>
          <w:lang w:val="fr-FR"/>
        </w:rPr>
        <w:t xml:space="preserve"> (</w:t>
      </w:r>
      <w:r w:rsidRPr="00967A77">
        <w:rPr>
          <w:szCs w:val="18"/>
          <w:lang w:val="fr-FR"/>
        </w:rPr>
        <w:t>2019</w:t>
      </w:r>
      <w:r w:rsidRPr="0053293A">
        <w:rPr>
          <w:szCs w:val="18"/>
          <w:lang w:val="fr-FR"/>
        </w:rPr>
        <w:t xml:space="preserve">), </w:t>
      </w:r>
      <w:r w:rsidR="00D82B54" w:rsidRPr="0053293A">
        <w:rPr>
          <w:szCs w:val="18"/>
          <w:lang w:val="fr-FR"/>
        </w:rPr>
        <w:t>art</w:t>
      </w:r>
      <w:r w:rsidR="00967A77" w:rsidRPr="00967A77">
        <w:rPr>
          <w:szCs w:val="18"/>
          <w:lang w:val="fr-FR"/>
        </w:rPr>
        <w:t>.</w:t>
      </w:r>
      <w:r w:rsidR="00D82B54" w:rsidRPr="0053293A">
        <w:rPr>
          <w:szCs w:val="18"/>
          <w:lang w:val="fr-FR"/>
        </w:rPr>
        <w:t> n</w:t>
      </w:r>
      <w:r w:rsidR="00D82B54" w:rsidRPr="0053293A">
        <w:rPr>
          <w:szCs w:val="18"/>
          <w:vertAlign w:val="superscript"/>
          <w:lang w:val="fr-FR"/>
        </w:rPr>
        <w:t>o</w:t>
      </w:r>
      <w:r w:rsidR="00D82B54" w:rsidRPr="0053293A">
        <w:rPr>
          <w:szCs w:val="18"/>
          <w:lang w:val="fr-FR"/>
        </w:rPr>
        <w:t> </w:t>
      </w:r>
      <w:r w:rsidRPr="00967A77">
        <w:rPr>
          <w:szCs w:val="18"/>
          <w:lang w:val="fr-FR"/>
        </w:rPr>
        <w:t>35</w:t>
      </w:r>
      <w:r w:rsidR="00967A77" w:rsidRPr="00967A77">
        <w:rPr>
          <w:szCs w:val="18"/>
          <w:lang w:val="fr-FR"/>
        </w:rPr>
        <w:t>.</w:t>
      </w:r>
    </w:p>
  </w:footnote>
  <w:footnote w:id="42">
    <w:p w14:paraId="62612F09" w14:textId="2948FAEF" w:rsidR="003373A7" w:rsidRPr="0053293A" w:rsidRDefault="003373A7" w:rsidP="00C30EEB">
      <w:pPr>
        <w:pStyle w:val="FootnoteText"/>
        <w:rPr>
          <w:lang w:val="fr-FR"/>
        </w:rPr>
      </w:pPr>
      <w:r w:rsidRPr="0053293A">
        <w:rPr>
          <w:szCs w:val="18"/>
          <w:lang w:val="fr-FR"/>
        </w:rPr>
        <w:tab/>
      </w:r>
      <w:r w:rsidRPr="00967A77">
        <w:rPr>
          <w:rStyle w:val="FootnoteReference"/>
          <w:lang w:val="fr-FR"/>
        </w:rPr>
        <w:footnoteRef/>
      </w:r>
      <w:r w:rsidRPr="0053293A">
        <w:rPr>
          <w:szCs w:val="18"/>
          <w:lang w:val="fr-FR"/>
        </w:rPr>
        <w:tab/>
        <w:t xml:space="preserve">Voir </w:t>
      </w:r>
      <w:hyperlink r:id="rId34" w:history="1">
        <w:r w:rsidR="00D82B54" w:rsidRPr="0053293A">
          <w:rPr>
            <w:rStyle w:val="Hyperlink"/>
            <w:szCs w:val="18"/>
            <w:lang w:val="fr-FR"/>
          </w:rPr>
          <w:t>www</w:t>
        </w:r>
        <w:r w:rsidR="00967A77" w:rsidRPr="00967A77">
          <w:rPr>
            <w:rStyle w:val="Hyperlink"/>
            <w:szCs w:val="18"/>
            <w:lang w:val="fr-FR"/>
          </w:rPr>
          <w:t>.</w:t>
        </w:r>
        <w:r w:rsidR="00D82B54" w:rsidRPr="0053293A">
          <w:rPr>
            <w:rStyle w:val="Hyperlink"/>
            <w:szCs w:val="18"/>
            <w:lang w:val="fr-FR"/>
          </w:rPr>
          <w:t>thegua</w:t>
        </w:r>
        <w:r w:rsidR="00D82B54" w:rsidRPr="0053293A">
          <w:rPr>
            <w:rStyle w:val="Hyperlink"/>
            <w:szCs w:val="18"/>
            <w:lang w:val="fr-FR"/>
          </w:rPr>
          <w:t>r</w:t>
        </w:r>
        <w:r w:rsidR="00D82B54" w:rsidRPr="0053293A">
          <w:rPr>
            <w:rStyle w:val="Hyperlink"/>
            <w:szCs w:val="18"/>
            <w:lang w:val="fr-FR"/>
          </w:rPr>
          <w:t>dian</w:t>
        </w:r>
        <w:r w:rsidR="00967A77" w:rsidRPr="00967A77">
          <w:rPr>
            <w:rStyle w:val="Hyperlink"/>
            <w:szCs w:val="18"/>
            <w:lang w:val="fr-FR"/>
          </w:rPr>
          <w:t>.</w:t>
        </w:r>
        <w:r w:rsidR="00D82B54" w:rsidRPr="0053293A">
          <w:rPr>
            <w:rStyle w:val="Hyperlink"/>
            <w:szCs w:val="18"/>
            <w:lang w:val="fr-FR"/>
          </w:rPr>
          <w:t>com/e</w:t>
        </w:r>
        <w:r w:rsidR="00D82B54" w:rsidRPr="007F18F4">
          <w:rPr>
            <w:rStyle w:val="Hyperlink"/>
            <w:szCs w:val="18"/>
            <w:lang w:val="fr-FR"/>
          </w:rPr>
          <w:t>nvironment/2023/jun/21/a-green-transition-that-leaves-n</w:t>
        </w:r>
        <w:r w:rsidR="00D82B54" w:rsidRPr="007F18F4">
          <w:rPr>
            <w:rStyle w:val="Hyperlink"/>
            <w:szCs w:val="18"/>
            <w:vertAlign w:val="superscript"/>
            <w:lang w:val="fr-FR"/>
          </w:rPr>
          <w:t>o</w:t>
        </w:r>
        <w:r w:rsidR="00D82B54" w:rsidRPr="007F18F4">
          <w:rPr>
            <w:rStyle w:val="Hyperlink"/>
            <w:szCs w:val="18"/>
            <w:lang w:val="fr-FR"/>
          </w:rPr>
          <w:t>-one-behind-world-leaders-release-open-letter</w:t>
        </w:r>
      </w:hyperlink>
      <w:r w:rsidR="00967A77" w:rsidRPr="00967A77">
        <w:rPr>
          <w:szCs w:val="18"/>
          <w:lang w:val="fr-FR"/>
        </w:rPr>
        <w:t>.</w:t>
      </w:r>
    </w:p>
  </w:footnote>
  <w:footnote w:id="43">
    <w:p w14:paraId="45565E16" w14:textId="399E28DA" w:rsidR="003373A7" w:rsidRPr="0053293A" w:rsidRDefault="003373A7" w:rsidP="00C30EEB">
      <w:pPr>
        <w:pStyle w:val="FootnoteText"/>
        <w:rPr>
          <w:szCs w:val="18"/>
          <w:lang w:val="fr-FR"/>
        </w:rPr>
      </w:pPr>
      <w:r w:rsidRPr="0053293A">
        <w:rPr>
          <w:szCs w:val="18"/>
          <w:lang w:val="fr-FR"/>
        </w:rPr>
        <w:tab/>
      </w:r>
      <w:r w:rsidRPr="00967A77">
        <w:rPr>
          <w:rStyle w:val="FootnoteReference"/>
          <w:lang w:val="fr-FR"/>
        </w:rPr>
        <w:footnoteRef/>
      </w:r>
      <w:r w:rsidRPr="0053293A">
        <w:rPr>
          <w:szCs w:val="18"/>
          <w:lang w:val="fr-FR"/>
        </w:rPr>
        <w:tab/>
        <w:t xml:space="preserve">Voir </w:t>
      </w:r>
      <w:hyperlink r:id="rId35" w:history="1">
        <w:r w:rsidR="00D82B54" w:rsidRPr="0053293A">
          <w:rPr>
            <w:rStyle w:val="Hyperlink"/>
            <w:szCs w:val="18"/>
            <w:lang w:val="fr-FR"/>
          </w:rPr>
          <w:t>https://unece</w:t>
        </w:r>
        <w:r w:rsidR="00967A77" w:rsidRPr="00967A77">
          <w:rPr>
            <w:rStyle w:val="Hyperlink"/>
            <w:szCs w:val="18"/>
            <w:lang w:val="fr-FR"/>
          </w:rPr>
          <w:t>.</w:t>
        </w:r>
        <w:r w:rsidR="00D82B54" w:rsidRPr="0053293A">
          <w:rPr>
            <w:rStyle w:val="Hyperlink"/>
            <w:szCs w:val="18"/>
            <w:lang w:val="fr-FR"/>
          </w:rPr>
          <w:t>o</w:t>
        </w:r>
        <w:r w:rsidR="00D82B54" w:rsidRPr="0053293A">
          <w:rPr>
            <w:rStyle w:val="Hyperlink"/>
            <w:szCs w:val="18"/>
            <w:lang w:val="fr-FR"/>
          </w:rPr>
          <w:t>r</w:t>
        </w:r>
        <w:r w:rsidR="00D82B54" w:rsidRPr="0053293A">
          <w:rPr>
            <w:rStyle w:val="Hyperlink"/>
            <w:szCs w:val="18"/>
            <w:lang w:val="fr-FR"/>
          </w:rPr>
          <w:t>g/sites/default/</w:t>
        </w:r>
        <w:r w:rsidR="00D82B54" w:rsidRPr="007F18F4">
          <w:rPr>
            <w:rStyle w:val="Hyperlink"/>
            <w:szCs w:val="18"/>
            <w:lang w:val="fr-FR"/>
          </w:rPr>
          <w:t>files/2022-11/ece_mp</w:t>
        </w:r>
        <w:r w:rsidR="00967A77" w:rsidRPr="007F18F4">
          <w:rPr>
            <w:rStyle w:val="Hyperlink"/>
            <w:szCs w:val="18"/>
            <w:lang w:val="fr-FR"/>
          </w:rPr>
          <w:t>.</w:t>
        </w:r>
        <w:r w:rsidR="00D82B54" w:rsidRPr="007F18F4">
          <w:rPr>
            <w:rStyle w:val="Hyperlink"/>
            <w:szCs w:val="18"/>
            <w:lang w:val="fr-FR"/>
          </w:rPr>
          <w:t>eia_wg</w:t>
        </w:r>
        <w:r w:rsidR="00967A77" w:rsidRPr="007F18F4">
          <w:rPr>
            <w:rStyle w:val="Hyperlink"/>
            <w:szCs w:val="18"/>
            <w:lang w:val="fr-FR"/>
          </w:rPr>
          <w:t>.</w:t>
        </w:r>
        <w:r w:rsidR="00D82B54" w:rsidRPr="007F18F4">
          <w:rPr>
            <w:rStyle w:val="Hyperlink"/>
            <w:szCs w:val="18"/>
            <w:lang w:val="fr-FR"/>
          </w:rPr>
          <w:t>2_2022_3_</w:t>
        </w:r>
        <w:r w:rsidR="00D82B54" w:rsidRPr="0053293A">
          <w:rPr>
            <w:rStyle w:val="Hyperlink"/>
            <w:szCs w:val="18"/>
            <w:lang w:val="fr-FR"/>
          </w:rPr>
          <w:t>fre</w:t>
        </w:r>
        <w:r w:rsidR="00967A77" w:rsidRPr="00967A77">
          <w:rPr>
            <w:rStyle w:val="Hyperlink"/>
            <w:szCs w:val="18"/>
            <w:lang w:val="fr-FR"/>
          </w:rPr>
          <w:t>.</w:t>
        </w:r>
        <w:r w:rsidR="00D82B54" w:rsidRPr="0053293A">
          <w:rPr>
            <w:rStyle w:val="Hyperlink"/>
            <w:szCs w:val="18"/>
            <w:lang w:val="fr-FR"/>
          </w:rPr>
          <w:t>pdf</w:t>
        </w:r>
      </w:hyperlink>
      <w:r w:rsidR="00967A77" w:rsidRPr="00967A77">
        <w:rPr>
          <w:szCs w:val="18"/>
          <w:lang w:val="fr-FR"/>
        </w:rPr>
        <w:t>.</w:t>
      </w:r>
    </w:p>
  </w:footnote>
  <w:footnote w:id="44">
    <w:p w14:paraId="1D644876" w14:textId="2B43A013" w:rsidR="003373A7" w:rsidRPr="0053293A" w:rsidRDefault="003373A7" w:rsidP="00C30EEB">
      <w:pPr>
        <w:pStyle w:val="FootnoteText"/>
        <w:rPr>
          <w:szCs w:val="18"/>
          <w:lang w:val="fr-FR"/>
        </w:rPr>
      </w:pPr>
      <w:r w:rsidRPr="0053293A">
        <w:rPr>
          <w:szCs w:val="18"/>
          <w:lang w:val="fr-FR"/>
        </w:rPr>
        <w:tab/>
      </w:r>
      <w:r w:rsidRPr="00967A77">
        <w:rPr>
          <w:rStyle w:val="FootnoteReference"/>
          <w:lang w:val="fr-FR"/>
        </w:rPr>
        <w:footnoteRef/>
      </w:r>
      <w:r w:rsidRPr="0053293A">
        <w:rPr>
          <w:szCs w:val="18"/>
          <w:lang w:val="fr-FR"/>
        </w:rPr>
        <w:tab/>
        <w:t xml:space="preserve">Voir </w:t>
      </w:r>
      <w:hyperlink r:id="rId36" w:history="1">
        <w:r w:rsidR="00D82B54" w:rsidRPr="0053293A">
          <w:rPr>
            <w:rStyle w:val="Hyperlink"/>
            <w:szCs w:val="18"/>
            <w:lang w:val="fr-FR"/>
          </w:rPr>
          <w:t>www</w:t>
        </w:r>
        <w:r w:rsidR="00967A77" w:rsidRPr="00967A77">
          <w:rPr>
            <w:rStyle w:val="Hyperlink"/>
            <w:szCs w:val="18"/>
            <w:lang w:val="fr-FR"/>
          </w:rPr>
          <w:t>.</w:t>
        </w:r>
        <w:r w:rsidR="00D82B54" w:rsidRPr="0053293A">
          <w:rPr>
            <w:rStyle w:val="Hyperlink"/>
            <w:szCs w:val="18"/>
            <w:lang w:val="fr-FR"/>
          </w:rPr>
          <w:t>iai</w:t>
        </w:r>
        <w:r w:rsidR="00D82B54" w:rsidRPr="007F18F4">
          <w:rPr>
            <w:rStyle w:val="Hyperlink"/>
            <w:szCs w:val="18"/>
            <w:lang w:val="fr-FR"/>
          </w:rPr>
          <w:t>a</w:t>
        </w:r>
        <w:r w:rsidR="00967A77" w:rsidRPr="007F18F4">
          <w:rPr>
            <w:rStyle w:val="Hyperlink"/>
            <w:szCs w:val="18"/>
            <w:lang w:val="fr-FR"/>
          </w:rPr>
          <w:t>.</w:t>
        </w:r>
        <w:r w:rsidR="00D82B54" w:rsidRPr="007F18F4">
          <w:rPr>
            <w:rStyle w:val="Hyperlink"/>
            <w:szCs w:val="18"/>
            <w:lang w:val="fr-FR"/>
          </w:rPr>
          <w:t>org/upl</w:t>
        </w:r>
        <w:r w:rsidR="00D82B54" w:rsidRPr="007F18F4">
          <w:rPr>
            <w:rStyle w:val="Hyperlink"/>
            <w:szCs w:val="18"/>
            <w:lang w:val="fr-FR"/>
          </w:rPr>
          <w:t>o</w:t>
        </w:r>
        <w:r w:rsidR="00D82B54" w:rsidRPr="007F18F4">
          <w:rPr>
            <w:rStyle w:val="Hyperlink"/>
            <w:szCs w:val="18"/>
            <w:lang w:val="fr-FR"/>
          </w:rPr>
          <w:t>ads/pdf/Fastips_19%20SDGs</w:t>
        </w:r>
        <w:r w:rsidR="00967A77" w:rsidRPr="007F18F4">
          <w:rPr>
            <w:rStyle w:val="Hyperlink"/>
            <w:szCs w:val="18"/>
            <w:lang w:val="fr-FR"/>
          </w:rPr>
          <w:t>.</w:t>
        </w:r>
        <w:r w:rsidR="00D82B54" w:rsidRPr="007F18F4">
          <w:rPr>
            <w:rStyle w:val="Hyperlink"/>
            <w:szCs w:val="18"/>
            <w:lang w:val="fr-FR"/>
          </w:rPr>
          <w:t>pd</w:t>
        </w:r>
        <w:r w:rsidR="00D82B54" w:rsidRPr="0053293A">
          <w:rPr>
            <w:rStyle w:val="Hyperlink"/>
            <w:szCs w:val="18"/>
            <w:lang w:val="fr-FR"/>
          </w:rPr>
          <w:t>f</w:t>
        </w:r>
      </w:hyperlink>
      <w:r w:rsidR="00967A77" w:rsidRPr="00967A77">
        <w:rPr>
          <w:szCs w:val="18"/>
          <w:lang w:val="fr-FR"/>
        </w:rPr>
        <w:t>.</w:t>
      </w:r>
    </w:p>
  </w:footnote>
  <w:footnote w:id="45">
    <w:p w14:paraId="2B3CA1DF" w14:textId="5ECCD92E" w:rsidR="003373A7" w:rsidRPr="0053293A" w:rsidRDefault="003373A7" w:rsidP="00C30EEB">
      <w:pPr>
        <w:pStyle w:val="FootnoteText"/>
        <w:rPr>
          <w:lang w:val="fr-FR"/>
        </w:rPr>
      </w:pPr>
      <w:r w:rsidRPr="0053293A">
        <w:rPr>
          <w:szCs w:val="18"/>
          <w:lang w:val="fr-FR"/>
        </w:rPr>
        <w:tab/>
      </w:r>
      <w:r w:rsidRPr="00967A77">
        <w:rPr>
          <w:rStyle w:val="FootnoteReference"/>
          <w:lang w:val="fr-FR"/>
        </w:rPr>
        <w:footnoteRef/>
      </w:r>
      <w:r w:rsidRPr="0053293A">
        <w:rPr>
          <w:szCs w:val="18"/>
          <w:lang w:val="fr-FR"/>
        </w:rPr>
        <w:tab/>
      </w:r>
      <w:hyperlink r:id="rId37" w:history="1">
        <w:r w:rsidRPr="007F18F4">
          <w:rPr>
            <w:rStyle w:val="Hyperlink"/>
            <w:szCs w:val="18"/>
            <w:lang w:val="fr-FR"/>
          </w:rPr>
          <w:t>ECE/MP</w:t>
        </w:r>
        <w:r w:rsidR="00967A77" w:rsidRPr="007F18F4">
          <w:rPr>
            <w:rStyle w:val="Hyperlink"/>
            <w:szCs w:val="18"/>
            <w:lang w:val="fr-FR"/>
          </w:rPr>
          <w:t>.</w:t>
        </w:r>
        <w:r w:rsidRPr="007F18F4">
          <w:rPr>
            <w:rStyle w:val="Hyperlink"/>
            <w:szCs w:val="18"/>
            <w:lang w:val="fr-FR"/>
          </w:rPr>
          <w:t>EI</w:t>
        </w:r>
        <w:r w:rsidRPr="007F18F4">
          <w:rPr>
            <w:rStyle w:val="Hyperlink"/>
            <w:szCs w:val="18"/>
            <w:lang w:val="fr-FR"/>
          </w:rPr>
          <w:t>A</w:t>
        </w:r>
        <w:r w:rsidRPr="007F18F4">
          <w:rPr>
            <w:rStyle w:val="Hyperlink"/>
            <w:szCs w:val="18"/>
            <w:lang w:val="fr-FR"/>
          </w:rPr>
          <w:t>/WG</w:t>
        </w:r>
        <w:r w:rsidR="00967A77" w:rsidRPr="007F18F4">
          <w:rPr>
            <w:rStyle w:val="Hyperlink"/>
            <w:szCs w:val="18"/>
            <w:lang w:val="fr-FR"/>
          </w:rPr>
          <w:t>.</w:t>
        </w:r>
        <w:r w:rsidRPr="007F18F4">
          <w:rPr>
            <w:rStyle w:val="Hyperlink"/>
            <w:szCs w:val="18"/>
            <w:lang w:val="fr-FR"/>
          </w:rPr>
          <w:t>2/2023/5</w:t>
        </w:r>
      </w:hyperlink>
      <w:r w:rsidRPr="0053293A">
        <w:rPr>
          <w:szCs w:val="18"/>
          <w:lang w:val="fr-FR"/>
        </w:rPr>
        <w:t>, décision IX/</w:t>
      </w:r>
      <w:r w:rsidRPr="00967A77">
        <w:rPr>
          <w:szCs w:val="18"/>
          <w:lang w:val="fr-FR"/>
        </w:rPr>
        <w:t>5</w:t>
      </w:r>
      <w:r w:rsidRPr="0053293A">
        <w:rPr>
          <w:szCs w:val="18"/>
          <w:lang w:val="fr-FR"/>
        </w:rPr>
        <w:t xml:space="preserve">, </w:t>
      </w:r>
      <w:r w:rsidR="00D82B54" w:rsidRPr="0053293A">
        <w:rPr>
          <w:szCs w:val="18"/>
          <w:lang w:val="fr-FR"/>
        </w:rPr>
        <w:t>par</w:t>
      </w:r>
      <w:r w:rsidR="00967A77" w:rsidRPr="00967A77">
        <w:rPr>
          <w:szCs w:val="18"/>
          <w:lang w:val="fr-FR"/>
        </w:rPr>
        <w:t>.</w:t>
      </w:r>
      <w:r w:rsidR="00D82B54" w:rsidRPr="0053293A">
        <w:rPr>
          <w:szCs w:val="18"/>
          <w:lang w:val="fr-FR"/>
        </w:rPr>
        <w:t> </w:t>
      </w:r>
      <w:r w:rsidRPr="00967A77">
        <w:rPr>
          <w:szCs w:val="18"/>
          <w:lang w:val="fr-FR"/>
        </w:rPr>
        <w:t>5</w:t>
      </w:r>
      <w:r w:rsidRPr="0053293A">
        <w:rPr>
          <w:szCs w:val="18"/>
          <w:lang w:val="fr-FR"/>
        </w:rPr>
        <w:t xml:space="preserve"> f)</w:t>
      </w:r>
      <w:r w:rsidR="00967A77" w:rsidRPr="00967A77">
        <w:rPr>
          <w:szCs w:val="18"/>
          <w:lang w:val="fr-FR"/>
        </w:rPr>
        <w:t>.</w:t>
      </w:r>
    </w:p>
  </w:footnote>
  <w:footnote w:id="46">
    <w:p w14:paraId="166EE809" w14:textId="748CD75D" w:rsidR="00D82B54" w:rsidRPr="0053293A" w:rsidRDefault="003373A7" w:rsidP="00C30EEB">
      <w:pPr>
        <w:pStyle w:val="FootnoteText"/>
        <w:rPr>
          <w:lang w:val="fr-FR"/>
        </w:rPr>
      </w:pPr>
      <w:r w:rsidRPr="0053293A">
        <w:rPr>
          <w:lang w:val="fr-FR"/>
        </w:rPr>
        <w:tab/>
      </w:r>
      <w:r w:rsidRPr="00967A77">
        <w:rPr>
          <w:rStyle w:val="FootnoteReference"/>
          <w:lang w:val="fr-FR"/>
        </w:rPr>
        <w:footnoteRef/>
      </w:r>
      <w:r w:rsidRPr="0053293A">
        <w:rPr>
          <w:lang w:val="fr-FR"/>
        </w:rPr>
        <w:tab/>
        <w:t xml:space="preserve">Kelechi Nwanekezie, Bram Noble et Greg Poelzer, </w:t>
      </w:r>
      <w:r w:rsidR="00F2704B" w:rsidRPr="0053293A">
        <w:rPr>
          <w:lang w:val="fr-FR"/>
        </w:rPr>
        <w:t>« </w:t>
      </w:r>
      <w:r w:rsidRPr="0053293A">
        <w:rPr>
          <w:lang w:val="fr-FR"/>
        </w:rPr>
        <w:t>Strategic assessment for energy transitions</w:t>
      </w:r>
      <w:r w:rsidR="00053E12" w:rsidRPr="0053293A">
        <w:rPr>
          <w:lang w:val="fr-FR"/>
        </w:rPr>
        <w:t>:</w:t>
      </w:r>
      <w:r w:rsidRPr="0053293A">
        <w:rPr>
          <w:lang w:val="fr-FR"/>
        </w:rPr>
        <w:t xml:space="preserve"> A</w:t>
      </w:r>
      <w:r w:rsidR="00D82B54" w:rsidRPr="0053293A">
        <w:rPr>
          <w:lang w:val="fr-FR"/>
        </w:rPr>
        <w:t> </w:t>
      </w:r>
      <w:r w:rsidRPr="0053293A">
        <w:rPr>
          <w:lang w:val="fr-FR"/>
        </w:rPr>
        <w:t>case study of renewable energy development in Saskatchewan, Canada</w:t>
      </w:r>
      <w:r w:rsidR="00F2704B" w:rsidRPr="0053293A">
        <w:rPr>
          <w:lang w:val="fr-FR"/>
        </w:rPr>
        <w:t> »</w:t>
      </w:r>
      <w:r w:rsidRPr="0053293A">
        <w:rPr>
          <w:lang w:val="fr-FR"/>
        </w:rPr>
        <w:t xml:space="preserve"> </w:t>
      </w:r>
      <w:r w:rsidRPr="00967A77">
        <w:rPr>
          <w:i/>
          <w:iCs/>
          <w:lang w:val="fr-FR"/>
        </w:rPr>
        <w:t>Environmental Impact Assessment Review</w:t>
      </w:r>
      <w:r w:rsidRPr="0053293A">
        <w:rPr>
          <w:lang w:val="fr-FR"/>
        </w:rPr>
        <w:t xml:space="preserve">, </w:t>
      </w:r>
      <w:r w:rsidR="003B1E3E" w:rsidRPr="0053293A">
        <w:rPr>
          <w:lang w:val="fr-FR"/>
        </w:rPr>
        <w:t>vol. </w:t>
      </w:r>
      <w:r w:rsidRPr="00967A77">
        <w:rPr>
          <w:lang w:val="fr-FR"/>
        </w:rPr>
        <w:t>92</w:t>
      </w:r>
      <w:r w:rsidRPr="0053293A">
        <w:rPr>
          <w:lang w:val="fr-FR"/>
        </w:rPr>
        <w:t xml:space="preserve"> (janvier </w:t>
      </w:r>
      <w:r w:rsidRPr="00967A77">
        <w:rPr>
          <w:lang w:val="fr-FR"/>
        </w:rPr>
        <w:t>2022</w:t>
      </w:r>
      <w:r w:rsidRPr="0053293A">
        <w:rPr>
          <w:lang w:val="fr-FR"/>
        </w:rPr>
        <w:t>)</w:t>
      </w:r>
      <w:r w:rsidR="00967A77" w:rsidRPr="00967A77">
        <w:rPr>
          <w:lang w:val="fr-FR"/>
        </w:rPr>
        <w:t>.</w:t>
      </w:r>
    </w:p>
  </w:footnote>
  <w:footnote w:id="47">
    <w:p w14:paraId="2C8605A3" w14:textId="7717C888" w:rsidR="003373A7" w:rsidRPr="0053293A" w:rsidRDefault="003373A7" w:rsidP="00C30EEB">
      <w:pPr>
        <w:pStyle w:val="FootnoteText"/>
        <w:rPr>
          <w:lang w:val="fr-FR"/>
        </w:rPr>
      </w:pPr>
      <w:r w:rsidRPr="0053293A">
        <w:rPr>
          <w:lang w:val="fr-FR" w:eastAsia="zh-CN"/>
        </w:rPr>
        <w:tab/>
      </w:r>
      <w:r w:rsidRPr="00967A77">
        <w:rPr>
          <w:rStyle w:val="FootnoteReference"/>
          <w:lang w:val="fr-FR"/>
        </w:rPr>
        <w:footnoteRef/>
      </w:r>
      <w:r w:rsidRPr="0053293A">
        <w:rPr>
          <w:lang w:val="fr-FR"/>
        </w:rPr>
        <w:tab/>
        <w:t xml:space="preserve">Voir </w:t>
      </w:r>
      <w:hyperlink r:id="rId38" w:history="1">
        <w:r w:rsidR="00D82B54" w:rsidRPr="00AD66D1">
          <w:rPr>
            <w:rStyle w:val="Hyperlink"/>
            <w:lang w:val="fr-FR"/>
          </w:rPr>
          <w:t>https://eur-lex</w:t>
        </w:r>
        <w:r w:rsidR="00967A77" w:rsidRPr="00AD66D1">
          <w:rPr>
            <w:rStyle w:val="Hyperlink"/>
            <w:lang w:val="fr-FR"/>
          </w:rPr>
          <w:t>.</w:t>
        </w:r>
        <w:r w:rsidR="00D82B54" w:rsidRPr="00AD66D1">
          <w:rPr>
            <w:rStyle w:val="Hyperlink"/>
            <w:lang w:val="fr-FR"/>
          </w:rPr>
          <w:t>europa</w:t>
        </w:r>
        <w:r w:rsidR="00967A77" w:rsidRPr="00AD66D1">
          <w:rPr>
            <w:rStyle w:val="Hyperlink"/>
            <w:lang w:val="fr-FR"/>
          </w:rPr>
          <w:t>.</w:t>
        </w:r>
        <w:r w:rsidR="00D82B54" w:rsidRPr="00AD66D1">
          <w:rPr>
            <w:rStyle w:val="Hyperlink"/>
            <w:lang w:val="fr-FR"/>
          </w:rPr>
          <w:t>eu/legal-content/FR/TXT/PDF/?uri=CELEX:32014L0052</w:t>
        </w:r>
      </w:hyperlink>
      <w:r w:rsidR="00967A77" w:rsidRPr="00967A77">
        <w:rPr>
          <w:lang w:val="fr-FR"/>
        </w:rPr>
        <w:t>.</w:t>
      </w:r>
    </w:p>
  </w:footnote>
  <w:footnote w:id="48">
    <w:p w14:paraId="2C930EFD" w14:textId="33A80FDD" w:rsidR="003373A7" w:rsidRPr="0053293A" w:rsidRDefault="003373A7" w:rsidP="00C30EEB">
      <w:pPr>
        <w:pStyle w:val="FootnoteText"/>
        <w:rPr>
          <w:lang w:val="fr-FR"/>
        </w:rPr>
      </w:pPr>
      <w:r w:rsidRPr="0053293A">
        <w:rPr>
          <w:lang w:val="fr-FR"/>
        </w:rPr>
        <w:tab/>
      </w:r>
      <w:r w:rsidRPr="00967A77">
        <w:rPr>
          <w:rStyle w:val="FootnoteReference"/>
          <w:lang w:val="fr-FR"/>
        </w:rPr>
        <w:footnoteRef/>
      </w:r>
      <w:r w:rsidRPr="0053293A">
        <w:rPr>
          <w:lang w:val="fr-FR"/>
        </w:rPr>
        <w:tab/>
        <w:t>Voir</w:t>
      </w:r>
      <w:r w:rsidR="00FB3994" w:rsidRPr="0053293A">
        <w:rPr>
          <w:lang w:val="fr-FR"/>
        </w:rPr>
        <w:t xml:space="preserve"> </w:t>
      </w:r>
      <w:hyperlink r:id="rId39" w:history="1">
        <w:r w:rsidR="00FB3994" w:rsidRPr="0053293A">
          <w:rPr>
            <w:rStyle w:val="Hyperlink"/>
            <w:lang w:val="fr-FR"/>
          </w:rPr>
          <w:t>https://unfccc.int/files/meetings/paris_nov_2015/application/pdf/paris_agreement_f</w:t>
        </w:r>
        <w:r w:rsidR="00FB3994" w:rsidRPr="0053293A">
          <w:rPr>
            <w:rStyle w:val="Hyperlink"/>
            <w:lang w:val="fr-FR"/>
          </w:rPr>
          <w:t>r</w:t>
        </w:r>
        <w:r w:rsidR="00FB3994" w:rsidRPr="0053293A">
          <w:rPr>
            <w:rStyle w:val="Hyperlink"/>
            <w:lang w:val="fr-FR"/>
          </w:rPr>
          <w:t>e</w:t>
        </w:r>
        <w:r w:rsidR="00FB3994" w:rsidRPr="0053293A">
          <w:rPr>
            <w:rStyle w:val="Hyperlink"/>
            <w:lang w:val="fr-FR"/>
          </w:rPr>
          <w:t>nch_pdf</w:t>
        </w:r>
      </w:hyperlink>
      <w:r w:rsidR="00967A77" w:rsidRPr="00967A77">
        <w:rPr>
          <w:lang w:val="fr-FR"/>
        </w:rPr>
        <w:t>.</w:t>
      </w:r>
    </w:p>
  </w:footnote>
  <w:footnote w:id="49">
    <w:p w14:paraId="20B2D269" w14:textId="6C4775F9" w:rsidR="003373A7" w:rsidRPr="0053293A" w:rsidRDefault="003373A7" w:rsidP="00C30EEB">
      <w:pPr>
        <w:pStyle w:val="FootnoteText"/>
        <w:rPr>
          <w:lang w:val="fr-FR"/>
        </w:rPr>
      </w:pPr>
      <w:r w:rsidRPr="0053293A">
        <w:rPr>
          <w:lang w:val="fr-FR"/>
        </w:rPr>
        <w:tab/>
      </w:r>
      <w:r w:rsidRPr="00967A77">
        <w:rPr>
          <w:rStyle w:val="FootnoteReference"/>
          <w:lang w:val="fr-FR"/>
        </w:rPr>
        <w:footnoteRef/>
      </w:r>
      <w:r w:rsidRPr="0053293A">
        <w:rPr>
          <w:lang w:val="fr-FR"/>
        </w:rPr>
        <w:tab/>
        <w:t xml:space="preserve">Voir </w:t>
      </w:r>
      <w:hyperlink r:id="rId40" w:history="1">
        <w:r w:rsidR="00D82B54" w:rsidRPr="0053293A">
          <w:rPr>
            <w:rStyle w:val="Hyperlink"/>
            <w:lang w:val="fr-FR"/>
          </w:rPr>
          <w:t>https://ghg</w:t>
        </w:r>
        <w:r w:rsidR="00D82B54" w:rsidRPr="0053293A">
          <w:rPr>
            <w:rStyle w:val="Hyperlink"/>
            <w:lang w:val="fr-FR"/>
          </w:rPr>
          <w:t>p</w:t>
        </w:r>
        <w:r w:rsidR="00D82B54" w:rsidRPr="0053293A">
          <w:rPr>
            <w:rStyle w:val="Hyperlink"/>
            <w:lang w:val="fr-FR"/>
          </w:rPr>
          <w:t>rotocol</w:t>
        </w:r>
        <w:r w:rsidR="00967A77" w:rsidRPr="00967A77">
          <w:rPr>
            <w:rStyle w:val="Hyperlink"/>
            <w:lang w:val="fr-FR"/>
          </w:rPr>
          <w:t>.</w:t>
        </w:r>
        <w:r w:rsidR="00D82B54" w:rsidRPr="0053293A">
          <w:rPr>
            <w:rStyle w:val="Hyperlink"/>
            <w:lang w:val="fr-FR"/>
          </w:rPr>
          <w:t>org/</w:t>
        </w:r>
      </w:hyperlink>
      <w:r w:rsidR="00967A77" w:rsidRPr="00967A77">
        <w:rPr>
          <w:lang w:val="fr-FR"/>
        </w:rPr>
        <w:t>.</w:t>
      </w:r>
    </w:p>
  </w:footnote>
  <w:footnote w:id="50">
    <w:p w14:paraId="073EB919" w14:textId="61F3CF0A" w:rsidR="003373A7" w:rsidRPr="0053293A" w:rsidRDefault="003373A7" w:rsidP="00C30EEB">
      <w:pPr>
        <w:pStyle w:val="FootnoteText"/>
        <w:rPr>
          <w:lang w:val="fr-FR"/>
        </w:rPr>
      </w:pPr>
      <w:r w:rsidRPr="0053293A">
        <w:rPr>
          <w:lang w:val="fr-FR" w:eastAsia="zh-CN"/>
        </w:rPr>
        <w:tab/>
      </w:r>
      <w:r w:rsidRPr="00967A77">
        <w:rPr>
          <w:rStyle w:val="FootnoteReference"/>
          <w:lang w:val="fr-FR"/>
        </w:rPr>
        <w:footnoteRef/>
      </w:r>
      <w:r w:rsidRPr="0053293A">
        <w:rPr>
          <w:lang w:val="fr-FR"/>
        </w:rPr>
        <w:tab/>
        <w:t xml:space="preserve">Voir </w:t>
      </w:r>
      <w:hyperlink r:id="rId41" w:history="1">
        <w:r w:rsidR="00D82B54" w:rsidRPr="00AD66D1">
          <w:rPr>
            <w:rStyle w:val="Hyperlink"/>
            <w:lang w:val="fr-FR"/>
          </w:rPr>
          <w:t>https://eur</w:t>
        </w:r>
        <w:r w:rsidR="00D82B54" w:rsidRPr="00AD66D1">
          <w:rPr>
            <w:rStyle w:val="Hyperlink"/>
            <w:lang w:val="fr-FR"/>
          </w:rPr>
          <w:t>-</w:t>
        </w:r>
        <w:r w:rsidR="00D82B54" w:rsidRPr="00AD66D1">
          <w:rPr>
            <w:rStyle w:val="Hyperlink"/>
            <w:lang w:val="fr-FR"/>
          </w:rPr>
          <w:t>lex</w:t>
        </w:r>
        <w:r w:rsidR="00967A77" w:rsidRPr="00AD66D1">
          <w:rPr>
            <w:rStyle w:val="Hyperlink"/>
            <w:lang w:val="fr-FR"/>
          </w:rPr>
          <w:t>.</w:t>
        </w:r>
        <w:r w:rsidR="00D82B54" w:rsidRPr="00AD66D1">
          <w:rPr>
            <w:rStyle w:val="Hyperlink"/>
            <w:lang w:val="fr-FR"/>
          </w:rPr>
          <w:t>europa</w:t>
        </w:r>
        <w:r w:rsidR="00967A77" w:rsidRPr="00AD66D1">
          <w:rPr>
            <w:rStyle w:val="Hyperlink"/>
            <w:lang w:val="fr-FR"/>
          </w:rPr>
          <w:t>.</w:t>
        </w:r>
        <w:r w:rsidR="00D82B54" w:rsidRPr="00AD66D1">
          <w:rPr>
            <w:rStyle w:val="Hyperlink"/>
            <w:lang w:val="fr-FR"/>
          </w:rPr>
          <w:t>eu/legal-</w:t>
        </w:r>
        <w:r w:rsidR="00D82B54" w:rsidRPr="00AD66D1">
          <w:rPr>
            <w:rStyle w:val="Hyperlink"/>
            <w:lang w:val="fr-FR"/>
          </w:rPr>
          <w:t>c</w:t>
        </w:r>
        <w:r w:rsidR="00D82B54" w:rsidRPr="00AD66D1">
          <w:rPr>
            <w:rStyle w:val="Hyperlink"/>
            <w:lang w:val="fr-FR"/>
          </w:rPr>
          <w:t>ontent/FR/TXT/PDF/?uri=CELEX:32011L0092</w:t>
        </w:r>
      </w:hyperlink>
      <w:r w:rsidR="00967A77" w:rsidRPr="00967A77">
        <w:rPr>
          <w:lang w:val="fr-FR"/>
        </w:rPr>
        <w:t>.</w:t>
      </w:r>
    </w:p>
  </w:footnote>
  <w:footnote w:id="51">
    <w:p w14:paraId="0C4FBB58" w14:textId="06E6C7FC" w:rsidR="003373A7" w:rsidRPr="0053293A" w:rsidRDefault="003373A7" w:rsidP="00C30EEB">
      <w:pPr>
        <w:pStyle w:val="FootnoteText"/>
        <w:rPr>
          <w:szCs w:val="18"/>
          <w:lang w:val="fr-FR"/>
        </w:rPr>
      </w:pPr>
      <w:r w:rsidRPr="0053293A">
        <w:rPr>
          <w:lang w:val="fr-FR"/>
        </w:rPr>
        <w:tab/>
      </w:r>
      <w:r w:rsidRPr="00967A77">
        <w:rPr>
          <w:rStyle w:val="FootnoteReference"/>
          <w:lang w:val="fr-FR"/>
        </w:rPr>
        <w:footnoteRef/>
      </w:r>
      <w:r w:rsidRPr="0053293A">
        <w:rPr>
          <w:lang w:val="fr-FR"/>
        </w:rPr>
        <w:tab/>
      </w:r>
      <w:r w:rsidRPr="0053293A">
        <w:rPr>
          <w:szCs w:val="18"/>
          <w:lang w:val="fr-FR"/>
        </w:rPr>
        <w:t xml:space="preserve">Voir </w:t>
      </w:r>
      <w:hyperlink r:id="rId42" w:history="1">
        <w:r w:rsidR="00D82B54" w:rsidRPr="0053293A">
          <w:rPr>
            <w:rStyle w:val="Hyperlink"/>
            <w:szCs w:val="18"/>
            <w:lang w:val="fr-FR"/>
          </w:rPr>
          <w:t>https://ww</w:t>
        </w:r>
        <w:r w:rsidR="00D82B54" w:rsidRPr="0053293A">
          <w:rPr>
            <w:rStyle w:val="Hyperlink"/>
            <w:szCs w:val="18"/>
            <w:lang w:val="fr-FR"/>
          </w:rPr>
          <w:t>w</w:t>
        </w:r>
        <w:r w:rsidR="00967A77" w:rsidRPr="00967A77">
          <w:rPr>
            <w:rStyle w:val="Hyperlink"/>
            <w:szCs w:val="18"/>
            <w:lang w:val="fr-FR"/>
          </w:rPr>
          <w:t>.</w:t>
        </w:r>
        <w:r w:rsidR="00D82B54" w:rsidRPr="0053293A">
          <w:rPr>
            <w:rStyle w:val="Hyperlink"/>
            <w:szCs w:val="18"/>
            <w:lang w:val="fr-FR"/>
          </w:rPr>
          <w:t>ciel</w:t>
        </w:r>
        <w:r w:rsidR="00967A77" w:rsidRPr="00967A77">
          <w:rPr>
            <w:rStyle w:val="Hyperlink"/>
            <w:szCs w:val="18"/>
            <w:lang w:val="fr-FR"/>
          </w:rPr>
          <w:t>.</w:t>
        </w:r>
        <w:r w:rsidR="00D82B54" w:rsidRPr="0053293A">
          <w:rPr>
            <w:rStyle w:val="Hyperlink"/>
            <w:szCs w:val="18"/>
            <w:lang w:val="fr-FR"/>
          </w:rPr>
          <w:t>org/wp-content/u</w:t>
        </w:r>
        <w:r w:rsidR="00D82B54" w:rsidRPr="00AD66D1">
          <w:rPr>
            <w:rStyle w:val="Hyperlink"/>
            <w:szCs w:val="18"/>
            <w:lang w:val="fr-FR"/>
          </w:rPr>
          <w:t>ploads/2023/05/Public-Lette</w:t>
        </w:r>
        <w:r w:rsidR="00D82B54" w:rsidRPr="0053293A">
          <w:rPr>
            <w:rStyle w:val="Hyperlink"/>
            <w:szCs w:val="18"/>
            <w:lang w:val="fr-FR"/>
          </w:rPr>
          <w:t>r-to-AarhusParties</w:t>
        </w:r>
        <w:r w:rsidR="00967A77" w:rsidRPr="00967A77">
          <w:rPr>
            <w:rStyle w:val="Hyperlink"/>
            <w:szCs w:val="18"/>
            <w:lang w:val="fr-FR"/>
          </w:rPr>
          <w:t>.</w:t>
        </w:r>
        <w:r w:rsidR="00D82B54" w:rsidRPr="0053293A">
          <w:rPr>
            <w:rStyle w:val="Hyperlink"/>
            <w:szCs w:val="18"/>
            <w:lang w:val="fr-FR"/>
          </w:rPr>
          <w:t>pdf</w:t>
        </w:r>
      </w:hyperlink>
      <w:r w:rsidR="00967A77" w:rsidRPr="00967A77">
        <w:rPr>
          <w:szCs w:val="18"/>
          <w:lang w:val="fr-FR"/>
        </w:rPr>
        <w:t>.</w:t>
      </w:r>
    </w:p>
  </w:footnote>
  <w:footnote w:id="52">
    <w:p w14:paraId="69D2C87A" w14:textId="3E72511F" w:rsidR="003373A7" w:rsidRPr="0053293A" w:rsidRDefault="003373A7" w:rsidP="00C30EEB">
      <w:pPr>
        <w:pStyle w:val="FootnoteText"/>
        <w:rPr>
          <w:lang w:val="fr-FR"/>
        </w:rPr>
      </w:pPr>
      <w:r w:rsidRPr="0053293A">
        <w:rPr>
          <w:lang w:val="fr-FR"/>
        </w:rPr>
        <w:tab/>
      </w:r>
      <w:r w:rsidRPr="00967A77">
        <w:rPr>
          <w:rStyle w:val="FootnoteReference"/>
          <w:lang w:val="fr-FR"/>
        </w:rPr>
        <w:footnoteRef/>
      </w:r>
      <w:r w:rsidRPr="0053293A">
        <w:rPr>
          <w:lang w:val="fr-FR"/>
        </w:rPr>
        <w:tab/>
        <w:t>Bureau régional de l</w:t>
      </w:r>
      <w:r w:rsidR="00053E12" w:rsidRPr="0053293A">
        <w:rPr>
          <w:lang w:val="fr-FR"/>
        </w:rPr>
        <w:t>’</w:t>
      </w:r>
      <w:r w:rsidRPr="0053293A">
        <w:rPr>
          <w:lang w:val="fr-FR"/>
        </w:rPr>
        <w:t>Organisation mondiale de la Santé pour l</w:t>
      </w:r>
      <w:r w:rsidR="00053E12" w:rsidRPr="0053293A">
        <w:rPr>
          <w:lang w:val="fr-FR"/>
        </w:rPr>
        <w:t>’</w:t>
      </w:r>
      <w:r w:rsidRPr="0053293A">
        <w:rPr>
          <w:lang w:val="fr-FR"/>
        </w:rPr>
        <w:t xml:space="preserve">Europe (OMS/Europe), </w:t>
      </w:r>
      <w:r w:rsidRPr="00967A77">
        <w:rPr>
          <w:i/>
          <w:iCs/>
          <w:lang w:val="fr-FR"/>
        </w:rPr>
        <w:t>Assessing the Health Impacts of a Circular Economy</w:t>
      </w:r>
      <w:r w:rsidRPr="0053293A">
        <w:rPr>
          <w:lang w:val="fr-FR"/>
        </w:rPr>
        <w:t xml:space="preserve"> (Copenhague, </w:t>
      </w:r>
      <w:r w:rsidRPr="00967A77">
        <w:rPr>
          <w:lang w:val="fr-FR"/>
        </w:rPr>
        <w:t>2019</w:t>
      </w:r>
      <w:r w:rsidRPr="0053293A">
        <w:rPr>
          <w:lang w:val="fr-FR"/>
        </w:rPr>
        <w:t>)</w:t>
      </w:r>
      <w:r w:rsidR="00967A77" w:rsidRPr="00967A77">
        <w:rPr>
          <w:lang w:val="fr-FR"/>
        </w:rPr>
        <w:t>.</w:t>
      </w:r>
    </w:p>
  </w:footnote>
  <w:footnote w:id="53">
    <w:p w14:paraId="5661E249" w14:textId="7B4B90EF" w:rsidR="003373A7" w:rsidRPr="0053293A" w:rsidRDefault="003373A7" w:rsidP="00C30EEB">
      <w:pPr>
        <w:pStyle w:val="FootnoteText"/>
        <w:rPr>
          <w:lang w:val="fr-FR"/>
        </w:rPr>
      </w:pPr>
      <w:r w:rsidRPr="0053293A">
        <w:rPr>
          <w:lang w:val="fr-FR"/>
        </w:rPr>
        <w:tab/>
      </w:r>
      <w:r w:rsidRPr="00967A77">
        <w:rPr>
          <w:rStyle w:val="FootnoteReference"/>
          <w:lang w:val="fr-FR"/>
        </w:rPr>
        <w:footnoteRef/>
      </w:r>
      <w:r w:rsidRPr="0053293A">
        <w:rPr>
          <w:lang w:val="fr-FR"/>
        </w:rPr>
        <w:tab/>
        <w:t xml:space="preserve">Voir </w:t>
      </w:r>
      <w:hyperlink r:id="rId43" w:history="1">
        <w:r w:rsidR="00D82B54" w:rsidRPr="0053293A">
          <w:rPr>
            <w:rStyle w:val="Hyperlink"/>
            <w:lang w:val="fr-FR"/>
          </w:rPr>
          <w:t>https://openknowledge</w:t>
        </w:r>
        <w:r w:rsidR="00967A77" w:rsidRPr="00967A77">
          <w:rPr>
            <w:rStyle w:val="Hyperlink"/>
            <w:lang w:val="fr-FR"/>
          </w:rPr>
          <w:t>.</w:t>
        </w:r>
        <w:r w:rsidR="00D82B54" w:rsidRPr="0053293A">
          <w:rPr>
            <w:rStyle w:val="Hyperlink"/>
            <w:lang w:val="fr-FR"/>
          </w:rPr>
          <w:t>worldbank</w:t>
        </w:r>
        <w:r w:rsidR="00967A77" w:rsidRPr="00967A77">
          <w:rPr>
            <w:rStyle w:val="Hyperlink"/>
            <w:lang w:val="fr-FR"/>
          </w:rPr>
          <w:t>.</w:t>
        </w:r>
        <w:r w:rsidR="00D82B54" w:rsidRPr="0053293A">
          <w:rPr>
            <w:rStyle w:val="Hyperlink"/>
            <w:lang w:val="fr-FR"/>
          </w:rPr>
          <w:t>or</w:t>
        </w:r>
        <w:r w:rsidR="00D82B54" w:rsidRPr="00AD66D1">
          <w:rPr>
            <w:rStyle w:val="Hyperlink"/>
            <w:lang w:val="fr-FR"/>
          </w:rPr>
          <w:t>g/bitstr</w:t>
        </w:r>
        <w:r w:rsidR="00D82B54" w:rsidRPr="00AD66D1">
          <w:rPr>
            <w:rStyle w:val="Hyperlink"/>
            <w:lang w:val="fr-FR"/>
          </w:rPr>
          <w:t>e</w:t>
        </w:r>
        <w:r w:rsidR="00D82B54" w:rsidRPr="00AD66D1">
          <w:rPr>
            <w:rStyle w:val="Hyperlink"/>
            <w:lang w:val="fr-FR"/>
          </w:rPr>
          <w:t>am/</w:t>
        </w:r>
        <w:r w:rsidR="00D82B54" w:rsidRPr="00AD66D1">
          <w:rPr>
            <w:rStyle w:val="Hyperlink"/>
            <w:lang w:val="fr-FR"/>
          </w:rPr>
          <w:t>h</w:t>
        </w:r>
        <w:r w:rsidR="00D82B54" w:rsidRPr="00AD66D1">
          <w:rPr>
            <w:rStyle w:val="Hyperlink"/>
            <w:lang w:val="fr-FR"/>
          </w:rPr>
          <w:t>andle/10986/30317/9781464813290</w:t>
        </w:r>
        <w:r w:rsidR="00967A77" w:rsidRPr="00AD66D1">
          <w:rPr>
            <w:rStyle w:val="Hyperlink"/>
            <w:lang w:val="fr-FR"/>
          </w:rPr>
          <w:t>.</w:t>
        </w:r>
        <w:r w:rsidR="00D82B54" w:rsidRPr="00AD66D1">
          <w:rPr>
            <w:rStyle w:val="Hyperlink"/>
            <w:lang w:val="fr-FR"/>
          </w:rPr>
          <w:t>p</w:t>
        </w:r>
        <w:r w:rsidR="00D82B54" w:rsidRPr="0053293A">
          <w:rPr>
            <w:rStyle w:val="Hyperlink"/>
            <w:lang w:val="fr-FR"/>
          </w:rPr>
          <w:t>df</w:t>
        </w:r>
      </w:hyperlink>
      <w:r w:rsidR="00967A77" w:rsidRPr="00967A77">
        <w:rPr>
          <w:lang w:val="fr-FR"/>
        </w:rPr>
        <w:t>.</w:t>
      </w:r>
    </w:p>
  </w:footnote>
  <w:footnote w:id="54">
    <w:p w14:paraId="0432EEED" w14:textId="5B0CFE99" w:rsidR="003373A7" w:rsidRPr="0053293A" w:rsidRDefault="003373A7" w:rsidP="00C30EEB">
      <w:pPr>
        <w:pStyle w:val="FootnoteText"/>
        <w:rPr>
          <w:rFonts w:eastAsia="MyriadPro-Regular"/>
          <w:color w:val="000000"/>
          <w:lang w:val="fr-FR"/>
        </w:rPr>
      </w:pPr>
      <w:r w:rsidRPr="0053293A">
        <w:rPr>
          <w:lang w:val="fr-FR"/>
        </w:rPr>
        <w:tab/>
      </w:r>
      <w:r w:rsidRPr="00967A77">
        <w:rPr>
          <w:rStyle w:val="FootnoteReference"/>
          <w:lang w:val="fr-FR"/>
        </w:rPr>
        <w:footnoteRef/>
      </w:r>
      <w:r w:rsidRPr="0053293A">
        <w:rPr>
          <w:lang w:val="fr-FR"/>
        </w:rPr>
        <w:tab/>
        <w:t xml:space="preserve">Voir </w:t>
      </w:r>
      <w:hyperlink r:id="rId44" w:history="1">
        <w:r w:rsidR="00D82B54" w:rsidRPr="0053293A">
          <w:rPr>
            <w:rStyle w:val="Hyperlink"/>
            <w:lang w:val="fr-FR"/>
          </w:rPr>
          <w:t>https://unctad</w:t>
        </w:r>
        <w:r w:rsidR="00967A77" w:rsidRPr="00967A77">
          <w:rPr>
            <w:rStyle w:val="Hyperlink"/>
            <w:lang w:val="fr-FR"/>
          </w:rPr>
          <w:t>.</w:t>
        </w:r>
        <w:r w:rsidR="00D82B54" w:rsidRPr="0053293A">
          <w:rPr>
            <w:rStyle w:val="Hyperlink"/>
            <w:lang w:val="fr-FR"/>
          </w:rPr>
          <w:t>org/system/files/official-docu</w:t>
        </w:r>
        <w:r w:rsidR="00D82B54" w:rsidRPr="00AD66D1">
          <w:rPr>
            <w:rStyle w:val="Hyperlink"/>
            <w:lang w:val="fr-FR"/>
          </w:rPr>
          <w:t>m</w:t>
        </w:r>
        <w:r w:rsidR="00D82B54" w:rsidRPr="00AD66D1">
          <w:rPr>
            <w:rStyle w:val="Hyperlink"/>
            <w:lang w:val="fr-FR"/>
          </w:rPr>
          <w:t>e</w:t>
        </w:r>
        <w:r w:rsidR="00D82B54" w:rsidRPr="00AD66D1">
          <w:rPr>
            <w:rStyle w:val="Hyperlink"/>
            <w:lang w:val="fr-FR"/>
          </w:rPr>
          <w:t>nt/presspb2017d10_en</w:t>
        </w:r>
        <w:r w:rsidR="00967A77" w:rsidRPr="00967A77">
          <w:rPr>
            <w:rStyle w:val="Hyperlink"/>
            <w:lang w:val="fr-FR"/>
          </w:rPr>
          <w:t>.</w:t>
        </w:r>
        <w:r w:rsidR="00D82B54" w:rsidRPr="0053293A">
          <w:rPr>
            <w:rStyle w:val="Hyperlink"/>
            <w:lang w:val="fr-FR"/>
          </w:rPr>
          <w:t>pdf</w:t>
        </w:r>
      </w:hyperlink>
      <w:r w:rsidR="00967A77" w:rsidRPr="00967A77">
        <w:rPr>
          <w:lang w:val="fr-FR"/>
        </w:rPr>
        <w:t>.</w:t>
      </w:r>
    </w:p>
  </w:footnote>
  <w:footnote w:id="55">
    <w:p w14:paraId="3104BCDC" w14:textId="2FBC116C" w:rsidR="003373A7" w:rsidRPr="0053293A" w:rsidRDefault="003373A7" w:rsidP="00C30EEB">
      <w:pPr>
        <w:pStyle w:val="FootnoteText"/>
        <w:rPr>
          <w:lang w:val="fr-FR"/>
        </w:rPr>
      </w:pPr>
      <w:r w:rsidRPr="0053293A">
        <w:rPr>
          <w:lang w:val="fr-FR"/>
        </w:rPr>
        <w:tab/>
      </w:r>
      <w:r w:rsidRPr="00967A77">
        <w:rPr>
          <w:rStyle w:val="FootnoteReference"/>
          <w:lang w:val="fr-FR"/>
        </w:rPr>
        <w:footnoteRef/>
      </w:r>
      <w:r w:rsidRPr="0053293A">
        <w:rPr>
          <w:lang w:val="fr-FR"/>
        </w:rPr>
        <w:tab/>
        <w:t xml:space="preserve">Voir </w:t>
      </w:r>
      <w:hyperlink r:id="rId45" w:history="1">
        <w:r w:rsidR="00D82B54" w:rsidRPr="0053293A">
          <w:rPr>
            <w:rStyle w:val="Hyperlink"/>
            <w:lang w:val="fr-FR"/>
          </w:rPr>
          <w:t>www</w:t>
        </w:r>
        <w:r w:rsidR="00967A77" w:rsidRPr="00967A77">
          <w:rPr>
            <w:rStyle w:val="Hyperlink"/>
            <w:lang w:val="fr-FR"/>
          </w:rPr>
          <w:t>.</w:t>
        </w:r>
        <w:r w:rsidR="00D82B54" w:rsidRPr="0053293A">
          <w:rPr>
            <w:rStyle w:val="Hyperlink"/>
            <w:lang w:val="fr-FR"/>
          </w:rPr>
          <w:t>weforum</w:t>
        </w:r>
        <w:r w:rsidR="00967A77" w:rsidRPr="00967A77">
          <w:rPr>
            <w:rStyle w:val="Hyperlink"/>
            <w:lang w:val="fr-FR"/>
          </w:rPr>
          <w:t>.</w:t>
        </w:r>
        <w:r w:rsidR="00D82B54" w:rsidRPr="0053293A">
          <w:rPr>
            <w:rStyle w:val="Hyperlink"/>
            <w:lang w:val="fr-FR"/>
          </w:rPr>
          <w:t>org/ag</w:t>
        </w:r>
        <w:r w:rsidR="00D82B54" w:rsidRPr="00AD66D1">
          <w:rPr>
            <w:rStyle w:val="Hyperlink"/>
            <w:lang w:val="fr-FR"/>
          </w:rPr>
          <w:t>enda/2022/02/3-ways-c</w:t>
        </w:r>
        <w:r w:rsidR="00D82B54" w:rsidRPr="0053293A">
          <w:rPr>
            <w:rStyle w:val="Hyperlink"/>
            <w:lang w:val="fr-FR"/>
          </w:rPr>
          <w:t>i</w:t>
        </w:r>
        <w:r w:rsidR="00D82B54" w:rsidRPr="0053293A">
          <w:rPr>
            <w:rStyle w:val="Hyperlink"/>
            <w:lang w:val="fr-FR"/>
          </w:rPr>
          <w:t>rcular-economy-renewables-energy-transition/</w:t>
        </w:r>
      </w:hyperlink>
      <w:r w:rsidR="00967A77" w:rsidRPr="00967A77">
        <w:rPr>
          <w:lang w:val="fr-FR"/>
        </w:rPr>
        <w:t>.</w:t>
      </w:r>
    </w:p>
  </w:footnote>
  <w:footnote w:id="56">
    <w:p w14:paraId="1DCE17B2" w14:textId="56A61C80" w:rsidR="003373A7" w:rsidRPr="0053293A" w:rsidRDefault="003373A7" w:rsidP="00C30EEB">
      <w:pPr>
        <w:pStyle w:val="FootnoteText"/>
        <w:rPr>
          <w:lang w:val="fr-FR"/>
        </w:rPr>
      </w:pPr>
      <w:r w:rsidRPr="0053293A">
        <w:rPr>
          <w:lang w:val="fr-FR"/>
        </w:rPr>
        <w:tab/>
      </w:r>
      <w:r w:rsidRPr="00967A77">
        <w:rPr>
          <w:rStyle w:val="FootnoteReference"/>
          <w:lang w:val="fr-FR"/>
        </w:rPr>
        <w:footnoteRef/>
      </w:r>
      <w:r w:rsidRPr="0053293A">
        <w:rPr>
          <w:lang w:val="fr-FR"/>
        </w:rPr>
        <w:tab/>
      </w:r>
      <w:r w:rsidRPr="0053293A">
        <w:rPr>
          <w:spacing w:val="-2"/>
          <w:lang w:val="fr-FR"/>
        </w:rPr>
        <w:t xml:space="preserve">Voir </w:t>
      </w:r>
      <w:hyperlink r:id="rId46" w:history="1">
        <w:r w:rsidR="00D82B54" w:rsidRPr="0053293A">
          <w:rPr>
            <w:rStyle w:val="Hyperlink"/>
            <w:spacing w:val="-2"/>
            <w:lang w:val="fr-FR"/>
          </w:rPr>
          <w:t>www</w:t>
        </w:r>
        <w:r w:rsidR="00967A77" w:rsidRPr="00967A77">
          <w:rPr>
            <w:rStyle w:val="Hyperlink"/>
            <w:spacing w:val="-2"/>
            <w:lang w:val="fr-FR"/>
          </w:rPr>
          <w:t>.</w:t>
        </w:r>
        <w:r w:rsidR="00D82B54" w:rsidRPr="0053293A">
          <w:rPr>
            <w:rStyle w:val="Hyperlink"/>
            <w:spacing w:val="-2"/>
            <w:lang w:val="fr-FR"/>
          </w:rPr>
          <w:t>iea</w:t>
        </w:r>
        <w:r w:rsidR="00967A77" w:rsidRPr="00967A77">
          <w:rPr>
            <w:rStyle w:val="Hyperlink"/>
            <w:spacing w:val="-2"/>
            <w:lang w:val="fr-FR"/>
          </w:rPr>
          <w:t>.</w:t>
        </w:r>
        <w:r w:rsidR="00D82B54" w:rsidRPr="0053293A">
          <w:rPr>
            <w:rStyle w:val="Hyperlink"/>
            <w:spacing w:val="-2"/>
            <w:lang w:val="fr-FR"/>
          </w:rPr>
          <w:t>org/reports/the-role-of-critical-minerals-in</w:t>
        </w:r>
        <w:r w:rsidR="00D82B54" w:rsidRPr="0053293A">
          <w:rPr>
            <w:rStyle w:val="Hyperlink"/>
            <w:spacing w:val="-2"/>
            <w:lang w:val="fr-FR"/>
          </w:rPr>
          <w:t>-</w:t>
        </w:r>
        <w:r w:rsidR="00D82B54" w:rsidRPr="0053293A">
          <w:rPr>
            <w:rStyle w:val="Hyperlink"/>
            <w:spacing w:val="-2"/>
            <w:lang w:val="fr-FR"/>
          </w:rPr>
          <w:t>clean-energy-transitions/executive-summary</w:t>
        </w:r>
      </w:hyperlink>
      <w:r w:rsidR="00967A77" w:rsidRPr="00967A77">
        <w:rPr>
          <w:spacing w:val="-2"/>
          <w:lang w:val="fr-FR"/>
        </w:rPr>
        <w:t>.</w:t>
      </w:r>
    </w:p>
  </w:footnote>
  <w:footnote w:id="57">
    <w:p w14:paraId="066FBDFE" w14:textId="750E9244" w:rsidR="003373A7" w:rsidRPr="0053293A" w:rsidRDefault="003373A7" w:rsidP="00C30EEB">
      <w:pPr>
        <w:pStyle w:val="FootnoteText"/>
        <w:rPr>
          <w:lang w:val="fr-FR"/>
        </w:rPr>
      </w:pPr>
      <w:r w:rsidRPr="0053293A">
        <w:rPr>
          <w:lang w:val="fr-FR"/>
        </w:rPr>
        <w:tab/>
      </w:r>
      <w:r w:rsidRPr="00967A77">
        <w:rPr>
          <w:rStyle w:val="FootnoteReference"/>
          <w:lang w:val="fr-FR"/>
        </w:rPr>
        <w:footnoteRef/>
      </w:r>
      <w:r w:rsidRPr="0053293A">
        <w:rPr>
          <w:lang w:val="fr-FR"/>
        </w:rPr>
        <w:tab/>
        <w:t xml:space="preserve">Voir </w:t>
      </w:r>
      <w:hyperlink r:id="rId47" w:history="1">
        <w:r w:rsidR="00CE54A6" w:rsidRPr="0053293A">
          <w:rPr>
            <w:rStyle w:val="Hyperlink"/>
            <w:lang w:val="fr-FR"/>
          </w:rPr>
          <w:t>https://ellenmacarthurfoundation</w:t>
        </w:r>
        <w:r w:rsidR="00967A77" w:rsidRPr="00967A77">
          <w:rPr>
            <w:rStyle w:val="Hyperlink"/>
            <w:lang w:val="fr-FR"/>
          </w:rPr>
          <w:t>.</w:t>
        </w:r>
        <w:r w:rsidR="00CE54A6" w:rsidRPr="0053293A">
          <w:rPr>
            <w:rStyle w:val="Hyperlink"/>
            <w:lang w:val="fr-FR"/>
          </w:rPr>
          <w:t>org/topics/circular-economy-introduction/overview#:~:text=</w:t>
        </w:r>
        <w:r w:rsidR="00CE54A6" w:rsidRPr="0053293A">
          <w:rPr>
            <w:rStyle w:val="Hyperlink"/>
            <w:lang w:val="fr-FR"/>
          </w:rPr>
          <w:br/>
          <w:t>The%20circular%20economy%20gives%20us,emissions%2C%20</w:t>
        </w:r>
        <w:r w:rsidR="00CE54A6" w:rsidRPr="0053293A">
          <w:rPr>
            <w:rStyle w:val="Hyperlink"/>
            <w:lang w:val="fr-FR"/>
          </w:rPr>
          <w:t>w</w:t>
        </w:r>
        <w:r w:rsidR="00CE54A6" w:rsidRPr="0053293A">
          <w:rPr>
            <w:rStyle w:val="Hyperlink"/>
            <w:lang w:val="fr-FR"/>
          </w:rPr>
          <w:t>aste%2C%20and%20pollution</w:t>
        </w:r>
      </w:hyperlink>
      <w:r w:rsidR="00967A77" w:rsidRPr="00967A77">
        <w:rPr>
          <w:lang w:val="fr-FR"/>
        </w:rPr>
        <w:t>.</w:t>
      </w:r>
    </w:p>
  </w:footnote>
  <w:footnote w:id="58">
    <w:p w14:paraId="07D860D7" w14:textId="4B6FE954" w:rsidR="003373A7" w:rsidRPr="0053293A" w:rsidRDefault="003373A7" w:rsidP="00C30EEB">
      <w:pPr>
        <w:pStyle w:val="FootnoteText"/>
        <w:rPr>
          <w:lang w:val="fr-FR"/>
        </w:rPr>
      </w:pPr>
      <w:r w:rsidRPr="0053293A">
        <w:rPr>
          <w:lang w:val="fr-FR"/>
        </w:rPr>
        <w:tab/>
      </w:r>
      <w:r w:rsidRPr="00967A77">
        <w:rPr>
          <w:rStyle w:val="FootnoteReference"/>
          <w:lang w:val="fr-FR"/>
        </w:rPr>
        <w:footnoteRef/>
      </w:r>
      <w:r w:rsidRPr="0053293A">
        <w:rPr>
          <w:lang w:val="fr-FR"/>
        </w:rPr>
        <w:tab/>
        <w:t xml:space="preserve">Voir </w:t>
      </w:r>
      <w:hyperlink r:id="rId48" w:history="1">
        <w:r w:rsidR="00D82B54" w:rsidRPr="0053293A">
          <w:rPr>
            <w:rStyle w:val="Hyperlink"/>
            <w:lang w:val="fr-FR"/>
          </w:rPr>
          <w:t>https</w:t>
        </w:r>
        <w:r w:rsidR="00D82B54" w:rsidRPr="0053293A">
          <w:rPr>
            <w:rStyle w:val="Hyperlink"/>
            <w:lang w:val="fr-FR"/>
          </w:rPr>
          <w:t>:</w:t>
        </w:r>
        <w:r w:rsidR="00D82B54" w:rsidRPr="0053293A">
          <w:rPr>
            <w:rStyle w:val="Hyperlink"/>
            <w:lang w:val="fr-FR"/>
          </w:rPr>
          <w:t>//commission</w:t>
        </w:r>
        <w:r w:rsidR="00967A77" w:rsidRPr="00967A77">
          <w:rPr>
            <w:rStyle w:val="Hyperlink"/>
            <w:lang w:val="fr-FR"/>
          </w:rPr>
          <w:t>.</w:t>
        </w:r>
        <w:r w:rsidR="00D82B54" w:rsidRPr="0053293A">
          <w:rPr>
            <w:rStyle w:val="Hyperlink"/>
            <w:lang w:val="fr-FR"/>
          </w:rPr>
          <w:t>europa</w:t>
        </w:r>
        <w:r w:rsidR="00967A77" w:rsidRPr="00967A77">
          <w:rPr>
            <w:rStyle w:val="Hyperlink"/>
            <w:lang w:val="fr-FR"/>
          </w:rPr>
          <w:t>.</w:t>
        </w:r>
        <w:r w:rsidR="00D82B54" w:rsidRPr="0053293A">
          <w:rPr>
            <w:rStyle w:val="Hyperlink"/>
            <w:lang w:val="fr-FR"/>
          </w:rPr>
          <w:t>eu/strategy</w:t>
        </w:r>
        <w:r w:rsidR="00D82B54" w:rsidRPr="00AD66D1">
          <w:rPr>
            <w:rStyle w:val="Hyperlink"/>
            <w:lang w:val="fr-FR"/>
          </w:rPr>
          <w:t>-and-policy/priorities-2019-2024/europ</w:t>
        </w:r>
        <w:r w:rsidR="00D82B54" w:rsidRPr="0053293A">
          <w:rPr>
            <w:rStyle w:val="Hyperlink"/>
            <w:lang w:val="fr-FR"/>
          </w:rPr>
          <w:t>ean-green-deal/industry-and-green-deal_fr</w:t>
        </w:r>
      </w:hyperlink>
      <w:r w:rsidR="00967A77" w:rsidRPr="00967A77">
        <w:rPr>
          <w:lang w:val="fr-FR"/>
        </w:rPr>
        <w:t>.</w:t>
      </w:r>
    </w:p>
  </w:footnote>
  <w:footnote w:id="59">
    <w:p w14:paraId="1307C7FD" w14:textId="4E0E2FAF" w:rsidR="003373A7" w:rsidRPr="0053293A" w:rsidRDefault="003373A7" w:rsidP="00C30EEB">
      <w:pPr>
        <w:pStyle w:val="FootnoteText"/>
        <w:rPr>
          <w:lang w:val="fr-FR"/>
        </w:rPr>
      </w:pPr>
      <w:r w:rsidRPr="0053293A">
        <w:rPr>
          <w:lang w:val="fr-FR"/>
        </w:rPr>
        <w:tab/>
      </w:r>
      <w:r w:rsidRPr="00967A77">
        <w:rPr>
          <w:rStyle w:val="FootnoteReference"/>
          <w:lang w:val="fr-FR"/>
        </w:rPr>
        <w:footnoteRef/>
      </w:r>
      <w:r w:rsidRPr="0053293A">
        <w:rPr>
          <w:lang w:val="fr-FR"/>
        </w:rPr>
        <w:tab/>
        <w:t xml:space="preserve">Voir </w:t>
      </w:r>
      <w:hyperlink r:id="rId49" w:history="1">
        <w:r w:rsidR="00D82B54" w:rsidRPr="0053293A">
          <w:rPr>
            <w:rStyle w:val="Hyperlink"/>
            <w:lang w:val="fr-FR"/>
          </w:rPr>
          <w:t>https://ocea</w:t>
        </w:r>
        <w:r w:rsidR="00D82B54" w:rsidRPr="0053293A">
          <w:rPr>
            <w:rStyle w:val="Hyperlink"/>
            <w:lang w:val="fr-FR"/>
          </w:rPr>
          <w:t>n</w:t>
        </w:r>
        <w:r w:rsidR="00D82B54" w:rsidRPr="0053293A">
          <w:rPr>
            <w:rStyle w:val="Hyperlink"/>
            <w:lang w:val="fr-FR"/>
          </w:rPr>
          <w:t>s-and-fisheries</w:t>
        </w:r>
        <w:r w:rsidR="00967A77" w:rsidRPr="00967A77">
          <w:rPr>
            <w:rStyle w:val="Hyperlink"/>
            <w:lang w:val="fr-FR"/>
          </w:rPr>
          <w:t>.</w:t>
        </w:r>
        <w:r w:rsidR="00D82B54" w:rsidRPr="0053293A">
          <w:rPr>
            <w:rStyle w:val="Hyperlink"/>
            <w:lang w:val="fr-FR"/>
          </w:rPr>
          <w:t>ec</w:t>
        </w:r>
        <w:r w:rsidR="00967A77" w:rsidRPr="00967A77">
          <w:rPr>
            <w:rStyle w:val="Hyperlink"/>
            <w:lang w:val="fr-FR"/>
          </w:rPr>
          <w:t>.</w:t>
        </w:r>
        <w:r w:rsidR="00D82B54" w:rsidRPr="0053293A">
          <w:rPr>
            <w:rStyle w:val="Hyperlink"/>
            <w:lang w:val="fr-FR"/>
          </w:rPr>
          <w:t>europa</w:t>
        </w:r>
        <w:r w:rsidR="00967A77" w:rsidRPr="00967A77">
          <w:rPr>
            <w:rStyle w:val="Hyperlink"/>
            <w:lang w:val="fr-FR"/>
          </w:rPr>
          <w:t>.</w:t>
        </w:r>
        <w:r w:rsidR="00D82B54" w:rsidRPr="0053293A">
          <w:rPr>
            <w:rStyle w:val="Hyperlink"/>
            <w:lang w:val="fr-FR"/>
          </w:rPr>
          <w:t>eu/ocean/blue-economy/sustainable-blue-economy_en</w:t>
        </w:r>
      </w:hyperlink>
      <w:r w:rsidR="00967A77" w:rsidRPr="00967A77">
        <w:rPr>
          <w:lang w:val="fr-FR"/>
        </w:rPr>
        <w:t>.</w:t>
      </w:r>
    </w:p>
  </w:footnote>
  <w:footnote w:id="60">
    <w:p w14:paraId="2C8FEB03" w14:textId="23D5E21C" w:rsidR="003373A7" w:rsidRPr="0053293A" w:rsidRDefault="003373A7" w:rsidP="00C30EEB">
      <w:pPr>
        <w:pStyle w:val="FootnoteText"/>
        <w:rPr>
          <w:lang w:val="fr-FR"/>
        </w:rPr>
      </w:pPr>
      <w:r w:rsidRPr="0053293A">
        <w:rPr>
          <w:lang w:val="fr-FR"/>
        </w:rPr>
        <w:tab/>
      </w:r>
      <w:r w:rsidRPr="00967A77">
        <w:rPr>
          <w:rStyle w:val="FootnoteReference"/>
          <w:lang w:val="fr-FR"/>
        </w:rPr>
        <w:footnoteRef/>
      </w:r>
      <w:r w:rsidRPr="0053293A">
        <w:rPr>
          <w:lang w:val="fr-FR"/>
        </w:rPr>
        <w:tab/>
        <w:t xml:space="preserve">Voir </w:t>
      </w:r>
      <w:hyperlink r:id="rId50" w:history="1">
        <w:r w:rsidR="00D82B54" w:rsidRPr="0053293A">
          <w:rPr>
            <w:rStyle w:val="Hyperlink"/>
            <w:lang w:val="fr-FR"/>
          </w:rPr>
          <w:t>https://eur-lex</w:t>
        </w:r>
        <w:r w:rsidR="00967A77" w:rsidRPr="00967A77">
          <w:rPr>
            <w:rStyle w:val="Hyperlink"/>
            <w:lang w:val="fr-FR"/>
          </w:rPr>
          <w:t>.</w:t>
        </w:r>
        <w:r w:rsidR="00D82B54" w:rsidRPr="0053293A">
          <w:rPr>
            <w:rStyle w:val="Hyperlink"/>
            <w:lang w:val="fr-FR"/>
          </w:rPr>
          <w:t>europa</w:t>
        </w:r>
        <w:r w:rsidR="00967A77" w:rsidRPr="00967A77">
          <w:rPr>
            <w:rStyle w:val="Hyperlink"/>
            <w:lang w:val="fr-FR"/>
          </w:rPr>
          <w:t>.</w:t>
        </w:r>
        <w:r w:rsidR="00D82B54" w:rsidRPr="0053293A">
          <w:rPr>
            <w:rStyle w:val="Hyperlink"/>
            <w:lang w:val="fr-FR"/>
          </w:rPr>
          <w:t>eu/legal-content/FR/TX</w:t>
        </w:r>
        <w:r w:rsidR="00D82B54" w:rsidRPr="00AD66D1">
          <w:rPr>
            <w:rStyle w:val="Hyperlink"/>
            <w:lang w:val="fr-FR"/>
          </w:rPr>
          <w:t>T/HTML/?uri=CELEX:52023</w:t>
        </w:r>
        <w:r w:rsidR="00D82B54" w:rsidRPr="00AD66D1">
          <w:rPr>
            <w:rStyle w:val="Hyperlink"/>
            <w:lang w:val="fr-FR"/>
          </w:rPr>
          <w:t>P</w:t>
        </w:r>
        <w:r w:rsidR="00D82B54" w:rsidRPr="00AD66D1">
          <w:rPr>
            <w:rStyle w:val="Hyperlink"/>
            <w:lang w:val="fr-FR"/>
          </w:rPr>
          <w:t>C0160</w:t>
        </w:r>
      </w:hyperlink>
      <w:r w:rsidR="00967A77" w:rsidRPr="00967A77">
        <w:rPr>
          <w:lang w:val="fr-FR"/>
        </w:rPr>
        <w:t>.</w:t>
      </w:r>
    </w:p>
  </w:footnote>
  <w:footnote w:id="61">
    <w:p w14:paraId="28378B1D" w14:textId="6AF73CF4" w:rsidR="003373A7" w:rsidRPr="0053293A" w:rsidRDefault="003373A7" w:rsidP="00C30EEB">
      <w:pPr>
        <w:pStyle w:val="FootnoteText"/>
        <w:rPr>
          <w:lang w:val="fr-FR"/>
        </w:rPr>
      </w:pPr>
      <w:r w:rsidRPr="0053293A">
        <w:rPr>
          <w:lang w:val="fr-FR"/>
        </w:rPr>
        <w:tab/>
      </w:r>
      <w:r w:rsidRPr="00967A77">
        <w:rPr>
          <w:rStyle w:val="FootnoteReference"/>
          <w:lang w:val="fr-FR"/>
        </w:rPr>
        <w:footnoteRef/>
      </w:r>
      <w:r w:rsidRPr="0053293A">
        <w:rPr>
          <w:lang w:val="fr-FR"/>
        </w:rPr>
        <w:tab/>
        <w:t xml:space="preserve">Voir </w:t>
      </w:r>
      <w:hyperlink r:id="rId51" w:history="1">
        <w:r w:rsidR="00D82B54" w:rsidRPr="0053293A">
          <w:rPr>
            <w:rStyle w:val="Hyperlink"/>
            <w:lang w:val="fr-FR"/>
          </w:rPr>
          <w:t>https://do</w:t>
        </w:r>
        <w:r w:rsidR="00D82B54" w:rsidRPr="0053293A">
          <w:rPr>
            <w:rStyle w:val="Hyperlink"/>
            <w:lang w:val="fr-FR"/>
          </w:rPr>
          <w:t>i</w:t>
        </w:r>
        <w:r w:rsidR="00967A77" w:rsidRPr="00AD66D1">
          <w:rPr>
            <w:rStyle w:val="Hyperlink"/>
            <w:lang w:val="fr-FR"/>
          </w:rPr>
          <w:t>.</w:t>
        </w:r>
        <w:r w:rsidR="00D82B54" w:rsidRPr="00AD66D1">
          <w:rPr>
            <w:rStyle w:val="Hyperlink"/>
            <w:lang w:val="fr-FR"/>
          </w:rPr>
          <w:t>org/10</w:t>
        </w:r>
        <w:r w:rsidR="00967A77" w:rsidRPr="00AD66D1">
          <w:rPr>
            <w:rStyle w:val="Hyperlink"/>
            <w:lang w:val="fr-FR"/>
          </w:rPr>
          <w:t>.</w:t>
        </w:r>
        <w:r w:rsidR="00D82B54" w:rsidRPr="00AD66D1">
          <w:rPr>
            <w:rStyle w:val="Hyperlink"/>
            <w:lang w:val="fr-FR"/>
          </w:rPr>
          <w:t>1787/ae4a2176-</w:t>
        </w:r>
        <w:r w:rsidR="00D82B54" w:rsidRPr="0053293A">
          <w:rPr>
            <w:rStyle w:val="Hyperlink"/>
            <w:lang w:val="fr-FR"/>
          </w:rPr>
          <w:t>en</w:t>
        </w:r>
      </w:hyperlink>
      <w:r w:rsidR="00967A77" w:rsidRPr="00967A77">
        <w:rPr>
          <w:lang w:val="fr-FR"/>
        </w:rPr>
        <w:t>.</w:t>
      </w:r>
    </w:p>
  </w:footnote>
  <w:footnote w:id="62">
    <w:p w14:paraId="75E093C6" w14:textId="48F91058" w:rsidR="003373A7" w:rsidRPr="0053293A" w:rsidRDefault="003373A7" w:rsidP="00C30EEB">
      <w:pPr>
        <w:pStyle w:val="FootnoteText"/>
        <w:rPr>
          <w:lang w:val="fr-FR"/>
        </w:rPr>
      </w:pPr>
      <w:r w:rsidRPr="0053293A">
        <w:rPr>
          <w:lang w:val="fr-FR"/>
        </w:rPr>
        <w:tab/>
      </w:r>
      <w:r w:rsidRPr="00967A77">
        <w:rPr>
          <w:rStyle w:val="FootnoteReference"/>
          <w:lang w:val="fr-FR"/>
        </w:rPr>
        <w:footnoteRef/>
      </w:r>
      <w:r w:rsidRPr="0053293A">
        <w:rPr>
          <w:lang w:val="fr-FR"/>
        </w:rPr>
        <w:tab/>
        <w:t xml:space="preserve">Voir </w:t>
      </w:r>
      <w:hyperlink r:id="rId52" w:history="1">
        <w:r w:rsidR="00D82B54" w:rsidRPr="0053293A">
          <w:rPr>
            <w:rStyle w:val="Hyperlink"/>
            <w:lang w:val="fr-FR"/>
          </w:rPr>
          <w:t>www</w:t>
        </w:r>
        <w:r w:rsidR="00967A77" w:rsidRPr="00967A77">
          <w:rPr>
            <w:rStyle w:val="Hyperlink"/>
            <w:lang w:val="fr-FR"/>
          </w:rPr>
          <w:t>.</w:t>
        </w:r>
        <w:r w:rsidR="00D82B54" w:rsidRPr="0053293A">
          <w:rPr>
            <w:rStyle w:val="Hyperlink"/>
            <w:lang w:val="fr-FR"/>
          </w:rPr>
          <w:t>circularcityfun</w:t>
        </w:r>
        <w:r w:rsidR="00D82B54" w:rsidRPr="0053293A">
          <w:rPr>
            <w:rStyle w:val="Hyperlink"/>
            <w:lang w:val="fr-FR"/>
          </w:rPr>
          <w:t>d</w:t>
        </w:r>
        <w:r w:rsidR="00D82B54" w:rsidRPr="0053293A">
          <w:rPr>
            <w:rStyle w:val="Hyperlink"/>
            <w:lang w:val="fr-FR"/>
          </w:rPr>
          <w:t>ingguide</w:t>
        </w:r>
        <w:r w:rsidR="00967A77" w:rsidRPr="00967A77">
          <w:rPr>
            <w:rStyle w:val="Hyperlink"/>
            <w:lang w:val="fr-FR"/>
          </w:rPr>
          <w:t>.</w:t>
        </w:r>
        <w:r w:rsidR="00D82B54" w:rsidRPr="0053293A">
          <w:rPr>
            <w:rStyle w:val="Hyperlink"/>
            <w:lang w:val="fr-FR"/>
          </w:rPr>
          <w:t>eu/circular-city-initiatives-and-resources</w:t>
        </w:r>
      </w:hyperlink>
      <w:r w:rsidR="00967A77" w:rsidRPr="00967A77">
        <w:rPr>
          <w:lang w:val="fr-FR"/>
        </w:rPr>
        <w:t>.</w:t>
      </w:r>
    </w:p>
  </w:footnote>
  <w:footnote w:id="63">
    <w:p w14:paraId="439214A1" w14:textId="2E5CF45C" w:rsidR="003373A7" w:rsidRPr="0053293A" w:rsidRDefault="003373A7" w:rsidP="00C30EEB">
      <w:pPr>
        <w:pStyle w:val="FootnoteText"/>
        <w:rPr>
          <w:lang w:val="fr-FR"/>
        </w:rPr>
      </w:pPr>
      <w:r w:rsidRPr="0053293A">
        <w:rPr>
          <w:lang w:val="fr-FR"/>
        </w:rPr>
        <w:tab/>
      </w:r>
      <w:r w:rsidRPr="00967A77">
        <w:rPr>
          <w:rStyle w:val="FootnoteReference"/>
          <w:lang w:val="fr-FR"/>
        </w:rPr>
        <w:footnoteRef/>
      </w:r>
      <w:r w:rsidRPr="0053293A">
        <w:rPr>
          <w:lang w:val="fr-FR"/>
        </w:rPr>
        <w:tab/>
        <w:t xml:space="preserve">Voir </w:t>
      </w:r>
      <w:hyperlink r:id="rId53" w:history="1">
        <w:r w:rsidR="00D82B54" w:rsidRPr="0053293A">
          <w:rPr>
            <w:rStyle w:val="Hyperlink"/>
            <w:lang w:val="fr-FR"/>
          </w:rPr>
          <w:t>www</w:t>
        </w:r>
        <w:r w:rsidR="00967A77" w:rsidRPr="00967A77">
          <w:rPr>
            <w:rStyle w:val="Hyperlink"/>
            <w:lang w:val="fr-FR"/>
          </w:rPr>
          <w:t>.</w:t>
        </w:r>
        <w:r w:rsidR="00D82B54" w:rsidRPr="0053293A">
          <w:rPr>
            <w:rStyle w:val="Hyperlink"/>
            <w:lang w:val="fr-FR"/>
          </w:rPr>
          <w:t>bsig</w:t>
        </w:r>
        <w:r w:rsidR="00D82B54" w:rsidRPr="0053293A">
          <w:rPr>
            <w:rStyle w:val="Hyperlink"/>
            <w:lang w:val="fr-FR"/>
          </w:rPr>
          <w:t>r</w:t>
        </w:r>
        <w:r w:rsidR="00D82B54" w:rsidRPr="0053293A">
          <w:rPr>
            <w:rStyle w:val="Hyperlink"/>
            <w:lang w:val="fr-FR"/>
          </w:rPr>
          <w:t>oup</w:t>
        </w:r>
        <w:r w:rsidR="00967A77" w:rsidRPr="00967A77">
          <w:rPr>
            <w:rStyle w:val="Hyperlink"/>
            <w:lang w:val="fr-FR"/>
          </w:rPr>
          <w:t>.</w:t>
        </w:r>
        <w:r w:rsidR="00D82B54" w:rsidRPr="0053293A">
          <w:rPr>
            <w:rStyle w:val="Hyperlink"/>
            <w:lang w:val="fr-FR"/>
          </w:rPr>
          <w:t>com/en-GB/standards/benefits-of-using-standards/becoming-more-sustainable-with-st</w:t>
        </w:r>
        <w:r w:rsidR="00D82B54" w:rsidRPr="00AD66D1">
          <w:rPr>
            <w:rStyle w:val="Hyperlink"/>
            <w:lang w:val="fr-FR"/>
          </w:rPr>
          <w:t>andards/BS8001-Circ</w:t>
        </w:r>
        <w:r w:rsidR="00D82B54" w:rsidRPr="0053293A">
          <w:rPr>
            <w:rStyle w:val="Hyperlink"/>
            <w:lang w:val="fr-FR"/>
          </w:rPr>
          <w:t>ular-Economy</w:t>
        </w:r>
      </w:hyperlink>
      <w:r w:rsidR="00967A77" w:rsidRPr="00967A77">
        <w:rPr>
          <w:lang w:val="fr-FR"/>
        </w:rPr>
        <w:t>.</w:t>
      </w:r>
    </w:p>
  </w:footnote>
  <w:footnote w:id="64">
    <w:p w14:paraId="562E4E83" w14:textId="0AC3390B" w:rsidR="003373A7" w:rsidRPr="0053293A" w:rsidRDefault="003373A7" w:rsidP="00C30EEB">
      <w:pPr>
        <w:pStyle w:val="FootnoteText"/>
        <w:rPr>
          <w:lang w:val="fr-FR"/>
        </w:rPr>
      </w:pPr>
      <w:r w:rsidRPr="0053293A">
        <w:rPr>
          <w:lang w:val="fr-FR"/>
        </w:rPr>
        <w:tab/>
      </w:r>
      <w:r w:rsidRPr="00967A77">
        <w:rPr>
          <w:rStyle w:val="FootnoteReference"/>
          <w:lang w:val="fr-FR"/>
        </w:rPr>
        <w:footnoteRef/>
      </w:r>
      <w:r w:rsidRPr="0053293A">
        <w:rPr>
          <w:lang w:val="fr-FR"/>
        </w:rPr>
        <w:tab/>
        <w:t xml:space="preserve">Voir </w:t>
      </w:r>
      <w:hyperlink r:id="rId54" w:history="1">
        <w:r w:rsidR="00D82B54" w:rsidRPr="0053293A">
          <w:rPr>
            <w:rStyle w:val="Hyperlink"/>
            <w:lang w:val="fr-FR"/>
          </w:rPr>
          <w:t>www</w:t>
        </w:r>
        <w:r w:rsidR="00967A77" w:rsidRPr="00967A77">
          <w:rPr>
            <w:rStyle w:val="Hyperlink"/>
            <w:lang w:val="fr-FR"/>
          </w:rPr>
          <w:t>.</w:t>
        </w:r>
        <w:r w:rsidR="00D82B54" w:rsidRPr="0053293A">
          <w:rPr>
            <w:rStyle w:val="Hyperlink"/>
            <w:lang w:val="fr-FR"/>
          </w:rPr>
          <w:t>afno</w:t>
        </w:r>
        <w:r w:rsidR="00D82B54" w:rsidRPr="0053293A">
          <w:rPr>
            <w:rStyle w:val="Hyperlink"/>
            <w:lang w:val="fr-FR"/>
          </w:rPr>
          <w:t>r</w:t>
        </w:r>
        <w:r w:rsidR="00967A77" w:rsidRPr="00967A77">
          <w:rPr>
            <w:rStyle w:val="Hyperlink"/>
            <w:lang w:val="fr-FR"/>
          </w:rPr>
          <w:t>.</w:t>
        </w:r>
        <w:r w:rsidR="00D82B54" w:rsidRPr="0053293A">
          <w:rPr>
            <w:rStyle w:val="Hyperlink"/>
            <w:lang w:val="fr-FR"/>
          </w:rPr>
          <w:t>org/en/news/practical-guide-circular-economy</w:t>
        </w:r>
      </w:hyperlink>
      <w:r w:rsidR="00967A77" w:rsidRPr="00967A77">
        <w:rPr>
          <w:lang w:val="fr-FR"/>
        </w:rPr>
        <w:t>.</w:t>
      </w:r>
    </w:p>
  </w:footnote>
  <w:footnote w:id="65">
    <w:p w14:paraId="4986D241" w14:textId="0B087EC4" w:rsidR="003373A7" w:rsidRPr="0053293A" w:rsidRDefault="003373A7" w:rsidP="00C30EEB">
      <w:pPr>
        <w:pStyle w:val="FootnoteText"/>
        <w:rPr>
          <w:lang w:val="fr-FR"/>
        </w:rPr>
      </w:pPr>
      <w:r w:rsidRPr="0053293A">
        <w:rPr>
          <w:lang w:val="fr-FR"/>
        </w:rPr>
        <w:tab/>
      </w:r>
      <w:r w:rsidRPr="00967A77">
        <w:rPr>
          <w:rStyle w:val="FootnoteReference"/>
          <w:lang w:val="fr-FR"/>
        </w:rPr>
        <w:footnoteRef/>
      </w:r>
      <w:r w:rsidRPr="0053293A">
        <w:rPr>
          <w:lang w:val="fr-FR"/>
        </w:rPr>
        <w:tab/>
        <w:t xml:space="preserve">Voir </w:t>
      </w:r>
      <w:hyperlink r:id="rId55" w:history="1">
        <w:r w:rsidR="00D82B54" w:rsidRPr="0053293A">
          <w:rPr>
            <w:rStyle w:val="Hyperlink"/>
            <w:lang w:val="fr-FR"/>
          </w:rPr>
          <w:t>www</w:t>
        </w:r>
        <w:r w:rsidR="00967A77" w:rsidRPr="00967A77">
          <w:rPr>
            <w:rStyle w:val="Hyperlink"/>
            <w:lang w:val="fr-FR"/>
          </w:rPr>
          <w:t>.</w:t>
        </w:r>
        <w:r w:rsidR="00D82B54" w:rsidRPr="0053293A">
          <w:rPr>
            <w:rStyle w:val="Hyperlink"/>
            <w:lang w:val="fr-FR"/>
          </w:rPr>
          <w:t>epa</w:t>
        </w:r>
        <w:r w:rsidR="00967A77" w:rsidRPr="00967A77">
          <w:rPr>
            <w:rStyle w:val="Hyperlink"/>
            <w:lang w:val="fr-FR"/>
          </w:rPr>
          <w:t>.</w:t>
        </w:r>
        <w:r w:rsidR="00D82B54" w:rsidRPr="0053293A">
          <w:rPr>
            <w:rStyle w:val="Hyperlink"/>
            <w:lang w:val="fr-FR"/>
          </w:rPr>
          <w:t>ie/publications/research/socio-econ</w:t>
        </w:r>
        <w:r w:rsidR="00D82B54" w:rsidRPr="00AD66D1">
          <w:rPr>
            <w:rStyle w:val="Hyperlink"/>
            <w:lang w:val="fr-FR"/>
          </w:rPr>
          <w:t>omics/Research_Report_391</w:t>
        </w:r>
        <w:r w:rsidR="00967A77" w:rsidRPr="00AD66D1">
          <w:rPr>
            <w:rStyle w:val="Hyperlink"/>
            <w:lang w:val="fr-FR"/>
          </w:rPr>
          <w:t>.</w:t>
        </w:r>
        <w:r w:rsidR="00D82B54" w:rsidRPr="00AD66D1">
          <w:rPr>
            <w:rStyle w:val="Hyperlink"/>
            <w:lang w:val="fr-FR"/>
          </w:rPr>
          <w:t>pd</w:t>
        </w:r>
        <w:r w:rsidR="00D82B54" w:rsidRPr="0053293A">
          <w:rPr>
            <w:rStyle w:val="Hyperlink"/>
            <w:lang w:val="fr-FR"/>
          </w:rPr>
          <w:t>f</w:t>
        </w:r>
      </w:hyperlink>
      <w:r w:rsidR="00967A77" w:rsidRPr="00967A77">
        <w:rPr>
          <w:lang w:val="fr-FR"/>
        </w:rPr>
        <w:t>.</w:t>
      </w:r>
    </w:p>
  </w:footnote>
  <w:footnote w:id="66">
    <w:p w14:paraId="543CD936" w14:textId="48587C26" w:rsidR="003373A7" w:rsidRPr="0053293A" w:rsidRDefault="003373A7" w:rsidP="00C30EEB">
      <w:pPr>
        <w:pStyle w:val="FootnoteText"/>
        <w:rPr>
          <w:lang w:val="fr-FR"/>
        </w:rPr>
      </w:pPr>
      <w:r w:rsidRPr="0053293A">
        <w:rPr>
          <w:lang w:val="fr-FR"/>
        </w:rPr>
        <w:tab/>
      </w:r>
      <w:r w:rsidRPr="00967A77">
        <w:rPr>
          <w:rStyle w:val="FootnoteReference"/>
          <w:lang w:val="fr-FR"/>
        </w:rPr>
        <w:footnoteRef/>
      </w:r>
      <w:r w:rsidRPr="0053293A">
        <w:rPr>
          <w:lang w:val="fr-FR"/>
        </w:rPr>
        <w:tab/>
        <w:t xml:space="preserve">Voir </w:t>
      </w:r>
      <w:hyperlink r:id="rId56" w:history="1">
        <w:r w:rsidR="00D82B54" w:rsidRPr="0053293A">
          <w:rPr>
            <w:rStyle w:val="Hyperlink"/>
            <w:lang w:val="fr-FR"/>
          </w:rPr>
          <w:t>www</w:t>
        </w:r>
        <w:r w:rsidR="00967A77" w:rsidRPr="00967A77">
          <w:rPr>
            <w:rStyle w:val="Hyperlink"/>
            <w:lang w:val="fr-FR"/>
          </w:rPr>
          <w:t>.</w:t>
        </w:r>
        <w:r w:rsidR="00D82B54" w:rsidRPr="0053293A">
          <w:rPr>
            <w:rStyle w:val="Hyperlink"/>
            <w:lang w:val="fr-FR"/>
          </w:rPr>
          <w:t>eesc</w:t>
        </w:r>
        <w:r w:rsidR="00967A77" w:rsidRPr="00967A77">
          <w:rPr>
            <w:rStyle w:val="Hyperlink"/>
            <w:lang w:val="fr-FR"/>
          </w:rPr>
          <w:t>.</w:t>
        </w:r>
        <w:r w:rsidR="00D82B54" w:rsidRPr="0053293A">
          <w:rPr>
            <w:rStyle w:val="Hyperlink"/>
            <w:lang w:val="fr-FR"/>
          </w:rPr>
          <w:t>europa</w:t>
        </w:r>
        <w:r w:rsidR="00967A77" w:rsidRPr="00967A77">
          <w:rPr>
            <w:rStyle w:val="Hyperlink"/>
            <w:lang w:val="fr-FR"/>
          </w:rPr>
          <w:t>.</w:t>
        </w:r>
        <w:r w:rsidR="00D82B54" w:rsidRPr="0053293A">
          <w:rPr>
            <w:rStyle w:val="Hyperlink"/>
            <w:lang w:val="fr-FR"/>
          </w:rPr>
          <w:t>eu/sites/default</w:t>
        </w:r>
        <w:r w:rsidR="00D82B54" w:rsidRPr="00AD66D1">
          <w:rPr>
            <w:rStyle w:val="Hyperlink"/>
            <w:lang w:val="fr-FR"/>
          </w:rPr>
          <w:t>/files/files/qe-01-19-425-en-n</w:t>
        </w:r>
        <w:r w:rsidR="00967A77" w:rsidRPr="00AD66D1">
          <w:rPr>
            <w:rStyle w:val="Hyperlink"/>
            <w:lang w:val="fr-FR"/>
          </w:rPr>
          <w:t>.</w:t>
        </w:r>
        <w:r w:rsidR="00D82B54" w:rsidRPr="00AD66D1">
          <w:rPr>
            <w:rStyle w:val="Hyperlink"/>
            <w:lang w:val="fr-FR"/>
          </w:rPr>
          <w:t>pd</w:t>
        </w:r>
        <w:r w:rsidR="00D82B54" w:rsidRPr="0053293A">
          <w:rPr>
            <w:rStyle w:val="Hyperlink"/>
            <w:lang w:val="fr-FR"/>
          </w:rPr>
          <w:t>f</w:t>
        </w:r>
      </w:hyperlink>
      <w:r w:rsidR="00967A77" w:rsidRPr="00967A77">
        <w:rPr>
          <w:lang w:val="fr-FR"/>
        </w:rPr>
        <w:t>.</w:t>
      </w:r>
    </w:p>
  </w:footnote>
  <w:footnote w:id="67">
    <w:p w14:paraId="3D65BF0A" w14:textId="24BF0873" w:rsidR="003373A7" w:rsidRPr="0053293A" w:rsidRDefault="003373A7" w:rsidP="00C30EEB">
      <w:pPr>
        <w:pStyle w:val="FootnoteText"/>
        <w:rPr>
          <w:szCs w:val="18"/>
          <w:lang w:val="fr-FR"/>
        </w:rPr>
      </w:pPr>
      <w:r w:rsidRPr="0053293A">
        <w:rPr>
          <w:lang w:val="fr-FR"/>
        </w:rPr>
        <w:tab/>
      </w:r>
      <w:r w:rsidRPr="00967A77">
        <w:rPr>
          <w:rStyle w:val="FootnoteReference"/>
          <w:lang w:val="fr-FR"/>
        </w:rPr>
        <w:footnoteRef/>
      </w:r>
      <w:r w:rsidRPr="0053293A">
        <w:rPr>
          <w:lang w:val="fr-FR"/>
        </w:rPr>
        <w:tab/>
        <w:t xml:space="preserve">Voir </w:t>
      </w:r>
      <w:hyperlink r:id="rId57" w:history="1">
        <w:r w:rsidR="00D82B54" w:rsidRPr="0053293A">
          <w:rPr>
            <w:rStyle w:val="Hyperlink"/>
            <w:lang w:val="fr-FR"/>
          </w:rPr>
          <w:t>https://op</w:t>
        </w:r>
        <w:r w:rsidR="00967A77" w:rsidRPr="00967A77">
          <w:rPr>
            <w:rStyle w:val="Hyperlink"/>
            <w:lang w:val="fr-FR"/>
          </w:rPr>
          <w:t>.</w:t>
        </w:r>
        <w:r w:rsidR="00D82B54" w:rsidRPr="0053293A">
          <w:rPr>
            <w:rStyle w:val="Hyperlink"/>
            <w:lang w:val="fr-FR"/>
          </w:rPr>
          <w:t>europa</w:t>
        </w:r>
        <w:r w:rsidR="00967A77" w:rsidRPr="00967A77">
          <w:rPr>
            <w:rStyle w:val="Hyperlink"/>
            <w:lang w:val="fr-FR"/>
          </w:rPr>
          <w:t>.</w:t>
        </w:r>
        <w:r w:rsidR="00D82B54" w:rsidRPr="0053293A">
          <w:rPr>
            <w:rStyle w:val="Hyperlink"/>
            <w:lang w:val="fr-FR"/>
          </w:rPr>
          <w:t>eu/</w:t>
        </w:r>
        <w:r w:rsidR="00D82B54" w:rsidRPr="0053293A">
          <w:rPr>
            <w:rStyle w:val="Hyperlink"/>
            <w:szCs w:val="18"/>
            <w:lang w:val="fr-FR"/>
          </w:rPr>
          <w:t>en/pub</w:t>
        </w:r>
        <w:r w:rsidR="00D82B54" w:rsidRPr="00AD66D1">
          <w:rPr>
            <w:rStyle w:val="Hyperlink"/>
            <w:szCs w:val="18"/>
            <w:lang w:val="fr-FR"/>
          </w:rPr>
          <w:t>lication-detail/-/publication/0619e465-581c-41dc-9807-2bb394f6bd07</w:t>
        </w:r>
      </w:hyperlink>
      <w:r w:rsidR="00967A77" w:rsidRPr="00967A77">
        <w:rPr>
          <w:szCs w:val="18"/>
          <w:lang w:val="fr-FR"/>
        </w:rPr>
        <w:t>.</w:t>
      </w:r>
    </w:p>
  </w:footnote>
  <w:footnote w:id="68">
    <w:p w14:paraId="035EB4FC" w14:textId="4554FC3F" w:rsidR="003373A7" w:rsidRPr="0053293A" w:rsidRDefault="003373A7" w:rsidP="00C30EEB">
      <w:pPr>
        <w:pStyle w:val="FootnoteText"/>
        <w:rPr>
          <w:szCs w:val="18"/>
          <w:lang w:val="fr-FR"/>
        </w:rPr>
      </w:pPr>
      <w:r w:rsidRPr="0053293A">
        <w:rPr>
          <w:szCs w:val="18"/>
          <w:lang w:val="fr-FR"/>
        </w:rPr>
        <w:tab/>
      </w:r>
      <w:r w:rsidRPr="00967A77">
        <w:rPr>
          <w:rStyle w:val="FootnoteReference"/>
          <w:lang w:val="fr-FR"/>
        </w:rPr>
        <w:footnoteRef/>
      </w:r>
      <w:r w:rsidRPr="0053293A">
        <w:rPr>
          <w:szCs w:val="18"/>
          <w:lang w:val="fr-FR"/>
        </w:rPr>
        <w:tab/>
        <w:t xml:space="preserve">OMS/Europe, </w:t>
      </w:r>
      <w:r w:rsidRPr="00967A77">
        <w:rPr>
          <w:i/>
          <w:iCs/>
          <w:szCs w:val="18"/>
          <w:lang w:val="fr-FR"/>
        </w:rPr>
        <w:t>Assessing the Health Impacts</w:t>
      </w:r>
      <w:r w:rsidR="00967A77" w:rsidRPr="00967A77">
        <w:rPr>
          <w:szCs w:val="18"/>
          <w:lang w:val="fr-FR"/>
        </w:rPr>
        <w:t>.</w:t>
      </w:r>
    </w:p>
  </w:footnote>
  <w:footnote w:id="69">
    <w:p w14:paraId="6351CC8F" w14:textId="506387FF" w:rsidR="003373A7" w:rsidRPr="0053293A" w:rsidRDefault="003373A7" w:rsidP="00C30EEB">
      <w:pPr>
        <w:pStyle w:val="FootnoteText"/>
        <w:rPr>
          <w:szCs w:val="18"/>
          <w:lang w:val="fr-FR"/>
        </w:rPr>
      </w:pPr>
      <w:r w:rsidRPr="0053293A">
        <w:rPr>
          <w:szCs w:val="18"/>
          <w:lang w:val="fr-FR"/>
        </w:rPr>
        <w:tab/>
      </w:r>
      <w:r w:rsidRPr="00967A77">
        <w:rPr>
          <w:rStyle w:val="FootnoteReference"/>
          <w:lang w:val="fr-FR"/>
        </w:rPr>
        <w:footnoteRef/>
      </w:r>
      <w:r w:rsidRPr="0053293A">
        <w:rPr>
          <w:szCs w:val="18"/>
          <w:lang w:val="fr-FR"/>
        </w:rPr>
        <w:tab/>
        <w:t xml:space="preserve">Voir </w:t>
      </w:r>
      <w:hyperlink r:id="rId58" w:history="1">
        <w:r w:rsidR="00D82B54" w:rsidRPr="0053293A">
          <w:rPr>
            <w:rStyle w:val="Hyperlink"/>
            <w:szCs w:val="18"/>
            <w:lang w:val="fr-FR"/>
          </w:rPr>
          <w:t>www</w:t>
        </w:r>
        <w:r w:rsidR="00967A77" w:rsidRPr="00967A77">
          <w:rPr>
            <w:rStyle w:val="Hyperlink"/>
            <w:szCs w:val="18"/>
            <w:lang w:val="fr-FR"/>
          </w:rPr>
          <w:t>.</w:t>
        </w:r>
        <w:r w:rsidR="00D82B54" w:rsidRPr="0053293A">
          <w:rPr>
            <w:rStyle w:val="Hyperlink"/>
            <w:szCs w:val="18"/>
            <w:lang w:val="fr-FR"/>
          </w:rPr>
          <w:t>iaia</w:t>
        </w:r>
        <w:r w:rsidR="00967A77" w:rsidRPr="00967A77">
          <w:rPr>
            <w:rStyle w:val="Hyperlink"/>
            <w:szCs w:val="18"/>
            <w:lang w:val="fr-FR"/>
          </w:rPr>
          <w:t>.</w:t>
        </w:r>
        <w:r w:rsidR="00D82B54" w:rsidRPr="0053293A">
          <w:rPr>
            <w:rStyle w:val="Hyperlink"/>
            <w:szCs w:val="18"/>
            <w:lang w:val="fr-FR"/>
          </w:rPr>
          <w:t>o</w:t>
        </w:r>
        <w:r w:rsidR="00D82B54" w:rsidRPr="00AD66D1">
          <w:rPr>
            <w:rStyle w:val="Hyperlink"/>
            <w:szCs w:val="18"/>
            <w:lang w:val="fr-FR"/>
          </w:rPr>
          <w:t>rg/uploads/pdf/Fastips_22%20Circular%20Economy_5</w:t>
        </w:r>
        <w:r w:rsidR="00967A77" w:rsidRPr="00AD66D1">
          <w:rPr>
            <w:rStyle w:val="Hyperlink"/>
            <w:szCs w:val="18"/>
            <w:lang w:val="fr-FR"/>
          </w:rPr>
          <w:t>.</w:t>
        </w:r>
        <w:r w:rsidR="00D82B54" w:rsidRPr="0053293A">
          <w:rPr>
            <w:rStyle w:val="Hyperlink"/>
            <w:szCs w:val="18"/>
            <w:lang w:val="fr-FR"/>
          </w:rPr>
          <w:t>pdf</w:t>
        </w:r>
      </w:hyperlink>
      <w:r w:rsidR="00967A77" w:rsidRPr="00967A77">
        <w:rPr>
          <w:szCs w:val="18"/>
          <w:lang w:val="fr-FR"/>
        </w:rPr>
        <w:t>.</w:t>
      </w:r>
    </w:p>
  </w:footnote>
  <w:footnote w:id="70">
    <w:p w14:paraId="54217FCF" w14:textId="3F07DEBC" w:rsidR="003373A7" w:rsidRPr="00467E2C" w:rsidRDefault="003373A7" w:rsidP="00C30EEB">
      <w:pPr>
        <w:pStyle w:val="FootnoteText"/>
        <w:rPr>
          <w:sz w:val="20"/>
          <w:szCs w:val="18"/>
          <w:lang w:val="fr-FR"/>
        </w:rPr>
      </w:pPr>
      <w:r w:rsidRPr="0053293A">
        <w:rPr>
          <w:szCs w:val="18"/>
          <w:lang w:val="fr-FR"/>
        </w:rPr>
        <w:tab/>
      </w:r>
      <w:r w:rsidRPr="00967A77">
        <w:rPr>
          <w:rStyle w:val="FootnoteReference"/>
          <w:lang w:val="fr-FR"/>
        </w:rPr>
        <w:footnoteRef/>
      </w:r>
      <w:r w:rsidRPr="0053293A">
        <w:rPr>
          <w:szCs w:val="18"/>
          <w:lang w:val="fr-FR"/>
        </w:rPr>
        <w:tab/>
        <w:t xml:space="preserve">Ewa Mazur-Wierzbicka, </w:t>
      </w:r>
      <w:r w:rsidR="0053293A">
        <w:rPr>
          <w:szCs w:val="18"/>
          <w:lang w:val="fr-FR"/>
        </w:rPr>
        <w:t>« </w:t>
      </w:r>
      <w:r w:rsidRPr="0053293A">
        <w:rPr>
          <w:szCs w:val="18"/>
          <w:lang w:val="fr-FR"/>
        </w:rPr>
        <w:t>Circular economy</w:t>
      </w:r>
      <w:r w:rsidR="00053E12" w:rsidRPr="0053293A">
        <w:rPr>
          <w:szCs w:val="18"/>
          <w:lang w:val="fr-FR"/>
        </w:rPr>
        <w:t>:</w:t>
      </w:r>
      <w:r w:rsidRPr="0053293A">
        <w:rPr>
          <w:szCs w:val="18"/>
          <w:lang w:val="fr-FR"/>
        </w:rPr>
        <w:t xml:space="preserve"> advancement of European Union countries</w:t>
      </w:r>
      <w:r w:rsidR="0053293A">
        <w:rPr>
          <w:szCs w:val="18"/>
          <w:lang w:val="fr-FR"/>
        </w:rPr>
        <w:t> »</w:t>
      </w:r>
      <w:r w:rsidRPr="0053293A">
        <w:rPr>
          <w:szCs w:val="18"/>
          <w:lang w:val="fr-FR"/>
        </w:rPr>
        <w:t>,</w:t>
      </w:r>
      <w:r w:rsidRPr="00967A77">
        <w:rPr>
          <w:i/>
          <w:iCs/>
          <w:szCs w:val="18"/>
          <w:lang w:val="fr-FR"/>
        </w:rPr>
        <w:t xml:space="preserve"> Environmental Sciences Europe</w:t>
      </w:r>
      <w:r w:rsidRPr="0053293A">
        <w:rPr>
          <w:szCs w:val="18"/>
          <w:lang w:val="fr-FR"/>
        </w:rPr>
        <w:t xml:space="preserve">, </w:t>
      </w:r>
      <w:r w:rsidR="003B1E3E" w:rsidRPr="0053293A">
        <w:rPr>
          <w:szCs w:val="18"/>
          <w:lang w:val="fr-FR"/>
        </w:rPr>
        <w:t>vol. </w:t>
      </w:r>
      <w:r w:rsidRPr="00967A77">
        <w:rPr>
          <w:szCs w:val="18"/>
          <w:lang w:val="fr-FR"/>
        </w:rPr>
        <w:t>33</w:t>
      </w:r>
      <w:r w:rsidRPr="0053293A">
        <w:rPr>
          <w:szCs w:val="18"/>
          <w:lang w:val="fr-FR"/>
        </w:rPr>
        <w:t xml:space="preserve">, </w:t>
      </w:r>
      <w:r w:rsidR="00D82B54" w:rsidRPr="0053293A">
        <w:rPr>
          <w:szCs w:val="18"/>
          <w:lang w:val="fr-FR"/>
        </w:rPr>
        <w:t>art</w:t>
      </w:r>
      <w:r w:rsidR="00967A77" w:rsidRPr="00967A77">
        <w:rPr>
          <w:szCs w:val="18"/>
          <w:lang w:val="fr-FR"/>
        </w:rPr>
        <w:t>.</w:t>
      </w:r>
      <w:r w:rsidR="00D82B54" w:rsidRPr="0053293A">
        <w:rPr>
          <w:szCs w:val="18"/>
          <w:lang w:val="fr-FR"/>
        </w:rPr>
        <w:t> n</w:t>
      </w:r>
      <w:r w:rsidR="00D82B54" w:rsidRPr="0053293A">
        <w:rPr>
          <w:szCs w:val="18"/>
          <w:vertAlign w:val="superscript"/>
          <w:lang w:val="fr-FR"/>
        </w:rPr>
        <w:t>o</w:t>
      </w:r>
      <w:r w:rsidR="00D82B54" w:rsidRPr="0053293A">
        <w:rPr>
          <w:szCs w:val="18"/>
          <w:lang w:val="fr-FR"/>
        </w:rPr>
        <w:t> </w:t>
      </w:r>
      <w:r w:rsidRPr="00967A77">
        <w:rPr>
          <w:szCs w:val="18"/>
          <w:lang w:val="fr-FR"/>
        </w:rPr>
        <w:t>111</w:t>
      </w:r>
      <w:r w:rsidRPr="0053293A">
        <w:rPr>
          <w:szCs w:val="18"/>
          <w:lang w:val="fr-FR"/>
        </w:rPr>
        <w:t xml:space="preserve"> (</w:t>
      </w:r>
      <w:r w:rsidRPr="00967A77">
        <w:rPr>
          <w:szCs w:val="18"/>
          <w:lang w:val="fr-FR"/>
        </w:rPr>
        <w:t>2021</w:t>
      </w:r>
      <w:r w:rsidRPr="0053293A">
        <w:rPr>
          <w:szCs w:val="18"/>
          <w:lang w:val="fr-FR"/>
        </w:rPr>
        <w:t>)</w:t>
      </w:r>
      <w:r w:rsidR="00967A77" w:rsidRPr="00967A77">
        <w:rPr>
          <w:szCs w:val="18"/>
          <w:lang w:val="fr-FR"/>
        </w:rPr>
        <w:t>.</w:t>
      </w:r>
    </w:p>
  </w:footnote>
  <w:footnote w:id="71">
    <w:p w14:paraId="24311DB0" w14:textId="1275A17C" w:rsidR="003373A7" w:rsidRPr="0053293A" w:rsidRDefault="003373A7" w:rsidP="002B1A2C">
      <w:pPr>
        <w:pStyle w:val="FootnoteText"/>
        <w:spacing w:line="214" w:lineRule="exact"/>
        <w:rPr>
          <w:rFonts w:eastAsia="MyriadPro-Regular"/>
          <w:color w:val="000000"/>
          <w:lang w:val="fr-FR"/>
        </w:rPr>
      </w:pPr>
      <w:r w:rsidRPr="0053293A">
        <w:rPr>
          <w:lang w:val="fr-FR"/>
        </w:rPr>
        <w:tab/>
      </w:r>
      <w:r w:rsidRPr="00967A77">
        <w:rPr>
          <w:rStyle w:val="FootnoteReference"/>
          <w:lang w:val="fr-FR"/>
        </w:rPr>
        <w:footnoteRef/>
      </w:r>
      <w:r w:rsidRPr="0053293A">
        <w:rPr>
          <w:lang w:val="fr-FR"/>
        </w:rPr>
        <w:tab/>
        <w:t xml:space="preserve">Voir </w:t>
      </w:r>
      <w:hyperlink r:id="rId59" w:history="1">
        <w:r w:rsidR="00D82B54" w:rsidRPr="0053293A">
          <w:rPr>
            <w:rStyle w:val="Hyperlink"/>
            <w:lang w:val="fr-FR"/>
          </w:rPr>
          <w:t>htt</w:t>
        </w:r>
        <w:r w:rsidR="00D82B54" w:rsidRPr="00AD66D1">
          <w:rPr>
            <w:rStyle w:val="Hyperlink"/>
            <w:lang w:val="fr-FR"/>
          </w:rPr>
          <w:t>ps://g20sfwg</w:t>
        </w:r>
        <w:r w:rsidR="00967A77" w:rsidRPr="00AD66D1">
          <w:rPr>
            <w:rStyle w:val="Hyperlink"/>
            <w:lang w:val="fr-FR"/>
          </w:rPr>
          <w:t>.</w:t>
        </w:r>
        <w:r w:rsidR="00D82B54" w:rsidRPr="00AD66D1">
          <w:rPr>
            <w:rStyle w:val="Hyperlink"/>
            <w:lang w:val="fr-FR"/>
          </w:rPr>
          <w:t>org/w</w:t>
        </w:r>
        <w:r w:rsidR="00D82B54" w:rsidRPr="00AD66D1">
          <w:rPr>
            <w:rStyle w:val="Hyperlink"/>
            <w:lang w:val="fr-FR"/>
          </w:rPr>
          <w:t>p</w:t>
        </w:r>
        <w:r w:rsidR="00D82B54" w:rsidRPr="00AD66D1">
          <w:rPr>
            <w:rStyle w:val="Hyperlink"/>
            <w:lang w:val="fr-FR"/>
          </w:rPr>
          <w:t>-content/uploads/2021/10/G20-SFWG-Synthesis-Report</w:t>
        </w:r>
        <w:r w:rsidR="00967A77" w:rsidRPr="00967A77">
          <w:rPr>
            <w:rStyle w:val="Hyperlink"/>
            <w:lang w:val="fr-FR"/>
          </w:rPr>
          <w:t>.</w:t>
        </w:r>
        <w:r w:rsidR="00D82B54" w:rsidRPr="0053293A">
          <w:rPr>
            <w:rStyle w:val="Hyperlink"/>
            <w:lang w:val="fr-FR"/>
          </w:rPr>
          <w:t>pdf</w:t>
        </w:r>
      </w:hyperlink>
      <w:r w:rsidR="00967A77" w:rsidRPr="00967A77">
        <w:rPr>
          <w:lang w:val="fr-FR"/>
        </w:rPr>
        <w:t>.</w:t>
      </w:r>
    </w:p>
  </w:footnote>
  <w:footnote w:id="72">
    <w:p w14:paraId="0B4CBB96" w14:textId="6DD68BFB" w:rsidR="003373A7" w:rsidRPr="0053293A" w:rsidRDefault="003373A7" w:rsidP="002B1A2C">
      <w:pPr>
        <w:pStyle w:val="FootnoteText"/>
        <w:spacing w:line="214" w:lineRule="exact"/>
        <w:rPr>
          <w:lang w:val="fr-FR"/>
        </w:rPr>
      </w:pPr>
      <w:r w:rsidRPr="0053293A">
        <w:rPr>
          <w:lang w:val="fr-FR"/>
        </w:rPr>
        <w:tab/>
      </w:r>
      <w:r w:rsidRPr="00967A77">
        <w:rPr>
          <w:rStyle w:val="FootnoteReference"/>
          <w:lang w:val="fr-FR"/>
        </w:rPr>
        <w:footnoteRef/>
      </w:r>
      <w:r w:rsidRPr="0053293A">
        <w:rPr>
          <w:lang w:val="fr-FR"/>
        </w:rPr>
        <w:tab/>
        <w:t xml:space="preserve">Voir </w:t>
      </w:r>
      <w:hyperlink r:id="rId60" w:history="1">
        <w:r w:rsidR="00D82B54" w:rsidRPr="0053293A">
          <w:rPr>
            <w:rStyle w:val="Hyperlink"/>
            <w:lang w:val="fr-FR"/>
          </w:rPr>
          <w:t>https://futureo</w:t>
        </w:r>
        <w:r w:rsidR="00D82B54" w:rsidRPr="00AD66D1">
          <w:rPr>
            <w:rStyle w:val="Hyperlink"/>
            <w:lang w:val="fr-FR"/>
          </w:rPr>
          <w:t>fsustain</w:t>
        </w:r>
        <w:r w:rsidR="00D82B54" w:rsidRPr="00AD66D1">
          <w:rPr>
            <w:rStyle w:val="Hyperlink"/>
            <w:lang w:val="fr-FR"/>
          </w:rPr>
          <w:t>a</w:t>
        </w:r>
        <w:r w:rsidR="00D82B54" w:rsidRPr="00AD66D1">
          <w:rPr>
            <w:rStyle w:val="Hyperlink"/>
            <w:lang w:val="fr-FR"/>
          </w:rPr>
          <w:t>bledata</w:t>
        </w:r>
        <w:r w:rsidR="00967A77" w:rsidRPr="00AD66D1">
          <w:rPr>
            <w:rStyle w:val="Hyperlink"/>
            <w:lang w:val="fr-FR"/>
          </w:rPr>
          <w:t>.</w:t>
        </w:r>
        <w:r w:rsidR="00D82B54" w:rsidRPr="00AD66D1">
          <w:rPr>
            <w:rStyle w:val="Hyperlink"/>
            <w:lang w:val="fr-FR"/>
          </w:rPr>
          <w:t>com/taxomania-international-overview-update-2022/</w:t>
        </w:r>
      </w:hyperlink>
      <w:r w:rsidR="00967A77" w:rsidRPr="00967A77">
        <w:rPr>
          <w:lang w:val="fr-FR"/>
        </w:rPr>
        <w:t>.</w:t>
      </w:r>
    </w:p>
  </w:footnote>
  <w:footnote w:id="73">
    <w:p w14:paraId="19C52A62" w14:textId="5486ABBF" w:rsidR="003373A7" w:rsidRPr="0053293A" w:rsidRDefault="003373A7" w:rsidP="002B1A2C">
      <w:pPr>
        <w:pStyle w:val="FootnoteText"/>
        <w:spacing w:line="214" w:lineRule="exact"/>
        <w:rPr>
          <w:lang w:val="fr-FR"/>
        </w:rPr>
      </w:pPr>
      <w:r w:rsidRPr="0053293A">
        <w:rPr>
          <w:lang w:val="fr-FR"/>
        </w:rPr>
        <w:tab/>
      </w:r>
      <w:r w:rsidRPr="00967A77">
        <w:rPr>
          <w:rStyle w:val="FootnoteReference"/>
          <w:lang w:val="fr-FR"/>
        </w:rPr>
        <w:footnoteRef/>
      </w:r>
      <w:r w:rsidRPr="0053293A">
        <w:rPr>
          <w:lang w:val="fr-FR"/>
        </w:rPr>
        <w:tab/>
        <w:t xml:space="preserve">Voir </w:t>
      </w:r>
      <w:hyperlink r:id="rId61" w:history="1">
        <w:r w:rsidR="00D82B54" w:rsidRPr="00AD66D1">
          <w:rPr>
            <w:rStyle w:val="Hyperlink"/>
            <w:lang w:val="fr-FR"/>
          </w:rPr>
          <w:t>https://eur-lex</w:t>
        </w:r>
        <w:r w:rsidR="00967A77" w:rsidRPr="00AD66D1">
          <w:rPr>
            <w:rStyle w:val="Hyperlink"/>
            <w:lang w:val="fr-FR"/>
          </w:rPr>
          <w:t>.</w:t>
        </w:r>
        <w:r w:rsidR="00D82B54" w:rsidRPr="00AD66D1">
          <w:rPr>
            <w:rStyle w:val="Hyperlink"/>
            <w:lang w:val="fr-FR"/>
          </w:rPr>
          <w:t>europa</w:t>
        </w:r>
        <w:r w:rsidR="00967A77" w:rsidRPr="00AD66D1">
          <w:rPr>
            <w:rStyle w:val="Hyperlink"/>
            <w:lang w:val="fr-FR"/>
          </w:rPr>
          <w:t>.</w:t>
        </w:r>
        <w:r w:rsidR="00D82B54" w:rsidRPr="00AD66D1">
          <w:rPr>
            <w:rStyle w:val="Hyperlink"/>
            <w:lang w:val="fr-FR"/>
          </w:rPr>
          <w:t>eu/l</w:t>
        </w:r>
        <w:r w:rsidR="00D82B54" w:rsidRPr="00AD66D1">
          <w:rPr>
            <w:rStyle w:val="Hyperlink"/>
            <w:lang w:val="fr-FR"/>
          </w:rPr>
          <w:t>e</w:t>
        </w:r>
        <w:r w:rsidR="00D82B54" w:rsidRPr="00AD66D1">
          <w:rPr>
            <w:rStyle w:val="Hyperlink"/>
            <w:lang w:val="fr-FR"/>
          </w:rPr>
          <w:t>gal-content/FR/TXT/HTML/?uri=CELEX:32020R0852</w:t>
        </w:r>
      </w:hyperlink>
      <w:r w:rsidR="00967A77" w:rsidRPr="00967A77">
        <w:rPr>
          <w:lang w:val="fr-FR"/>
        </w:rPr>
        <w:t>.</w:t>
      </w:r>
    </w:p>
  </w:footnote>
  <w:footnote w:id="74">
    <w:p w14:paraId="3BF7B09E" w14:textId="301A9F34" w:rsidR="003373A7" w:rsidRPr="0053293A" w:rsidRDefault="003373A7" w:rsidP="002B1A2C">
      <w:pPr>
        <w:pStyle w:val="FootnoteText"/>
        <w:spacing w:line="214" w:lineRule="exact"/>
        <w:rPr>
          <w:lang w:val="fr-FR"/>
        </w:rPr>
      </w:pPr>
      <w:r w:rsidRPr="0053293A">
        <w:rPr>
          <w:lang w:val="fr-FR"/>
        </w:rPr>
        <w:tab/>
      </w:r>
      <w:r w:rsidRPr="00967A77">
        <w:rPr>
          <w:rStyle w:val="FootnoteReference"/>
          <w:lang w:val="fr-FR"/>
        </w:rPr>
        <w:footnoteRef/>
      </w:r>
      <w:r w:rsidRPr="0053293A">
        <w:rPr>
          <w:lang w:val="fr-FR"/>
        </w:rPr>
        <w:tab/>
        <w:t xml:space="preserve">Voir </w:t>
      </w:r>
      <w:hyperlink r:id="rId62" w:history="1">
        <w:r w:rsidR="00D82B54" w:rsidRPr="0053293A">
          <w:rPr>
            <w:rStyle w:val="Hyperlink"/>
            <w:lang w:val="fr-FR"/>
          </w:rPr>
          <w:t>https://</w:t>
        </w:r>
        <w:r w:rsidR="00D82B54" w:rsidRPr="0053293A">
          <w:rPr>
            <w:rStyle w:val="Hyperlink"/>
            <w:lang w:val="fr-FR"/>
          </w:rPr>
          <w:t>e</w:t>
        </w:r>
        <w:r w:rsidR="00D82B54" w:rsidRPr="0053293A">
          <w:rPr>
            <w:rStyle w:val="Hyperlink"/>
            <w:lang w:val="fr-FR"/>
          </w:rPr>
          <w:t>ur-lex</w:t>
        </w:r>
        <w:r w:rsidR="00967A77" w:rsidRPr="00967A77">
          <w:rPr>
            <w:rStyle w:val="Hyperlink"/>
            <w:lang w:val="fr-FR"/>
          </w:rPr>
          <w:t>.</w:t>
        </w:r>
        <w:r w:rsidR="00D82B54" w:rsidRPr="0053293A">
          <w:rPr>
            <w:rStyle w:val="Hyperlink"/>
            <w:lang w:val="fr-FR"/>
          </w:rPr>
          <w:t>e</w:t>
        </w:r>
        <w:r w:rsidR="00D82B54" w:rsidRPr="0053293A">
          <w:rPr>
            <w:rStyle w:val="Hyperlink"/>
            <w:lang w:val="fr-FR"/>
          </w:rPr>
          <w:t>u</w:t>
        </w:r>
        <w:r w:rsidR="00D82B54" w:rsidRPr="0053293A">
          <w:rPr>
            <w:rStyle w:val="Hyperlink"/>
            <w:lang w:val="fr-FR"/>
          </w:rPr>
          <w:t>ropa</w:t>
        </w:r>
        <w:r w:rsidR="00967A77" w:rsidRPr="00967A77">
          <w:rPr>
            <w:rStyle w:val="Hyperlink"/>
            <w:lang w:val="fr-FR"/>
          </w:rPr>
          <w:t>.</w:t>
        </w:r>
        <w:r w:rsidR="00D82B54" w:rsidRPr="0053293A">
          <w:rPr>
            <w:rStyle w:val="Hyperlink"/>
            <w:lang w:val="fr-FR"/>
          </w:rPr>
          <w:t>eu/leg</w:t>
        </w:r>
        <w:r w:rsidR="00D82B54" w:rsidRPr="00AD66D1">
          <w:rPr>
            <w:rStyle w:val="Hyperlink"/>
            <w:lang w:val="fr-FR"/>
          </w:rPr>
          <w:t>al-content/FR/TXT/HTML/?uri=CELEX:32021R2139</w:t>
        </w:r>
      </w:hyperlink>
      <w:r w:rsidR="00053E12" w:rsidRPr="0053293A">
        <w:rPr>
          <w:lang w:val="fr-FR"/>
        </w:rPr>
        <w:t> ;</w:t>
      </w:r>
      <w:r w:rsidR="00D82B54" w:rsidRPr="0053293A">
        <w:rPr>
          <w:lang w:val="fr-FR"/>
        </w:rPr>
        <w:br/>
      </w:r>
      <w:hyperlink r:id="rId63" w:history="1">
        <w:r w:rsidR="00D82B54" w:rsidRPr="00AD66D1">
          <w:rPr>
            <w:rStyle w:val="Hyperlink"/>
            <w:lang w:val="fr-FR"/>
          </w:rPr>
          <w:t>https://e</w:t>
        </w:r>
        <w:r w:rsidR="00D82B54" w:rsidRPr="00AD66D1">
          <w:rPr>
            <w:rStyle w:val="Hyperlink"/>
            <w:lang w:val="fr-FR"/>
          </w:rPr>
          <w:t>u</w:t>
        </w:r>
        <w:r w:rsidR="00D82B54" w:rsidRPr="00AD66D1">
          <w:rPr>
            <w:rStyle w:val="Hyperlink"/>
            <w:lang w:val="fr-FR"/>
          </w:rPr>
          <w:t>r-lex</w:t>
        </w:r>
        <w:r w:rsidR="00967A77" w:rsidRPr="00AD66D1">
          <w:rPr>
            <w:rStyle w:val="Hyperlink"/>
            <w:lang w:val="fr-FR"/>
          </w:rPr>
          <w:t>.</w:t>
        </w:r>
        <w:r w:rsidR="00D82B54" w:rsidRPr="00AD66D1">
          <w:rPr>
            <w:rStyle w:val="Hyperlink"/>
            <w:lang w:val="fr-FR"/>
          </w:rPr>
          <w:t>europa</w:t>
        </w:r>
        <w:r w:rsidR="00967A77" w:rsidRPr="00AD66D1">
          <w:rPr>
            <w:rStyle w:val="Hyperlink"/>
            <w:lang w:val="fr-FR"/>
          </w:rPr>
          <w:t>.</w:t>
        </w:r>
        <w:r w:rsidR="00D82B54" w:rsidRPr="00AD66D1">
          <w:rPr>
            <w:rStyle w:val="Hyperlink"/>
            <w:lang w:val="fr-FR"/>
          </w:rPr>
          <w:t>eu/legal-content/FR/TXT/HTML/?uri=CELEX:32022R1214</w:t>
        </w:r>
      </w:hyperlink>
      <w:r w:rsidR="00053E12" w:rsidRPr="0053293A">
        <w:rPr>
          <w:lang w:val="fr-FR"/>
        </w:rPr>
        <w:t> ;</w:t>
      </w:r>
      <w:r w:rsidRPr="0053293A">
        <w:rPr>
          <w:lang w:val="fr-FR"/>
        </w:rPr>
        <w:t xml:space="preserve"> </w:t>
      </w:r>
      <w:hyperlink r:id="rId64" w:history="1">
        <w:r w:rsidR="00D82B54" w:rsidRPr="0053293A">
          <w:rPr>
            <w:rStyle w:val="Hyperlink"/>
            <w:lang w:val="fr-FR"/>
          </w:rPr>
          <w:t>https://fin</w:t>
        </w:r>
        <w:r w:rsidR="00D82B54" w:rsidRPr="0053293A">
          <w:rPr>
            <w:rStyle w:val="Hyperlink"/>
            <w:lang w:val="fr-FR"/>
          </w:rPr>
          <w:t>a</w:t>
        </w:r>
        <w:r w:rsidR="00D82B54" w:rsidRPr="0053293A">
          <w:rPr>
            <w:rStyle w:val="Hyperlink"/>
            <w:lang w:val="fr-FR"/>
          </w:rPr>
          <w:t>nce</w:t>
        </w:r>
        <w:r w:rsidR="00967A77" w:rsidRPr="00967A77">
          <w:rPr>
            <w:rStyle w:val="Hyperlink"/>
            <w:lang w:val="fr-FR"/>
          </w:rPr>
          <w:t>.</w:t>
        </w:r>
        <w:r w:rsidR="00D82B54" w:rsidRPr="0053293A">
          <w:rPr>
            <w:rStyle w:val="Hyperlink"/>
            <w:lang w:val="fr-FR"/>
          </w:rPr>
          <w:t>ec</w:t>
        </w:r>
        <w:r w:rsidR="00967A77" w:rsidRPr="00967A77">
          <w:rPr>
            <w:rStyle w:val="Hyperlink"/>
            <w:lang w:val="fr-FR"/>
          </w:rPr>
          <w:t>.</w:t>
        </w:r>
        <w:r w:rsidR="00D82B54" w:rsidRPr="0053293A">
          <w:rPr>
            <w:rStyle w:val="Hyperlink"/>
            <w:lang w:val="fr-FR"/>
          </w:rPr>
          <w:t>europa</w:t>
        </w:r>
        <w:r w:rsidR="00967A77" w:rsidRPr="00967A77">
          <w:rPr>
            <w:rStyle w:val="Hyperlink"/>
            <w:lang w:val="fr-FR"/>
          </w:rPr>
          <w:t>.</w:t>
        </w:r>
        <w:r w:rsidR="00D82B54" w:rsidRPr="0053293A">
          <w:rPr>
            <w:rStyle w:val="Hyperlink"/>
            <w:lang w:val="fr-FR"/>
          </w:rPr>
          <w:t>eu/syst</w:t>
        </w:r>
        <w:r w:rsidR="00D82B54" w:rsidRPr="00AD66D1">
          <w:rPr>
            <w:rStyle w:val="Hyperlink"/>
            <w:lang w:val="fr-FR"/>
          </w:rPr>
          <w:t>em/files/2023-06/taxonomy-regulation-delegated-act-2022-environmental_en_0</w:t>
        </w:r>
        <w:r w:rsidR="00967A77" w:rsidRPr="00AD66D1">
          <w:rPr>
            <w:rStyle w:val="Hyperlink"/>
            <w:lang w:val="fr-FR"/>
          </w:rPr>
          <w:t>.</w:t>
        </w:r>
        <w:r w:rsidR="00D82B54" w:rsidRPr="00AD66D1">
          <w:rPr>
            <w:rStyle w:val="Hyperlink"/>
            <w:lang w:val="fr-FR"/>
          </w:rPr>
          <w:t>pd</w:t>
        </w:r>
        <w:r w:rsidR="00D82B54" w:rsidRPr="0053293A">
          <w:rPr>
            <w:rStyle w:val="Hyperlink"/>
            <w:lang w:val="fr-FR"/>
          </w:rPr>
          <w:t>f</w:t>
        </w:r>
      </w:hyperlink>
      <w:r w:rsidR="00967A77" w:rsidRPr="00967A77">
        <w:rPr>
          <w:lang w:val="fr-FR"/>
        </w:rPr>
        <w:t>.</w:t>
      </w:r>
    </w:p>
  </w:footnote>
  <w:footnote w:id="75">
    <w:p w14:paraId="283F6E06" w14:textId="36652E98" w:rsidR="003373A7" w:rsidRPr="0053293A" w:rsidRDefault="003373A7" w:rsidP="002B1A2C">
      <w:pPr>
        <w:pStyle w:val="FootnoteText"/>
        <w:spacing w:line="214" w:lineRule="exact"/>
        <w:rPr>
          <w:lang w:val="fr-FR"/>
        </w:rPr>
      </w:pPr>
      <w:r w:rsidRPr="0053293A">
        <w:rPr>
          <w:lang w:val="fr-FR"/>
        </w:rPr>
        <w:tab/>
      </w:r>
      <w:r w:rsidRPr="00967A77">
        <w:rPr>
          <w:rStyle w:val="FootnoteReference"/>
          <w:lang w:val="fr-FR"/>
        </w:rPr>
        <w:footnoteRef/>
      </w:r>
      <w:r w:rsidRPr="0053293A">
        <w:rPr>
          <w:lang w:val="fr-FR"/>
        </w:rPr>
        <w:tab/>
        <w:t xml:space="preserve">Voir </w:t>
      </w:r>
      <w:hyperlink r:id="rId65" w:history="1">
        <w:r w:rsidR="00D82B54" w:rsidRPr="0053293A">
          <w:rPr>
            <w:rStyle w:val="Hyperlink"/>
            <w:lang w:val="fr-FR"/>
          </w:rPr>
          <w:t>https://eur-lex</w:t>
        </w:r>
        <w:r w:rsidR="00967A77" w:rsidRPr="00967A77">
          <w:rPr>
            <w:rStyle w:val="Hyperlink"/>
            <w:lang w:val="fr-FR"/>
          </w:rPr>
          <w:t>.</w:t>
        </w:r>
        <w:r w:rsidR="00D82B54" w:rsidRPr="0053293A">
          <w:rPr>
            <w:rStyle w:val="Hyperlink"/>
            <w:lang w:val="fr-FR"/>
          </w:rPr>
          <w:t>europa</w:t>
        </w:r>
        <w:r w:rsidR="00967A77" w:rsidRPr="00967A77">
          <w:rPr>
            <w:rStyle w:val="Hyperlink"/>
            <w:lang w:val="fr-FR"/>
          </w:rPr>
          <w:t>.</w:t>
        </w:r>
        <w:r w:rsidR="00D82B54" w:rsidRPr="0053293A">
          <w:rPr>
            <w:rStyle w:val="Hyperlink"/>
            <w:lang w:val="fr-FR"/>
          </w:rPr>
          <w:t>eu</w:t>
        </w:r>
        <w:r w:rsidR="00D82B54" w:rsidRPr="00AD66D1">
          <w:rPr>
            <w:rStyle w:val="Hyperlink"/>
            <w:lang w:val="fr-FR"/>
          </w:rPr>
          <w:t>/l</w:t>
        </w:r>
        <w:r w:rsidR="00D82B54" w:rsidRPr="00AD66D1">
          <w:rPr>
            <w:rStyle w:val="Hyperlink"/>
            <w:lang w:val="fr-FR"/>
          </w:rPr>
          <w:t>e</w:t>
        </w:r>
        <w:r w:rsidR="00D82B54" w:rsidRPr="00AD66D1">
          <w:rPr>
            <w:rStyle w:val="Hyperlink"/>
            <w:lang w:val="fr-FR"/>
          </w:rPr>
          <w:t>gal-content/FR/TXT/HTML/?uri=CELEX:32022L2464</w:t>
        </w:r>
      </w:hyperlink>
      <w:r w:rsidR="00967A77" w:rsidRPr="00967A77">
        <w:rPr>
          <w:lang w:val="fr-FR"/>
        </w:rPr>
        <w:t>.</w:t>
      </w:r>
    </w:p>
  </w:footnote>
  <w:footnote w:id="76">
    <w:p w14:paraId="246CA0BE" w14:textId="158FD3D8" w:rsidR="003373A7" w:rsidRPr="0053293A" w:rsidRDefault="003373A7" w:rsidP="002B1A2C">
      <w:pPr>
        <w:pStyle w:val="FootnoteText"/>
        <w:spacing w:line="214" w:lineRule="exact"/>
        <w:rPr>
          <w:lang w:val="fr-FR"/>
        </w:rPr>
      </w:pPr>
      <w:r w:rsidRPr="0053293A">
        <w:rPr>
          <w:lang w:val="fr-FR"/>
        </w:rPr>
        <w:tab/>
      </w:r>
      <w:r w:rsidRPr="00967A77">
        <w:rPr>
          <w:rStyle w:val="FootnoteReference"/>
          <w:lang w:val="fr-FR"/>
        </w:rPr>
        <w:footnoteRef/>
      </w:r>
      <w:r w:rsidRPr="0053293A">
        <w:rPr>
          <w:lang w:val="fr-FR"/>
        </w:rPr>
        <w:tab/>
        <w:t xml:space="preserve">Voir </w:t>
      </w:r>
      <w:hyperlink r:id="rId66" w:history="1">
        <w:r w:rsidR="00D82B54" w:rsidRPr="00AD66D1">
          <w:rPr>
            <w:rStyle w:val="Hyperlink"/>
            <w:lang w:val="fr-FR"/>
          </w:rPr>
          <w:t>www</w:t>
        </w:r>
        <w:r w:rsidR="00967A77" w:rsidRPr="00AD66D1">
          <w:rPr>
            <w:rStyle w:val="Hyperlink"/>
            <w:lang w:val="fr-FR"/>
          </w:rPr>
          <w:t>.</w:t>
        </w:r>
        <w:r w:rsidR="00D82B54" w:rsidRPr="00AD66D1">
          <w:rPr>
            <w:rStyle w:val="Hyperlink"/>
            <w:lang w:val="fr-FR"/>
          </w:rPr>
          <w:t>efrag</w:t>
        </w:r>
        <w:r w:rsidR="00967A77" w:rsidRPr="00AD66D1">
          <w:rPr>
            <w:rStyle w:val="Hyperlink"/>
            <w:lang w:val="fr-FR"/>
          </w:rPr>
          <w:t>.</w:t>
        </w:r>
        <w:r w:rsidR="00D82B54" w:rsidRPr="00AD66D1">
          <w:rPr>
            <w:rStyle w:val="Hyperlink"/>
            <w:lang w:val="fr-FR"/>
          </w:rPr>
          <w:t>o</w:t>
        </w:r>
        <w:r w:rsidR="00D82B54" w:rsidRPr="00AD66D1">
          <w:rPr>
            <w:rStyle w:val="Hyperlink"/>
            <w:lang w:val="fr-FR"/>
          </w:rPr>
          <w:t>r</w:t>
        </w:r>
        <w:r w:rsidR="00D82B54" w:rsidRPr="00AD66D1">
          <w:rPr>
            <w:rStyle w:val="Hyperlink"/>
            <w:lang w:val="fr-FR"/>
          </w:rPr>
          <w:t>g/lab6</w:t>
        </w:r>
      </w:hyperlink>
      <w:r w:rsidR="00967A77" w:rsidRPr="00967A77">
        <w:rPr>
          <w:lang w:val="fr-FR"/>
        </w:rPr>
        <w:t>.</w:t>
      </w:r>
    </w:p>
  </w:footnote>
  <w:footnote w:id="77">
    <w:p w14:paraId="765F5437" w14:textId="69760ABD" w:rsidR="003373A7" w:rsidRPr="0053293A" w:rsidRDefault="003373A7" w:rsidP="00C30EEB">
      <w:pPr>
        <w:pStyle w:val="FootnoteText"/>
        <w:rPr>
          <w:szCs w:val="18"/>
          <w:lang w:val="fr-FR"/>
        </w:rPr>
      </w:pPr>
      <w:r w:rsidRPr="0053293A">
        <w:rPr>
          <w:lang w:val="fr-FR"/>
        </w:rPr>
        <w:tab/>
      </w:r>
      <w:r w:rsidRPr="00967A77">
        <w:rPr>
          <w:rStyle w:val="FootnoteReference"/>
          <w:lang w:val="fr-FR"/>
        </w:rPr>
        <w:footnoteRef/>
      </w:r>
      <w:r w:rsidRPr="0053293A">
        <w:rPr>
          <w:lang w:val="fr-FR"/>
        </w:rPr>
        <w:tab/>
        <w:t xml:space="preserve">Voir </w:t>
      </w:r>
      <w:hyperlink r:id="rId67" w:history="1">
        <w:r w:rsidR="00D82B54" w:rsidRPr="002107BB">
          <w:rPr>
            <w:rStyle w:val="Hyperlink"/>
            <w:lang w:val="fr-FR"/>
          </w:rPr>
          <w:t>www</w:t>
        </w:r>
        <w:r w:rsidR="00967A77" w:rsidRPr="002107BB">
          <w:rPr>
            <w:rStyle w:val="Hyperlink"/>
            <w:lang w:val="fr-FR"/>
          </w:rPr>
          <w:t>.</w:t>
        </w:r>
        <w:r w:rsidR="00D82B54" w:rsidRPr="002107BB">
          <w:rPr>
            <w:rStyle w:val="Hyperlink"/>
            <w:lang w:val="fr-FR"/>
          </w:rPr>
          <w:t>eiopa</w:t>
        </w:r>
        <w:r w:rsidR="00967A77" w:rsidRPr="002107BB">
          <w:rPr>
            <w:rStyle w:val="Hyperlink"/>
            <w:lang w:val="fr-FR"/>
          </w:rPr>
          <w:t>.</w:t>
        </w:r>
        <w:r w:rsidR="00D82B54" w:rsidRPr="002107BB">
          <w:rPr>
            <w:rStyle w:val="Hyperlink"/>
            <w:szCs w:val="18"/>
            <w:lang w:val="fr-FR"/>
          </w:rPr>
          <w:t>europa</w:t>
        </w:r>
        <w:r w:rsidR="00967A77" w:rsidRPr="002107BB">
          <w:rPr>
            <w:rStyle w:val="Hyperlink"/>
            <w:szCs w:val="18"/>
            <w:lang w:val="fr-FR"/>
          </w:rPr>
          <w:t>.</w:t>
        </w:r>
        <w:r w:rsidR="00D82B54" w:rsidRPr="002107BB">
          <w:rPr>
            <w:rStyle w:val="Hyperlink"/>
            <w:szCs w:val="18"/>
            <w:lang w:val="fr-FR"/>
          </w:rPr>
          <w:t>eu/system/files/2023-06/EIOPA%20Progress%20Report%20on%</w:t>
        </w:r>
        <w:r w:rsidR="00D82B54" w:rsidRPr="002107BB">
          <w:rPr>
            <w:rStyle w:val="Hyperlink"/>
            <w:szCs w:val="18"/>
            <w:lang w:val="fr-FR"/>
          </w:rPr>
          <w:br/>
          <w:t>20Greenwashing</w:t>
        </w:r>
        <w:r w:rsidR="00967A77" w:rsidRPr="002107BB">
          <w:rPr>
            <w:rStyle w:val="Hyperlink"/>
            <w:szCs w:val="18"/>
            <w:lang w:val="fr-FR"/>
          </w:rPr>
          <w:t>.</w:t>
        </w:r>
        <w:r w:rsidR="00D82B54" w:rsidRPr="002107BB">
          <w:rPr>
            <w:rStyle w:val="Hyperlink"/>
            <w:szCs w:val="18"/>
            <w:lang w:val="fr-FR"/>
          </w:rPr>
          <w:t>pd</w:t>
        </w:r>
        <w:r w:rsidR="00D82B54" w:rsidRPr="0053293A">
          <w:rPr>
            <w:rStyle w:val="Hyperlink"/>
            <w:szCs w:val="18"/>
            <w:lang w:val="fr-FR"/>
          </w:rPr>
          <w:t>f</w:t>
        </w:r>
      </w:hyperlink>
      <w:r w:rsidR="00967A77" w:rsidRPr="00967A77">
        <w:rPr>
          <w:szCs w:val="18"/>
          <w:lang w:val="fr-FR"/>
        </w:rPr>
        <w:t>.</w:t>
      </w:r>
    </w:p>
  </w:footnote>
  <w:footnote w:id="78">
    <w:p w14:paraId="422EAEDA" w14:textId="4DA3E3CA" w:rsidR="003373A7" w:rsidRPr="0053293A" w:rsidRDefault="003373A7" w:rsidP="00C30EEB">
      <w:pPr>
        <w:pStyle w:val="FootnoteText"/>
        <w:rPr>
          <w:szCs w:val="18"/>
          <w:lang w:val="fr-FR"/>
        </w:rPr>
      </w:pPr>
      <w:r w:rsidRPr="0053293A">
        <w:rPr>
          <w:szCs w:val="18"/>
          <w:lang w:val="fr-FR"/>
        </w:rPr>
        <w:tab/>
      </w:r>
      <w:r w:rsidRPr="00967A77">
        <w:rPr>
          <w:rStyle w:val="FootnoteReference"/>
          <w:lang w:val="fr-FR"/>
        </w:rPr>
        <w:footnoteRef/>
      </w:r>
      <w:r w:rsidRPr="0053293A">
        <w:rPr>
          <w:szCs w:val="18"/>
          <w:lang w:val="fr-FR"/>
        </w:rPr>
        <w:tab/>
        <w:t xml:space="preserve">Voir </w:t>
      </w:r>
      <w:hyperlink r:id="rId68" w:history="1">
        <w:r w:rsidR="00D82B54" w:rsidRPr="002107BB">
          <w:rPr>
            <w:rStyle w:val="Hyperlink"/>
            <w:szCs w:val="18"/>
            <w:lang w:val="fr-FR"/>
          </w:rPr>
          <w:t>www</w:t>
        </w:r>
        <w:r w:rsidR="00967A77" w:rsidRPr="002107BB">
          <w:rPr>
            <w:rStyle w:val="Hyperlink"/>
            <w:szCs w:val="18"/>
            <w:lang w:val="fr-FR"/>
          </w:rPr>
          <w:t>.</w:t>
        </w:r>
        <w:r w:rsidR="00D82B54" w:rsidRPr="002107BB">
          <w:rPr>
            <w:rStyle w:val="Hyperlink"/>
            <w:szCs w:val="18"/>
            <w:lang w:val="fr-FR"/>
          </w:rPr>
          <w:t>eiopa</w:t>
        </w:r>
        <w:r w:rsidR="00967A77" w:rsidRPr="002107BB">
          <w:rPr>
            <w:rStyle w:val="Hyperlink"/>
            <w:szCs w:val="18"/>
            <w:lang w:val="fr-FR"/>
          </w:rPr>
          <w:t>.</w:t>
        </w:r>
        <w:r w:rsidR="00D82B54" w:rsidRPr="002107BB">
          <w:rPr>
            <w:rStyle w:val="Hyperlink"/>
            <w:szCs w:val="18"/>
            <w:lang w:val="fr-FR"/>
          </w:rPr>
          <w:t>europa</w:t>
        </w:r>
        <w:r w:rsidR="00967A77" w:rsidRPr="002107BB">
          <w:rPr>
            <w:rStyle w:val="Hyperlink"/>
            <w:szCs w:val="18"/>
            <w:lang w:val="fr-FR"/>
          </w:rPr>
          <w:t>.</w:t>
        </w:r>
        <w:r w:rsidR="00D82B54" w:rsidRPr="002107BB">
          <w:rPr>
            <w:rStyle w:val="Hyperlink"/>
            <w:szCs w:val="18"/>
            <w:lang w:val="fr-FR"/>
          </w:rPr>
          <w:t>eu/system/files/2023-01/eiopa-consumer-trends-report-2022</w:t>
        </w:r>
        <w:r w:rsidR="00967A77" w:rsidRPr="002107BB">
          <w:rPr>
            <w:rStyle w:val="Hyperlink"/>
            <w:szCs w:val="18"/>
            <w:lang w:val="fr-FR"/>
          </w:rPr>
          <w:t>.</w:t>
        </w:r>
        <w:r w:rsidR="00D82B54" w:rsidRPr="002107BB">
          <w:rPr>
            <w:rStyle w:val="Hyperlink"/>
            <w:szCs w:val="18"/>
            <w:lang w:val="fr-FR"/>
          </w:rPr>
          <w:t>pd</w:t>
        </w:r>
        <w:r w:rsidR="00D82B54" w:rsidRPr="0053293A">
          <w:rPr>
            <w:rStyle w:val="Hyperlink"/>
            <w:szCs w:val="18"/>
            <w:lang w:val="fr-FR"/>
          </w:rPr>
          <w:t>f</w:t>
        </w:r>
      </w:hyperlink>
      <w:r w:rsidR="00967A77" w:rsidRPr="00967A77">
        <w:rPr>
          <w:szCs w:val="18"/>
          <w:lang w:val="fr-FR"/>
        </w:rPr>
        <w:t>.</w:t>
      </w:r>
    </w:p>
  </w:footnote>
  <w:footnote w:id="79">
    <w:p w14:paraId="13F6B831" w14:textId="29D8E8B1" w:rsidR="003373A7" w:rsidRPr="0053293A" w:rsidRDefault="003373A7" w:rsidP="00C30EEB">
      <w:pPr>
        <w:pStyle w:val="FootnoteText"/>
        <w:rPr>
          <w:szCs w:val="18"/>
          <w:lang w:val="fr-FR"/>
        </w:rPr>
      </w:pPr>
      <w:r w:rsidRPr="0053293A">
        <w:rPr>
          <w:szCs w:val="18"/>
          <w:lang w:val="fr-FR"/>
        </w:rPr>
        <w:tab/>
      </w:r>
      <w:r w:rsidRPr="00967A77">
        <w:rPr>
          <w:rStyle w:val="FootnoteReference"/>
          <w:lang w:val="fr-FR"/>
        </w:rPr>
        <w:footnoteRef/>
      </w:r>
      <w:r w:rsidRPr="0053293A">
        <w:rPr>
          <w:szCs w:val="18"/>
          <w:lang w:val="fr-FR"/>
        </w:rPr>
        <w:tab/>
      </w:r>
      <w:r w:rsidRPr="0053293A">
        <w:rPr>
          <w:szCs w:val="18"/>
          <w:lang w:val="fr-FR"/>
        </w:rPr>
        <w:tab/>
        <w:t xml:space="preserve">Voir </w:t>
      </w:r>
      <w:hyperlink r:id="rId69" w:history="1">
        <w:r w:rsidR="00D82B54" w:rsidRPr="0053293A">
          <w:rPr>
            <w:rStyle w:val="Hyperlink"/>
            <w:szCs w:val="18"/>
            <w:lang w:val="fr-FR"/>
          </w:rPr>
          <w:t>www</w:t>
        </w:r>
        <w:r w:rsidR="00967A77" w:rsidRPr="00967A77">
          <w:rPr>
            <w:rStyle w:val="Hyperlink"/>
            <w:szCs w:val="18"/>
            <w:lang w:val="fr-FR"/>
          </w:rPr>
          <w:t>.</w:t>
        </w:r>
        <w:r w:rsidR="00D82B54" w:rsidRPr="0053293A">
          <w:rPr>
            <w:rStyle w:val="Hyperlink"/>
            <w:szCs w:val="18"/>
            <w:lang w:val="fr-FR"/>
          </w:rPr>
          <w:t>eba</w:t>
        </w:r>
        <w:r w:rsidR="00967A77" w:rsidRPr="00967A77">
          <w:rPr>
            <w:rStyle w:val="Hyperlink"/>
            <w:szCs w:val="18"/>
            <w:lang w:val="fr-FR"/>
          </w:rPr>
          <w:t>.</w:t>
        </w:r>
        <w:r w:rsidR="00D82B54" w:rsidRPr="0053293A">
          <w:rPr>
            <w:rStyle w:val="Hyperlink"/>
            <w:szCs w:val="18"/>
            <w:lang w:val="fr-FR"/>
          </w:rPr>
          <w:t>europa</w:t>
        </w:r>
        <w:r w:rsidR="00967A77" w:rsidRPr="00967A77">
          <w:rPr>
            <w:rStyle w:val="Hyperlink"/>
            <w:szCs w:val="18"/>
            <w:lang w:val="fr-FR"/>
          </w:rPr>
          <w:t>.</w:t>
        </w:r>
        <w:r w:rsidR="00D82B54" w:rsidRPr="0053293A">
          <w:rPr>
            <w:rStyle w:val="Hyperlink"/>
            <w:szCs w:val="18"/>
            <w:lang w:val="fr-FR"/>
          </w:rPr>
          <w:t>eu/esas-present-common-understanding-greenwashing-and-warn-related-risks</w:t>
        </w:r>
      </w:hyperlink>
      <w:r w:rsidR="00967A77" w:rsidRPr="00967A77">
        <w:rPr>
          <w:szCs w:val="18"/>
          <w:lang w:val="fr-FR"/>
        </w:rPr>
        <w:t>.</w:t>
      </w:r>
    </w:p>
  </w:footnote>
  <w:footnote w:id="80">
    <w:p w14:paraId="7B04DEDA" w14:textId="32717EF0" w:rsidR="003373A7" w:rsidRPr="0053293A" w:rsidRDefault="003373A7" w:rsidP="00C30EEB">
      <w:pPr>
        <w:pStyle w:val="FootnoteText"/>
        <w:rPr>
          <w:szCs w:val="18"/>
          <w:lang w:val="fr-FR"/>
        </w:rPr>
      </w:pPr>
      <w:r w:rsidRPr="0053293A">
        <w:rPr>
          <w:szCs w:val="18"/>
          <w:lang w:val="fr-FR"/>
        </w:rPr>
        <w:tab/>
      </w:r>
      <w:r w:rsidRPr="00967A77">
        <w:rPr>
          <w:rStyle w:val="FootnoteReference"/>
          <w:lang w:val="fr-FR"/>
        </w:rPr>
        <w:footnoteRef/>
      </w:r>
      <w:r w:rsidRPr="0053293A">
        <w:rPr>
          <w:szCs w:val="18"/>
          <w:lang w:val="fr-FR"/>
        </w:rPr>
        <w:tab/>
        <w:t xml:space="preserve">Voir </w:t>
      </w:r>
      <w:hyperlink r:id="rId70" w:history="1">
        <w:r w:rsidR="00D82B54" w:rsidRPr="0053293A">
          <w:rPr>
            <w:rStyle w:val="Hyperlink"/>
            <w:szCs w:val="18"/>
            <w:lang w:val="fr-FR"/>
          </w:rPr>
          <w:t>https://www</w:t>
        </w:r>
        <w:r w:rsidR="00967A77" w:rsidRPr="00967A77">
          <w:rPr>
            <w:rStyle w:val="Hyperlink"/>
            <w:szCs w:val="18"/>
            <w:lang w:val="fr-FR"/>
          </w:rPr>
          <w:t>.</w:t>
        </w:r>
        <w:r w:rsidR="00D82B54" w:rsidRPr="0053293A">
          <w:rPr>
            <w:rStyle w:val="Hyperlink"/>
            <w:szCs w:val="18"/>
            <w:lang w:val="fr-FR"/>
          </w:rPr>
          <w:t>ebrd</w:t>
        </w:r>
        <w:r w:rsidR="00967A77" w:rsidRPr="00967A77">
          <w:rPr>
            <w:rStyle w:val="Hyperlink"/>
            <w:szCs w:val="18"/>
            <w:lang w:val="fr-FR"/>
          </w:rPr>
          <w:t>.</w:t>
        </w:r>
        <w:r w:rsidR="00D82B54" w:rsidRPr="0053293A">
          <w:rPr>
            <w:rStyle w:val="Hyperlink"/>
            <w:szCs w:val="18"/>
            <w:lang w:val="fr-FR"/>
          </w:rPr>
          <w:t>com/</w:t>
        </w:r>
        <w:r w:rsidR="00D82B54" w:rsidRPr="002107BB">
          <w:rPr>
            <w:rStyle w:val="Hyperlink"/>
            <w:szCs w:val="18"/>
            <w:lang w:val="fr-FR"/>
          </w:rPr>
          <w:t>documents/environment/ebrd-sustainability-report-2020-</w:t>
        </w:r>
        <w:r w:rsidR="00D82B54" w:rsidRPr="0053293A">
          <w:rPr>
            <w:rStyle w:val="Hyperlink"/>
            <w:szCs w:val="18"/>
            <w:lang w:val="fr-FR"/>
          </w:rPr>
          <w:t>pdf</w:t>
        </w:r>
      </w:hyperlink>
      <w:r w:rsidR="00967A77" w:rsidRPr="00967A77">
        <w:rPr>
          <w:szCs w:val="18"/>
          <w:lang w:val="fr-FR"/>
        </w:rPr>
        <w:t>.</w:t>
      </w:r>
    </w:p>
  </w:footnote>
  <w:footnote w:id="81">
    <w:p w14:paraId="04E65419" w14:textId="4761A914" w:rsidR="003373A7" w:rsidRPr="0053293A" w:rsidRDefault="003373A7" w:rsidP="00C30EEB">
      <w:pPr>
        <w:pStyle w:val="FootnoteText"/>
        <w:rPr>
          <w:lang w:val="fr-FR"/>
        </w:rPr>
      </w:pPr>
      <w:r w:rsidRPr="0053293A">
        <w:rPr>
          <w:szCs w:val="18"/>
          <w:lang w:val="fr-FR"/>
        </w:rPr>
        <w:tab/>
      </w:r>
      <w:r w:rsidRPr="00967A77">
        <w:rPr>
          <w:rStyle w:val="FootnoteReference"/>
          <w:lang w:val="fr-FR"/>
        </w:rPr>
        <w:footnoteRef/>
      </w:r>
      <w:r w:rsidRPr="0053293A">
        <w:rPr>
          <w:szCs w:val="18"/>
          <w:lang w:val="fr-FR"/>
        </w:rPr>
        <w:tab/>
        <w:t xml:space="preserve">Jiří Dusík et Alan Bond, </w:t>
      </w:r>
      <w:r w:rsidR="00D82B54" w:rsidRPr="0053293A">
        <w:rPr>
          <w:szCs w:val="18"/>
          <w:lang w:val="fr-FR"/>
        </w:rPr>
        <w:t>« </w:t>
      </w:r>
      <w:r w:rsidRPr="0053293A">
        <w:rPr>
          <w:szCs w:val="18"/>
          <w:lang w:val="fr-FR"/>
        </w:rPr>
        <w:t>Environmental assessments and sustainable finance frameworks</w:t>
      </w:r>
      <w:r w:rsidR="00053E12" w:rsidRPr="0053293A">
        <w:rPr>
          <w:szCs w:val="18"/>
          <w:lang w:val="fr-FR"/>
        </w:rPr>
        <w:t>:</w:t>
      </w:r>
      <w:r w:rsidRPr="0053293A">
        <w:rPr>
          <w:szCs w:val="18"/>
          <w:lang w:val="fr-FR"/>
        </w:rPr>
        <w:t xml:space="preserve"> will the EU Taxonomy change the mindset over the contribution of EIA to sustainable development?</w:t>
      </w:r>
      <w:r w:rsidR="00D82B54" w:rsidRPr="0053293A">
        <w:rPr>
          <w:szCs w:val="18"/>
          <w:lang w:val="fr-FR"/>
        </w:rPr>
        <w:t> »</w:t>
      </w:r>
      <w:r w:rsidRPr="0053293A">
        <w:rPr>
          <w:szCs w:val="18"/>
          <w:lang w:val="fr-FR"/>
        </w:rPr>
        <w:t xml:space="preserve">, </w:t>
      </w:r>
      <w:r w:rsidRPr="00967A77">
        <w:rPr>
          <w:i/>
          <w:iCs/>
          <w:szCs w:val="18"/>
          <w:lang w:val="fr-FR"/>
        </w:rPr>
        <w:t>Impact Assessment and Project Appraisal</w:t>
      </w:r>
      <w:r w:rsidRPr="0053293A">
        <w:rPr>
          <w:szCs w:val="18"/>
          <w:lang w:val="fr-FR"/>
        </w:rPr>
        <w:t xml:space="preserve">, </w:t>
      </w:r>
      <w:r w:rsidR="003B1E3E" w:rsidRPr="0053293A">
        <w:rPr>
          <w:szCs w:val="18"/>
          <w:lang w:val="fr-FR"/>
        </w:rPr>
        <w:t>vol. </w:t>
      </w:r>
      <w:r w:rsidRPr="00967A77">
        <w:rPr>
          <w:szCs w:val="18"/>
          <w:lang w:val="fr-FR"/>
        </w:rPr>
        <w:t>40</w:t>
      </w:r>
      <w:r w:rsidRPr="0053293A">
        <w:rPr>
          <w:szCs w:val="18"/>
          <w:lang w:val="fr-FR"/>
        </w:rPr>
        <w:t xml:space="preserve">, </w:t>
      </w:r>
      <w:r w:rsidR="00D82B54" w:rsidRPr="0053293A">
        <w:rPr>
          <w:szCs w:val="18"/>
          <w:lang w:val="fr-FR"/>
        </w:rPr>
        <w:t>n</w:t>
      </w:r>
      <w:r w:rsidR="00D82B54" w:rsidRPr="0053293A">
        <w:rPr>
          <w:szCs w:val="18"/>
          <w:vertAlign w:val="superscript"/>
          <w:lang w:val="fr-FR"/>
        </w:rPr>
        <w:t>o</w:t>
      </w:r>
      <w:r w:rsidR="00D82B54" w:rsidRPr="0053293A">
        <w:rPr>
          <w:szCs w:val="18"/>
          <w:lang w:val="fr-FR"/>
        </w:rPr>
        <w:t> </w:t>
      </w:r>
      <w:r w:rsidRPr="00967A77">
        <w:rPr>
          <w:szCs w:val="18"/>
          <w:lang w:val="fr-FR"/>
        </w:rPr>
        <w:t>2</w:t>
      </w:r>
      <w:r w:rsidRPr="0053293A">
        <w:rPr>
          <w:szCs w:val="18"/>
          <w:lang w:val="fr-FR"/>
        </w:rPr>
        <w:t xml:space="preserve"> (</w:t>
      </w:r>
      <w:r w:rsidRPr="00967A77">
        <w:rPr>
          <w:szCs w:val="18"/>
          <w:lang w:val="fr-FR"/>
        </w:rPr>
        <w:t>2022</w:t>
      </w:r>
      <w:r w:rsidRPr="0053293A">
        <w:rPr>
          <w:szCs w:val="18"/>
          <w:lang w:val="fr-FR"/>
        </w:rPr>
        <w:t xml:space="preserve">), </w:t>
      </w:r>
      <w:r w:rsidR="00D82B54" w:rsidRPr="0053293A">
        <w:rPr>
          <w:szCs w:val="18"/>
          <w:lang w:val="fr-FR"/>
        </w:rPr>
        <w:t>p</w:t>
      </w:r>
      <w:r w:rsidR="00967A77" w:rsidRPr="00967A77">
        <w:rPr>
          <w:szCs w:val="18"/>
          <w:lang w:val="fr-FR"/>
        </w:rPr>
        <w:t>.</w:t>
      </w:r>
      <w:r w:rsidR="00D82B54" w:rsidRPr="0053293A">
        <w:rPr>
          <w:szCs w:val="18"/>
          <w:lang w:val="fr-FR"/>
        </w:rPr>
        <w:t> </w:t>
      </w:r>
      <w:r w:rsidRPr="00967A77">
        <w:rPr>
          <w:szCs w:val="18"/>
          <w:lang w:val="fr-FR"/>
        </w:rPr>
        <w:t>90</w:t>
      </w:r>
      <w:r w:rsidRPr="0053293A">
        <w:rPr>
          <w:szCs w:val="18"/>
          <w:lang w:val="fr-FR"/>
        </w:rPr>
        <w:t xml:space="preserve"> à </w:t>
      </w:r>
      <w:r w:rsidRPr="00967A77">
        <w:rPr>
          <w:szCs w:val="18"/>
          <w:lang w:val="fr-FR"/>
        </w:rPr>
        <w:t>98</w:t>
      </w:r>
      <w:r w:rsidR="00967A77" w:rsidRPr="00967A77">
        <w:rPr>
          <w:szCs w:val="18"/>
          <w:lang w:val="fr-FR"/>
        </w:rPr>
        <w:t>.</w:t>
      </w:r>
    </w:p>
  </w:footnote>
  <w:footnote w:id="82">
    <w:p w14:paraId="13350326" w14:textId="432A784E" w:rsidR="003373A7" w:rsidRPr="0053293A" w:rsidRDefault="003373A7" w:rsidP="00C30EEB">
      <w:pPr>
        <w:pStyle w:val="FootnoteText"/>
        <w:rPr>
          <w:lang w:val="fr-FR"/>
        </w:rPr>
      </w:pPr>
      <w:r w:rsidRPr="0053293A">
        <w:rPr>
          <w:lang w:val="fr-FR"/>
        </w:rPr>
        <w:tab/>
      </w:r>
      <w:r w:rsidRPr="00967A77">
        <w:rPr>
          <w:rStyle w:val="FootnoteReference"/>
          <w:lang w:val="fr-FR"/>
        </w:rPr>
        <w:footnoteRef/>
      </w:r>
      <w:r w:rsidRPr="0053293A">
        <w:rPr>
          <w:lang w:val="fr-FR"/>
        </w:rPr>
        <w:tab/>
      </w:r>
      <w:r w:rsidRPr="0019199C">
        <w:rPr>
          <w:spacing w:val="-2"/>
          <w:lang w:val="fr-FR"/>
        </w:rPr>
        <w:t xml:space="preserve">Alan Bond et Jiří Dusík, </w:t>
      </w:r>
      <w:r w:rsidR="00D82B54" w:rsidRPr="0019199C">
        <w:rPr>
          <w:spacing w:val="-2"/>
          <w:lang w:val="fr-FR"/>
        </w:rPr>
        <w:t>« </w:t>
      </w:r>
      <w:r w:rsidRPr="0019199C">
        <w:rPr>
          <w:spacing w:val="-2"/>
          <w:lang w:val="fr-FR"/>
        </w:rPr>
        <w:t>Environmental assessments and sustainable finance taxonomies – a riposte</w:t>
      </w:r>
      <w:r w:rsidR="00D82B54" w:rsidRPr="0019199C">
        <w:rPr>
          <w:spacing w:val="-2"/>
          <w:lang w:val="fr-FR"/>
        </w:rPr>
        <w:t> »</w:t>
      </w:r>
      <w:r w:rsidRPr="0019199C">
        <w:rPr>
          <w:spacing w:val="-2"/>
          <w:lang w:val="fr-FR"/>
        </w:rPr>
        <w:t xml:space="preserve">, </w:t>
      </w:r>
      <w:r w:rsidRPr="00967A77">
        <w:rPr>
          <w:i/>
          <w:iCs/>
          <w:spacing w:val="-2"/>
          <w:lang w:val="fr-FR"/>
        </w:rPr>
        <w:t>Impact Assessment and Project Appraisal</w:t>
      </w:r>
      <w:r w:rsidRPr="0019199C">
        <w:rPr>
          <w:spacing w:val="-2"/>
          <w:lang w:val="fr-FR"/>
        </w:rPr>
        <w:t xml:space="preserve">, </w:t>
      </w:r>
      <w:r w:rsidR="003B1E3E" w:rsidRPr="0019199C">
        <w:rPr>
          <w:spacing w:val="-2"/>
          <w:lang w:val="fr-FR"/>
        </w:rPr>
        <w:t>vol. </w:t>
      </w:r>
      <w:r w:rsidRPr="00967A77">
        <w:rPr>
          <w:spacing w:val="-2"/>
          <w:lang w:val="fr-FR"/>
        </w:rPr>
        <w:t>40</w:t>
      </w:r>
      <w:r w:rsidRPr="0019199C">
        <w:rPr>
          <w:spacing w:val="-2"/>
          <w:lang w:val="fr-FR"/>
        </w:rPr>
        <w:t xml:space="preserve">, </w:t>
      </w:r>
      <w:r w:rsidR="00D82B54" w:rsidRPr="0019199C">
        <w:rPr>
          <w:spacing w:val="-2"/>
          <w:lang w:val="fr-FR"/>
        </w:rPr>
        <w:t>n</w:t>
      </w:r>
      <w:r w:rsidR="00D82B54" w:rsidRPr="0019199C">
        <w:rPr>
          <w:spacing w:val="-2"/>
          <w:vertAlign w:val="superscript"/>
          <w:lang w:val="fr-FR"/>
        </w:rPr>
        <w:t>o</w:t>
      </w:r>
      <w:r w:rsidR="00D82B54" w:rsidRPr="0019199C">
        <w:rPr>
          <w:spacing w:val="-2"/>
          <w:lang w:val="fr-FR"/>
        </w:rPr>
        <w:t> </w:t>
      </w:r>
      <w:r w:rsidRPr="00967A77">
        <w:rPr>
          <w:spacing w:val="-2"/>
          <w:lang w:val="fr-FR"/>
        </w:rPr>
        <w:t>2</w:t>
      </w:r>
      <w:r w:rsidRPr="0019199C">
        <w:rPr>
          <w:spacing w:val="-2"/>
          <w:lang w:val="fr-FR"/>
        </w:rPr>
        <w:t xml:space="preserve"> (</w:t>
      </w:r>
      <w:r w:rsidRPr="00967A77">
        <w:rPr>
          <w:spacing w:val="-2"/>
          <w:lang w:val="fr-FR"/>
        </w:rPr>
        <w:t>2022</w:t>
      </w:r>
      <w:r w:rsidRPr="0019199C">
        <w:rPr>
          <w:spacing w:val="-2"/>
          <w:lang w:val="fr-FR"/>
        </w:rPr>
        <w:t xml:space="preserve">), </w:t>
      </w:r>
      <w:r w:rsidR="00D82B54" w:rsidRPr="0019199C">
        <w:rPr>
          <w:spacing w:val="-2"/>
          <w:lang w:val="fr-FR"/>
        </w:rPr>
        <w:t>p</w:t>
      </w:r>
      <w:r w:rsidR="00967A77" w:rsidRPr="00967A77">
        <w:rPr>
          <w:spacing w:val="-2"/>
          <w:lang w:val="fr-FR"/>
        </w:rPr>
        <w:t>.</w:t>
      </w:r>
      <w:r w:rsidR="00D82B54" w:rsidRPr="0019199C">
        <w:rPr>
          <w:spacing w:val="-2"/>
          <w:lang w:val="fr-FR"/>
        </w:rPr>
        <w:t> </w:t>
      </w:r>
      <w:r w:rsidRPr="00967A77">
        <w:rPr>
          <w:spacing w:val="-2"/>
          <w:lang w:val="fr-FR"/>
        </w:rPr>
        <w:t>123</w:t>
      </w:r>
      <w:r w:rsidRPr="0019199C">
        <w:rPr>
          <w:spacing w:val="-2"/>
          <w:lang w:val="fr-FR"/>
        </w:rPr>
        <w:t xml:space="preserve"> à </w:t>
      </w:r>
      <w:r w:rsidRPr="00967A77">
        <w:rPr>
          <w:spacing w:val="-2"/>
          <w:lang w:val="fr-FR"/>
        </w:rPr>
        <w:t>128</w:t>
      </w:r>
      <w:r w:rsidR="00967A77" w:rsidRPr="00967A77">
        <w:rPr>
          <w:spacing w:val="-2"/>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9C648" w14:textId="6C75F0AD" w:rsidR="003373A7" w:rsidRPr="003373A7" w:rsidRDefault="003373A7">
    <w:pPr>
      <w:pStyle w:val="Header"/>
      <w:rPr>
        <w:lang w:val="es-ES"/>
      </w:rPr>
    </w:pPr>
    <w:r>
      <w:fldChar w:fldCharType="begin"/>
    </w:r>
    <w:r w:rsidRPr="003373A7">
      <w:rPr>
        <w:lang w:val="es-ES"/>
      </w:rPr>
      <w:instrText xml:space="preserve"> TITLE  \* MERGEFORMAT </w:instrText>
    </w:r>
    <w:r>
      <w:fldChar w:fldCharType="separate"/>
    </w:r>
    <w:r w:rsidR="00267A6E">
      <w:rPr>
        <w:lang w:val="es-ES"/>
      </w:rPr>
      <w:t>ECE/MP.EIA/2023/14</w:t>
    </w:r>
    <w:r>
      <w:fldChar w:fldCharType="end"/>
    </w:r>
    <w:r w:rsidRPr="003373A7">
      <w:rPr>
        <w:lang w:val="es-ES"/>
      </w:rPr>
      <w:br/>
    </w:r>
    <w:r>
      <w:fldChar w:fldCharType="begin"/>
    </w:r>
    <w:r w:rsidRPr="003373A7">
      <w:rPr>
        <w:lang w:val="es-ES"/>
      </w:rPr>
      <w:instrText xml:space="preserve"> KEYWORDS  \* MERGEFORMAT </w:instrText>
    </w:r>
    <w:r>
      <w:fldChar w:fldCharType="separate"/>
    </w:r>
    <w:r w:rsidR="00267A6E">
      <w:rPr>
        <w:lang w:val="es-ES"/>
      </w:rPr>
      <w:t>ECE/MP.EIA/SEA/2023/14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D263" w14:textId="73D96BA5" w:rsidR="003373A7" w:rsidRPr="003373A7" w:rsidRDefault="003373A7" w:rsidP="003373A7">
    <w:pPr>
      <w:pStyle w:val="Header"/>
      <w:jc w:val="right"/>
      <w:rPr>
        <w:lang w:val="es-ES"/>
      </w:rPr>
    </w:pPr>
    <w:r>
      <w:fldChar w:fldCharType="begin"/>
    </w:r>
    <w:r w:rsidRPr="003373A7">
      <w:rPr>
        <w:lang w:val="es-ES"/>
      </w:rPr>
      <w:instrText xml:space="preserve"> TITLE  \* MERGEFORMAT </w:instrText>
    </w:r>
    <w:r>
      <w:fldChar w:fldCharType="separate"/>
    </w:r>
    <w:r w:rsidR="00267A6E">
      <w:rPr>
        <w:lang w:val="es-ES"/>
      </w:rPr>
      <w:t>ECE/MP.EIA/2023/14</w:t>
    </w:r>
    <w:r>
      <w:fldChar w:fldCharType="end"/>
    </w:r>
    <w:r w:rsidRPr="003373A7">
      <w:rPr>
        <w:lang w:val="es-ES"/>
      </w:rPr>
      <w:br/>
    </w:r>
    <w:r>
      <w:fldChar w:fldCharType="begin"/>
    </w:r>
    <w:r w:rsidRPr="003373A7">
      <w:rPr>
        <w:lang w:val="es-ES"/>
      </w:rPr>
      <w:instrText xml:space="preserve"> KEYWORDS  \* MERGEFORMAT </w:instrText>
    </w:r>
    <w:r>
      <w:fldChar w:fldCharType="separate"/>
    </w:r>
    <w:r w:rsidR="00267A6E">
      <w:rPr>
        <w:lang w:val="es-ES"/>
      </w:rPr>
      <w:t>ECE/MP.EIA/SEA/2023/14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4887"/>
    <w:multiLevelType w:val="hybridMultilevel"/>
    <w:tmpl w:val="ABC672CC"/>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3ACF4EB2"/>
    <w:multiLevelType w:val="hybridMultilevel"/>
    <w:tmpl w:val="B6C4FF4C"/>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 w15:restartNumberingAfterBreak="0">
    <w:nsid w:val="68AD07B2"/>
    <w:multiLevelType w:val="hybridMultilevel"/>
    <w:tmpl w:val="BAF4D304"/>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604993022">
    <w:abstractNumId w:val="2"/>
  </w:num>
  <w:num w:numId="2" w16cid:durableId="1483085390">
    <w:abstractNumId w:val="1"/>
  </w:num>
  <w:num w:numId="3" w16cid:durableId="540554244">
    <w:abstractNumId w:val="0"/>
  </w:num>
  <w:num w:numId="4" w16cid:durableId="1243946737">
    <w:abstractNumId w:val="2"/>
  </w:num>
  <w:num w:numId="5" w16cid:durableId="1458639932">
    <w:abstractNumId w:val="2"/>
  </w:num>
  <w:num w:numId="6" w16cid:durableId="1050420392">
    <w:abstractNumId w:val="2"/>
  </w:num>
  <w:num w:numId="7" w16cid:durableId="1744253730">
    <w:abstractNumId w:val="2"/>
  </w:num>
  <w:num w:numId="8" w16cid:durableId="103691712">
    <w:abstractNumId w:val="2"/>
  </w:num>
  <w:num w:numId="9" w16cid:durableId="440761486">
    <w:abstractNumId w:val="2"/>
  </w:num>
  <w:num w:numId="10" w16cid:durableId="1213880710">
    <w:abstractNumId w:val="2"/>
  </w:num>
  <w:num w:numId="11" w16cid:durableId="2036151821">
    <w:abstractNumId w:val="2"/>
  </w:num>
  <w:num w:numId="12" w16cid:durableId="907374964">
    <w:abstractNumId w:val="2"/>
  </w:num>
  <w:num w:numId="13" w16cid:durableId="1930382867">
    <w:abstractNumId w:val="2"/>
  </w:num>
  <w:num w:numId="14" w16cid:durableId="72005778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A7"/>
    <w:rsid w:val="00014B0A"/>
    <w:rsid w:val="00017F94"/>
    <w:rsid w:val="00023842"/>
    <w:rsid w:val="0002528C"/>
    <w:rsid w:val="00031189"/>
    <w:rsid w:val="000334F9"/>
    <w:rsid w:val="00053E12"/>
    <w:rsid w:val="000567B0"/>
    <w:rsid w:val="0007796D"/>
    <w:rsid w:val="00091B2D"/>
    <w:rsid w:val="000B7790"/>
    <w:rsid w:val="000E01D3"/>
    <w:rsid w:val="000E1978"/>
    <w:rsid w:val="000F1301"/>
    <w:rsid w:val="000F1D50"/>
    <w:rsid w:val="000F285C"/>
    <w:rsid w:val="000F2B15"/>
    <w:rsid w:val="000F3E9C"/>
    <w:rsid w:val="0010058D"/>
    <w:rsid w:val="00103F7F"/>
    <w:rsid w:val="00111F2F"/>
    <w:rsid w:val="00117110"/>
    <w:rsid w:val="0014365E"/>
    <w:rsid w:val="00160464"/>
    <w:rsid w:val="00176178"/>
    <w:rsid w:val="0019199C"/>
    <w:rsid w:val="00196A7E"/>
    <w:rsid w:val="001A647B"/>
    <w:rsid w:val="001B077A"/>
    <w:rsid w:val="001F525A"/>
    <w:rsid w:val="002107BB"/>
    <w:rsid w:val="002212F9"/>
    <w:rsid w:val="00223272"/>
    <w:rsid w:val="0024779E"/>
    <w:rsid w:val="00250885"/>
    <w:rsid w:val="00267A6E"/>
    <w:rsid w:val="002832AC"/>
    <w:rsid w:val="002B1A2C"/>
    <w:rsid w:val="002B306E"/>
    <w:rsid w:val="002B40F9"/>
    <w:rsid w:val="002B4E10"/>
    <w:rsid w:val="002D7C93"/>
    <w:rsid w:val="003373A7"/>
    <w:rsid w:val="0035452E"/>
    <w:rsid w:val="00361003"/>
    <w:rsid w:val="003B1E3E"/>
    <w:rsid w:val="003D4759"/>
    <w:rsid w:val="00436B02"/>
    <w:rsid w:val="004375CA"/>
    <w:rsid w:val="00441C3B"/>
    <w:rsid w:val="00446FE5"/>
    <w:rsid w:val="00452396"/>
    <w:rsid w:val="00466D19"/>
    <w:rsid w:val="00467E2C"/>
    <w:rsid w:val="004C210B"/>
    <w:rsid w:val="004C64CC"/>
    <w:rsid w:val="004D5ED6"/>
    <w:rsid w:val="004E468C"/>
    <w:rsid w:val="00501683"/>
    <w:rsid w:val="0051191A"/>
    <w:rsid w:val="0051491B"/>
    <w:rsid w:val="00520D74"/>
    <w:rsid w:val="00530045"/>
    <w:rsid w:val="0053293A"/>
    <w:rsid w:val="0054012C"/>
    <w:rsid w:val="005505B7"/>
    <w:rsid w:val="005526DE"/>
    <w:rsid w:val="0057104F"/>
    <w:rsid w:val="00573BE5"/>
    <w:rsid w:val="005825DD"/>
    <w:rsid w:val="00586ED3"/>
    <w:rsid w:val="00594E35"/>
    <w:rsid w:val="00596AA9"/>
    <w:rsid w:val="00596F6F"/>
    <w:rsid w:val="005D1331"/>
    <w:rsid w:val="005D431A"/>
    <w:rsid w:val="005D6D16"/>
    <w:rsid w:val="005D7C43"/>
    <w:rsid w:val="005E0CBD"/>
    <w:rsid w:val="005F26E5"/>
    <w:rsid w:val="00614A43"/>
    <w:rsid w:val="0063530B"/>
    <w:rsid w:val="006363D7"/>
    <w:rsid w:val="00650239"/>
    <w:rsid w:val="006528B0"/>
    <w:rsid w:val="006A24A7"/>
    <w:rsid w:val="006C0E3B"/>
    <w:rsid w:val="006F7E3F"/>
    <w:rsid w:val="0071601D"/>
    <w:rsid w:val="00790A5F"/>
    <w:rsid w:val="007A5FC4"/>
    <w:rsid w:val="007A62E6"/>
    <w:rsid w:val="007B3D49"/>
    <w:rsid w:val="007C5253"/>
    <w:rsid w:val="007E1922"/>
    <w:rsid w:val="007E7DDB"/>
    <w:rsid w:val="007F18F4"/>
    <w:rsid w:val="007F39FD"/>
    <w:rsid w:val="008006D1"/>
    <w:rsid w:val="0080684C"/>
    <w:rsid w:val="008070CB"/>
    <w:rsid w:val="00833AF0"/>
    <w:rsid w:val="00863C5F"/>
    <w:rsid w:val="00871C75"/>
    <w:rsid w:val="008776DC"/>
    <w:rsid w:val="00891C8D"/>
    <w:rsid w:val="008D6B3F"/>
    <w:rsid w:val="008D7609"/>
    <w:rsid w:val="008F0FF9"/>
    <w:rsid w:val="0090540F"/>
    <w:rsid w:val="009166AC"/>
    <w:rsid w:val="00923D44"/>
    <w:rsid w:val="00954CDD"/>
    <w:rsid w:val="00967A77"/>
    <w:rsid w:val="009705C8"/>
    <w:rsid w:val="0098531C"/>
    <w:rsid w:val="009C1CF4"/>
    <w:rsid w:val="009D2A3D"/>
    <w:rsid w:val="009E2DDA"/>
    <w:rsid w:val="00A136EE"/>
    <w:rsid w:val="00A14420"/>
    <w:rsid w:val="00A30353"/>
    <w:rsid w:val="00A348E9"/>
    <w:rsid w:val="00A43CFC"/>
    <w:rsid w:val="00AC3823"/>
    <w:rsid w:val="00AD66D1"/>
    <w:rsid w:val="00AE323C"/>
    <w:rsid w:val="00AF1D3D"/>
    <w:rsid w:val="00AF1F7C"/>
    <w:rsid w:val="00B00181"/>
    <w:rsid w:val="00B00B0D"/>
    <w:rsid w:val="00B0731D"/>
    <w:rsid w:val="00B30975"/>
    <w:rsid w:val="00B33EFA"/>
    <w:rsid w:val="00B34330"/>
    <w:rsid w:val="00B61815"/>
    <w:rsid w:val="00B765F7"/>
    <w:rsid w:val="00B93C2D"/>
    <w:rsid w:val="00B93CD0"/>
    <w:rsid w:val="00BA0CA9"/>
    <w:rsid w:val="00BA3864"/>
    <w:rsid w:val="00BC5764"/>
    <w:rsid w:val="00BD44CF"/>
    <w:rsid w:val="00BE5BF0"/>
    <w:rsid w:val="00BF7B7F"/>
    <w:rsid w:val="00C02897"/>
    <w:rsid w:val="00C07479"/>
    <w:rsid w:val="00C1546C"/>
    <w:rsid w:val="00C25C7D"/>
    <w:rsid w:val="00C30EEB"/>
    <w:rsid w:val="00C554CE"/>
    <w:rsid w:val="00C77A34"/>
    <w:rsid w:val="00CE26D2"/>
    <w:rsid w:val="00CE2EB6"/>
    <w:rsid w:val="00CE54A6"/>
    <w:rsid w:val="00D0377E"/>
    <w:rsid w:val="00D3439C"/>
    <w:rsid w:val="00D35A54"/>
    <w:rsid w:val="00D454CA"/>
    <w:rsid w:val="00D47D8C"/>
    <w:rsid w:val="00D503D3"/>
    <w:rsid w:val="00D82B54"/>
    <w:rsid w:val="00DA0365"/>
    <w:rsid w:val="00DA464C"/>
    <w:rsid w:val="00DA6C30"/>
    <w:rsid w:val="00DB1831"/>
    <w:rsid w:val="00DC59D2"/>
    <w:rsid w:val="00DD3BFD"/>
    <w:rsid w:val="00DF5712"/>
    <w:rsid w:val="00DF6678"/>
    <w:rsid w:val="00E32CCA"/>
    <w:rsid w:val="00E554AC"/>
    <w:rsid w:val="00E83878"/>
    <w:rsid w:val="00E96BD6"/>
    <w:rsid w:val="00EC7936"/>
    <w:rsid w:val="00ED5F56"/>
    <w:rsid w:val="00EE22F9"/>
    <w:rsid w:val="00EF2E22"/>
    <w:rsid w:val="00F10748"/>
    <w:rsid w:val="00F1427E"/>
    <w:rsid w:val="00F2704B"/>
    <w:rsid w:val="00F274A2"/>
    <w:rsid w:val="00F473A8"/>
    <w:rsid w:val="00F609E1"/>
    <w:rsid w:val="00F6504A"/>
    <w:rsid w:val="00F660DF"/>
    <w:rsid w:val="00F87332"/>
    <w:rsid w:val="00F95C08"/>
    <w:rsid w:val="00FB3994"/>
    <w:rsid w:val="00FB73D5"/>
    <w:rsid w:val="00FD5756"/>
    <w:rsid w:val="00FF635A"/>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2775E"/>
  <w15:docId w15:val="{446BE96B-75F4-4547-8D85-9A111C9A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2F9"/>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EE22F9"/>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EE22F9"/>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EE22F9"/>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EE22F9"/>
    <w:pPr>
      <w:spacing w:line="240" w:lineRule="auto"/>
    </w:pPr>
    <w:rPr>
      <w:sz w:val="16"/>
    </w:rPr>
  </w:style>
  <w:style w:type="character" w:customStyle="1" w:styleId="FooterChar">
    <w:name w:val="Footer Char"/>
    <w:aliases w:val="3_G Char"/>
    <w:basedOn w:val="DefaultParagraphFont"/>
    <w:link w:val="Footer"/>
    <w:rsid w:val="00EE22F9"/>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E22F9"/>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E22F9"/>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E22F9"/>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E22F9"/>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E22F9"/>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E22F9"/>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EE22F9"/>
    <w:pPr>
      <w:tabs>
        <w:tab w:val="left" w:pos="1701"/>
        <w:tab w:val="left" w:pos="2268"/>
        <w:tab w:val="left" w:pos="2835"/>
      </w:tabs>
      <w:spacing w:after="120"/>
      <w:ind w:left="1134" w:right="1134"/>
      <w:jc w:val="both"/>
    </w:pPr>
  </w:style>
  <w:style w:type="paragraph" w:customStyle="1" w:styleId="SLG">
    <w:name w:val="__S_L_G"/>
    <w:basedOn w:val="Normal"/>
    <w:next w:val="Normal"/>
    <w:rsid w:val="00EE22F9"/>
    <w:pPr>
      <w:keepNext/>
      <w:keepLines/>
      <w:spacing w:before="240" w:after="240" w:line="580" w:lineRule="exact"/>
      <w:ind w:left="1134" w:right="1134"/>
    </w:pPr>
    <w:rPr>
      <w:b/>
      <w:sz w:val="56"/>
    </w:rPr>
  </w:style>
  <w:style w:type="paragraph" w:customStyle="1" w:styleId="SMG">
    <w:name w:val="__S_M_G"/>
    <w:basedOn w:val="Normal"/>
    <w:next w:val="Normal"/>
    <w:rsid w:val="00EE22F9"/>
    <w:pPr>
      <w:keepNext/>
      <w:keepLines/>
      <w:spacing w:before="240" w:after="240" w:line="420" w:lineRule="exact"/>
      <w:ind w:left="1134" w:right="1134"/>
    </w:pPr>
    <w:rPr>
      <w:b/>
      <w:sz w:val="40"/>
    </w:rPr>
  </w:style>
  <w:style w:type="paragraph" w:customStyle="1" w:styleId="SSG">
    <w:name w:val="__S_S_G"/>
    <w:basedOn w:val="Normal"/>
    <w:next w:val="Normal"/>
    <w:rsid w:val="00EE22F9"/>
    <w:pPr>
      <w:keepNext/>
      <w:keepLines/>
      <w:spacing w:before="240" w:after="240" w:line="300" w:lineRule="exact"/>
      <w:ind w:left="1134" w:right="1134"/>
    </w:pPr>
    <w:rPr>
      <w:b/>
      <w:sz w:val="28"/>
    </w:rPr>
  </w:style>
  <w:style w:type="paragraph" w:customStyle="1" w:styleId="XLargeG">
    <w:name w:val="__XLarge_G"/>
    <w:basedOn w:val="Normal"/>
    <w:next w:val="Normal"/>
    <w:rsid w:val="00EE22F9"/>
    <w:pPr>
      <w:keepNext/>
      <w:keepLines/>
      <w:spacing w:before="240" w:after="240" w:line="420" w:lineRule="exact"/>
      <w:ind w:left="1134" w:right="1134"/>
    </w:pPr>
    <w:rPr>
      <w:b/>
      <w:sz w:val="40"/>
    </w:rPr>
  </w:style>
  <w:style w:type="paragraph" w:customStyle="1" w:styleId="Bullet1G">
    <w:name w:val="_Bullet 1_G"/>
    <w:basedOn w:val="Normal"/>
    <w:qFormat/>
    <w:rsid w:val="00EE22F9"/>
    <w:pPr>
      <w:numPr>
        <w:numId w:val="1"/>
      </w:numPr>
      <w:spacing w:after="120"/>
      <w:ind w:right="1134"/>
      <w:jc w:val="both"/>
    </w:pPr>
  </w:style>
  <w:style w:type="paragraph" w:customStyle="1" w:styleId="Bullet2G">
    <w:name w:val="_Bullet 2_G"/>
    <w:basedOn w:val="Normal"/>
    <w:qFormat/>
    <w:rsid w:val="00EE22F9"/>
    <w:pPr>
      <w:numPr>
        <w:numId w:val="2"/>
      </w:numPr>
      <w:spacing w:after="120"/>
      <w:ind w:right="1134"/>
      <w:jc w:val="both"/>
    </w:pPr>
  </w:style>
  <w:style w:type="paragraph" w:customStyle="1" w:styleId="ParNoG">
    <w:name w:val="_ParNo_G"/>
    <w:basedOn w:val="Normal"/>
    <w:qFormat/>
    <w:rsid w:val="00EE22F9"/>
    <w:pPr>
      <w:numPr>
        <w:numId w:val="3"/>
      </w:numPr>
      <w:tabs>
        <w:tab w:val="left" w:pos="1701"/>
        <w:tab w:val="left" w:pos="2268"/>
        <w:tab w:val="left" w:pos="2835"/>
      </w:tabs>
      <w:spacing w:after="120"/>
      <w:ind w:right="1134"/>
      <w:jc w:val="both"/>
    </w:pPr>
  </w:style>
  <w:style w:type="character" w:styleId="FootnoteReference">
    <w:name w:val="footnote reference"/>
    <w:aliases w:val="4_G"/>
    <w:basedOn w:val="DefaultParagraphFont"/>
    <w:qFormat/>
    <w:rsid w:val="00EE22F9"/>
    <w:rPr>
      <w:rFonts w:ascii="Times New Roman" w:hAnsi="Times New Roman"/>
      <w:sz w:val="18"/>
      <w:vertAlign w:val="superscript"/>
      <w:lang w:val="fr-CH"/>
    </w:rPr>
  </w:style>
  <w:style w:type="character" w:styleId="EndnoteReference">
    <w:name w:val="endnote reference"/>
    <w:aliases w:val="1_G"/>
    <w:basedOn w:val="FootnoteReference"/>
    <w:qFormat/>
    <w:rsid w:val="00EE22F9"/>
    <w:rPr>
      <w:rFonts w:ascii="Times New Roman" w:hAnsi="Times New Roman"/>
      <w:sz w:val="18"/>
      <w:vertAlign w:val="superscript"/>
      <w:lang w:val="fr-CH"/>
    </w:rPr>
  </w:style>
  <w:style w:type="table" w:styleId="TableGrid">
    <w:name w:val="Table Grid"/>
    <w:basedOn w:val="TableNormal"/>
    <w:rsid w:val="00EE22F9"/>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EE22F9"/>
    <w:rPr>
      <w:color w:val="0000FF"/>
      <w:u w:val="none"/>
    </w:rPr>
  </w:style>
  <w:style w:type="character" w:styleId="FollowedHyperlink">
    <w:name w:val="FollowedHyperlink"/>
    <w:basedOn w:val="DefaultParagraphFont"/>
    <w:unhideWhenUsed/>
    <w:rsid w:val="00EE22F9"/>
    <w:rPr>
      <w:color w:val="0000FF"/>
      <w:u w:val="none"/>
    </w:rPr>
  </w:style>
  <w:style w:type="paragraph" w:styleId="FootnoteText">
    <w:name w:val="footnote text"/>
    <w:aliases w:val="5_G"/>
    <w:basedOn w:val="Normal"/>
    <w:link w:val="FootnoteTextChar"/>
    <w:qFormat/>
    <w:rsid w:val="00EE22F9"/>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EE22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EE22F9"/>
  </w:style>
  <w:style w:type="character" w:customStyle="1" w:styleId="EndnoteTextChar">
    <w:name w:val="Endnote Text Char"/>
    <w:aliases w:val="2_G Char"/>
    <w:basedOn w:val="DefaultParagraphFont"/>
    <w:link w:val="EndnoteText"/>
    <w:rsid w:val="00EE22F9"/>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EE22F9"/>
    <w:rPr>
      <w:rFonts w:ascii="Times New Roman" w:hAnsi="Times New Roman"/>
      <w:b/>
      <w:sz w:val="18"/>
      <w:lang w:val="fr-CH"/>
    </w:rPr>
  </w:style>
  <w:style w:type="character" w:customStyle="1" w:styleId="Heading1Char">
    <w:name w:val="Heading 1 Char"/>
    <w:aliases w:val="Table_G Char"/>
    <w:basedOn w:val="DefaultParagraphFont"/>
    <w:link w:val="Heading1"/>
    <w:rsid w:val="00EE22F9"/>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A144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420"/>
    <w:rPr>
      <w:rFonts w:ascii="Tahoma" w:hAnsi="Tahoma" w:cs="Tahoma"/>
      <w:sz w:val="16"/>
      <w:szCs w:val="16"/>
      <w:lang w:eastAsia="en-US"/>
    </w:rPr>
  </w:style>
  <w:style w:type="character" w:styleId="CommentReference">
    <w:name w:val="annotation reference"/>
    <w:basedOn w:val="DefaultParagraphFont"/>
    <w:semiHidden/>
    <w:unhideWhenUsed/>
    <w:rsid w:val="003373A7"/>
    <w:rPr>
      <w:sz w:val="16"/>
      <w:szCs w:val="16"/>
    </w:rPr>
  </w:style>
  <w:style w:type="paragraph" w:styleId="Revision">
    <w:name w:val="Revision"/>
    <w:hidden/>
    <w:uiPriority w:val="99"/>
    <w:semiHidden/>
    <w:rsid w:val="003373A7"/>
    <w:pPr>
      <w:spacing w:after="0" w:line="240" w:lineRule="auto"/>
    </w:pPr>
    <w:rPr>
      <w:rFonts w:ascii="Times New Roman" w:hAnsi="Times New Roman" w:cs="Times New Roman"/>
      <w:sz w:val="20"/>
      <w:szCs w:val="20"/>
      <w:lang w:val="en-GB" w:eastAsia="fr-FR"/>
    </w:rPr>
  </w:style>
  <w:style w:type="character" w:customStyle="1" w:styleId="SingleTxtGChar">
    <w:name w:val="_ Single Txt_G Char"/>
    <w:link w:val="SingleTxtG"/>
    <w:rsid w:val="003373A7"/>
    <w:rPr>
      <w:rFonts w:ascii="Times New Roman" w:eastAsiaTheme="minorHAnsi" w:hAnsi="Times New Roman" w:cs="Times New Roman"/>
      <w:sz w:val="20"/>
      <w:szCs w:val="20"/>
      <w:lang w:eastAsia="en-US"/>
    </w:rPr>
  </w:style>
  <w:style w:type="character" w:styleId="UnresolvedMention">
    <w:name w:val="Unresolved Mention"/>
    <w:basedOn w:val="DefaultParagraphFont"/>
    <w:uiPriority w:val="99"/>
    <w:semiHidden/>
    <w:unhideWhenUsed/>
    <w:rsid w:val="00053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swe.ee/e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eringen.dk/aktuelt/tidligere-publikationer/the-marienborg-declara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undocs.org/fr/ECE/MP.EIA/SEA/13/Add.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ndocs.org/fr/ECE/MP.EIA/30/Add.1"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3" Type="http://schemas.openxmlformats.org/officeDocument/2006/relationships/hyperlink" Target="http://undocs.org/fr/ECE/MP.EIA/8" TargetMode="External"/><Relationship Id="rId18" Type="http://schemas.openxmlformats.org/officeDocument/2006/relationships/hyperlink" Target="https://unfccc.int/fr/a-propos-des-ndcs/l-accord-de-paris" TargetMode="External"/><Relationship Id="rId26" Type="http://schemas.openxmlformats.org/officeDocument/2006/relationships/hyperlink" Target="https://unfccc.int/fr/a-propos-des-ndcs/contributions-determinees-au-niveau-national-ndcs" TargetMode="External"/><Relationship Id="rId39" Type="http://schemas.openxmlformats.org/officeDocument/2006/relationships/hyperlink" Target="https://unfccc.int/files/meetings/paris_nov_2015/application/pdf/paris_agreement_french_pdf" TargetMode="External"/><Relationship Id="rId21" Type="http://schemas.openxmlformats.org/officeDocument/2006/relationships/hyperlink" Target="https://unfccc.int/sites/default/files/resource/cop27_auv_2_cover%20decision.pdf" TargetMode="External"/><Relationship Id="rId34" Type="http://schemas.openxmlformats.org/officeDocument/2006/relationships/hyperlink" Target="http://www.theguardian.com/environment/2023/jun/21/a-green-transition-that-leaves-no-one-behind-world-leaders-release-open-letter" TargetMode="External"/><Relationship Id="rId42" Type="http://schemas.openxmlformats.org/officeDocument/2006/relationships/hyperlink" Target="https://www.ciel.org/wp-content/uploads/2023/05/Public-Letter-to-AarhusParties.pdf" TargetMode="External"/><Relationship Id="rId47" Type="http://schemas.openxmlformats.org/officeDocument/2006/relationships/hyperlink" Target="https://ellenmacarthurfoundation.org/topics/circular-economy-introduction/overview#:~:text=The%20circular%20economy%20gives%20us,emissions%2C%20waste%2C%20and%20pollution" TargetMode="External"/><Relationship Id="rId50" Type="http://schemas.openxmlformats.org/officeDocument/2006/relationships/hyperlink" Target="https://eur-lex.europa.eu/legal-content/FR/TXT/HTML/?uri=CELEX:52023PC0160" TargetMode="External"/><Relationship Id="rId55" Type="http://schemas.openxmlformats.org/officeDocument/2006/relationships/hyperlink" Target="http://www.epa.ie/publications/research/socio-economics/Research_Report_391.pdf" TargetMode="External"/><Relationship Id="rId63" Type="http://schemas.openxmlformats.org/officeDocument/2006/relationships/hyperlink" Target="https://eur-lex.europa.eu/legal-content/FR/TXT/HTML/?uri=CELEX:32022R1214" TargetMode="External"/><Relationship Id="rId68" Type="http://schemas.openxmlformats.org/officeDocument/2006/relationships/hyperlink" Target="http://www.eiopa.europa.eu/system/files/2023-01/eiopa-consumer-trends-report-2022.pdf" TargetMode="External"/><Relationship Id="rId7" Type="http://schemas.openxmlformats.org/officeDocument/2006/relationships/hyperlink" Target="https://treaties.un.org/Pages/ViewDetails.aspx?src=TREATY&amp;mtdsg_no=XXVII-4&amp;chapter=27&amp;clang=_fr" TargetMode="External"/><Relationship Id="rId2" Type="http://schemas.openxmlformats.org/officeDocument/2006/relationships/hyperlink" Target="http://undocs.org/fr/ECE/MP.EIA/SEA/13/Add.1" TargetMode="External"/><Relationship Id="rId16" Type="http://schemas.openxmlformats.org/officeDocument/2006/relationships/hyperlink" Target="https://sdgs.un.org/fr/goals/goal7" TargetMode="External"/><Relationship Id="rId29" Type="http://schemas.openxmlformats.org/officeDocument/2006/relationships/hyperlink" Target="https://energypress.eu/tag/res-sector-special-spatial-plan/" TargetMode="External"/><Relationship Id="rId1" Type="http://schemas.openxmlformats.org/officeDocument/2006/relationships/hyperlink" Target="http://undocs.org/fr/ECE/MP.EIA/30/Add.1" TargetMode="External"/><Relationship Id="rId6" Type="http://schemas.openxmlformats.org/officeDocument/2006/relationships/hyperlink" Target="http://undocs.org/fr/ECE/MP.EIA/WG.2/2023/2" TargetMode="External"/><Relationship Id="rId11" Type="http://schemas.openxmlformats.org/officeDocument/2006/relationships/hyperlink" Target="http://undocs.org/fr/ECE/MP.EIA/8" TargetMode="External"/><Relationship Id="rId24" Type="http://schemas.openxmlformats.org/officeDocument/2006/relationships/hyperlink" Target="https://eur-lex.europa.eu/legal-content/fr/TXT/PDF/?uri=CELEX:32021R1119" TargetMode="External"/><Relationship Id="rId32" Type="http://schemas.openxmlformats.org/officeDocument/2006/relationships/hyperlink" Target="https://unece.org/sites/default/files/2022-10/Guidance_LTE_NPP_2106311_F_WEB_Light_0.pdf" TargetMode="External"/><Relationship Id="rId37" Type="http://schemas.openxmlformats.org/officeDocument/2006/relationships/hyperlink" Target="http://undocs.org/fr/ECE/MP.EIA/WG.2/2023/5" TargetMode="External"/><Relationship Id="rId40" Type="http://schemas.openxmlformats.org/officeDocument/2006/relationships/hyperlink" Target="https://ghgprotocol.org/" TargetMode="External"/><Relationship Id="rId45" Type="http://schemas.openxmlformats.org/officeDocument/2006/relationships/hyperlink" Target="http://www.weforum.org/agenda/2022/02/3-ways-circular-economy-renewables-energy-transition/" TargetMode="External"/><Relationship Id="rId53" Type="http://schemas.openxmlformats.org/officeDocument/2006/relationships/hyperlink" Target="http://www.bsigroup.com/en-GB/standards/benefits-of-using-standards/becoming-more-sustainable-with-standards/BS8001-Circular-Economy" TargetMode="External"/><Relationship Id="rId58" Type="http://schemas.openxmlformats.org/officeDocument/2006/relationships/hyperlink" Target="http://www.iaia.org/uploads/pdf/Fastips_22%20Circular%20Economy_5.pdf" TargetMode="External"/><Relationship Id="rId66" Type="http://schemas.openxmlformats.org/officeDocument/2006/relationships/hyperlink" Target="http://www.efrag.org/lab6" TargetMode="External"/><Relationship Id="rId5" Type="http://schemas.openxmlformats.org/officeDocument/2006/relationships/hyperlink" Target="http://undocs.org/fr/ECE/MP.EIA/WG.2/2022/2" TargetMode="External"/><Relationship Id="rId15" Type="http://schemas.openxmlformats.org/officeDocument/2006/relationships/hyperlink" Target="http://www.ipcc.ch/site/assets/uploads/2019/11/11_Annex-I-Glossary.pdf" TargetMode="External"/><Relationship Id="rId23" Type="http://schemas.openxmlformats.org/officeDocument/2006/relationships/hyperlink" Target="https://eur-lex.europa.eu/resource.html?uri=cellar:b828d165-1c22-11ea-8c1f-01aa75ed71a1.0022.02/DOC_1&amp;format=PDF" TargetMode="External"/><Relationship Id="rId28" Type="http://schemas.openxmlformats.org/officeDocument/2006/relationships/hyperlink" Target="http://www.ren21.net/wp-content/uploads/2019/05/REN21_UNECE2022_FullReport.pdf" TargetMode="External"/><Relationship Id="rId36" Type="http://schemas.openxmlformats.org/officeDocument/2006/relationships/hyperlink" Target="http://www.iaia.org/uploads/pdf/Fastips_19%20SDGs.pdf" TargetMode="External"/><Relationship Id="rId49" Type="http://schemas.openxmlformats.org/officeDocument/2006/relationships/hyperlink" Target="https://oceans-and-fisheries.ec.europa.eu/ocean/blue-economy/sustainable-blue-economy_en" TargetMode="External"/><Relationship Id="rId57" Type="http://schemas.openxmlformats.org/officeDocument/2006/relationships/hyperlink" Target="https://op.europa.eu/en/publication-detail/-/publication/0619e465-581c-41dc-9807-2bb394f6bd07" TargetMode="External"/><Relationship Id="rId61" Type="http://schemas.openxmlformats.org/officeDocument/2006/relationships/hyperlink" Target="https://eur-lex.europa.eu/legal-content/FR/TXT/HTML/?uri=CELEX:32020R0852" TargetMode="External"/><Relationship Id="rId10" Type="http://schemas.openxmlformats.org/officeDocument/2006/relationships/hyperlink" Target="https://unece.org/environment-policy/environmental-assessment/implementation-committee" TargetMode="External"/><Relationship Id="rId19" Type="http://schemas.openxmlformats.org/officeDocument/2006/relationships/hyperlink" Target="https://unfccc.int/topics/adaptation-and-resilience/workstreams/glasgow-sharm-el-sheikh-WP-GGGA" TargetMode="External"/><Relationship Id="rId31" Type="http://schemas.openxmlformats.org/officeDocument/2006/relationships/hyperlink" Target="https://unece.org/DAM/env/eia/Publications/2017/1735979_FR_web.pdf" TargetMode="External"/><Relationship Id="rId44" Type="http://schemas.openxmlformats.org/officeDocument/2006/relationships/hyperlink" Target="https://unctad.org/system/files/official-document/presspb2017d10_en.pdf" TargetMode="External"/><Relationship Id="rId52" Type="http://schemas.openxmlformats.org/officeDocument/2006/relationships/hyperlink" Target="http://www.circularcityfundingguide.eu/circular-city-initiatives-and-resources" TargetMode="External"/><Relationship Id="rId60" Type="http://schemas.openxmlformats.org/officeDocument/2006/relationships/hyperlink" Target="https://futureofsustainabledata.com/taxomania-international-overview-update-2022/" TargetMode="External"/><Relationship Id="rId65" Type="http://schemas.openxmlformats.org/officeDocument/2006/relationships/hyperlink" Target="https://eur-lex.europa.eu/legal-content/FR/TXT/HTML/?uri=CELEX:32022L2464" TargetMode="External"/><Relationship Id="rId4" Type="http://schemas.openxmlformats.org/officeDocument/2006/relationships/hyperlink" Target="https://unece.org/info/Environmental-Policy/Environmental-Impact-Assessment/events/364365" TargetMode="External"/><Relationship Id="rId9" Type="http://schemas.openxmlformats.org/officeDocument/2006/relationships/hyperlink" Target="https://unece.org/environment-policyenvironmental-assessment/decisions-taken-meetings-parties" TargetMode="External"/><Relationship Id="rId14" Type="http://schemas.openxmlformats.org/officeDocument/2006/relationships/hyperlink" Target="https://treaties.un.org/Pages/ViewDetails.aspx?src=TREATY&amp;mtdsg_no=XXVII-4-b&amp;chapter=27&amp;clang=_fr" TargetMode="External"/><Relationship Id="rId22" Type="http://schemas.openxmlformats.org/officeDocument/2006/relationships/hyperlink" Target="https://eur-lex.europa.eu/resource.html?uri=cellar:9903b325-6388-11ea-b735-01aa75ed71a1.0013.02/DOC_1&amp;format=PDF" TargetMode="External"/><Relationship Id="rId27" Type="http://schemas.openxmlformats.org/officeDocument/2006/relationships/hyperlink" Target="http://undocs.org/fr/S/RES/1244(1999)" TargetMode="External"/><Relationship Id="rId30" Type="http://schemas.openxmlformats.org/officeDocument/2006/relationships/hyperlink" Target="https://curia.europa.eu/juris/document/document.jsf?docid=173520&amp;doclang=FR" TargetMode="External"/><Relationship Id="rId35" Type="http://schemas.openxmlformats.org/officeDocument/2006/relationships/hyperlink" Target="https://unece.org/sites/default/files/2022-11/ece_mp.eia_wg.2_2022_3_fre.pdf" TargetMode="External"/><Relationship Id="rId43" Type="http://schemas.openxmlformats.org/officeDocument/2006/relationships/hyperlink" Target="https://openknowledge.worldbank.org/bitstream/handle/10986/30317/9781464813290.pdf" TargetMode="External"/><Relationship Id="rId48" Type="http://schemas.openxmlformats.org/officeDocument/2006/relationships/hyperlink" Target="https://commission.europa.eu/strategy-and-policy/priorities-2019-2024/european-green-deal/industry-and-green-deal_fr" TargetMode="External"/><Relationship Id="rId56" Type="http://schemas.openxmlformats.org/officeDocument/2006/relationships/hyperlink" Target="http://www.eesc.europa.eu/sites/default/files/files/qe-01-19-425-en-n.pdf" TargetMode="External"/><Relationship Id="rId64" Type="http://schemas.openxmlformats.org/officeDocument/2006/relationships/hyperlink" Target="https://finance.ec.europa.eu/system/files/2023-06/taxonomy-regulation-delegated-act-2022-environmental_en_0.pdf" TargetMode="External"/><Relationship Id="rId69" Type="http://schemas.openxmlformats.org/officeDocument/2006/relationships/hyperlink" Target="http://www.eba.europa.eu/esas-present-common-understanding-greenwashing-and-warn-related-risks" TargetMode="External"/><Relationship Id="rId8" Type="http://schemas.openxmlformats.org/officeDocument/2006/relationships/hyperlink" Target="https://unece.org/publications/environmental-assessment" TargetMode="External"/><Relationship Id="rId51" Type="http://schemas.openxmlformats.org/officeDocument/2006/relationships/hyperlink" Target="https://doi.org/10.1787/ae4a2176-en" TargetMode="External"/><Relationship Id="rId3" Type="http://schemas.openxmlformats.org/officeDocument/2006/relationships/hyperlink" Target="https://unece.org/info/Environmental-Policy/Environmental-Impact-Assessment/events/366918" TargetMode="External"/><Relationship Id="rId12" Type="http://schemas.openxmlformats.org/officeDocument/2006/relationships/hyperlink" Target="https://unece.org/environment-policy/environmental-assessment/decisions-taken-meetings-parties" TargetMode="External"/><Relationship Id="rId17" Type="http://schemas.openxmlformats.org/officeDocument/2006/relationships/hyperlink" Target="https://sdgs.un.org/fr/goals/goal13" TargetMode="External"/><Relationship Id="rId25" Type="http://schemas.openxmlformats.org/officeDocument/2006/relationships/hyperlink" Target="https://www.consilium.europa.eu/fr/policies/green-deal/fit-for-55-the-eu-plan-for-a-green-transition/" TargetMode="External"/><Relationship Id="rId33" Type="http://schemas.openxmlformats.org/officeDocument/2006/relationships/hyperlink" Target="https://eur-lex.europa.eu/legal-content/fr/TXT/HTML/?uri=CELEX:32014L0089" TargetMode="External"/><Relationship Id="rId38" Type="http://schemas.openxmlformats.org/officeDocument/2006/relationships/hyperlink" Target="https://eur-lex.europa.eu/legal-content/FR/TXT/PDF/?uri=CELEX:32014L0052" TargetMode="External"/><Relationship Id="rId46" Type="http://schemas.openxmlformats.org/officeDocument/2006/relationships/hyperlink" Target="http://www.iea.org/reports/the-role-of-critical-minerals-in-clean-energy-transitions/executive-summary" TargetMode="External"/><Relationship Id="rId59" Type="http://schemas.openxmlformats.org/officeDocument/2006/relationships/hyperlink" Target="https://g20sfwg.org/wp-content/uploads/2021/10/G20-SFWG-Synthesis-Report.pdf" TargetMode="External"/><Relationship Id="rId67" Type="http://schemas.openxmlformats.org/officeDocument/2006/relationships/hyperlink" Target="http://www.eiopa.europa.eu/system/files/2023-06/EIOPA%20Progress%20Report%20on%20Greenwashing.pdf" TargetMode="External"/><Relationship Id="rId20" Type="http://schemas.openxmlformats.org/officeDocument/2006/relationships/hyperlink" Target="https://unfccc.int/fr/processus-et-reunions/les-conferences/sharm-el-sheikh-climate-change-conference-november-2022/les-cinq-points-cles-issus-de-la-cop-27" TargetMode="External"/><Relationship Id="rId41" Type="http://schemas.openxmlformats.org/officeDocument/2006/relationships/hyperlink" Target="https://eur-lex.europa.eu/legal-content/FR/TXT/PDF/?uri=CELEX:32011L0092" TargetMode="External"/><Relationship Id="rId54" Type="http://schemas.openxmlformats.org/officeDocument/2006/relationships/hyperlink" Target="http://www.afnor.org/en/news/practical-guide-circular-economy" TargetMode="External"/><Relationship Id="rId62" Type="http://schemas.openxmlformats.org/officeDocument/2006/relationships/hyperlink" Target="https://eur-lex.europa.eu/legal-content/FR/TXT/HTML/?uri=CELEX:32021R2139" TargetMode="External"/><Relationship Id="rId70" Type="http://schemas.openxmlformats.org/officeDocument/2006/relationships/hyperlink" Target="https://www.ebrd.com/documents/environment/ebrd-sustainability-report-202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02F79B5BE87D40B73359BB004DC9B5" ma:contentTypeVersion="18" ma:contentTypeDescription="Create a new document." ma:contentTypeScope="" ma:versionID="d22e6ad98b7321529a84105081bfcf9c">
  <xsd:schema xmlns:xsd="http://www.w3.org/2001/XMLSchema" xmlns:xs="http://www.w3.org/2001/XMLSchema" xmlns:p="http://schemas.microsoft.com/office/2006/metadata/properties" xmlns:ns2="99a2c2c3-fdcf-4e63-9c12-39b3de610a76" xmlns:ns3="a20aa909-956d-4941-9e8e-d4bf2c5fe97e" xmlns:ns4="985ec44e-1bab-4c0b-9df0-6ba128686fc9" targetNamespace="http://schemas.microsoft.com/office/2006/metadata/properties" ma:root="true" ma:fieldsID="0b3bd6ac9ac9790cf6efe025ca4e12b4" ns2:_="" ns3:_="" ns4:_="">
    <xsd:import namespace="99a2c2c3-fdcf-4e63-9c12-39b3de610a76"/>
    <xsd:import namespace="a20aa909-956d-4941-9e8e-d4bf2c5fe97e"/>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eandtime"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2c2c3-fdcf-4e63-9c12-39b3de610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20" nillable="true" ma:displayName="Date and time" ma:format="DateOnly"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0aa909-956d-4941-9e8e-d4bf2c5fe9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b577e23-b539-4cbb-a753-31a04c3d9a02}" ma:internalName="TaxCatchAll" ma:showField="CatchAllData" ma:web="a20aa909-956d-4941-9e8e-d4bf2c5fe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A4D18B-E6F4-41E8-B1A1-292A3A59447C}">
  <ds:schemaRefs>
    <ds:schemaRef ds:uri="http://schemas.openxmlformats.org/officeDocument/2006/bibliography"/>
  </ds:schemaRefs>
</ds:datastoreItem>
</file>

<file path=customXml/itemProps2.xml><?xml version="1.0" encoding="utf-8"?>
<ds:datastoreItem xmlns:ds="http://schemas.openxmlformats.org/officeDocument/2006/customXml" ds:itemID="{C57494B8-6757-4F7E-8734-780E4452D053}"/>
</file>

<file path=customXml/itemProps3.xml><?xml version="1.0" encoding="utf-8"?>
<ds:datastoreItem xmlns:ds="http://schemas.openxmlformats.org/officeDocument/2006/customXml" ds:itemID="{F1BA2EF5-F4D4-4FDD-9E9B-1B2531AD5C31}"/>
</file>

<file path=docProps/app.xml><?xml version="1.0" encoding="utf-8"?>
<Properties xmlns="http://schemas.openxmlformats.org/officeDocument/2006/extended-properties" xmlns:vt="http://schemas.openxmlformats.org/officeDocument/2006/docPropsVTypes">
  <Template>ECE_MP.dotm</Template>
  <TotalTime>1</TotalTime>
  <Pages>24</Pages>
  <Words>12724</Words>
  <Characters>72149</Characters>
  <Application>Microsoft Office Word</Application>
  <DocSecurity>0</DocSecurity>
  <Lines>1414</Lines>
  <Paragraphs>262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ECE/MP.EIA/2023/14</vt:lpstr>
      <vt:lpstr/>
    </vt:vector>
  </TitlesOfParts>
  <Company>DCM</Company>
  <LinksUpToDate>false</LinksUpToDate>
  <CharactersWithSpaces>84611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ECE/MP.EIA/2023/14</dc:title>
  <dc:creator>Luisa PENA-MONTERO</dc:creator>
  <cp:keywords>ECE/MP.EIA/SEA/2023/14</cp:keywords>
  <cp:lastModifiedBy>Luisa PENA-MONTERO</cp:lastModifiedBy>
  <cp:revision>2</cp:revision>
  <cp:lastPrinted>2014-05-14T10:59:00Z</cp:lastPrinted>
  <dcterms:created xsi:type="dcterms:W3CDTF">2023-10-26T15:37:00Z</dcterms:created>
  <dcterms:modified xsi:type="dcterms:W3CDTF">2023-10-26T15:37:00Z</dcterms:modified>
</cp:coreProperties>
</file>