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4C22FFB0"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864759" w:rsidRPr="00A77A7E">
              <w:rPr>
                <w:b/>
                <w:sz w:val="40"/>
                <w:szCs w:val="40"/>
              </w:rPr>
              <w:t>1</w:t>
            </w:r>
            <w:r w:rsidR="00E959F0">
              <w:rPr>
                <w:b/>
                <w:sz w:val="40"/>
                <w:szCs w:val="40"/>
              </w:rPr>
              <w:t>4</w:t>
            </w:r>
          </w:p>
        </w:tc>
      </w:tr>
      <w:tr w:rsidR="0099001C" w:rsidRPr="00EA2D43" w14:paraId="3DDB8869" w14:textId="77777777" w:rsidTr="00BC2AC9">
        <w:trPr>
          <w:cantSplit/>
          <w:trHeight w:hRule="exact" w:val="2991"/>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65BBB86D"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E959F0">
              <w:rPr>
                <w:rFonts w:asciiTheme="majorBidi" w:hAnsiTheme="majorBidi" w:cstheme="majorBidi"/>
                <w:b/>
                <w:color w:val="000000"/>
              </w:rPr>
              <w:t>30</w:t>
            </w:r>
            <w:r w:rsidR="00D63CC4" w:rsidRPr="00A77A7E">
              <w:rPr>
                <w:rFonts w:asciiTheme="majorBidi" w:hAnsiTheme="majorBidi" w:cstheme="majorBidi"/>
                <w:b/>
                <w:color w:val="000000"/>
              </w:rPr>
              <w:t xml:space="preserve"> October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77777777" w:rsidR="007037A7" w:rsidRPr="006500BA" w:rsidRDefault="007037A7" w:rsidP="007037A7">
            <w:r w:rsidRPr="006500BA">
              <w:t xml:space="preserve">Geneva, </w:t>
            </w:r>
            <w:r>
              <w:t xml:space="preserve">27 November-6 December 2023 </w:t>
            </w:r>
          </w:p>
          <w:p w14:paraId="1CFF9B86" w14:textId="2C810E86" w:rsidR="007037A7" w:rsidRPr="00DA2203" w:rsidRDefault="007037A7" w:rsidP="007037A7">
            <w:r w:rsidRPr="00DA2203">
              <w:t xml:space="preserve">Item </w:t>
            </w:r>
            <w:r w:rsidR="00E959F0">
              <w:t>4 (e)</w:t>
            </w:r>
            <w:r w:rsidRPr="00DA2203">
              <w:t xml:space="preserve"> of the provisional agenda</w:t>
            </w:r>
          </w:p>
          <w:p w14:paraId="529EE4FD" w14:textId="77777777" w:rsidR="00245A12" w:rsidRDefault="009D772B" w:rsidP="00177B5E">
            <w:pPr>
              <w:rPr>
                <w:b/>
                <w:bCs/>
              </w:rPr>
            </w:pPr>
            <w:r>
              <w:rPr>
                <w:b/>
                <w:bCs/>
              </w:rPr>
              <w:t>Electric storage systems:</w:t>
            </w:r>
          </w:p>
          <w:p w14:paraId="49DCFCD0" w14:textId="476396D9" w:rsidR="0099001C" w:rsidRPr="00177B5E" w:rsidRDefault="009D772B" w:rsidP="00177B5E">
            <w:pPr>
              <w:rPr>
                <w:b/>
                <w:bCs/>
              </w:rPr>
            </w:pPr>
            <w:r>
              <w:rPr>
                <w:rFonts w:hint="eastAsia"/>
                <w:b/>
                <w:bCs/>
              </w:rPr>
              <w:t>Sodium-ion batteries</w:t>
            </w:r>
          </w:p>
        </w:tc>
      </w:tr>
    </w:tbl>
    <w:p w14:paraId="6A6467C6" w14:textId="77777777" w:rsidR="008A7319" w:rsidRDefault="00706D51" w:rsidP="008A7319">
      <w:pPr>
        <w:pStyle w:val="HChG"/>
        <w:rPr>
          <w:lang w:eastAsia="zh-CN"/>
        </w:rPr>
      </w:pPr>
      <w:r w:rsidRPr="00BC2AC9">
        <w:rPr>
          <w:rFonts w:eastAsia="MS Mincho"/>
        </w:rPr>
        <w:tab/>
      </w:r>
      <w:r w:rsidRPr="00BC2AC9">
        <w:rPr>
          <w:rFonts w:eastAsia="MS Mincho"/>
        </w:rPr>
        <w:tab/>
      </w:r>
      <w:r w:rsidR="008A7319">
        <w:t xml:space="preserve">Transport of </w:t>
      </w:r>
      <w:r w:rsidR="008A7319">
        <w:rPr>
          <w:rFonts w:eastAsia="SimSun"/>
          <w:lang w:eastAsia="zh-CN"/>
        </w:rPr>
        <w:t>sodium ion batteries with organic</w:t>
      </w:r>
      <w:r w:rsidR="008A7319">
        <w:rPr>
          <w:lang w:val="en-US" w:eastAsia="zh-CN"/>
        </w:rPr>
        <w:t xml:space="preserve"> </w:t>
      </w:r>
      <w:r w:rsidR="008A7319">
        <w:rPr>
          <w:rFonts w:eastAsia="SimSun"/>
          <w:lang w:eastAsia="zh-CN"/>
        </w:rPr>
        <w:t>electrolyte installed in cargo transport unit</w:t>
      </w:r>
    </w:p>
    <w:p w14:paraId="28EE13E9" w14:textId="77777777" w:rsidR="008A7319" w:rsidRDefault="008A7319" w:rsidP="008A7319">
      <w:pPr>
        <w:pStyle w:val="H1G"/>
        <w:spacing w:before="240" w:after="120"/>
        <w:rPr>
          <w:lang w:eastAsia="zh-CN"/>
        </w:rPr>
      </w:pPr>
      <w:r>
        <w:tab/>
      </w:r>
      <w:r>
        <w:tab/>
        <w:t>Transmitted by the expert from C</w:t>
      </w:r>
      <w:bookmarkStart w:id="0" w:name="_Hlk97798803"/>
      <w:bookmarkEnd w:id="0"/>
      <w:r>
        <w:rPr>
          <w:rFonts w:hint="eastAsia"/>
          <w:lang w:eastAsia="zh-CN"/>
        </w:rPr>
        <w:t>hina</w:t>
      </w:r>
    </w:p>
    <w:p w14:paraId="507EAA95" w14:textId="2DC0DCC2" w:rsidR="008A7319" w:rsidRDefault="008A7319" w:rsidP="008A7319">
      <w:pPr>
        <w:pStyle w:val="HChG"/>
        <w:rPr>
          <w:lang w:eastAsia="zh-CN"/>
        </w:rPr>
      </w:pPr>
      <w:r>
        <w:tab/>
      </w:r>
      <w:r w:rsidR="004A0F75">
        <w:t>I.</w:t>
      </w:r>
      <w:r w:rsidR="004A0F75">
        <w:tab/>
      </w:r>
      <w:r>
        <w:rPr>
          <w:rFonts w:hint="eastAsia"/>
        </w:rPr>
        <w:t>Background</w:t>
      </w:r>
    </w:p>
    <w:p w14:paraId="26630746" w14:textId="66F13BF1" w:rsidR="008A7319" w:rsidRPr="00BE2407" w:rsidRDefault="00F63562" w:rsidP="00F63562">
      <w:pPr>
        <w:pStyle w:val="SingleTxtG"/>
        <w:tabs>
          <w:tab w:val="left" w:pos="1701"/>
        </w:tabs>
      </w:pPr>
      <w:r w:rsidRPr="00BE2407">
        <w:t>1.</w:t>
      </w:r>
      <w:r w:rsidRPr="00BE2407">
        <w:tab/>
      </w:r>
      <w:r w:rsidR="008A7319" w:rsidRPr="00BE2407">
        <w:t>Sodium ion batter</w:t>
      </w:r>
      <w:r w:rsidR="008A7319" w:rsidRPr="00BE2407">
        <w:rPr>
          <w:rFonts w:eastAsia="SimSun"/>
          <w:lang w:eastAsia="zh-CN"/>
        </w:rPr>
        <w:t>ies</w:t>
      </w:r>
      <w:r w:rsidR="008A7319" w:rsidRPr="00BE2407">
        <w:t xml:space="preserve"> with organic electrolyte ha</w:t>
      </w:r>
      <w:r w:rsidR="008A7319" w:rsidRPr="00BE2407">
        <w:rPr>
          <w:lang w:eastAsia="zh-CN"/>
        </w:rPr>
        <w:t>ve</w:t>
      </w:r>
      <w:r w:rsidR="008A7319" w:rsidRPr="00BE2407">
        <w:t xml:space="preserve"> the advantages of strong low temperature performance, low price and abundant mineral resources, which have been used in many fields, </w:t>
      </w:r>
      <w:r w:rsidR="008A7319" w:rsidRPr="00BE2407">
        <w:rPr>
          <w:rFonts w:eastAsia="SimSun"/>
          <w:lang w:eastAsia="zh-CN"/>
        </w:rPr>
        <w:t xml:space="preserve">especially in the </w:t>
      </w:r>
      <w:r w:rsidR="008A7319" w:rsidRPr="00BE2407">
        <w:t xml:space="preserve">energy storage </w:t>
      </w:r>
      <w:r w:rsidR="008A7319" w:rsidRPr="00BE2407">
        <w:rPr>
          <w:rFonts w:eastAsia="SimSun"/>
          <w:lang w:eastAsia="zh-CN"/>
        </w:rPr>
        <w:t>industry</w:t>
      </w:r>
      <w:r w:rsidR="008A7319" w:rsidRPr="00BE2407">
        <w:t xml:space="preserve">.  </w:t>
      </w:r>
      <w:r w:rsidR="008A7319" w:rsidRPr="00BE2407">
        <w:rPr>
          <w:rFonts w:eastAsia="SimSun"/>
          <w:lang w:eastAsia="zh-CN"/>
        </w:rPr>
        <w:t xml:space="preserve">The </w:t>
      </w:r>
      <w:r w:rsidR="008A7319" w:rsidRPr="00BE2407">
        <w:t xml:space="preserve">Sub-Committee approved </w:t>
      </w:r>
      <w:r w:rsidR="008A7319" w:rsidRPr="00BE2407">
        <w:rPr>
          <w:rFonts w:eastAsia="SimSun"/>
          <w:lang w:eastAsia="zh-CN"/>
        </w:rPr>
        <w:t xml:space="preserve">to include two entries of </w:t>
      </w:r>
      <w:r w:rsidR="008A7319" w:rsidRPr="00BE2407">
        <w:t>sodium ion batter</w:t>
      </w:r>
      <w:r w:rsidR="008A7319" w:rsidRPr="00BE2407">
        <w:rPr>
          <w:rFonts w:eastAsia="SimSun"/>
          <w:lang w:eastAsia="zh-CN"/>
        </w:rPr>
        <w:t>ies</w:t>
      </w:r>
      <w:r w:rsidR="008A7319" w:rsidRPr="00BE2407">
        <w:t xml:space="preserve"> with organic electrolyte</w:t>
      </w:r>
      <w:r w:rsidR="008A7319" w:rsidRPr="00BE2407">
        <w:rPr>
          <w:rFonts w:eastAsia="SimSun"/>
          <w:lang w:eastAsia="zh-CN"/>
        </w:rPr>
        <w:t xml:space="preserve"> in the UN </w:t>
      </w:r>
      <w:r w:rsidR="008A7319" w:rsidRPr="00BE4C32">
        <w:rPr>
          <w:rFonts w:eastAsia="SimSun"/>
          <w:i/>
          <w:iCs/>
          <w:lang w:eastAsia="zh-CN"/>
        </w:rPr>
        <w:t>Model Regulations</w:t>
      </w:r>
      <w:r w:rsidR="008A7319" w:rsidRPr="00BE2407">
        <w:rPr>
          <w:rFonts w:eastAsia="SimSun"/>
          <w:lang w:eastAsia="zh-CN"/>
        </w:rPr>
        <w:t xml:space="preserve"> a</w:t>
      </w:r>
      <w:r w:rsidR="008A7319" w:rsidRPr="00BE2407">
        <w:t xml:space="preserve">t </w:t>
      </w:r>
      <w:r w:rsidR="008A7319" w:rsidRPr="00BE2407">
        <w:rPr>
          <w:rFonts w:eastAsia="SimSun"/>
          <w:lang w:eastAsia="zh-CN"/>
        </w:rPr>
        <w:t>its</w:t>
      </w:r>
      <w:r w:rsidR="008A7319" w:rsidRPr="00BE2407">
        <w:t xml:space="preserve"> </w:t>
      </w:r>
      <w:r w:rsidR="00BE4C32">
        <w:t>fifty-</w:t>
      </w:r>
      <w:r w:rsidR="00466986">
        <w:t>ninth</w:t>
      </w:r>
      <w:r w:rsidR="008A7319" w:rsidRPr="00BE2407">
        <w:t xml:space="preserve"> session</w:t>
      </w:r>
      <w:r w:rsidR="008A7319" w:rsidRPr="00BE2407">
        <w:rPr>
          <w:rFonts w:eastAsia="SimSun"/>
          <w:lang w:eastAsia="zh-CN"/>
        </w:rPr>
        <w:t xml:space="preserve">: </w:t>
      </w:r>
      <w:r w:rsidR="008A7319" w:rsidRPr="00BE2407">
        <w:rPr>
          <w:i/>
          <w:iCs/>
        </w:rPr>
        <w:t>UN 3551 SODIUM ION BATTERIES with organic electrolyte</w:t>
      </w:r>
      <w:r w:rsidR="008A7319" w:rsidRPr="00BE2407">
        <w:t xml:space="preserve"> and </w:t>
      </w:r>
      <w:r w:rsidR="008A7319" w:rsidRPr="00BE2407">
        <w:rPr>
          <w:i/>
          <w:iCs/>
        </w:rPr>
        <w:t>UN 3552 SODIUM ION BATTERIES with organic electrolyte CONTAINED IN EQUIPMENT or SODIUM ION BATTERIES with organic electrolyte PACKED WITH EQUIPMENT</w:t>
      </w:r>
      <w:r w:rsidR="008A7319" w:rsidRPr="00BE2407">
        <w:rPr>
          <w:rFonts w:eastAsia="SimSun"/>
          <w:i/>
          <w:iCs/>
          <w:lang w:eastAsia="zh-CN"/>
        </w:rPr>
        <w:t>.</w:t>
      </w:r>
    </w:p>
    <w:p w14:paraId="401AC68C" w14:textId="4026FE6B" w:rsidR="008A7319" w:rsidRPr="00BE2407" w:rsidRDefault="00F63562" w:rsidP="00F63562">
      <w:pPr>
        <w:pStyle w:val="SingleTxtG"/>
        <w:tabs>
          <w:tab w:val="left" w:pos="1701"/>
        </w:tabs>
      </w:pPr>
      <w:r w:rsidRPr="00BE2407">
        <w:t>2.</w:t>
      </w:r>
      <w:r w:rsidRPr="00BE2407">
        <w:tab/>
      </w:r>
      <w:r w:rsidR="008A7319" w:rsidRPr="00BE2407">
        <w:t>In the</w:t>
      </w:r>
      <w:r w:rsidR="008A7319" w:rsidRPr="00BE2407">
        <w:rPr>
          <w:rFonts w:eastAsia="SimSun"/>
          <w:lang w:eastAsia="zh-CN"/>
        </w:rPr>
        <w:t xml:space="preserve"> twenty-second revised edition of the UN</w:t>
      </w:r>
      <w:r w:rsidR="008A7319" w:rsidRPr="00BE2407">
        <w:t xml:space="preserve"> </w:t>
      </w:r>
      <w:r w:rsidR="008A7319" w:rsidRPr="006B761B">
        <w:rPr>
          <w:i/>
          <w:iCs/>
        </w:rPr>
        <w:t>Model Regulations</w:t>
      </w:r>
      <w:r w:rsidR="008A7319" w:rsidRPr="00BE2407">
        <w:t>, UN</w:t>
      </w:r>
      <w:r w:rsidR="008A7319" w:rsidRPr="00BE2407">
        <w:rPr>
          <w:rFonts w:eastAsia="SimSun"/>
          <w:lang w:eastAsia="zh-CN"/>
        </w:rPr>
        <w:t xml:space="preserve"> </w:t>
      </w:r>
      <w:r w:rsidR="008A7319" w:rsidRPr="00BE2407">
        <w:t>3536</w:t>
      </w:r>
      <w:r w:rsidR="008A7319" w:rsidRPr="00BE2407">
        <w:rPr>
          <w:i/>
          <w:iCs/>
        </w:rPr>
        <w:t xml:space="preserve"> </w:t>
      </w:r>
      <w:r w:rsidR="008A7319" w:rsidRPr="00BE2407">
        <w:rPr>
          <w:rFonts w:eastAsia="SimSun"/>
          <w:lang w:eastAsia="zh-CN"/>
        </w:rPr>
        <w:t xml:space="preserve">applies to </w:t>
      </w:r>
      <w:r w:rsidR="008A7319" w:rsidRPr="00BE2407">
        <w:t xml:space="preserve">lithium batteries installed in </w:t>
      </w:r>
      <w:r w:rsidR="00A970FB">
        <w:t xml:space="preserve">a </w:t>
      </w:r>
      <w:r w:rsidR="008A7319" w:rsidRPr="00BE2407">
        <w:t>cargo transport unit</w:t>
      </w:r>
      <w:r w:rsidR="008A7319" w:rsidRPr="00BE2407">
        <w:rPr>
          <w:rFonts w:eastAsia="SimSun"/>
          <w:lang w:eastAsia="zh-CN"/>
        </w:rPr>
        <w:t>. While</w:t>
      </w:r>
      <w:r w:rsidR="008A7319" w:rsidRPr="00BE2407">
        <w:t xml:space="preserve"> the transport demand of energy storage systems</w:t>
      </w:r>
      <w:r w:rsidR="008A7319" w:rsidRPr="00BE2407">
        <w:rPr>
          <w:rFonts w:eastAsia="SimSun"/>
          <w:lang w:eastAsia="zh-CN"/>
        </w:rPr>
        <w:t xml:space="preserve"> made of</w:t>
      </w:r>
      <w:r w:rsidR="008A7319" w:rsidRPr="00BE2407">
        <w:t xml:space="preserve"> sodium ion batter</w:t>
      </w:r>
      <w:r w:rsidR="008A7319" w:rsidRPr="00BE2407">
        <w:rPr>
          <w:rFonts w:eastAsia="SimSun"/>
          <w:lang w:eastAsia="zh-CN"/>
        </w:rPr>
        <w:t>ies</w:t>
      </w:r>
      <w:r w:rsidR="008A7319" w:rsidRPr="00BE2407">
        <w:t xml:space="preserve"> in cargo transport unit is increasing</w:t>
      </w:r>
      <w:r w:rsidR="008A7319" w:rsidRPr="00BE2407">
        <w:rPr>
          <w:rFonts w:eastAsia="SimSun"/>
          <w:lang w:eastAsia="zh-CN"/>
        </w:rPr>
        <w:t>, there is not any entry which applies to this product. Considering the similar structure and transport risk of</w:t>
      </w:r>
      <w:r w:rsidR="008A7319" w:rsidRPr="00BE2407">
        <w:t xml:space="preserve"> energy storage systems in cargo transport unit</w:t>
      </w:r>
      <w:r w:rsidR="008A7319" w:rsidRPr="00BE2407">
        <w:rPr>
          <w:rFonts w:eastAsia="SimSun"/>
          <w:lang w:eastAsia="zh-CN"/>
        </w:rPr>
        <w:t xml:space="preserve"> made of lithium ion batteries and </w:t>
      </w:r>
      <w:r w:rsidR="008A7319" w:rsidRPr="00BE2407">
        <w:t>sodium ion batter</w:t>
      </w:r>
      <w:r w:rsidR="008A7319" w:rsidRPr="00BE2407">
        <w:rPr>
          <w:rFonts w:eastAsia="SimSun"/>
          <w:lang w:eastAsia="zh-CN"/>
        </w:rPr>
        <w:t>ies, China suggests establishing a new entry for sodium ion batteries with organic</w:t>
      </w:r>
      <w:r w:rsidR="008A7319" w:rsidRPr="00BE2407">
        <w:rPr>
          <w:lang w:eastAsia="zh-CN"/>
        </w:rPr>
        <w:t xml:space="preserve"> </w:t>
      </w:r>
      <w:r w:rsidR="008A7319" w:rsidRPr="00BE2407">
        <w:rPr>
          <w:rFonts w:eastAsia="SimSun"/>
          <w:lang w:eastAsia="zh-CN"/>
        </w:rPr>
        <w:t>electrolyte installed in cargo transport unit, referring to the transport requirements of UN 3536.</w:t>
      </w:r>
    </w:p>
    <w:p w14:paraId="5E3FB296" w14:textId="6D8810BD" w:rsidR="008A7319" w:rsidRPr="00BE2407" w:rsidRDefault="008A7319" w:rsidP="008A7319">
      <w:pPr>
        <w:pStyle w:val="HChG"/>
        <w:rPr>
          <w:lang w:eastAsia="zh-CN"/>
        </w:rPr>
      </w:pPr>
      <w:r w:rsidRPr="00BE2407">
        <w:rPr>
          <w:lang w:eastAsia="zh-CN"/>
        </w:rPr>
        <w:tab/>
      </w:r>
      <w:r w:rsidR="004A0F75">
        <w:rPr>
          <w:lang w:eastAsia="zh-CN"/>
        </w:rPr>
        <w:t>II.</w:t>
      </w:r>
      <w:r w:rsidR="004A0F75">
        <w:rPr>
          <w:lang w:eastAsia="zh-CN"/>
        </w:rPr>
        <w:tab/>
      </w:r>
      <w:r w:rsidRPr="00BE2407">
        <w:t>Proposals</w:t>
      </w:r>
    </w:p>
    <w:p w14:paraId="4CB31A81" w14:textId="01289FDC" w:rsidR="008A7319" w:rsidRPr="00BE2407" w:rsidRDefault="00F63562" w:rsidP="00F63562">
      <w:pPr>
        <w:pStyle w:val="SingleTxtG"/>
        <w:tabs>
          <w:tab w:val="left" w:pos="1701"/>
          <w:tab w:val="left" w:pos="2268"/>
        </w:tabs>
        <w:kinsoku w:val="0"/>
        <w:overflowPunct w:val="0"/>
        <w:autoSpaceDE w:val="0"/>
        <w:autoSpaceDN w:val="0"/>
        <w:adjustRightInd w:val="0"/>
        <w:snapToGrid w:val="0"/>
        <w:rPr>
          <w:lang w:eastAsia="zh-CN"/>
        </w:rPr>
      </w:pPr>
      <w:r w:rsidRPr="00BE2407">
        <w:rPr>
          <w:lang w:eastAsia="zh-CN"/>
        </w:rPr>
        <w:t>3.</w:t>
      </w:r>
      <w:r w:rsidRPr="00BE2407">
        <w:rPr>
          <w:lang w:eastAsia="zh-CN"/>
        </w:rPr>
        <w:tab/>
      </w:r>
      <w:r w:rsidR="008A7319" w:rsidRPr="00BE2407">
        <w:rPr>
          <w:lang w:eastAsia="zh-CN"/>
        </w:rPr>
        <w:t xml:space="preserve">Based on the above discussion, China suggests the following amendments to the </w:t>
      </w:r>
      <w:r w:rsidR="008A7319" w:rsidRPr="00BE2407">
        <w:rPr>
          <w:rFonts w:eastAsia="SimSun"/>
          <w:lang w:eastAsia="zh-CN"/>
        </w:rPr>
        <w:t>UN</w:t>
      </w:r>
      <w:r w:rsidR="008A7319" w:rsidRPr="00BE2407">
        <w:t xml:space="preserve"> </w:t>
      </w:r>
      <w:r w:rsidR="008A7319" w:rsidRPr="00E13A8A">
        <w:rPr>
          <w:i/>
          <w:iCs/>
        </w:rPr>
        <w:t>Model Regulations</w:t>
      </w:r>
      <w:r w:rsidR="008A7319" w:rsidRPr="00BE2407">
        <w:rPr>
          <w:rFonts w:eastAsia="SimSun"/>
          <w:lang w:eastAsia="zh-CN"/>
        </w:rPr>
        <w:t xml:space="preserve"> </w:t>
      </w:r>
      <w:r w:rsidR="008A7319" w:rsidRPr="00BE2407">
        <w:t xml:space="preserve">(new text is </w:t>
      </w:r>
      <w:r w:rsidR="008A7319" w:rsidRPr="00BE2407">
        <w:rPr>
          <w:u w:val="single"/>
        </w:rPr>
        <w:t>underlined</w:t>
      </w:r>
      <w:r w:rsidR="008A7319" w:rsidRPr="00BE2407">
        <w:rPr>
          <w:rFonts w:eastAsia="SimSun"/>
          <w:lang w:eastAsia="zh-CN"/>
        </w:rPr>
        <w:t>):</w:t>
      </w:r>
    </w:p>
    <w:p w14:paraId="0E0CA3ED" w14:textId="177F13D5" w:rsidR="008A7319" w:rsidRPr="00BE2407" w:rsidRDefault="00F63562" w:rsidP="00F63562">
      <w:pPr>
        <w:pStyle w:val="SingleTxtG"/>
        <w:ind w:left="2198" w:hanging="486"/>
        <w:rPr>
          <w:lang w:eastAsia="zh-CN"/>
        </w:rPr>
      </w:pPr>
      <w:r w:rsidRPr="00BE2407">
        <w:rPr>
          <w:lang w:eastAsia="zh-CN"/>
        </w:rPr>
        <w:t>(a)</w:t>
      </w:r>
      <w:r w:rsidRPr="00BE2407">
        <w:rPr>
          <w:lang w:eastAsia="zh-CN"/>
        </w:rPr>
        <w:tab/>
      </w:r>
      <w:r w:rsidR="008A7319" w:rsidRPr="00BE2407">
        <w:rPr>
          <w:lang w:eastAsia="zh-CN"/>
        </w:rPr>
        <w:t>Add “</w:t>
      </w:r>
      <w:r w:rsidR="008A7319" w:rsidRPr="00BE2407">
        <w:rPr>
          <w:u w:val="single"/>
          <w:lang w:eastAsia="zh-CN"/>
        </w:rPr>
        <w:t>UN XXXX SODIUM ION BATTERIES INSTALLED IN CARGO TRANSPORT UNIT with organic electrolyte</w:t>
      </w:r>
      <w:r w:rsidR="008A7319" w:rsidRPr="00BE2407">
        <w:rPr>
          <w:lang w:eastAsia="zh-CN"/>
        </w:rPr>
        <w:t>” in chapter 2.9.2;</w:t>
      </w:r>
    </w:p>
    <w:p w14:paraId="15F98581" w14:textId="567311CF" w:rsidR="008A7319" w:rsidRDefault="00F63562" w:rsidP="00F63562">
      <w:pPr>
        <w:pStyle w:val="SingleTxtG"/>
        <w:ind w:left="2198" w:hanging="486"/>
        <w:rPr>
          <w:lang w:eastAsia="zh-CN"/>
        </w:rPr>
      </w:pPr>
      <w:r w:rsidRPr="00BE2407">
        <w:rPr>
          <w:lang w:eastAsia="zh-CN"/>
        </w:rPr>
        <w:t>(b)</w:t>
      </w:r>
      <w:r w:rsidRPr="00BE2407">
        <w:rPr>
          <w:lang w:eastAsia="zh-CN"/>
        </w:rPr>
        <w:tab/>
      </w:r>
      <w:r w:rsidR="008A7319" w:rsidRPr="00BE2407">
        <w:rPr>
          <w:lang w:eastAsia="zh-CN"/>
        </w:rPr>
        <w:t>Add a new entry in chapter 3.2:</w:t>
      </w:r>
    </w:p>
    <w:p w14:paraId="56DF1D1D" w14:textId="47ADBA4F" w:rsidR="00A40D2C" w:rsidRDefault="00A40D2C">
      <w:pPr>
        <w:suppressAutoHyphens w:val="0"/>
        <w:spacing w:line="240" w:lineRule="auto"/>
        <w:rPr>
          <w:lang w:eastAsia="zh-CN"/>
        </w:rPr>
      </w:pPr>
      <w:r>
        <w:rPr>
          <w:lang w:eastAsia="zh-CN"/>
        </w:rPr>
        <w:br w:type="page"/>
      </w:r>
    </w:p>
    <w:p w14:paraId="6ED13EF0" w14:textId="77777777" w:rsidR="00AC05A0" w:rsidRPr="008C4250" w:rsidRDefault="00AC05A0" w:rsidP="00FC4ECC">
      <w:pPr>
        <w:pStyle w:val="SingleTxtG"/>
        <w:spacing w:after="0" w:line="100" w:lineRule="atLeast"/>
        <w:ind w:left="2200" w:hanging="488"/>
        <w:rPr>
          <w:sz w:val="16"/>
          <w:szCs w:val="16"/>
          <w:lang w:eastAsia="zh-CN"/>
        </w:rPr>
      </w:pPr>
    </w:p>
    <w:tbl>
      <w:tblPr>
        <w:tblStyle w:val="TableGrid"/>
        <w:tblpPr w:leftFromText="180" w:rightFromText="180" w:vertAnchor="text" w:horzAnchor="margin" w:tblpXSpec="center" w:tblpY="208"/>
        <w:tblOverlap w:val="never"/>
        <w:tblW w:w="10627" w:type="dxa"/>
        <w:tblLayout w:type="fixed"/>
        <w:tblCellMar>
          <w:left w:w="108" w:type="dxa"/>
          <w:right w:w="108" w:type="dxa"/>
        </w:tblCellMar>
        <w:tblLook w:val="04A0" w:firstRow="1" w:lastRow="0" w:firstColumn="1" w:lastColumn="0" w:noHBand="0" w:noVBand="1"/>
      </w:tblPr>
      <w:tblGrid>
        <w:gridCol w:w="709"/>
        <w:gridCol w:w="1413"/>
        <w:gridCol w:w="708"/>
        <w:gridCol w:w="993"/>
        <w:gridCol w:w="850"/>
        <w:gridCol w:w="992"/>
        <w:gridCol w:w="567"/>
        <w:gridCol w:w="567"/>
        <w:gridCol w:w="993"/>
        <w:gridCol w:w="992"/>
        <w:gridCol w:w="850"/>
        <w:gridCol w:w="993"/>
      </w:tblGrid>
      <w:tr w:rsidR="008A7319" w:rsidRPr="00BE2407" w14:paraId="31B91252" w14:textId="77777777" w:rsidTr="00BD6FCD">
        <w:trPr>
          <w:trHeight w:val="338"/>
        </w:trPr>
        <w:tc>
          <w:tcPr>
            <w:tcW w:w="709" w:type="dxa"/>
            <w:vMerge w:val="restart"/>
            <w:vAlign w:val="center"/>
          </w:tcPr>
          <w:p w14:paraId="20836781" w14:textId="77777777" w:rsidR="008A7319" w:rsidRPr="00BD6FCD" w:rsidRDefault="008A7319" w:rsidP="00AC05A0">
            <w:pPr>
              <w:pStyle w:val="SingleTxtG"/>
              <w:keepNext/>
              <w:keepLines/>
              <w:ind w:left="0" w:right="19"/>
              <w:jc w:val="center"/>
              <w:rPr>
                <w:sz w:val="18"/>
                <w:szCs w:val="18"/>
              </w:rPr>
            </w:pPr>
            <w:r w:rsidRPr="00BD6FCD">
              <w:rPr>
                <w:sz w:val="18"/>
                <w:szCs w:val="18"/>
              </w:rPr>
              <w:t>UN No.</w:t>
            </w:r>
          </w:p>
        </w:tc>
        <w:tc>
          <w:tcPr>
            <w:tcW w:w="1413" w:type="dxa"/>
            <w:vMerge w:val="restart"/>
            <w:vAlign w:val="center"/>
          </w:tcPr>
          <w:p w14:paraId="6C2677D5" w14:textId="77777777" w:rsidR="008A7319" w:rsidRPr="00BD6FCD" w:rsidRDefault="008A7319" w:rsidP="00AC05A0">
            <w:pPr>
              <w:pStyle w:val="SingleTxtG"/>
              <w:keepNext/>
              <w:keepLines/>
              <w:ind w:left="0" w:right="139"/>
              <w:jc w:val="center"/>
              <w:rPr>
                <w:sz w:val="18"/>
                <w:szCs w:val="18"/>
              </w:rPr>
            </w:pPr>
            <w:r w:rsidRPr="00BD6FCD">
              <w:rPr>
                <w:sz w:val="18"/>
                <w:szCs w:val="18"/>
              </w:rPr>
              <w:t>Name and description</w:t>
            </w:r>
          </w:p>
        </w:tc>
        <w:tc>
          <w:tcPr>
            <w:tcW w:w="708" w:type="dxa"/>
            <w:vMerge w:val="restart"/>
            <w:vAlign w:val="center"/>
          </w:tcPr>
          <w:p w14:paraId="1AD01A85" w14:textId="77777777" w:rsidR="008A7319" w:rsidRPr="00BD6FCD" w:rsidRDefault="008A7319" w:rsidP="00BA3763">
            <w:pPr>
              <w:pStyle w:val="SingleTxtG"/>
              <w:ind w:left="-57" w:right="-57"/>
              <w:jc w:val="center"/>
              <w:rPr>
                <w:sz w:val="18"/>
                <w:szCs w:val="18"/>
              </w:rPr>
            </w:pPr>
            <w:r w:rsidRPr="00BD6FCD">
              <w:rPr>
                <w:sz w:val="18"/>
                <w:szCs w:val="18"/>
              </w:rPr>
              <w:t>Class or division</w:t>
            </w:r>
          </w:p>
        </w:tc>
        <w:tc>
          <w:tcPr>
            <w:tcW w:w="993" w:type="dxa"/>
            <w:vMerge w:val="restart"/>
            <w:vAlign w:val="center"/>
          </w:tcPr>
          <w:p w14:paraId="3C9628C6" w14:textId="77777777" w:rsidR="008A7319" w:rsidRPr="00BD6FCD" w:rsidRDefault="008A7319" w:rsidP="00BA3763">
            <w:pPr>
              <w:pStyle w:val="SingleTxtG"/>
              <w:tabs>
                <w:tab w:val="left" w:pos="0"/>
              </w:tabs>
              <w:ind w:left="0" w:right="0"/>
              <w:jc w:val="center"/>
              <w:rPr>
                <w:sz w:val="18"/>
                <w:szCs w:val="18"/>
              </w:rPr>
            </w:pPr>
            <w:r w:rsidRPr="00BD6FCD">
              <w:rPr>
                <w:sz w:val="18"/>
                <w:szCs w:val="18"/>
              </w:rPr>
              <w:t>Subsidiary hazard</w:t>
            </w:r>
          </w:p>
        </w:tc>
        <w:tc>
          <w:tcPr>
            <w:tcW w:w="850" w:type="dxa"/>
            <w:vMerge w:val="restart"/>
            <w:vAlign w:val="center"/>
          </w:tcPr>
          <w:p w14:paraId="67A70034" w14:textId="77777777" w:rsidR="008A7319" w:rsidRPr="00BD6FCD" w:rsidRDefault="008A7319" w:rsidP="00BA3763">
            <w:pPr>
              <w:pStyle w:val="SingleTxtG"/>
              <w:ind w:left="0" w:right="0"/>
              <w:jc w:val="center"/>
              <w:rPr>
                <w:sz w:val="18"/>
                <w:szCs w:val="18"/>
              </w:rPr>
            </w:pPr>
            <w:r w:rsidRPr="00BD6FCD">
              <w:rPr>
                <w:sz w:val="18"/>
                <w:szCs w:val="18"/>
              </w:rPr>
              <w:t>UN packing group</w:t>
            </w:r>
          </w:p>
        </w:tc>
        <w:tc>
          <w:tcPr>
            <w:tcW w:w="992" w:type="dxa"/>
            <w:vMerge w:val="restart"/>
            <w:vAlign w:val="center"/>
          </w:tcPr>
          <w:p w14:paraId="0CBFC7A6" w14:textId="77777777" w:rsidR="008A7319" w:rsidRPr="00BD6FCD" w:rsidRDefault="008A7319" w:rsidP="00BA3763">
            <w:pPr>
              <w:pStyle w:val="SingleTxtG"/>
              <w:ind w:left="0" w:right="0"/>
              <w:jc w:val="center"/>
              <w:rPr>
                <w:sz w:val="18"/>
                <w:szCs w:val="18"/>
              </w:rPr>
            </w:pPr>
            <w:r w:rsidRPr="00BD6FCD">
              <w:rPr>
                <w:sz w:val="18"/>
                <w:szCs w:val="18"/>
              </w:rPr>
              <w:t>Special provisions</w:t>
            </w:r>
          </w:p>
        </w:tc>
        <w:tc>
          <w:tcPr>
            <w:tcW w:w="1134" w:type="dxa"/>
            <w:gridSpan w:val="2"/>
            <w:vMerge w:val="restart"/>
            <w:vAlign w:val="center"/>
          </w:tcPr>
          <w:p w14:paraId="345AEF57" w14:textId="77777777" w:rsidR="008A7319" w:rsidRPr="00BD6FCD" w:rsidRDefault="008A7319" w:rsidP="00BA3763">
            <w:pPr>
              <w:pStyle w:val="SingleTxtG"/>
              <w:ind w:left="0" w:right="0"/>
              <w:jc w:val="center"/>
              <w:rPr>
                <w:sz w:val="18"/>
                <w:szCs w:val="18"/>
              </w:rPr>
            </w:pPr>
            <w:r w:rsidRPr="00BD6FCD">
              <w:rPr>
                <w:sz w:val="18"/>
                <w:szCs w:val="18"/>
              </w:rPr>
              <w:t>Limited and excepted quantities</w:t>
            </w:r>
          </w:p>
        </w:tc>
        <w:tc>
          <w:tcPr>
            <w:tcW w:w="1985" w:type="dxa"/>
            <w:gridSpan w:val="2"/>
            <w:vAlign w:val="center"/>
          </w:tcPr>
          <w:p w14:paraId="1F9CB3C0" w14:textId="77777777" w:rsidR="008A7319" w:rsidRPr="00BD6FCD" w:rsidRDefault="008A7319" w:rsidP="00BA3763">
            <w:pPr>
              <w:pStyle w:val="SingleTxtG"/>
              <w:tabs>
                <w:tab w:val="left" w:pos="0"/>
              </w:tabs>
              <w:ind w:left="0" w:right="0"/>
              <w:jc w:val="center"/>
              <w:rPr>
                <w:sz w:val="18"/>
                <w:szCs w:val="18"/>
              </w:rPr>
            </w:pPr>
            <w:r w:rsidRPr="00BD6FCD">
              <w:rPr>
                <w:sz w:val="18"/>
                <w:szCs w:val="18"/>
              </w:rPr>
              <w:t>Packagings and IBCs</w:t>
            </w:r>
          </w:p>
        </w:tc>
        <w:tc>
          <w:tcPr>
            <w:tcW w:w="1843" w:type="dxa"/>
            <w:gridSpan w:val="2"/>
            <w:vAlign w:val="center"/>
          </w:tcPr>
          <w:p w14:paraId="59A889BE" w14:textId="77777777" w:rsidR="008A7319" w:rsidRPr="00BD6FCD" w:rsidRDefault="008A7319" w:rsidP="00BA3763">
            <w:pPr>
              <w:pStyle w:val="SingleTxtG"/>
              <w:ind w:left="0" w:right="0"/>
              <w:jc w:val="center"/>
              <w:rPr>
                <w:sz w:val="18"/>
                <w:szCs w:val="18"/>
              </w:rPr>
            </w:pPr>
            <w:r w:rsidRPr="00BD6FCD">
              <w:rPr>
                <w:sz w:val="18"/>
                <w:szCs w:val="18"/>
              </w:rPr>
              <w:t>Portable tanks and bulk containers</w:t>
            </w:r>
          </w:p>
        </w:tc>
      </w:tr>
      <w:tr w:rsidR="00BD6FCD" w:rsidRPr="00BE2407" w14:paraId="5AAD5242" w14:textId="77777777" w:rsidTr="00BD6FCD">
        <w:trPr>
          <w:trHeight w:val="338"/>
        </w:trPr>
        <w:tc>
          <w:tcPr>
            <w:tcW w:w="709" w:type="dxa"/>
            <w:vMerge/>
            <w:tcBorders>
              <w:bottom w:val="single" w:sz="4" w:space="0" w:color="auto"/>
            </w:tcBorders>
            <w:vAlign w:val="center"/>
          </w:tcPr>
          <w:p w14:paraId="24009487" w14:textId="77777777" w:rsidR="008A7319" w:rsidRPr="00BD6FCD" w:rsidRDefault="008A7319" w:rsidP="00AC05A0">
            <w:pPr>
              <w:pStyle w:val="SingleTxtG"/>
              <w:keepNext/>
              <w:keepLines/>
              <w:ind w:left="0" w:right="19"/>
              <w:jc w:val="center"/>
              <w:rPr>
                <w:sz w:val="18"/>
                <w:szCs w:val="18"/>
              </w:rPr>
            </w:pPr>
          </w:p>
        </w:tc>
        <w:tc>
          <w:tcPr>
            <w:tcW w:w="1413" w:type="dxa"/>
            <w:vMerge/>
            <w:tcBorders>
              <w:bottom w:val="single" w:sz="4" w:space="0" w:color="auto"/>
            </w:tcBorders>
            <w:vAlign w:val="center"/>
          </w:tcPr>
          <w:p w14:paraId="454ED67C" w14:textId="77777777" w:rsidR="008A7319" w:rsidRPr="00BD6FCD" w:rsidRDefault="008A7319" w:rsidP="00AC05A0">
            <w:pPr>
              <w:pStyle w:val="SingleTxtG"/>
              <w:keepNext/>
              <w:keepLines/>
              <w:ind w:left="0" w:right="139"/>
              <w:jc w:val="center"/>
              <w:rPr>
                <w:sz w:val="18"/>
                <w:szCs w:val="18"/>
              </w:rPr>
            </w:pPr>
          </w:p>
        </w:tc>
        <w:tc>
          <w:tcPr>
            <w:tcW w:w="708" w:type="dxa"/>
            <w:vMerge/>
            <w:tcBorders>
              <w:bottom w:val="single" w:sz="4" w:space="0" w:color="auto"/>
            </w:tcBorders>
            <w:vAlign w:val="center"/>
          </w:tcPr>
          <w:p w14:paraId="7C872BE9" w14:textId="77777777" w:rsidR="008A7319" w:rsidRPr="00BD6FCD" w:rsidRDefault="008A7319" w:rsidP="00BA3763">
            <w:pPr>
              <w:pStyle w:val="SingleTxtG"/>
              <w:ind w:left="0" w:right="0"/>
              <w:jc w:val="center"/>
              <w:rPr>
                <w:sz w:val="18"/>
                <w:szCs w:val="18"/>
              </w:rPr>
            </w:pPr>
          </w:p>
        </w:tc>
        <w:tc>
          <w:tcPr>
            <w:tcW w:w="993" w:type="dxa"/>
            <w:vMerge/>
            <w:tcBorders>
              <w:bottom w:val="single" w:sz="4" w:space="0" w:color="auto"/>
            </w:tcBorders>
            <w:vAlign w:val="center"/>
          </w:tcPr>
          <w:p w14:paraId="68AC73D1" w14:textId="77777777" w:rsidR="008A7319" w:rsidRPr="00BD6FCD" w:rsidRDefault="008A7319" w:rsidP="00BA3763">
            <w:pPr>
              <w:pStyle w:val="SingleTxtG"/>
              <w:tabs>
                <w:tab w:val="left" w:pos="0"/>
              </w:tabs>
              <w:ind w:left="0" w:right="0"/>
              <w:jc w:val="center"/>
              <w:rPr>
                <w:sz w:val="18"/>
                <w:szCs w:val="18"/>
              </w:rPr>
            </w:pPr>
          </w:p>
        </w:tc>
        <w:tc>
          <w:tcPr>
            <w:tcW w:w="850" w:type="dxa"/>
            <w:vMerge/>
            <w:tcBorders>
              <w:bottom w:val="single" w:sz="4" w:space="0" w:color="auto"/>
            </w:tcBorders>
            <w:vAlign w:val="center"/>
          </w:tcPr>
          <w:p w14:paraId="3AE4019A" w14:textId="77777777" w:rsidR="008A7319" w:rsidRPr="00BD6FCD" w:rsidRDefault="008A7319" w:rsidP="00BA3763">
            <w:pPr>
              <w:pStyle w:val="SingleTxtG"/>
              <w:ind w:left="0" w:right="0"/>
              <w:jc w:val="center"/>
              <w:rPr>
                <w:sz w:val="18"/>
                <w:szCs w:val="18"/>
              </w:rPr>
            </w:pPr>
          </w:p>
        </w:tc>
        <w:tc>
          <w:tcPr>
            <w:tcW w:w="992" w:type="dxa"/>
            <w:vMerge/>
            <w:tcBorders>
              <w:bottom w:val="single" w:sz="4" w:space="0" w:color="auto"/>
            </w:tcBorders>
            <w:vAlign w:val="center"/>
          </w:tcPr>
          <w:p w14:paraId="581E4144" w14:textId="77777777" w:rsidR="008A7319" w:rsidRPr="00BD6FCD" w:rsidRDefault="008A7319" w:rsidP="00BA3763">
            <w:pPr>
              <w:pStyle w:val="SingleTxtG"/>
              <w:ind w:left="0" w:right="0"/>
              <w:jc w:val="center"/>
              <w:rPr>
                <w:sz w:val="18"/>
                <w:szCs w:val="18"/>
              </w:rPr>
            </w:pPr>
          </w:p>
        </w:tc>
        <w:tc>
          <w:tcPr>
            <w:tcW w:w="1134" w:type="dxa"/>
            <w:gridSpan w:val="2"/>
            <w:vMerge/>
            <w:tcBorders>
              <w:bottom w:val="single" w:sz="4" w:space="0" w:color="auto"/>
            </w:tcBorders>
            <w:vAlign w:val="center"/>
          </w:tcPr>
          <w:p w14:paraId="1BBAC31E" w14:textId="77777777" w:rsidR="008A7319" w:rsidRPr="00BD6FCD" w:rsidRDefault="008A7319" w:rsidP="00BA3763">
            <w:pPr>
              <w:pStyle w:val="SingleTxtG"/>
              <w:ind w:left="0" w:right="0"/>
              <w:jc w:val="center"/>
              <w:rPr>
                <w:sz w:val="18"/>
                <w:szCs w:val="18"/>
              </w:rPr>
            </w:pPr>
          </w:p>
        </w:tc>
        <w:tc>
          <w:tcPr>
            <w:tcW w:w="993" w:type="dxa"/>
            <w:tcBorders>
              <w:bottom w:val="single" w:sz="4" w:space="0" w:color="auto"/>
            </w:tcBorders>
            <w:vAlign w:val="center"/>
          </w:tcPr>
          <w:p w14:paraId="66DC2193" w14:textId="77777777" w:rsidR="008A7319" w:rsidRPr="00BD6FCD" w:rsidRDefault="008A7319" w:rsidP="00BA3763">
            <w:pPr>
              <w:pStyle w:val="SingleTxtG"/>
              <w:tabs>
                <w:tab w:val="left" w:pos="0"/>
              </w:tabs>
              <w:ind w:left="0" w:right="0"/>
              <w:jc w:val="center"/>
              <w:rPr>
                <w:sz w:val="18"/>
                <w:szCs w:val="18"/>
              </w:rPr>
            </w:pPr>
            <w:r w:rsidRPr="00BD6FCD">
              <w:rPr>
                <w:sz w:val="18"/>
                <w:szCs w:val="18"/>
              </w:rPr>
              <w:t>Packing instruct</w:t>
            </w:r>
            <w:r w:rsidRPr="00BD6FCD">
              <w:rPr>
                <w:sz w:val="18"/>
                <w:szCs w:val="18"/>
                <w:lang w:eastAsia="zh-CN"/>
              </w:rPr>
              <w:t>i</w:t>
            </w:r>
            <w:r w:rsidRPr="00BD6FCD">
              <w:rPr>
                <w:sz w:val="18"/>
                <w:szCs w:val="18"/>
              </w:rPr>
              <w:t>on</w:t>
            </w:r>
          </w:p>
        </w:tc>
        <w:tc>
          <w:tcPr>
            <w:tcW w:w="992" w:type="dxa"/>
            <w:tcBorders>
              <w:bottom w:val="single" w:sz="4" w:space="0" w:color="auto"/>
            </w:tcBorders>
            <w:vAlign w:val="center"/>
          </w:tcPr>
          <w:p w14:paraId="2600EFC7" w14:textId="77777777" w:rsidR="008A7319" w:rsidRPr="00BD6FCD" w:rsidRDefault="008A7319" w:rsidP="00BA3763">
            <w:pPr>
              <w:pStyle w:val="SingleTxtG"/>
              <w:tabs>
                <w:tab w:val="left" w:pos="0"/>
              </w:tabs>
              <w:ind w:left="0" w:right="0"/>
              <w:jc w:val="center"/>
              <w:rPr>
                <w:sz w:val="18"/>
                <w:szCs w:val="18"/>
              </w:rPr>
            </w:pPr>
            <w:r w:rsidRPr="00BD6FCD">
              <w:rPr>
                <w:sz w:val="18"/>
                <w:szCs w:val="18"/>
              </w:rPr>
              <w:t>Special packing provisions</w:t>
            </w:r>
          </w:p>
        </w:tc>
        <w:tc>
          <w:tcPr>
            <w:tcW w:w="850" w:type="dxa"/>
            <w:tcBorders>
              <w:bottom w:val="single" w:sz="4" w:space="0" w:color="auto"/>
            </w:tcBorders>
            <w:vAlign w:val="center"/>
          </w:tcPr>
          <w:p w14:paraId="0CFB63F0" w14:textId="77777777" w:rsidR="008A7319" w:rsidRPr="00BD6FCD" w:rsidRDefault="008A7319" w:rsidP="00BA3763">
            <w:pPr>
              <w:pStyle w:val="SingleTxtG"/>
              <w:ind w:left="0" w:right="0"/>
              <w:jc w:val="center"/>
              <w:rPr>
                <w:sz w:val="18"/>
                <w:szCs w:val="18"/>
              </w:rPr>
            </w:pPr>
            <w:r w:rsidRPr="00BD6FCD">
              <w:rPr>
                <w:sz w:val="18"/>
                <w:szCs w:val="18"/>
              </w:rPr>
              <w:t>Instructions</w:t>
            </w:r>
          </w:p>
        </w:tc>
        <w:tc>
          <w:tcPr>
            <w:tcW w:w="993" w:type="dxa"/>
            <w:tcBorders>
              <w:bottom w:val="single" w:sz="4" w:space="0" w:color="auto"/>
            </w:tcBorders>
            <w:vAlign w:val="center"/>
          </w:tcPr>
          <w:p w14:paraId="23359BF9" w14:textId="77777777" w:rsidR="008A7319" w:rsidRPr="00BD6FCD" w:rsidRDefault="008A7319" w:rsidP="00BA3763">
            <w:pPr>
              <w:pStyle w:val="SingleTxtG"/>
              <w:ind w:left="0" w:right="0"/>
              <w:jc w:val="center"/>
              <w:rPr>
                <w:sz w:val="18"/>
                <w:szCs w:val="18"/>
              </w:rPr>
            </w:pPr>
            <w:r w:rsidRPr="00BD6FCD">
              <w:rPr>
                <w:sz w:val="18"/>
                <w:szCs w:val="18"/>
              </w:rPr>
              <w:t>Special provisions</w:t>
            </w:r>
          </w:p>
        </w:tc>
      </w:tr>
      <w:tr w:rsidR="00BD6FCD" w:rsidRPr="00BE2407" w14:paraId="37B20B52" w14:textId="77777777" w:rsidTr="00BD6FCD">
        <w:tc>
          <w:tcPr>
            <w:tcW w:w="709" w:type="dxa"/>
          </w:tcPr>
          <w:p w14:paraId="46398DA9" w14:textId="77777777" w:rsidR="008A7319" w:rsidRPr="00BD6FCD" w:rsidRDefault="008A7319" w:rsidP="00AC05A0">
            <w:pPr>
              <w:pStyle w:val="SingleTxtG"/>
              <w:keepNext/>
              <w:keepLines/>
              <w:ind w:left="0" w:right="19"/>
              <w:jc w:val="center"/>
              <w:rPr>
                <w:sz w:val="18"/>
                <w:szCs w:val="18"/>
              </w:rPr>
            </w:pPr>
            <w:r w:rsidRPr="00BD6FCD">
              <w:rPr>
                <w:sz w:val="18"/>
                <w:szCs w:val="18"/>
              </w:rPr>
              <w:t>(1)</w:t>
            </w:r>
          </w:p>
        </w:tc>
        <w:tc>
          <w:tcPr>
            <w:tcW w:w="1413" w:type="dxa"/>
          </w:tcPr>
          <w:p w14:paraId="28FC6483" w14:textId="77777777" w:rsidR="008A7319" w:rsidRPr="00BD6FCD" w:rsidRDefault="008A7319" w:rsidP="00AC05A0">
            <w:pPr>
              <w:pStyle w:val="SingleTxtG"/>
              <w:keepNext/>
              <w:keepLines/>
              <w:ind w:left="0" w:right="19"/>
              <w:jc w:val="center"/>
              <w:rPr>
                <w:sz w:val="18"/>
                <w:szCs w:val="18"/>
              </w:rPr>
            </w:pPr>
            <w:r w:rsidRPr="00BD6FCD">
              <w:rPr>
                <w:sz w:val="18"/>
                <w:szCs w:val="18"/>
              </w:rPr>
              <w:t>(2)</w:t>
            </w:r>
          </w:p>
        </w:tc>
        <w:tc>
          <w:tcPr>
            <w:tcW w:w="708" w:type="dxa"/>
          </w:tcPr>
          <w:p w14:paraId="75A8C071" w14:textId="77777777" w:rsidR="008A7319" w:rsidRPr="00BD6FCD" w:rsidRDefault="008A7319" w:rsidP="00BA3763">
            <w:pPr>
              <w:pStyle w:val="SingleTxtG"/>
              <w:ind w:left="0" w:right="19"/>
              <w:jc w:val="center"/>
              <w:rPr>
                <w:sz w:val="18"/>
                <w:szCs w:val="18"/>
              </w:rPr>
            </w:pPr>
            <w:r w:rsidRPr="00BD6FCD">
              <w:rPr>
                <w:sz w:val="18"/>
                <w:szCs w:val="18"/>
              </w:rPr>
              <w:t>(3)</w:t>
            </w:r>
          </w:p>
        </w:tc>
        <w:tc>
          <w:tcPr>
            <w:tcW w:w="993" w:type="dxa"/>
          </w:tcPr>
          <w:p w14:paraId="65EB9A7F" w14:textId="77777777" w:rsidR="008A7319" w:rsidRPr="00BD6FCD" w:rsidRDefault="008A7319" w:rsidP="00BA3763">
            <w:pPr>
              <w:pStyle w:val="SingleTxtG"/>
              <w:ind w:left="0" w:right="19"/>
              <w:jc w:val="center"/>
              <w:rPr>
                <w:sz w:val="18"/>
                <w:szCs w:val="18"/>
              </w:rPr>
            </w:pPr>
            <w:r w:rsidRPr="00BD6FCD">
              <w:rPr>
                <w:sz w:val="18"/>
                <w:szCs w:val="18"/>
              </w:rPr>
              <w:t>(4)</w:t>
            </w:r>
          </w:p>
        </w:tc>
        <w:tc>
          <w:tcPr>
            <w:tcW w:w="850" w:type="dxa"/>
          </w:tcPr>
          <w:p w14:paraId="1A92E643" w14:textId="77777777" w:rsidR="008A7319" w:rsidRPr="00BD6FCD" w:rsidRDefault="008A7319" w:rsidP="00BA3763">
            <w:pPr>
              <w:pStyle w:val="SingleTxtG"/>
              <w:ind w:left="0" w:right="19"/>
              <w:jc w:val="center"/>
              <w:rPr>
                <w:sz w:val="18"/>
                <w:szCs w:val="18"/>
              </w:rPr>
            </w:pPr>
            <w:r w:rsidRPr="00BD6FCD">
              <w:rPr>
                <w:sz w:val="18"/>
                <w:szCs w:val="18"/>
              </w:rPr>
              <w:t>(5)</w:t>
            </w:r>
          </w:p>
        </w:tc>
        <w:tc>
          <w:tcPr>
            <w:tcW w:w="992" w:type="dxa"/>
          </w:tcPr>
          <w:p w14:paraId="10984FF1" w14:textId="77777777" w:rsidR="008A7319" w:rsidRPr="00BD6FCD" w:rsidRDefault="008A7319" w:rsidP="00BA3763">
            <w:pPr>
              <w:pStyle w:val="SingleTxtG"/>
              <w:ind w:left="0" w:right="19"/>
              <w:jc w:val="center"/>
              <w:rPr>
                <w:sz w:val="18"/>
                <w:szCs w:val="18"/>
              </w:rPr>
            </w:pPr>
            <w:r w:rsidRPr="00BD6FCD">
              <w:rPr>
                <w:sz w:val="18"/>
                <w:szCs w:val="18"/>
              </w:rPr>
              <w:t>(6)</w:t>
            </w:r>
          </w:p>
        </w:tc>
        <w:tc>
          <w:tcPr>
            <w:tcW w:w="567" w:type="dxa"/>
          </w:tcPr>
          <w:p w14:paraId="3E3F7B7C" w14:textId="77777777" w:rsidR="008A7319" w:rsidRPr="00BD6FCD" w:rsidRDefault="008A7319" w:rsidP="00BA3763">
            <w:pPr>
              <w:pStyle w:val="SingleTxtG"/>
              <w:ind w:left="0" w:right="19"/>
              <w:jc w:val="center"/>
              <w:rPr>
                <w:sz w:val="18"/>
                <w:szCs w:val="18"/>
              </w:rPr>
            </w:pPr>
            <w:r w:rsidRPr="00BD6FCD">
              <w:rPr>
                <w:sz w:val="18"/>
                <w:szCs w:val="18"/>
              </w:rPr>
              <w:t>(7a)</w:t>
            </w:r>
          </w:p>
        </w:tc>
        <w:tc>
          <w:tcPr>
            <w:tcW w:w="567" w:type="dxa"/>
          </w:tcPr>
          <w:p w14:paraId="247120F6" w14:textId="77777777" w:rsidR="008A7319" w:rsidRPr="00BD6FCD" w:rsidRDefault="008A7319" w:rsidP="00BA3763">
            <w:pPr>
              <w:pStyle w:val="SingleTxtG"/>
              <w:ind w:left="0" w:right="19"/>
              <w:jc w:val="center"/>
              <w:rPr>
                <w:sz w:val="18"/>
                <w:szCs w:val="18"/>
              </w:rPr>
            </w:pPr>
            <w:r w:rsidRPr="00BD6FCD">
              <w:rPr>
                <w:sz w:val="18"/>
                <w:szCs w:val="18"/>
              </w:rPr>
              <w:t>(7b)</w:t>
            </w:r>
          </w:p>
        </w:tc>
        <w:tc>
          <w:tcPr>
            <w:tcW w:w="993" w:type="dxa"/>
          </w:tcPr>
          <w:p w14:paraId="230A39D6" w14:textId="77777777" w:rsidR="008A7319" w:rsidRPr="00BD6FCD" w:rsidRDefault="008A7319" w:rsidP="00BA3763">
            <w:pPr>
              <w:pStyle w:val="SingleTxtG"/>
              <w:ind w:left="0" w:right="19"/>
              <w:jc w:val="center"/>
              <w:rPr>
                <w:sz w:val="18"/>
                <w:szCs w:val="18"/>
              </w:rPr>
            </w:pPr>
            <w:r w:rsidRPr="00BD6FCD">
              <w:rPr>
                <w:sz w:val="18"/>
                <w:szCs w:val="18"/>
              </w:rPr>
              <w:t>(8)</w:t>
            </w:r>
          </w:p>
        </w:tc>
        <w:tc>
          <w:tcPr>
            <w:tcW w:w="992" w:type="dxa"/>
          </w:tcPr>
          <w:p w14:paraId="5A59909F" w14:textId="77777777" w:rsidR="008A7319" w:rsidRPr="00BD6FCD" w:rsidRDefault="008A7319" w:rsidP="00BA3763">
            <w:pPr>
              <w:pStyle w:val="SingleTxtG"/>
              <w:ind w:left="0" w:right="19"/>
              <w:jc w:val="center"/>
              <w:rPr>
                <w:sz w:val="18"/>
                <w:szCs w:val="18"/>
              </w:rPr>
            </w:pPr>
            <w:r w:rsidRPr="00BD6FCD">
              <w:rPr>
                <w:sz w:val="18"/>
                <w:szCs w:val="18"/>
              </w:rPr>
              <w:t>(9)</w:t>
            </w:r>
          </w:p>
        </w:tc>
        <w:tc>
          <w:tcPr>
            <w:tcW w:w="850" w:type="dxa"/>
          </w:tcPr>
          <w:p w14:paraId="390E0159" w14:textId="77777777" w:rsidR="008A7319" w:rsidRPr="00BD6FCD" w:rsidRDefault="008A7319" w:rsidP="00BA3763">
            <w:pPr>
              <w:pStyle w:val="SingleTxtG"/>
              <w:ind w:left="0" w:right="19"/>
              <w:jc w:val="center"/>
              <w:rPr>
                <w:sz w:val="18"/>
                <w:szCs w:val="18"/>
              </w:rPr>
            </w:pPr>
            <w:r w:rsidRPr="00BD6FCD">
              <w:rPr>
                <w:sz w:val="18"/>
                <w:szCs w:val="18"/>
              </w:rPr>
              <w:t>(10)</w:t>
            </w:r>
          </w:p>
        </w:tc>
        <w:tc>
          <w:tcPr>
            <w:tcW w:w="993" w:type="dxa"/>
          </w:tcPr>
          <w:p w14:paraId="69568826" w14:textId="77777777" w:rsidR="008A7319" w:rsidRPr="00BD6FCD" w:rsidRDefault="008A7319" w:rsidP="00BA3763">
            <w:pPr>
              <w:pStyle w:val="SingleTxtG"/>
              <w:ind w:left="0" w:right="19"/>
              <w:jc w:val="center"/>
              <w:rPr>
                <w:sz w:val="18"/>
                <w:szCs w:val="18"/>
              </w:rPr>
            </w:pPr>
            <w:r w:rsidRPr="00BD6FCD">
              <w:rPr>
                <w:sz w:val="18"/>
                <w:szCs w:val="18"/>
              </w:rPr>
              <w:t>(11)</w:t>
            </w:r>
          </w:p>
        </w:tc>
      </w:tr>
      <w:tr w:rsidR="00BD6FCD" w:rsidRPr="00BE2407" w14:paraId="49B89102" w14:textId="77777777" w:rsidTr="00BD6FCD">
        <w:tc>
          <w:tcPr>
            <w:tcW w:w="709" w:type="dxa"/>
          </w:tcPr>
          <w:p w14:paraId="446929BF" w14:textId="77777777" w:rsidR="008A7319" w:rsidRPr="00BD6FCD" w:rsidRDefault="008A7319" w:rsidP="00AC05A0">
            <w:pPr>
              <w:pStyle w:val="SingleTxtG"/>
              <w:keepNext/>
              <w:keepLines/>
              <w:ind w:left="-57" w:right="-57"/>
              <w:jc w:val="center"/>
              <w:rPr>
                <w:sz w:val="18"/>
                <w:szCs w:val="18"/>
                <w:u w:val="single"/>
                <w:lang w:eastAsia="zh-CN"/>
              </w:rPr>
            </w:pPr>
            <w:r w:rsidRPr="00BD6FCD">
              <w:rPr>
                <w:sz w:val="18"/>
                <w:szCs w:val="18"/>
                <w:u w:val="single"/>
                <w:lang w:eastAsia="zh-CN"/>
              </w:rPr>
              <w:t>XXXX</w:t>
            </w:r>
          </w:p>
        </w:tc>
        <w:tc>
          <w:tcPr>
            <w:tcW w:w="1413" w:type="dxa"/>
            <w:vAlign w:val="center"/>
          </w:tcPr>
          <w:p w14:paraId="11735FE1" w14:textId="77777777" w:rsidR="008A7319" w:rsidRPr="00BD6FCD" w:rsidRDefault="008A7319" w:rsidP="00AC05A0">
            <w:pPr>
              <w:pStyle w:val="SingleTxtG"/>
              <w:keepNext/>
              <w:keepLines/>
              <w:ind w:left="0" w:right="19"/>
              <w:jc w:val="left"/>
              <w:rPr>
                <w:sz w:val="18"/>
                <w:szCs w:val="18"/>
                <w:u w:val="single"/>
              </w:rPr>
            </w:pPr>
            <w:r w:rsidRPr="00BD6FCD">
              <w:rPr>
                <w:sz w:val="18"/>
                <w:szCs w:val="18"/>
                <w:u w:val="single"/>
              </w:rPr>
              <w:t>SODIUM ION BATTERIES INSTALLED IN CARGO TRANSPORT UNIT</w:t>
            </w:r>
            <w:r w:rsidRPr="00BD6FCD">
              <w:rPr>
                <w:sz w:val="18"/>
                <w:szCs w:val="18"/>
                <w:u w:val="single"/>
                <w:lang w:eastAsia="zh-CN"/>
              </w:rPr>
              <w:t xml:space="preserve"> </w:t>
            </w:r>
            <w:r w:rsidRPr="00BD6FCD">
              <w:rPr>
                <w:sz w:val="18"/>
                <w:szCs w:val="18"/>
                <w:u w:val="single"/>
              </w:rPr>
              <w:t xml:space="preserve">with organic electrolyte </w:t>
            </w:r>
          </w:p>
        </w:tc>
        <w:tc>
          <w:tcPr>
            <w:tcW w:w="708" w:type="dxa"/>
          </w:tcPr>
          <w:p w14:paraId="1231E5E6" w14:textId="77777777" w:rsidR="008A7319" w:rsidRPr="00BD6FCD" w:rsidRDefault="008A7319" w:rsidP="00BA3763">
            <w:pPr>
              <w:pStyle w:val="SingleTxtG"/>
              <w:ind w:left="0" w:right="19"/>
              <w:jc w:val="center"/>
              <w:rPr>
                <w:sz w:val="18"/>
                <w:szCs w:val="18"/>
                <w:u w:val="single"/>
              </w:rPr>
            </w:pPr>
            <w:r w:rsidRPr="00BD6FCD">
              <w:rPr>
                <w:sz w:val="18"/>
                <w:szCs w:val="18"/>
                <w:u w:val="single"/>
              </w:rPr>
              <w:t>9</w:t>
            </w:r>
          </w:p>
        </w:tc>
        <w:tc>
          <w:tcPr>
            <w:tcW w:w="993" w:type="dxa"/>
          </w:tcPr>
          <w:p w14:paraId="1F4D7403" w14:textId="77777777" w:rsidR="008A7319" w:rsidRPr="00BD6FCD" w:rsidRDefault="008A7319" w:rsidP="00BA3763">
            <w:pPr>
              <w:pStyle w:val="SingleTxtG"/>
              <w:ind w:left="0" w:right="19"/>
              <w:jc w:val="center"/>
              <w:rPr>
                <w:sz w:val="18"/>
                <w:szCs w:val="18"/>
                <w:u w:val="single"/>
              </w:rPr>
            </w:pPr>
          </w:p>
        </w:tc>
        <w:tc>
          <w:tcPr>
            <w:tcW w:w="850" w:type="dxa"/>
          </w:tcPr>
          <w:p w14:paraId="79684731" w14:textId="77777777" w:rsidR="008A7319" w:rsidRPr="00BD6FCD" w:rsidRDefault="008A7319" w:rsidP="00BA3763">
            <w:pPr>
              <w:pStyle w:val="SingleTxtG"/>
              <w:ind w:left="0" w:right="19"/>
              <w:jc w:val="center"/>
              <w:rPr>
                <w:sz w:val="18"/>
                <w:szCs w:val="18"/>
                <w:u w:val="single"/>
              </w:rPr>
            </w:pPr>
          </w:p>
        </w:tc>
        <w:tc>
          <w:tcPr>
            <w:tcW w:w="992" w:type="dxa"/>
          </w:tcPr>
          <w:p w14:paraId="3080142B" w14:textId="77777777" w:rsidR="008A7319" w:rsidRPr="00BD6FCD" w:rsidRDefault="008A7319" w:rsidP="00BA3763">
            <w:pPr>
              <w:pStyle w:val="SingleTxtG"/>
              <w:ind w:left="0" w:right="19"/>
              <w:jc w:val="center"/>
              <w:rPr>
                <w:sz w:val="18"/>
                <w:szCs w:val="18"/>
                <w:u w:val="single"/>
                <w:lang w:eastAsia="zh-CN"/>
              </w:rPr>
            </w:pPr>
            <w:r w:rsidRPr="00BD6FCD">
              <w:rPr>
                <w:sz w:val="18"/>
                <w:szCs w:val="18"/>
                <w:u w:val="single"/>
                <w:lang w:eastAsia="zh-CN"/>
              </w:rPr>
              <w:t>YYY</w:t>
            </w:r>
          </w:p>
          <w:p w14:paraId="3C9288B8" w14:textId="77777777" w:rsidR="008A7319" w:rsidRPr="00BD6FCD" w:rsidRDefault="008A7319" w:rsidP="00BA3763">
            <w:pPr>
              <w:pStyle w:val="SingleTxtG"/>
              <w:ind w:left="0" w:right="19"/>
              <w:jc w:val="center"/>
              <w:rPr>
                <w:color w:val="FF0000"/>
                <w:sz w:val="18"/>
                <w:szCs w:val="18"/>
                <w:u w:val="single"/>
                <w:lang w:eastAsia="zh-CN"/>
              </w:rPr>
            </w:pPr>
          </w:p>
        </w:tc>
        <w:tc>
          <w:tcPr>
            <w:tcW w:w="567" w:type="dxa"/>
          </w:tcPr>
          <w:p w14:paraId="5C93BF2D" w14:textId="77777777" w:rsidR="008A7319" w:rsidRPr="00BD6FCD" w:rsidRDefault="008A7319" w:rsidP="00BA3763">
            <w:pPr>
              <w:pStyle w:val="SingleTxtG"/>
              <w:ind w:left="0" w:right="19"/>
              <w:jc w:val="center"/>
              <w:rPr>
                <w:sz w:val="18"/>
                <w:szCs w:val="18"/>
                <w:u w:val="single"/>
              </w:rPr>
            </w:pPr>
            <w:r w:rsidRPr="00BD6FCD">
              <w:rPr>
                <w:sz w:val="18"/>
                <w:szCs w:val="18"/>
                <w:u w:val="single"/>
                <w:lang w:eastAsia="nb-NO"/>
              </w:rPr>
              <w:t>0</w:t>
            </w:r>
          </w:p>
        </w:tc>
        <w:tc>
          <w:tcPr>
            <w:tcW w:w="567" w:type="dxa"/>
          </w:tcPr>
          <w:p w14:paraId="2B1A145D" w14:textId="77777777" w:rsidR="008A7319" w:rsidRPr="00BD6FCD" w:rsidRDefault="008A7319" w:rsidP="00BA3763">
            <w:pPr>
              <w:pStyle w:val="SingleTxtG"/>
              <w:ind w:left="0" w:right="19"/>
              <w:jc w:val="center"/>
              <w:rPr>
                <w:sz w:val="18"/>
                <w:szCs w:val="18"/>
                <w:u w:val="single"/>
                <w:lang w:eastAsia="zh-CN"/>
              </w:rPr>
            </w:pPr>
            <w:r w:rsidRPr="00BD6FCD">
              <w:rPr>
                <w:sz w:val="18"/>
                <w:szCs w:val="18"/>
                <w:u w:val="single"/>
                <w:lang w:eastAsia="zh-CN"/>
              </w:rPr>
              <w:t>E0</w:t>
            </w:r>
          </w:p>
        </w:tc>
        <w:tc>
          <w:tcPr>
            <w:tcW w:w="993" w:type="dxa"/>
          </w:tcPr>
          <w:p w14:paraId="228C06A8" w14:textId="77777777" w:rsidR="008A7319" w:rsidRPr="00BD6FCD" w:rsidRDefault="008A7319" w:rsidP="00BA3763">
            <w:pPr>
              <w:pStyle w:val="SingleTxtG"/>
              <w:ind w:left="0" w:right="19"/>
              <w:jc w:val="center"/>
              <w:rPr>
                <w:sz w:val="18"/>
                <w:szCs w:val="18"/>
              </w:rPr>
            </w:pPr>
          </w:p>
        </w:tc>
        <w:tc>
          <w:tcPr>
            <w:tcW w:w="992" w:type="dxa"/>
          </w:tcPr>
          <w:p w14:paraId="70E830D2" w14:textId="77777777" w:rsidR="008A7319" w:rsidRPr="00BD6FCD" w:rsidRDefault="008A7319" w:rsidP="00BA3763">
            <w:pPr>
              <w:pStyle w:val="SingleTxtG"/>
              <w:ind w:left="0" w:right="19"/>
              <w:jc w:val="center"/>
              <w:rPr>
                <w:sz w:val="18"/>
                <w:szCs w:val="18"/>
              </w:rPr>
            </w:pPr>
          </w:p>
        </w:tc>
        <w:tc>
          <w:tcPr>
            <w:tcW w:w="850" w:type="dxa"/>
          </w:tcPr>
          <w:p w14:paraId="16A5E7AC" w14:textId="77777777" w:rsidR="008A7319" w:rsidRPr="00BD6FCD" w:rsidRDefault="008A7319" w:rsidP="00BA3763">
            <w:pPr>
              <w:pStyle w:val="SingleTxtG"/>
              <w:ind w:left="0" w:right="19"/>
              <w:jc w:val="center"/>
              <w:rPr>
                <w:sz w:val="18"/>
                <w:szCs w:val="18"/>
              </w:rPr>
            </w:pPr>
          </w:p>
        </w:tc>
        <w:tc>
          <w:tcPr>
            <w:tcW w:w="993" w:type="dxa"/>
          </w:tcPr>
          <w:p w14:paraId="75B55CDD" w14:textId="77777777" w:rsidR="008A7319" w:rsidRPr="00BD6FCD" w:rsidRDefault="008A7319" w:rsidP="00BA3763">
            <w:pPr>
              <w:pStyle w:val="SingleTxtG"/>
              <w:ind w:left="0" w:right="19"/>
              <w:jc w:val="center"/>
              <w:rPr>
                <w:sz w:val="18"/>
                <w:szCs w:val="18"/>
              </w:rPr>
            </w:pPr>
          </w:p>
        </w:tc>
      </w:tr>
    </w:tbl>
    <w:p w14:paraId="489FC3FB" w14:textId="77777777" w:rsidR="008A7319" w:rsidRPr="00BE2407" w:rsidRDefault="008A7319" w:rsidP="008A7319">
      <w:pPr>
        <w:pStyle w:val="SingleTxtG"/>
        <w:ind w:leftChars="856" w:left="1798" w:hangingChars="43" w:hanging="86"/>
        <w:rPr>
          <w:lang w:eastAsia="zh-CN"/>
        </w:rPr>
      </w:pPr>
    </w:p>
    <w:p w14:paraId="342E4E40" w14:textId="6F637B03" w:rsidR="008A7319" w:rsidRPr="00BE2407" w:rsidRDefault="00F63562" w:rsidP="00F63562">
      <w:pPr>
        <w:pStyle w:val="SingleTxtG"/>
        <w:ind w:left="2198" w:hanging="486"/>
        <w:rPr>
          <w:lang w:eastAsia="zh-CN"/>
        </w:rPr>
      </w:pPr>
      <w:r w:rsidRPr="00BE2407">
        <w:rPr>
          <w:lang w:eastAsia="zh-CN"/>
        </w:rPr>
        <w:t>(c)</w:t>
      </w:r>
      <w:r w:rsidRPr="00BE2407">
        <w:rPr>
          <w:lang w:eastAsia="zh-CN"/>
        </w:rPr>
        <w:tab/>
      </w:r>
      <w:r w:rsidR="008A7319" w:rsidRPr="00BE2407">
        <w:rPr>
          <w:lang w:eastAsia="zh-CN"/>
        </w:rPr>
        <w:t>At the end of special provision 360, insert “</w:t>
      </w:r>
      <w:r w:rsidR="008A7319" w:rsidRPr="00BE2407">
        <w:rPr>
          <w:u w:val="single"/>
          <w:lang w:eastAsia="zh-CN"/>
        </w:rPr>
        <w:t>Sodium ion batteries installed in cargo transport units with organic electrolyte, designed only to provide power external to the transport unit shall be assigned to entry UN XXXX SODIUM ION BATTERIES INSTALLED IN CARGO TRANSPORT UNIT with organic electrolyte.</w:t>
      </w:r>
      <w:r w:rsidR="008A7319" w:rsidRPr="00BE2407">
        <w:rPr>
          <w:lang w:eastAsia="zh-CN"/>
        </w:rPr>
        <w:t xml:space="preserve">”; </w:t>
      </w:r>
    </w:p>
    <w:p w14:paraId="6F7CAD76" w14:textId="0069A173" w:rsidR="008A7319" w:rsidRPr="00BE2407" w:rsidRDefault="00F63562" w:rsidP="00F63562">
      <w:pPr>
        <w:pStyle w:val="SingleTxtG"/>
        <w:ind w:left="2198" w:hanging="486"/>
        <w:rPr>
          <w:lang w:eastAsia="zh-CN"/>
        </w:rPr>
      </w:pPr>
      <w:r w:rsidRPr="00BE2407">
        <w:rPr>
          <w:lang w:eastAsia="zh-CN"/>
        </w:rPr>
        <w:t>(d)</w:t>
      </w:r>
      <w:r w:rsidRPr="00BE2407">
        <w:rPr>
          <w:lang w:eastAsia="zh-CN"/>
        </w:rPr>
        <w:tab/>
      </w:r>
      <w:r w:rsidR="008A7319" w:rsidRPr="00BE2407">
        <w:rPr>
          <w:lang w:eastAsia="zh-CN"/>
        </w:rPr>
        <w:t>In special provision 388, at the end of the seventh paragraph, insert</w:t>
      </w:r>
      <w:r w:rsidR="008A7319">
        <w:rPr>
          <w:lang w:eastAsia="zh-CN"/>
        </w:rPr>
        <w:t xml:space="preserve"> </w:t>
      </w:r>
      <w:r w:rsidR="008A7319" w:rsidRPr="00BE2407">
        <w:rPr>
          <w:lang w:eastAsia="zh-CN"/>
        </w:rPr>
        <w:t>“</w:t>
      </w:r>
      <w:r w:rsidR="008A7319" w:rsidRPr="00BE2407">
        <w:rPr>
          <w:u w:val="single"/>
          <w:lang w:eastAsia="zh-CN"/>
        </w:rPr>
        <w:t>Sodium ion batteries installed in a cargo transport unit with organic electrolyte and designed only to provide power external to the cargo transport unit shall be assigned to the entry UN XXXX SODIUM ION BATTERIES INSTALLED IN CARGO TRANSPORT UNIT with organic electrolyte.</w:t>
      </w:r>
      <w:r w:rsidR="008A7319" w:rsidRPr="00BE2407">
        <w:rPr>
          <w:lang w:eastAsia="zh-CN"/>
        </w:rPr>
        <w:t xml:space="preserve">”; </w:t>
      </w:r>
    </w:p>
    <w:p w14:paraId="1D177B42" w14:textId="5278D3FE" w:rsidR="008A7319" w:rsidRPr="00BE2407" w:rsidRDefault="00F63562" w:rsidP="00F63562">
      <w:pPr>
        <w:pStyle w:val="SingleTxtG"/>
        <w:ind w:left="2198" w:hanging="486"/>
        <w:rPr>
          <w:lang w:eastAsia="zh-CN"/>
        </w:rPr>
      </w:pPr>
      <w:r w:rsidRPr="00BE2407">
        <w:rPr>
          <w:lang w:eastAsia="zh-CN"/>
        </w:rPr>
        <w:t>(e)</w:t>
      </w:r>
      <w:r w:rsidRPr="00BE2407">
        <w:rPr>
          <w:lang w:eastAsia="zh-CN"/>
        </w:rPr>
        <w:tab/>
      </w:r>
      <w:r w:rsidR="008A7319" w:rsidRPr="00BE2407">
        <w:rPr>
          <w:lang w:eastAsia="zh-CN"/>
        </w:rPr>
        <w:t>Add a new special provision in chapter 3.3:</w:t>
      </w:r>
    </w:p>
    <w:p w14:paraId="28E06254" w14:textId="77777777" w:rsidR="008A7319" w:rsidRPr="00BE2407" w:rsidRDefault="008A7319" w:rsidP="008C4250">
      <w:pPr>
        <w:pStyle w:val="SingleTxtG"/>
        <w:ind w:leftChars="1099" w:left="2832" w:hangingChars="317" w:hanging="634"/>
        <w:rPr>
          <w:u w:val="single"/>
          <w:lang w:eastAsia="zh-CN"/>
        </w:rPr>
      </w:pPr>
      <w:r w:rsidRPr="00BE2407">
        <w:rPr>
          <w:lang w:eastAsia="zh-CN"/>
        </w:rPr>
        <w:t>“</w:t>
      </w:r>
      <w:r w:rsidRPr="00BE2407">
        <w:rPr>
          <w:u w:val="single"/>
          <w:lang w:eastAsia="zh-CN"/>
        </w:rPr>
        <w:t>YYY</w:t>
      </w:r>
      <w:r w:rsidRPr="00BE2407">
        <w:rPr>
          <w:u w:val="single"/>
          <w:lang w:eastAsia="zh-CN"/>
        </w:rPr>
        <w:tab/>
      </w:r>
      <w:r w:rsidRPr="00BE2407">
        <w:rPr>
          <w:u w:val="single"/>
          <w:lang w:eastAsia="zh-CN"/>
        </w:rPr>
        <w:tab/>
        <w:t>This entry only applies to sodium ion batteries installed in a cargo transport unit with organic electrolyte and designed only to provide power external to the cargo transport unit. The sodium ion batteries with organic electrolyte shall meet the requirements of 2.9.5 (a) to (f), and contain the necessary systems to prevent overcharge and over discharge between the batteries.</w:t>
      </w:r>
    </w:p>
    <w:p w14:paraId="4328F1B4" w14:textId="4B95BA28" w:rsidR="008A7319" w:rsidRPr="00BE2407" w:rsidRDefault="008A7319" w:rsidP="008C4250">
      <w:pPr>
        <w:pStyle w:val="SingleTxtG"/>
        <w:ind w:leftChars="1417" w:left="2834" w:firstLine="4"/>
        <w:rPr>
          <w:u w:val="single"/>
          <w:lang w:eastAsia="zh-CN"/>
        </w:rPr>
      </w:pPr>
      <w:r w:rsidRPr="00BE2407">
        <w:rPr>
          <w:u w:val="single"/>
          <w:lang w:eastAsia="zh-CN"/>
        </w:rPr>
        <w:t>The batteries shall be securely attached to the interior structure of the cargo transport unit (e.g., by means of placement in racks, cabinets, etc.) in such a manner as to prevent short circuits, accidental operation, and significant movement relative to the cargo transport unit under the shocks, loadings and vibrations normally incident to transport. Dangerous goods necessary for the safe and proper operation of the cargo transport unit (e.g. fire extinguishing systems and air conditioning systems), shall be properly secured to or installed in the cargo transport unit and are not otherwise subject to these Regulations. Dangerous goods not necessary for the safe and proper operation of the cargo transport unit shall not be transported within the cargo transport unit.</w:t>
      </w:r>
    </w:p>
    <w:p w14:paraId="14CD6148" w14:textId="77777777" w:rsidR="008A7319" w:rsidRPr="00BE2407" w:rsidRDefault="008A7319" w:rsidP="008C4250">
      <w:pPr>
        <w:pStyle w:val="SingleTxtG"/>
        <w:ind w:leftChars="1417" w:left="2834" w:firstLine="4"/>
        <w:rPr>
          <w:lang w:eastAsia="zh-CN"/>
        </w:rPr>
      </w:pPr>
      <w:r w:rsidRPr="00BE2407">
        <w:rPr>
          <w:u w:val="single"/>
          <w:lang w:eastAsia="zh-CN"/>
        </w:rPr>
        <w:t xml:space="preserve">The batteries inside the cargo transport unit are not subject to marking or labelling requirements. The cargo transport unit shall display the UN number in accordance with 5.3.2.1.2 and be </w:t>
      </w:r>
      <w:proofErr w:type="spellStart"/>
      <w:r w:rsidRPr="00BE2407">
        <w:rPr>
          <w:u w:val="single"/>
          <w:lang w:eastAsia="zh-CN"/>
        </w:rPr>
        <w:t>placarded</w:t>
      </w:r>
      <w:proofErr w:type="spellEnd"/>
      <w:r w:rsidRPr="00BE2407">
        <w:rPr>
          <w:u w:val="single"/>
          <w:lang w:eastAsia="zh-CN"/>
        </w:rPr>
        <w:t xml:space="preserve"> on two opposing sides in accordance with 5.3.1.1.2.</w:t>
      </w:r>
      <w:r w:rsidRPr="00BE2407">
        <w:rPr>
          <w:lang w:eastAsia="zh-CN"/>
        </w:rPr>
        <w:t>”</w:t>
      </w:r>
    </w:p>
    <w:p w14:paraId="2619C74C" w14:textId="2D23D395" w:rsidR="008A7319" w:rsidRPr="00BE2407" w:rsidRDefault="00F63562" w:rsidP="00F63562">
      <w:pPr>
        <w:pStyle w:val="SingleTxtG"/>
        <w:ind w:left="2222" w:hanging="510"/>
        <w:rPr>
          <w:sz w:val="21"/>
          <w:szCs w:val="22"/>
          <w:lang w:eastAsia="zh-CN"/>
        </w:rPr>
      </w:pPr>
      <w:r w:rsidRPr="00BE2407">
        <w:rPr>
          <w:sz w:val="21"/>
          <w:szCs w:val="22"/>
          <w:lang w:eastAsia="zh-CN"/>
        </w:rPr>
        <w:t>(f)</w:t>
      </w:r>
      <w:r w:rsidRPr="00BE2407">
        <w:rPr>
          <w:sz w:val="21"/>
          <w:szCs w:val="22"/>
          <w:lang w:eastAsia="zh-CN"/>
        </w:rPr>
        <w:tab/>
      </w:r>
      <w:r w:rsidR="008A7319" w:rsidRPr="00BE2407">
        <w:rPr>
          <w:sz w:val="21"/>
          <w:szCs w:val="22"/>
          <w:lang w:eastAsia="zh-CN"/>
        </w:rPr>
        <w:t xml:space="preserve"> In ALPHABETICAL INDEX OF SUBSTANCES AND ARTICLES, add “</w:t>
      </w:r>
      <w:r w:rsidR="008A7319" w:rsidRPr="00BE2407">
        <w:rPr>
          <w:sz w:val="21"/>
          <w:szCs w:val="22"/>
          <w:u w:val="single"/>
          <w:lang w:eastAsia="zh-CN"/>
        </w:rPr>
        <w:t>SODIUM ION BATTERIES INSTALLED IN CARGO TRANSPORT UNIT with organic electrolyte</w:t>
      </w:r>
      <w:r w:rsidR="008A7319" w:rsidRPr="00BE2407">
        <w:rPr>
          <w:sz w:val="21"/>
          <w:szCs w:val="22"/>
          <w:u w:val="single"/>
          <w:lang w:eastAsia="zh-CN"/>
        </w:rPr>
        <w:tab/>
        <w:t>9</w:t>
      </w:r>
      <w:r w:rsidR="008A7319" w:rsidRPr="00BE2407">
        <w:rPr>
          <w:sz w:val="21"/>
          <w:szCs w:val="22"/>
          <w:u w:val="single"/>
          <w:lang w:eastAsia="zh-CN"/>
        </w:rPr>
        <w:tab/>
        <w:t>XXXX</w:t>
      </w:r>
      <w:r w:rsidR="008A7319" w:rsidRPr="00BE2407">
        <w:rPr>
          <w:sz w:val="21"/>
          <w:szCs w:val="22"/>
          <w:lang w:eastAsia="zh-CN"/>
        </w:rPr>
        <w:t>” in alphabetical order.</w:t>
      </w:r>
    </w:p>
    <w:p w14:paraId="061835A6" w14:textId="3126C36E" w:rsidR="00D45103" w:rsidRPr="00F63562" w:rsidRDefault="00F63562" w:rsidP="008A7477">
      <w:pPr>
        <w:spacing w:before="120"/>
        <w:jc w:val="center"/>
        <w:rPr>
          <w:u w:val="single"/>
        </w:rPr>
      </w:pPr>
      <w:r>
        <w:rPr>
          <w:u w:val="single"/>
        </w:rPr>
        <w:tab/>
      </w:r>
      <w:r>
        <w:rPr>
          <w:u w:val="single"/>
        </w:rPr>
        <w:tab/>
      </w:r>
      <w:r>
        <w:rPr>
          <w:u w:val="single"/>
        </w:rPr>
        <w:tab/>
      </w:r>
    </w:p>
    <w:sectPr w:rsidR="00D45103" w:rsidRPr="00F63562" w:rsidSect="00B657A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167D" w14:textId="77777777" w:rsidR="0074768C" w:rsidRDefault="0074768C"/>
  </w:endnote>
  <w:endnote w:type="continuationSeparator" w:id="0">
    <w:p w14:paraId="7D65FA65" w14:textId="77777777" w:rsidR="0074768C" w:rsidRDefault="0074768C"/>
  </w:endnote>
  <w:endnote w:type="continuationNotice" w:id="1">
    <w:p w14:paraId="644DBB6D" w14:textId="77777777" w:rsidR="0074768C" w:rsidRDefault="0074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0EB1" w14:textId="77777777" w:rsidR="0074768C" w:rsidRPr="000B175B" w:rsidRDefault="0074768C" w:rsidP="000B175B">
      <w:pPr>
        <w:tabs>
          <w:tab w:val="right" w:pos="2155"/>
        </w:tabs>
        <w:spacing w:after="80"/>
        <w:ind w:left="680"/>
        <w:rPr>
          <w:u w:val="single"/>
        </w:rPr>
      </w:pPr>
      <w:r>
        <w:rPr>
          <w:u w:val="single"/>
        </w:rPr>
        <w:tab/>
      </w:r>
    </w:p>
  </w:footnote>
  <w:footnote w:type="continuationSeparator" w:id="0">
    <w:p w14:paraId="54DEB345" w14:textId="77777777" w:rsidR="0074768C" w:rsidRPr="00FC68B7" w:rsidRDefault="0074768C" w:rsidP="00FC68B7">
      <w:pPr>
        <w:tabs>
          <w:tab w:val="left" w:pos="2155"/>
        </w:tabs>
        <w:spacing w:after="80"/>
        <w:ind w:left="680"/>
        <w:rPr>
          <w:u w:val="single"/>
        </w:rPr>
      </w:pPr>
      <w:r>
        <w:rPr>
          <w:u w:val="single"/>
        </w:rPr>
        <w:tab/>
      </w:r>
    </w:p>
  </w:footnote>
  <w:footnote w:type="continuationNotice" w:id="1">
    <w:p w14:paraId="7FB1BA72" w14:textId="77777777" w:rsidR="0074768C" w:rsidRDefault="0074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5A27C0D3"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864759" w:rsidRPr="00A77A7E">
      <w:t>1</w:t>
    </w:r>
    <w:r w:rsidR="00F6356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65366F49" w:rsidR="006C0DC6" w:rsidRPr="0099001C" w:rsidRDefault="006C0DC6" w:rsidP="0099001C">
    <w:pPr>
      <w:pStyle w:val="Header"/>
      <w:jc w:val="right"/>
    </w:pPr>
    <w:r>
      <w:t>UN/SCE</w:t>
    </w:r>
    <w:r w:rsidR="00C01A22">
      <w:t>TDG</w:t>
    </w:r>
    <w:r>
      <w:t>/</w:t>
    </w:r>
    <w:r w:rsidR="00C83CA0">
      <w:t>62</w:t>
    </w:r>
    <w:r w:rsidR="00C07F9E">
      <w:t>/</w:t>
    </w:r>
    <w:r>
      <w:t>INF.</w:t>
    </w:r>
    <w:r w:rsidR="00864759">
      <w:t>1</w:t>
    </w:r>
    <w:r w:rsidR="006822E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98BF3C"/>
    <w:multiLevelType w:val="singleLevel"/>
    <w:tmpl w:val="1E864B72"/>
    <w:lvl w:ilvl="0">
      <w:start w:val="1"/>
      <w:numFmt w:val="lowerLetter"/>
      <w:lvlText w:val="(%1)"/>
      <w:lvlJc w:val="left"/>
      <w:rPr>
        <w:rFonts w:ascii="Times New Roman" w:eastAsia="Times New Roman" w:hAnsi="Times New Roman" w:cs="Times New Roman"/>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D5D6E"/>
    <w:multiLevelType w:val="hybridMultilevel"/>
    <w:tmpl w:val="03C63280"/>
    <w:lvl w:ilvl="0" w:tplc="E2C05DA0">
      <w:numFmt w:val="bullet"/>
      <w:lvlText w:val="-"/>
      <w:lvlJc w:val="left"/>
      <w:pPr>
        <w:ind w:left="2769" w:hanging="360"/>
      </w:pPr>
      <w:rPr>
        <w:rFonts w:ascii="Times New Roman" w:eastAsia="Times New Roman" w:hAnsi="Times New Roman" w:cs="Times New Roman" w:hint="default"/>
      </w:rPr>
    </w:lvl>
    <w:lvl w:ilvl="1" w:tplc="080C0003">
      <w:start w:val="1"/>
      <w:numFmt w:val="bullet"/>
      <w:lvlText w:val="o"/>
      <w:lvlJc w:val="left"/>
      <w:pPr>
        <w:ind w:left="2934" w:hanging="360"/>
      </w:pPr>
      <w:rPr>
        <w:rFonts w:ascii="Courier New" w:hAnsi="Courier New" w:cs="Courier New" w:hint="default"/>
      </w:rPr>
    </w:lvl>
    <w:lvl w:ilvl="2" w:tplc="080C0005">
      <w:start w:val="1"/>
      <w:numFmt w:val="bullet"/>
      <w:lvlText w:val=""/>
      <w:lvlJc w:val="left"/>
      <w:pPr>
        <w:ind w:left="3654" w:hanging="360"/>
      </w:pPr>
      <w:rPr>
        <w:rFonts w:ascii="Wingdings" w:hAnsi="Wingdings" w:hint="default"/>
      </w:rPr>
    </w:lvl>
    <w:lvl w:ilvl="3" w:tplc="080C0001" w:tentative="1">
      <w:start w:val="1"/>
      <w:numFmt w:val="bullet"/>
      <w:lvlText w:val=""/>
      <w:lvlJc w:val="left"/>
      <w:pPr>
        <w:ind w:left="4374" w:hanging="360"/>
      </w:pPr>
      <w:rPr>
        <w:rFonts w:ascii="Symbol" w:hAnsi="Symbol" w:hint="default"/>
      </w:rPr>
    </w:lvl>
    <w:lvl w:ilvl="4" w:tplc="080C0003" w:tentative="1">
      <w:start w:val="1"/>
      <w:numFmt w:val="bullet"/>
      <w:lvlText w:val="o"/>
      <w:lvlJc w:val="left"/>
      <w:pPr>
        <w:ind w:left="5094" w:hanging="360"/>
      </w:pPr>
      <w:rPr>
        <w:rFonts w:ascii="Courier New" w:hAnsi="Courier New" w:cs="Courier New" w:hint="default"/>
      </w:rPr>
    </w:lvl>
    <w:lvl w:ilvl="5" w:tplc="080C0005" w:tentative="1">
      <w:start w:val="1"/>
      <w:numFmt w:val="bullet"/>
      <w:lvlText w:val=""/>
      <w:lvlJc w:val="left"/>
      <w:pPr>
        <w:ind w:left="5814" w:hanging="360"/>
      </w:pPr>
      <w:rPr>
        <w:rFonts w:ascii="Wingdings" w:hAnsi="Wingdings" w:hint="default"/>
      </w:rPr>
    </w:lvl>
    <w:lvl w:ilvl="6" w:tplc="080C0001" w:tentative="1">
      <w:start w:val="1"/>
      <w:numFmt w:val="bullet"/>
      <w:lvlText w:val=""/>
      <w:lvlJc w:val="left"/>
      <w:pPr>
        <w:ind w:left="6534" w:hanging="360"/>
      </w:pPr>
      <w:rPr>
        <w:rFonts w:ascii="Symbol" w:hAnsi="Symbol" w:hint="default"/>
      </w:rPr>
    </w:lvl>
    <w:lvl w:ilvl="7" w:tplc="080C0003" w:tentative="1">
      <w:start w:val="1"/>
      <w:numFmt w:val="bullet"/>
      <w:lvlText w:val="o"/>
      <w:lvlJc w:val="left"/>
      <w:pPr>
        <w:ind w:left="7254" w:hanging="360"/>
      </w:pPr>
      <w:rPr>
        <w:rFonts w:ascii="Courier New" w:hAnsi="Courier New" w:cs="Courier New" w:hint="default"/>
      </w:rPr>
    </w:lvl>
    <w:lvl w:ilvl="8" w:tplc="080C0005" w:tentative="1">
      <w:start w:val="1"/>
      <w:numFmt w:val="bullet"/>
      <w:lvlText w:val=""/>
      <w:lvlJc w:val="left"/>
      <w:pPr>
        <w:ind w:left="7974" w:hanging="360"/>
      </w:pPr>
      <w:rPr>
        <w:rFonts w:ascii="Wingdings" w:hAnsi="Wingdings" w:hint="default"/>
      </w:rPr>
    </w:lvl>
  </w:abstractNum>
  <w:abstractNum w:abstractNumId="3" w15:restartNumberingAfterBreak="0">
    <w:nsid w:val="31386190"/>
    <w:multiLevelType w:val="multilevel"/>
    <w:tmpl w:val="09AC634E"/>
    <w:lvl w:ilvl="0">
      <w:start w:val="1"/>
      <w:numFmt w:val="decimal"/>
      <w:lvlText w:val="%1."/>
      <w:lvlJc w:val="left"/>
      <w:pPr>
        <w:ind w:left="1494" w:hanging="360"/>
      </w:pPr>
      <w:rPr>
        <w:rFonts w:hint="default"/>
        <w:b/>
      </w:rPr>
    </w:lvl>
    <w:lvl w:ilvl="1">
      <w:start w:val="1"/>
      <w:numFmt w:val="decimal"/>
      <w:isLgl/>
      <w:lvlText w:val="%1.%2"/>
      <w:lvlJc w:val="left"/>
      <w:pPr>
        <w:ind w:left="1854" w:hanging="36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2934" w:hanging="72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014" w:hanging="1080"/>
      </w:pPr>
      <w:rPr>
        <w:rFonts w:hint="default"/>
        <w:b/>
      </w:rPr>
    </w:lvl>
    <w:lvl w:ilvl="6">
      <w:start w:val="1"/>
      <w:numFmt w:val="decimal"/>
      <w:isLgl/>
      <w:lvlText w:val="%1.%2.%3.%4.%5.%6.%7"/>
      <w:lvlJc w:val="left"/>
      <w:pPr>
        <w:ind w:left="4734" w:hanging="1440"/>
      </w:pPr>
      <w:rPr>
        <w:rFonts w:hint="default"/>
        <w:b/>
      </w:rPr>
    </w:lvl>
    <w:lvl w:ilvl="7">
      <w:start w:val="1"/>
      <w:numFmt w:val="decimal"/>
      <w:isLgl/>
      <w:lvlText w:val="%1.%2.%3.%4.%5.%6.%7.%8"/>
      <w:lvlJc w:val="left"/>
      <w:pPr>
        <w:ind w:left="5094" w:hanging="1440"/>
      </w:pPr>
      <w:rPr>
        <w:rFonts w:hint="default"/>
        <w:b/>
      </w:rPr>
    </w:lvl>
    <w:lvl w:ilvl="8">
      <w:start w:val="1"/>
      <w:numFmt w:val="decimal"/>
      <w:isLgl/>
      <w:lvlText w:val="%1.%2.%3.%4.%5.%6.%7.%8.%9"/>
      <w:lvlJc w:val="left"/>
      <w:pPr>
        <w:ind w:left="5814" w:hanging="1800"/>
      </w:pPr>
      <w:rPr>
        <w:rFonts w:hint="default"/>
        <w:b/>
      </w:rPr>
    </w:lvl>
  </w:abstractNum>
  <w:abstractNum w:abstractNumId="4" w15:restartNumberingAfterBreak="0">
    <w:nsid w:val="3A2A29FC"/>
    <w:multiLevelType w:val="hybridMultilevel"/>
    <w:tmpl w:val="D15C66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3ACC7079"/>
    <w:multiLevelType w:val="multilevel"/>
    <w:tmpl w:val="29F4F05C"/>
    <w:lvl w:ilvl="0">
      <w:start w:val="3"/>
      <w:numFmt w:val="decimal"/>
      <w:lvlText w:val="%1"/>
      <w:lvlJc w:val="left"/>
      <w:pPr>
        <w:ind w:left="400" w:hanging="400"/>
      </w:pPr>
      <w:rPr>
        <w:rFonts w:hint="default"/>
      </w:rPr>
    </w:lvl>
    <w:lvl w:ilvl="1">
      <w:start w:val="7"/>
      <w:numFmt w:val="decimal"/>
      <w:lvlText w:val="%1.%2"/>
      <w:lvlJc w:val="left"/>
      <w:pPr>
        <w:ind w:left="683" w:hanging="4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3F9C0D17"/>
    <w:multiLevelType w:val="hybridMultilevel"/>
    <w:tmpl w:val="AF0CE0FC"/>
    <w:lvl w:ilvl="0" w:tplc="D7D468C8">
      <w:start w:val="1"/>
      <w:numFmt w:val="decimal"/>
      <w:lvlText w:val="%1."/>
      <w:lvlJc w:val="left"/>
      <w:pPr>
        <w:ind w:left="360" w:hanging="360"/>
      </w:pPr>
      <w:rPr>
        <w:b w:val="0"/>
        <w:bCs/>
        <w:color w:val="auto"/>
        <w:sz w:val="20"/>
        <w:szCs w:val="2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5810F8"/>
    <w:multiLevelType w:val="hybridMultilevel"/>
    <w:tmpl w:val="B9CC4F22"/>
    <w:lvl w:ilvl="0" w:tplc="D03407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FE405A"/>
    <w:multiLevelType w:val="hybridMultilevel"/>
    <w:tmpl w:val="08DE7CE6"/>
    <w:lvl w:ilvl="0" w:tplc="0407000F">
      <w:start w:val="1"/>
      <w:numFmt w:val="decimal"/>
      <w:lvlText w:val="%1."/>
      <w:lvlJc w:val="left"/>
      <w:pPr>
        <w:ind w:left="1854" w:hanging="360"/>
      </w:p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251390"/>
    <w:multiLevelType w:val="hybridMultilevel"/>
    <w:tmpl w:val="ACFE11F2"/>
    <w:lvl w:ilvl="0" w:tplc="3BB03842">
      <w:numFmt w:val="bullet"/>
      <w:lvlText w:val="-"/>
      <w:lvlJc w:val="left"/>
      <w:pPr>
        <w:ind w:left="1854" w:hanging="360"/>
      </w:pPr>
      <w:rPr>
        <w:rFonts w:ascii="Times New Roman" w:eastAsia="Times New Roman"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994792902">
    <w:abstractNumId w:val="1"/>
  </w:num>
  <w:num w:numId="2" w16cid:durableId="782774792">
    <w:abstractNumId w:val="9"/>
  </w:num>
  <w:num w:numId="3" w16cid:durableId="1062869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081875">
    <w:abstractNumId w:val="4"/>
  </w:num>
  <w:num w:numId="5" w16cid:durableId="867108052">
    <w:abstractNumId w:val="6"/>
  </w:num>
  <w:num w:numId="6" w16cid:durableId="262030483">
    <w:abstractNumId w:val="3"/>
  </w:num>
  <w:num w:numId="7" w16cid:durableId="72359373">
    <w:abstractNumId w:val="2"/>
  </w:num>
  <w:num w:numId="8" w16cid:durableId="192770812">
    <w:abstractNumId w:val="7"/>
  </w:num>
  <w:num w:numId="9" w16cid:durableId="1153331484">
    <w:abstractNumId w:val="5"/>
  </w:num>
  <w:num w:numId="10" w16cid:durableId="1933587680">
    <w:abstractNumId w:val="10"/>
  </w:num>
  <w:num w:numId="11" w16cid:durableId="7076084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126D2"/>
    <w:rsid w:val="00012767"/>
    <w:rsid w:val="000137FF"/>
    <w:rsid w:val="00013D99"/>
    <w:rsid w:val="000170CB"/>
    <w:rsid w:val="000204EA"/>
    <w:rsid w:val="0002214E"/>
    <w:rsid w:val="00025C33"/>
    <w:rsid w:val="0003123C"/>
    <w:rsid w:val="00031CBB"/>
    <w:rsid w:val="00033B3D"/>
    <w:rsid w:val="00034E80"/>
    <w:rsid w:val="00042858"/>
    <w:rsid w:val="00042DC9"/>
    <w:rsid w:val="00043E1A"/>
    <w:rsid w:val="0004433E"/>
    <w:rsid w:val="000448F5"/>
    <w:rsid w:val="00050F6B"/>
    <w:rsid w:val="00051214"/>
    <w:rsid w:val="00052AC5"/>
    <w:rsid w:val="00054C58"/>
    <w:rsid w:val="00055014"/>
    <w:rsid w:val="0005512E"/>
    <w:rsid w:val="00056270"/>
    <w:rsid w:val="00057F51"/>
    <w:rsid w:val="000604EC"/>
    <w:rsid w:val="000609DB"/>
    <w:rsid w:val="0006446B"/>
    <w:rsid w:val="000668CB"/>
    <w:rsid w:val="0006754E"/>
    <w:rsid w:val="000723E7"/>
    <w:rsid w:val="00072C8C"/>
    <w:rsid w:val="00076279"/>
    <w:rsid w:val="00076E62"/>
    <w:rsid w:val="000778B2"/>
    <w:rsid w:val="000803B3"/>
    <w:rsid w:val="00081647"/>
    <w:rsid w:val="00081F44"/>
    <w:rsid w:val="00083694"/>
    <w:rsid w:val="00083C33"/>
    <w:rsid w:val="000877CA"/>
    <w:rsid w:val="00090A51"/>
    <w:rsid w:val="000931C0"/>
    <w:rsid w:val="0009390A"/>
    <w:rsid w:val="0009481C"/>
    <w:rsid w:val="00096CD4"/>
    <w:rsid w:val="000A0664"/>
    <w:rsid w:val="000A0F8C"/>
    <w:rsid w:val="000A18E8"/>
    <w:rsid w:val="000A22EE"/>
    <w:rsid w:val="000A2372"/>
    <w:rsid w:val="000A3E88"/>
    <w:rsid w:val="000A5146"/>
    <w:rsid w:val="000B175B"/>
    <w:rsid w:val="000B3A0F"/>
    <w:rsid w:val="000B4AAF"/>
    <w:rsid w:val="000B4C96"/>
    <w:rsid w:val="000C0C81"/>
    <w:rsid w:val="000C0CCF"/>
    <w:rsid w:val="000C1589"/>
    <w:rsid w:val="000C25B7"/>
    <w:rsid w:val="000C38D0"/>
    <w:rsid w:val="000C5B0B"/>
    <w:rsid w:val="000C6544"/>
    <w:rsid w:val="000C6A00"/>
    <w:rsid w:val="000D14AA"/>
    <w:rsid w:val="000D191F"/>
    <w:rsid w:val="000D39F8"/>
    <w:rsid w:val="000D3B0C"/>
    <w:rsid w:val="000D6604"/>
    <w:rsid w:val="000D7DB6"/>
    <w:rsid w:val="000E0415"/>
    <w:rsid w:val="000E0B46"/>
    <w:rsid w:val="000E1ED2"/>
    <w:rsid w:val="000E45CC"/>
    <w:rsid w:val="000E51CE"/>
    <w:rsid w:val="000E66BC"/>
    <w:rsid w:val="000F2CE1"/>
    <w:rsid w:val="000F368C"/>
    <w:rsid w:val="000F3DDC"/>
    <w:rsid w:val="000F6C7B"/>
    <w:rsid w:val="001007F0"/>
    <w:rsid w:val="00100A9D"/>
    <w:rsid w:val="00102373"/>
    <w:rsid w:val="001035FB"/>
    <w:rsid w:val="00107042"/>
    <w:rsid w:val="00110386"/>
    <w:rsid w:val="0011098D"/>
    <w:rsid w:val="00110DF6"/>
    <w:rsid w:val="00111F3F"/>
    <w:rsid w:val="0011793B"/>
    <w:rsid w:val="00120412"/>
    <w:rsid w:val="001220B8"/>
    <w:rsid w:val="001235BE"/>
    <w:rsid w:val="00123D08"/>
    <w:rsid w:val="001240C5"/>
    <w:rsid w:val="00126AA6"/>
    <w:rsid w:val="0013106B"/>
    <w:rsid w:val="00132EE2"/>
    <w:rsid w:val="0013397C"/>
    <w:rsid w:val="00134971"/>
    <w:rsid w:val="001362CB"/>
    <w:rsid w:val="0013641F"/>
    <w:rsid w:val="001373F3"/>
    <w:rsid w:val="00137D36"/>
    <w:rsid w:val="001413E6"/>
    <w:rsid w:val="00144078"/>
    <w:rsid w:val="001547CA"/>
    <w:rsid w:val="00156F3C"/>
    <w:rsid w:val="001608BE"/>
    <w:rsid w:val="00162389"/>
    <w:rsid w:val="00162BF7"/>
    <w:rsid w:val="00163012"/>
    <w:rsid w:val="00163D0D"/>
    <w:rsid w:val="00165823"/>
    <w:rsid w:val="0016583F"/>
    <w:rsid w:val="001661FA"/>
    <w:rsid w:val="00172643"/>
    <w:rsid w:val="00172AF7"/>
    <w:rsid w:val="00175196"/>
    <w:rsid w:val="00177B5E"/>
    <w:rsid w:val="001806E6"/>
    <w:rsid w:val="00184ED4"/>
    <w:rsid w:val="00190AEA"/>
    <w:rsid w:val="001913D8"/>
    <w:rsid w:val="001968A3"/>
    <w:rsid w:val="00196CD0"/>
    <w:rsid w:val="001A1B3F"/>
    <w:rsid w:val="001A289F"/>
    <w:rsid w:val="001A2C53"/>
    <w:rsid w:val="001A3CE1"/>
    <w:rsid w:val="001A42F3"/>
    <w:rsid w:val="001A6CE5"/>
    <w:rsid w:val="001B1308"/>
    <w:rsid w:val="001B1F42"/>
    <w:rsid w:val="001B4B04"/>
    <w:rsid w:val="001B7FE6"/>
    <w:rsid w:val="001C0BFF"/>
    <w:rsid w:val="001C6663"/>
    <w:rsid w:val="001C7895"/>
    <w:rsid w:val="001D1E09"/>
    <w:rsid w:val="001D1E2A"/>
    <w:rsid w:val="001D26DF"/>
    <w:rsid w:val="001D5B87"/>
    <w:rsid w:val="001D6D9F"/>
    <w:rsid w:val="001E47FD"/>
    <w:rsid w:val="001E4C75"/>
    <w:rsid w:val="001E58EE"/>
    <w:rsid w:val="001E5A79"/>
    <w:rsid w:val="001E710B"/>
    <w:rsid w:val="001F20EB"/>
    <w:rsid w:val="001F3237"/>
    <w:rsid w:val="00205370"/>
    <w:rsid w:val="00206DE0"/>
    <w:rsid w:val="00207368"/>
    <w:rsid w:val="0021004F"/>
    <w:rsid w:val="00211ADF"/>
    <w:rsid w:val="00211D0D"/>
    <w:rsid w:val="00211E0B"/>
    <w:rsid w:val="0021247E"/>
    <w:rsid w:val="00214734"/>
    <w:rsid w:val="00220F34"/>
    <w:rsid w:val="00222983"/>
    <w:rsid w:val="00226D5F"/>
    <w:rsid w:val="00226D9D"/>
    <w:rsid w:val="00234380"/>
    <w:rsid w:val="002348F4"/>
    <w:rsid w:val="0023564D"/>
    <w:rsid w:val="00236E81"/>
    <w:rsid w:val="002401EF"/>
    <w:rsid w:val="00240479"/>
    <w:rsid w:val="002405A7"/>
    <w:rsid w:val="00244673"/>
    <w:rsid w:val="00245A12"/>
    <w:rsid w:val="00245F5C"/>
    <w:rsid w:val="0024624B"/>
    <w:rsid w:val="002505DA"/>
    <w:rsid w:val="0025679D"/>
    <w:rsid w:val="002570BC"/>
    <w:rsid w:val="00257E45"/>
    <w:rsid w:val="00260792"/>
    <w:rsid w:val="002615FA"/>
    <w:rsid w:val="00262488"/>
    <w:rsid w:val="00263372"/>
    <w:rsid w:val="00263951"/>
    <w:rsid w:val="00265671"/>
    <w:rsid w:val="00266898"/>
    <w:rsid w:val="0027313E"/>
    <w:rsid w:val="00275D77"/>
    <w:rsid w:val="002772D1"/>
    <w:rsid w:val="00284A54"/>
    <w:rsid w:val="00285613"/>
    <w:rsid w:val="00286659"/>
    <w:rsid w:val="00290ADF"/>
    <w:rsid w:val="00296DEC"/>
    <w:rsid w:val="002A26BE"/>
    <w:rsid w:val="002A4DFC"/>
    <w:rsid w:val="002A537C"/>
    <w:rsid w:val="002A5947"/>
    <w:rsid w:val="002A5A2D"/>
    <w:rsid w:val="002A7047"/>
    <w:rsid w:val="002B079A"/>
    <w:rsid w:val="002B1E40"/>
    <w:rsid w:val="002B3993"/>
    <w:rsid w:val="002B4916"/>
    <w:rsid w:val="002B66EE"/>
    <w:rsid w:val="002B670E"/>
    <w:rsid w:val="002B6A44"/>
    <w:rsid w:val="002C133E"/>
    <w:rsid w:val="002C1386"/>
    <w:rsid w:val="002C21E5"/>
    <w:rsid w:val="002C22EC"/>
    <w:rsid w:val="002C267E"/>
    <w:rsid w:val="002C347A"/>
    <w:rsid w:val="002C710D"/>
    <w:rsid w:val="002D14CB"/>
    <w:rsid w:val="002D4449"/>
    <w:rsid w:val="002D59D3"/>
    <w:rsid w:val="002E0624"/>
    <w:rsid w:val="002E08AE"/>
    <w:rsid w:val="002E6284"/>
    <w:rsid w:val="002E716A"/>
    <w:rsid w:val="002E7C49"/>
    <w:rsid w:val="002F1024"/>
    <w:rsid w:val="002F1089"/>
    <w:rsid w:val="002F247E"/>
    <w:rsid w:val="002F3DFA"/>
    <w:rsid w:val="002F793D"/>
    <w:rsid w:val="002F7D86"/>
    <w:rsid w:val="00305C3C"/>
    <w:rsid w:val="003073F4"/>
    <w:rsid w:val="003107FA"/>
    <w:rsid w:val="003118D4"/>
    <w:rsid w:val="003127A2"/>
    <w:rsid w:val="00313239"/>
    <w:rsid w:val="003140CE"/>
    <w:rsid w:val="00316807"/>
    <w:rsid w:val="00316C4E"/>
    <w:rsid w:val="003171BC"/>
    <w:rsid w:val="00320D6F"/>
    <w:rsid w:val="003217B0"/>
    <w:rsid w:val="00321878"/>
    <w:rsid w:val="003229D8"/>
    <w:rsid w:val="00323004"/>
    <w:rsid w:val="00323B61"/>
    <w:rsid w:val="0032442E"/>
    <w:rsid w:val="0032489E"/>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6381"/>
    <w:rsid w:val="00350692"/>
    <w:rsid w:val="003506B8"/>
    <w:rsid w:val="00351974"/>
    <w:rsid w:val="00352E14"/>
    <w:rsid w:val="00353DBA"/>
    <w:rsid w:val="003565E5"/>
    <w:rsid w:val="00360834"/>
    <w:rsid w:val="0036192E"/>
    <w:rsid w:val="00363EAF"/>
    <w:rsid w:val="00364E58"/>
    <w:rsid w:val="00366CA7"/>
    <w:rsid w:val="0037088A"/>
    <w:rsid w:val="0037249C"/>
    <w:rsid w:val="00372AA1"/>
    <w:rsid w:val="00373BDC"/>
    <w:rsid w:val="003769FF"/>
    <w:rsid w:val="003819B1"/>
    <w:rsid w:val="0038414C"/>
    <w:rsid w:val="003841B8"/>
    <w:rsid w:val="00385DF6"/>
    <w:rsid w:val="003864F3"/>
    <w:rsid w:val="0038656E"/>
    <w:rsid w:val="00387A81"/>
    <w:rsid w:val="00390529"/>
    <w:rsid w:val="00392174"/>
    <w:rsid w:val="0039277A"/>
    <w:rsid w:val="00393753"/>
    <w:rsid w:val="003937A6"/>
    <w:rsid w:val="0039574B"/>
    <w:rsid w:val="003972E0"/>
    <w:rsid w:val="003A26B0"/>
    <w:rsid w:val="003A402E"/>
    <w:rsid w:val="003A4B23"/>
    <w:rsid w:val="003A5D05"/>
    <w:rsid w:val="003B14B9"/>
    <w:rsid w:val="003B232F"/>
    <w:rsid w:val="003B39CC"/>
    <w:rsid w:val="003B5C5C"/>
    <w:rsid w:val="003B7321"/>
    <w:rsid w:val="003B7434"/>
    <w:rsid w:val="003C278A"/>
    <w:rsid w:val="003C2CC4"/>
    <w:rsid w:val="003C32AD"/>
    <w:rsid w:val="003C3936"/>
    <w:rsid w:val="003C4B7F"/>
    <w:rsid w:val="003C7292"/>
    <w:rsid w:val="003C72DD"/>
    <w:rsid w:val="003D02C2"/>
    <w:rsid w:val="003D1EA9"/>
    <w:rsid w:val="003D4B23"/>
    <w:rsid w:val="003D621B"/>
    <w:rsid w:val="003D7BE7"/>
    <w:rsid w:val="003E117E"/>
    <w:rsid w:val="003E1216"/>
    <w:rsid w:val="003E1B5B"/>
    <w:rsid w:val="003E351E"/>
    <w:rsid w:val="003F0752"/>
    <w:rsid w:val="003F144C"/>
    <w:rsid w:val="003F18A0"/>
    <w:rsid w:val="003F1ED3"/>
    <w:rsid w:val="003F29E4"/>
    <w:rsid w:val="003F4CBA"/>
    <w:rsid w:val="003F5048"/>
    <w:rsid w:val="003F5E77"/>
    <w:rsid w:val="003F668F"/>
    <w:rsid w:val="003F6DAE"/>
    <w:rsid w:val="003F7973"/>
    <w:rsid w:val="003F7A75"/>
    <w:rsid w:val="00401917"/>
    <w:rsid w:val="00405396"/>
    <w:rsid w:val="0040598C"/>
    <w:rsid w:val="00405B36"/>
    <w:rsid w:val="00406BC0"/>
    <w:rsid w:val="00410733"/>
    <w:rsid w:val="00412844"/>
    <w:rsid w:val="00415CD3"/>
    <w:rsid w:val="004160C6"/>
    <w:rsid w:val="004160EA"/>
    <w:rsid w:val="004206EC"/>
    <w:rsid w:val="004230C0"/>
    <w:rsid w:val="0042588C"/>
    <w:rsid w:val="00426C3A"/>
    <w:rsid w:val="00426C9C"/>
    <w:rsid w:val="00431377"/>
    <w:rsid w:val="00431C5B"/>
    <w:rsid w:val="00431EFF"/>
    <w:rsid w:val="004325CB"/>
    <w:rsid w:val="0043783F"/>
    <w:rsid w:val="00437EFC"/>
    <w:rsid w:val="00440258"/>
    <w:rsid w:val="00440DC8"/>
    <w:rsid w:val="0044151A"/>
    <w:rsid w:val="00441D9D"/>
    <w:rsid w:val="004458CC"/>
    <w:rsid w:val="00446DE4"/>
    <w:rsid w:val="00451562"/>
    <w:rsid w:val="00452766"/>
    <w:rsid w:val="0045333F"/>
    <w:rsid w:val="00455859"/>
    <w:rsid w:val="00455DB6"/>
    <w:rsid w:val="00457B08"/>
    <w:rsid w:val="00460DD9"/>
    <w:rsid w:val="0046228F"/>
    <w:rsid w:val="00462C6B"/>
    <w:rsid w:val="00466986"/>
    <w:rsid w:val="0046790F"/>
    <w:rsid w:val="00467927"/>
    <w:rsid w:val="00467C48"/>
    <w:rsid w:val="0047074F"/>
    <w:rsid w:val="004750BF"/>
    <w:rsid w:val="004750F2"/>
    <w:rsid w:val="004774B9"/>
    <w:rsid w:val="0048291A"/>
    <w:rsid w:val="004901B7"/>
    <w:rsid w:val="0049119A"/>
    <w:rsid w:val="0049427E"/>
    <w:rsid w:val="00494847"/>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707C"/>
    <w:rsid w:val="004A7239"/>
    <w:rsid w:val="004B0E57"/>
    <w:rsid w:val="004B2DC9"/>
    <w:rsid w:val="004B6733"/>
    <w:rsid w:val="004C012B"/>
    <w:rsid w:val="004C4CD5"/>
    <w:rsid w:val="004C7AF7"/>
    <w:rsid w:val="004D16C5"/>
    <w:rsid w:val="004D40EA"/>
    <w:rsid w:val="004D5A7E"/>
    <w:rsid w:val="004D5CB2"/>
    <w:rsid w:val="004D6E91"/>
    <w:rsid w:val="004D7EFA"/>
    <w:rsid w:val="004E09B1"/>
    <w:rsid w:val="004E3926"/>
    <w:rsid w:val="004E4625"/>
    <w:rsid w:val="004E478E"/>
    <w:rsid w:val="004E5083"/>
    <w:rsid w:val="004E6690"/>
    <w:rsid w:val="004E674C"/>
    <w:rsid w:val="004E76F6"/>
    <w:rsid w:val="004E7DE6"/>
    <w:rsid w:val="004F1932"/>
    <w:rsid w:val="004F3C20"/>
    <w:rsid w:val="004F43E6"/>
    <w:rsid w:val="004F4B24"/>
    <w:rsid w:val="004F65C1"/>
    <w:rsid w:val="00501115"/>
    <w:rsid w:val="00501D18"/>
    <w:rsid w:val="00503228"/>
    <w:rsid w:val="00503516"/>
    <w:rsid w:val="00505384"/>
    <w:rsid w:val="0051049E"/>
    <w:rsid w:val="00515387"/>
    <w:rsid w:val="00515AB9"/>
    <w:rsid w:val="00516318"/>
    <w:rsid w:val="0051748D"/>
    <w:rsid w:val="00517A1B"/>
    <w:rsid w:val="00521E28"/>
    <w:rsid w:val="00525275"/>
    <w:rsid w:val="0052543F"/>
    <w:rsid w:val="005255CD"/>
    <w:rsid w:val="00526E8A"/>
    <w:rsid w:val="00527173"/>
    <w:rsid w:val="00532EF8"/>
    <w:rsid w:val="005356FB"/>
    <w:rsid w:val="00537DE9"/>
    <w:rsid w:val="00540DD6"/>
    <w:rsid w:val="005420F2"/>
    <w:rsid w:val="005433C8"/>
    <w:rsid w:val="005441FE"/>
    <w:rsid w:val="00545150"/>
    <w:rsid w:val="00545F1A"/>
    <w:rsid w:val="005504B6"/>
    <w:rsid w:val="00551AB9"/>
    <w:rsid w:val="00551FC6"/>
    <w:rsid w:val="00553222"/>
    <w:rsid w:val="00554D1D"/>
    <w:rsid w:val="00562548"/>
    <w:rsid w:val="00562694"/>
    <w:rsid w:val="00564193"/>
    <w:rsid w:val="00564EC3"/>
    <w:rsid w:val="00565F03"/>
    <w:rsid w:val="0056627E"/>
    <w:rsid w:val="005664D0"/>
    <w:rsid w:val="00567BC7"/>
    <w:rsid w:val="0057024D"/>
    <w:rsid w:val="00570364"/>
    <w:rsid w:val="00570CC4"/>
    <w:rsid w:val="00571FB2"/>
    <w:rsid w:val="005725E4"/>
    <w:rsid w:val="00572B36"/>
    <w:rsid w:val="0057476B"/>
    <w:rsid w:val="00575F30"/>
    <w:rsid w:val="005777F3"/>
    <w:rsid w:val="00577EE1"/>
    <w:rsid w:val="00580000"/>
    <w:rsid w:val="0058529D"/>
    <w:rsid w:val="00585897"/>
    <w:rsid w:val="00585A18"/>
    <w:rsid w:val="00586F4A"/>
    <w:rsid w:val="005900D3"/>
    <w:rsid w:val="00592D34"/>
    <w:rsid w:val="00592FDB"/>
    <w:rsid w:val="00593CED"/>
    <w:rsid w:val="00597743"/>
    <w:rsid w:val="005A0344"/>
    <w:rsid w:val="005A0903"/>
    <w:rsid w:val="005A1E22"/>
    <w:rsid w:val="005A1FCA"/>
    <w:rsid w:val="005A23B7"/>
    <w:rsid w:val="005A503C"/>
    <w:rsid w:val="005A73F2"/>
    <w:rsid w:val="005A79B8"/>
    <w:rsid w:val="005B054C"/>
    <w:rsid w:val="005B1390"/>
    <w:rsid w:val="005B1B47"/>
    <w:rsid w:val="005B1F1B"/>
    <w:rsid w:val="005B1F57"/>
    <w:rsid w:val="005B2C89"/>
    <w:rsid w:val="005B2F2E"/>
    <w:rsid w:val="005B3DB3"/>
    <w:rsid w:val="005B408C"/>
    <w:rsid w:val="005B5BFD"/>
    <w:rsid w:val="005B7D9A"/>
    <w:rsid w:val="005B7DB1"/>
    <w:rsid w:val="005C185C"/>
    <w:rsid w:val="005C22AD"/>
    <w:rsid w:val="005C4858"/>
    <w:rsid w:val="005C4B74"/>
    <w:rsid w:val="005C53DB"/>
    <w:rsid w:val="005C7453"/>
    <w:rsid w:val="005D33AB"/>
    <w:rsid w:val="005D425A"/>
    <w:rsid w:val="005D4725"/>
    <w:rsid w:val="005D4B75"/>
    <w:rsid w:val="005D529D"/>
    <w:rsid w:val="005E1401"/>
    <w:rsid w:val="005E27AB"/>
    <w:rsid w:val="005E3329"/>
    <w:rsid w:val="005E37E7"/>
    <w:rsid w:val="005E46D3"/>
    <w:rsid w:val="005E667D"/>
    <w:rsid w:val="005E743D"/>
    <w:rsid w:val="005F2648"/>
    <w:rsid w:val="005F6E92"/>
    <w:rsid w:val="00600487"/>
    <w:rsid w:val="006022FB"/>
    <w:rsid w:val="00602EE8"/>
    <w:rsid w:val="00602FF5"/>
    <w:rsid w:val="006034C6"/>
    <w:rsid w:val="00603E59"/>
    <w:rsid w:val="00605576"/>
    <w:rsid w:val="006055EE"/>
    <w:rsid w:val="00606679"/>
    <w:rsid w:val="0061125F"/>
    <w:rsid w:val="00611FC4"/>
    <w:rsid w:val="006133E0"/>
    <w:rsid w:val="006176FB"/>
    <w:rsid w:val="006218CD"/>
    <w:rsid w:val="00623353"/>
    <w:rsid w:val="006241C1"/>
    <w:rsid w:val="00624260"/>
    <w:rsid w:val="00626A24"/>
    <w:rsid w:val="0062753C"/>
    <w:rsid w:val="00627ED0"/>
    <w:rsid w:val="00633ED0"/>
    <w:rsid w:val="00634702"/>
    <w:rsid w:val="00640B26"/>
    <w:rsid w:val="00640FD5"/>
    <w:rsid w:val="00641F8E"/>
    <w:rsid w:val="00642000"/>
    <w:rsid w:val="00642B1E"/>
    <w:rsid w:val="006435B3"/>
    <w:rsid w:val="00643E18"/>
    <w:rsid w:val="0064479D"/>
    <w:rsid w:val="00651B40"/>
    <w:rsid w:val="006545BA"/>
    <w:rsid w:val="00655B27"/>
    <w:rsid w:val="00660D97"/>
    <w:rsid w:val="00661F7A"/>
    <w:rsid w:val="006632CE"/>
    <w:rsid w:val="00665595"/>
    <w:rsid w:val="006666F6"/>
    <w:rsid w:val="006743E5"/>
    <w:rsid w:val="00676886"/>
    <w:rsid w:val="0068043C"/>
    <w:rsid w:val="006822E7"/>
    <w:rsid w:val="00682F59"/>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6EE8"/>
    <w:rsid w:val="006A7392"/>
    <w:rsid w:val="006A7757"/>
    <w:rsid w:val="006B0029"/>
    <w:rsid w:val="006B2C0F"/>
    <w:rsid w:val="006B4842"/>
    <w:rsid w:val="006B4E5D"/>
    <w:rsid w:val="006B533E"/>
    <w:rsid w:val="006B5E68"/>
    <w:rsid w:val="006B61A3"/>
    <w:rsid w:val="006B761B"/>
    <w:rsid w:val="006B79E3"/>
    <w:rsid w:val="006B7E03"/>
    <w:rsid w:val="006C0DC6"/>
    <w:rsid w:val="006C241B"/>
    <w:rsid w:val="006C2471"/>
    <w:rsid w:val="006C36AA"/>
    <w:rsid w:val="006C3F77"/>
    <w:rsid w:val="006C41F5"/>
    <w:rsid w:val="006C52B9"/>
    <w:rsid w:val="006C5BA1"/>
    <w:rsid w:val="006D144B"/>
    <w:rsid w:val="006D1551"/>
    <w:rsid w:val="006D2106"/>
    <w:rsid w:val="006D36D1"/>
    <w:rsid w:val="006D383D"/>
    <w:rsid w:val="006D633D"/>
    <w:rsid w:val="006E191D"/>
    <w:rsid w:val="006E20C4"/>
    <w:rsid w:val="006E2A58"/>
    <w:rsid w:val="006E2CE0"/>
    <w:rsid w:val="006E41A2"/>
    <w:rsid w:val="006E41F6"/>
    <w:rsid w:val="006E564B"/>
    <w:rsid w:val="006E6B36"/>
    <w:rsid w:val="006E7306"/>
    <w:rsid w:val="006E762C"/>
    <w:rsid w:val="006E7CEF"/>
    <w:rsid w:val="006F17B5"/>
    <w:rsid w:val="006F2413"/>
    <w:rsid w:val="006F4E35"/>
    <w:rsid w:val="00700E12"/>
    <w:rsid w:val="00702B6B"/>
    <w:rsid w:val="00702BA6"/>
    <w:rsid w:val="007037A7"/>
    <w:rsid w:val="00706D51"/>
    <w:rsid w:val="007077BB"/>
    <w:rsid w:val="00711A8E"/>
    <w:rsid w:val="00713019"/>
    <w:rsid w:val="0071349F"/>
    <w:rsid w:val="007164EC"/>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4105E"/>
    <w:rsid w:val="007435D4"/>
    <w:rsid w:val="00744C73"/>
    <w:rsid w:val="00745024"/>
    <w:rsid w:val="007461D0"/>
    <w:rsid w:val="007468B8"/>
    <w:rsid w:val="007473A2"/>
    <w:rsid w:val="0074768C"/>
    <w:rsid w:val="00752A06"/>
    <w:rsid w:val="00752BD5"/>
    <w:rsid w:val="0075458D"/>
    <w:rsid w:val="00754EE1"/>
    <w:rsid w:val="00756AAE"/>
    <w:rsid w:val="0075725D"/>
    <w:rsid w:val="00760E59"/>
    <w:rsid w:val="00763C11"/>
    <w:rsid w:val="00766D93"/>
    <w:rsid w:val="0077406B"/>
    <w:rsid w:val="007750C3"/>
    <w:rsid w:val="0077541D"/>
    <w:rsid w:val="00780296"/>
    <w:rsid w:val="00781A60"/>
    <w:rsid w:val="00781E95"/>
    <w:rsid w:val="00783117"/>
    <w:rsid w:val="00783AF2"/>
    <w:rsid w:val="00783AF8"/>
    <w:rsid w:val="00783F74"/>
    <w:rsid w:val="0078417F"/>
    <w:rsid w:val="00786A3A"/>
    <w:rsid w:val="00787C77"/>
    <w:rsid w:val="00790122"/>
    <w:rsid w:val="0079022E"/>
    <w:rsid w:val="00792728"/>
    <w:rsid w:val="00792ECE"/>
    <w:rsid w:val="007955EA"/>
    <w:rsid w:val="007A3FBD"/>
    <w:rsid w:val="007A4977"/>
    <w:rsid w:val="007A5788"/>
    <w:rsid w:val="007A62D5"/>
    <w:rsid w:val="007A6A94"/>
    <w:rsid w:val="007B0262"/>
    <w:rsid w:val="007B07EF"/>
    <w:rsid w:val="007B6BA5"/>
    <w:rsid w:val="007B7FB2"/>
    <w:rsid w:val="007C025B"/>
    <w:rsid w:val="007C3390"/>
    <w:rsid w:val="007C41AF"/>
    <w:rsid w:val="007C4F4B"/>
    <w:rsid w:val="007C6044"/>
    <w:rsid w:val="007D6D82"/>
    <w:rsid w:val="007D7676"/>
    <w:rsid w:val="007E18A9"/>
    <w:rsid w:val="007E47A5"/>
    <w:rsid w:val="007E5203"/>
    <w:rsid w:val="007E5261"/>
    <w:rsid w:val="007E6124"/>
    <w:rsid w:val="007F025F"/>
    <w:rsid w:val="007F0B83"/>
    <w:rsid w:val="007F48EF"/>
    <w:rsid w:val="007F4FCD"/>
    <w:rsid w:val="007F572B"/>
    <w:rsid w:val="007F6611"/>
    <w:rsid w:val="00806235"/>
    <w:rsid w:val="00812CCE"/>
    <w:rsid w:val="008151D2"/>
    <w:rsid w:val="00816933"/>
    <w:rsid w:val="00816BD1"/>
    <w:rsid w:val="0081720F"/>
    <w:rsid w:val="0081732C"/>
    <w:rsid w:val="008175E9"/>
    <w:rsid w:val="00817A63"/>
    <w:rsid w:val="00820370"/>
    <w:rsid w:val="0082231C"/>
    <w:rsid w:val="0082396E"/>
    <w:rsid w:val="00823FFB"/>
    <w:rsid w:val="008242D7"/>
    <w:rsid w:val="008259DF"/>
    <w:rsid w:val="00826EFF"/>
    <w:rsid w:val="00827E05"/>
    <w:rsid w:val="008311A3"/>
    <w:rsid w:val="0083230A"/>
    <w:rsid w:val="00832795"/>
    <w:rsid w:val="008349EC"/>
    <w:rsid w:val="00834D4E"/>
    <w:rsid w:val="00835B77"/>
    <w:rsid w:val="00836AF7"/>
    <w:rsid w:val="00843D81"/>
    <w:rsid w:val="008440DF"/>
    <w:rsid w:val="00847D11"/>
    <w:rsid w:val="0085028A"/>
    <w:rsid w:val="00855CD0"/>
    <w:rsid w:val="00856CA5"/>
    <w:rsid w:val="0086000D"/>
    <w:rsid w:val="008606C3"/>
    <w:rsid w:val="00862284"/>
    <w:rsid w:val="00864659"/>
    <w:rsid w:val="00864759"/>
    <w:rsid w:val="00865565"/>
    <w:rsid w:val="008656DC"/>
    <w:rsid w:val="00865A21"/>
    <w:rsid w:val="0086612E"/>
    <w:rsid w:val="00867604"/>
    <w:rsid w:val="00870D13"/>
    <w:rsid w:val="00871FD5"/>
    <w:rsid w:val="0087209B"/>
    <w:rsid w:val="00872B97"/>
    <w:rsid w:val="00872DF7"/>
    <w:rsid w:val="00874FB8"/>
    <w:rsid w:val="00882090"/>
    <w:rsid w:val="008852E3"/>
    <w:rsid w:val="00886089"/>
    <w:rsid w:val="0088746F"/>
    <w:rsid w:val="00887755"/>
    <w:rsid w:val="0089033B"/>
    <w:rsid w:val="00890B04"/>
    <w:rsid w:val="0089166C"/>
    <w:rsid w:val="00892DC9"/>
    <w:rsid w:val="0089306E"/>
    <w:rsid w:val="00896186"/>
    <w:rsid w:val="00897025"/>
    <w:rsid w:val="008979B1"/>
    <w:rsid w:val="00897BD7"/>
    <w:rsid w:val="008A6B25"/>
    <w:rsid w:val="008A6C1B"/>
    <w:rsid w:val="008A6C4F"/>
    <w:rsid w:val="008A7319"/>
    <w:rsid w:val="008A7477"/>
    <w:rsid w:val="008A7F3B"/>
    <w:rsid w:val="008B40B7"/>
    <w:rsid w:val="008B52E8"/>
    <w:rsid w:val="008B6E26"/>
    <w:rsid w:val="008C0DD5"/>
    <w:rsid w:val="008C3353"/>
    <w:rsid w:val="008C34B0"/>
    <w:rsid w:val="008C3FFB"/>
    <w:rsid w:val="008C4250"/>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F02B0"/>
    <w:rsid w:val="008F29C1"/>
    <w:rsid w:val="008F3CB0"/>
    <w:rsid w:val="008F4B84"/>
    <w:rsid w:val="008F583E"/>
    <w:rsid w:val="0090052B"/>
    <w:rsid w:val="00902BF1"/>
    <w:rsid w:val="0090431C"/>
    <w:rsid w:val="0090763F"/>
    <w:rsid w:val="00907AD2"/>
    <w:rsid w:val="00910260"/>
    <w:rsid w:val="00911047"/>
    <w:rsid w:val="009122AB"/>
    <w:rsid w:val="00912C0E"/>
    <w:rsid w:val="009134D8"/>
    <w:rsid w:val="009147C7"/>
    <w:rsid w:val="00917321"/>
    <w:rsid w:val="00920324"/>
    <w:rsid w:val="00921DF8"/>
    <w:rsid w:val="00927819"/>
    <w:rsid w:val="00927E1D"/>
    <w:rsid w:val="00930308"/>
    <w:rsid w:val="00931073"/>
    <w:rsid w:val="00933D9F"/>
    <w:rsid w:val="0093545E"/>
    <w:rsid w:val="00936565"/>
    <w:rsid w:val="0094040C"/>
    <w:rsid w:val="00940847"/>
    <w:rsid w:val="0094386E"/>
    <w:rsid w:val="009440D4"/>
    <w:rsid w:val="009449FD"/>
    <w:rsid w:val="00946F0A"/>
    <w:rsid w:val="00951778"/>
    <w:rsid w:val="00952BE3"/>
    <w:rsid w:val="009567AD"/>
    <w:rsid w:val="00956805"/>
    <w:rsid w:val="00956B99"/>
    <w:rsid w:val="00957170"/>
    <w:rsid w:val="00957AD6"/>
    <w:rsid w:val="009612BF"/>
    <w:rsid w:val="00963CBA"/>
    <w:rsid w:val="00965DC9"/>
    <w:rsid w:val="00965E06"/>
    <w:rsid w:val="0096659B"/>
    <w:rsid w:val="00966CD7"/>
    <w:rsid w:val="00971571"/>
    <w:rsid w:val="009715EE"/>
    <w:rsid w:val="00971679"/>
    <w:rsid w:val="00973246"/>
    <w:rsid w:val="00973E03"/>
    <w:rsid w:val="00973EB4"/>
    <w:rsid w:val="00974146"/>
    <w:rsid w:val="00974A8D"/>
    <w:rsid w:val="00974ABE"/>
    <w:rsid w:val="00974C60"/>
    <w:rsid w:val="00974F4C"/>
    <w:rsid w:val="009773C6"/>
    <w:rsid w:val="0098016B"/>
    <w:rsid w:val="00980FDB"/>
    <w:rsid w:val="00987072"/>
    <w:rsid w:val="0098707E"/>
    <w:rsid w:val="0099001C"/>
    <w:rsid w:val="00991261"/>
    <w:rsid w:val="00993084"/>
    <w:rsid w:val="00997A54"/>
    <w:rsid w:val="009A0D5F"/>
    <w:rsid w:val="009A1082"/>
    <w:rsid w:val="009A527C"/>
    <w:rsid w:val="009A5B4A"/>
    <w:rsid w:val="009A6445"/>
    <w:rsid w:val="009B43E1"/>
    <w:rsid w:val="009B4939"/>
    <w:rsid w:val="009B55EC"/>
    <w:rsid w:val="009B6D3A"/>
    <w:rsid w:val="009B71F3"/>
    <w:rsid w:val="009C135B"/>
    <w:rsid w:val="009C17AC"/>
    <w:rsid w:val="009C1FAD"/>
    <w:rsid w:val="009C31E7"/>
    <w:rsid w:val="009C36B5"/>
    <w:rsid w:val="009C7A27"/>
    <w:rsid w:val="009C7F4E"/>
    <w:rsid w:val="009D0EC7"/>
    <w:rsid w:val="009D0FA6"/>
    <w:rsid w:val="009D1B37"/>
    <w:rsid w:val="009D2627"/>
    <w:rsid w:val="009D49A6"/>
    <w:rsid w:val="009D49D7"/>
    <w:rsid w:val="009D5096"/>
    <w:rsid w:val="009D623C"/>
    <w:rsid w:val="009D6C74"/>
    <w:rsid w:val="009D772B"/>
    <w:rsid w:val="009D7CE5"/>
    <w:rsid w:val="009E5D46"/>
    <w:rsid w:val="009E72B5"/>
    <w:rsid w:val="009E7885"/>
    <w:rsid w:val="009F16FB"/>
    <w:rsid w:val="009F3106"/>
    <w:rsid w:val="009F3A17"/>
    <w:rsid w:val="009F6CAF"/>
    <w:rsid w:val="00A047C4"/>
    <w:rsid w:val="00A1355C"/>
    <w:rsid w:val="00A1427D"/>
    <w:rsid w:val="00A1647D"/>
    <w:rsid w:val="00A1649D"/>
    <w:rsid w:val="00A20AEB"/>
    <w:rsid w:val="00A229D5"/>
    <w:rsid w:val="00A25163"/>
    <w:rsid w:val="00A257FA"/>
    <w:rsid w:val="00A25BA6"/>
    <w:rsid w:val="00A263B9"/>
    <w:rsid w:val="00A3044A"/>
    <w:rsid w:val="00A3227A"/>
    <w:rsid w:val="00A32B06"/>
    <w:rsid w:val="00A3359A"/>
    <w:rsid w:val="00A3498A"/>
    <w:rsid w:val="00A35008"/>
    <w:rsid w:val="00A35AE8"/>
    <w:rsid w:val="00A40A6E"/>
    <w:rsid w:val="00A40D2C"/>
    <w:rsid w:val="00A429E3"/>
    <w:rsid w:val="00A463F1"/>
    <w:rsid w:val="00A47C34"/>
    <w:rsid w:val="00A52B4E"/>
    <w:rsid w:val="00A530ED"/>
    <w:rsid w:val="00A53911"/>
    <w:rsid w:val="00A5477E"/>
    <w:rsid w:val="00A55FB2"/>
    <w:rsid w:val="00A5714E"/>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A4"/>
    <w:rsid w:val="00A91158"/>
    <w:rsid w:val="00A94669"/>
    <w:rsid w:val="00A94CB3"/>
    <w:rsid w:val="00A958C8"/>
    <w:rsid w:val="00A970FB"/>
    <w:rsid w:val="00AA332B"/>
    <w:rsid w:val="00AA33FF"/>
    <w:rsid w:val="00AA3B23"/>
    <w:rsid w:val="00AA496B"/>
    <w:rsid w:val="00AA5028"/>
    <w:rsid w:val="00AA63F2"/>
    <w:rsid w:val="00AB1332"/>
    <w:rsid w:val="00AB16DB"/>
    <w:rsid w:val="00AB3FD6"/>
    <w:rsid w:val="00AB4960"/>
    <w:rsid w:val="00AB5CA7"/>
    <w:rsid w:val="00AB6319"/>
    <w:rsid w:val="00AB720C"/>
    <w:rsid w:val="00AC05A0"/>
    <w:rsid w:val="00AC1071"/>
    <w:rsid w:val="00AC1F45"/>
    <w:rsid w:val="00AC35ED"/>
    <w:rsid w:val="00AC3764"/>
    <w:rsid w:val="00AC4E2F"/>
    <w:rsid w:val="00AD4754"/>
    <w:rsid w:val="00AD605D"/>
    <w:rsid w:val="00AE3607"/>
    <w:rsid w:val="00AE3D8F"/>
    <w:rsid w:val="00AE487E"/>
    <w:rsid w:val="00AE73C4"/>
    <w:rsid w:val="00AE77FC"/>
    <w:rsid w:val="00AE793D"/>
    <w:rsid w:val="00AE7DC6"/>
    <w:rsid w:val="00AF07A0"/>
    <w:rsid w:val="00AF22E6"/>
    <w:rsid w:val="00AF475E"/>
    <w:rsid w:val="00AF6194"/>
    <w:rsid w:val="00B04217"/>
    <w:rsid w:val="00B07503"/>
    <w:rsid w:val="00B10465"/>
    <w:rsid w:val="00B10CA2"/>
    <w:rsid w:val="00B12909"/>
    <w:rsid w:val="00B1509D"/>
    <w:rsid w:val="00B172A6"/>
    <w:rsid w:val="00B17BBD"/>
    <w:rsid w:val="00B17E1A"/>
    <w:rsid w:val="00B30179"/>
    <w:rsid w:val="00B325A9"/>
    <w:rsid w:val="00B339D3"/>
    <w:rsid w:val="00B33EC0"/>
    <w:rsid w:val="00B33FCC"/>
    <w:rsid w:val="00B34697"/>
    <w:rsid w:val="00B36BD5"/>
    <w:rsid w:val="00B47909"/>
    <w:rsid w:val="00B47B0C"/>
    <w:rsid w:val="00B47D1B"/>
    <w:rsid w:val="00B51709"/>
    <w:rsid w:val="00B520B9"/>
    <w:rsid w:val="00B520F8"/>
    <w:rsid w:val="00B523F6"/>
    <w:rsid w:val="00B52E4E"/>
    <w:rsid w:val="00B53CBD"/>
    <w:rsid w:val="00B56CC7"/>
    <w:rsid w:val="00B5742C"/>
    <w:rsid w:val="00B577F4"/>
    <w:rsid w:val="00B60474"/>
    <w:rsid w:val="00B61246"/>
    <w:rsid w:val="00B647CA"/>
    <w:rsid w:val="00B64D4B"/>
    <w:rsid w:val="00B657A1"/>
    <w:rsid w:val="00B66E5A"/>
    <w:rsid w:val="00B70B1D"/>
    <w:rsid w:val="00B74353"/>
    <w:rsid w:val="00B74FD7"/>
    <w:rsid w:val="00B762D3"/>
    <w:rsid w:val="00B77F59"/>
    <w:rsid w:val="00B804CB"/>
    <w:rsid w:val="00B80A98"/>
    <w:rsid w:val="00B81E12"/>
    <w:rsid w:val="00B83093"/>
    <w:rsid w:val="00B83964"/>
    <w:rsid w:val="00B839A7"/>
    <w:rsid w:val="00B845D6"/>
    <w:rsid w:val="00B85329"/>
    <w:rsid w:val="00B8628B"/>
    <w:rsid w:val="00B87183"/>
    <w:rsid w:val="00B87CF1"/>
    <w:rsid w:val="00B90AC5"/>
    <w:rsid w:val="00B90C56"/>
    <w:rsid w:val="00B91D03"/>
    <w:rsid w:val="00B96314"/>
    <w:rsid w:val="00B963B2"/>
    <w:rsid w:val="00B968A0"/>
    <w:rsid w:val="00BA515F"/>
    <w:rsid w:val="00BB129E"/>
    <w:rsid w:val="00BB5D03"/>
    <w:rsid w:val="00BB60D4"/>
    <w:rsid w:val="00BB659A"/>
    <w:rsid w:val="00BB6799"/>
    <w:rsid w:val="00BC096F"/>
    <w:rsid w:val="00BC2AC9"/>
    <w:rsid w:val="00BC3830"/>
    <w:rsid w:val="00BC5C60"/>
    <w:rsid w:val="00BC6B7B"/>
    <w:rsid w:val="00BC7496"/>
    <w:rsid w:val="00BC74E9"/>
    <w:rsid w:val="00BD138D"/>
    <w:rsid w:val="00BD2146"/>
    <w:rsid w:val="00BD48C8"/>
    <w:rsid w:val="00BD4FD9"/>
    <w:rsid w:val="00BD6280"/>
    <w:rsid w:val="00BD6FCD"/>
    <w:rsid w:val="00BE232B"/>
    <w:rsid w:val="00BE37C1"/>
    <w:rsid w:val="00BE4C32"/>
    <w:rsid w:val="00BE4F74"/>
    <w:rsid w:val="00BE6017"/>
    <w:rsid w:val="00BE618E"/>
    <w:rsid w:val="00BE62C1"/>
    <w:rsid w:val="00BE6BC5"/>
    <w:rsid w:val="00BF0BE9"/>
    <w:rsid w:val="00BF3D59"/>
    <w:rsid w:val="00BF5A7C"/>
    <w:rsid w:val="00C019B8"/>
    <w:rsid w:val="00C01A22"/>
    <w:rsid w:val="00C02990"/>
    <w:rsid w:val="00C030C9"/>
    <w:rsid w:val="00C04DFB"/>
    <w:rsid w:val="00C05ACF"/>
    <w:rsid w:val="00C07F9E"/>
    <w:rsid w:val="00C10DD8"/>
    <w:rsid w:val="00C118EC"/>
    <w:rsid w:val="00C11B7B"/>
    <w:rsid w:val="00C127CB"/>
    <w:rsid w:val="00C133DE"/>
    <w:rsid w:val="00C16E1A"/>
    <w:rsid w:val="00C17699"/>
    <w:rsid w:val="00C1778D"/>
    <w:rsid w:val="00C2005D"/>
    <w:rsid w:val="00C225E1"/>
    <w:rsid w:val="00C23A6D"/>
    <w:rsid w:val="00C24684"/>
    <w:rsid w:val="00C25DDD"/>
    <w:rsid w:val="00C27AA0"/>
    <w:rsid w:val="00C31CDC"/>
    <w:rsid w:val="00C32D7F"/>
    <w:rsid w:val="00C32E0D"/>
    <w:rsid w:val="00C35408"/>
    <w:rsid w:val="00C37443"/>
    <w:rsid w:val="00C41A28"/>
    <w:rsid w:val="00C44676"/>
    <w:rsid w:val="00C463DD"/>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240C"/>
    <w:rsid w:val="00C745C3"/>
    <w:rsid w:val="00C74908"/>
    <w:rsid w:val="00C766BF"/>
    <w:rsid w:val="00C76A06"/>
    <w:rsid w:val="00C777EC"/>
    <w:rsid w:val="00C80C9A"/>
    <w:rsid w:val="00C83CA0"/>
    <w:rsid w:val="00C86B34"/>
    <w:rsid w:val="00C900CD"/>
    <w:rsid w:val="00C91417"/>
    <w:rsid w:val="00CA1321"/>
    <w:rsid w:val="00CA2E75"/>
    <w:rsid w:val="00CA2E8B"/>
    <w:rsid w:val="00CA2F88"/>
    <w:rsid w:val="00CA390E"/>
    <w:rsid w:val="00CA56FF"/>
    <w:rsid w:val="00CA73A2"/>
    <w:rsid w:val="00CA797A"/>
    <w:rsid w:val="00CA7F4B"/>
    <w:rsid w:val="00CB1281"/>
    <w:rsid w:val="00CB40A9"/>
    <w:rsid w:val="00CB5F96"/>
    <w:rsid w:val="00CB70D1"/>
    <w:rsid w:val="00CC1344"/>
    <w:rsid w:val="00CC44E0"/>
    <w:rsid w:val="00CC4AD6"/>
    <w:rsid w:val="00CD0707"/>
    <w:rsid w:val="00CE3324"/>
    <w:rsid w:val="00CE4A8F"/>
    <w:rsid w:val="00CE4B9D"/>
    <w:rsid w:val="00CF2085"/>
    <w:rsid w:val="00CF2FA9"/>
    <w:rsid w:val="00CF5B9E"/>
    <w:rsid w:val="00CF6EE8"/>
    <w:rsid w:val="00D00141"/>
    <w:rsid w:val="00D008DB"/>
    <w:rsid w:val="00D030E1"/>
    <w:rsid w:val="00D067AA"/>
    <w:rsid w:val="00D06CD2"/>
    <w:rsid w:val="00D0737E"/>
    <w:rsid w:val="00D07B72"/>
    <w:rsid w:val="00D07F07"/>
    <w:rsid w:val="00D137EF"/>
    <w:rsid w:val="00D1722D"/>
    <w:rsid w:val="00D17E6C"/>
    <w:rsid w:val="00D2031B"/>
    <w:rsid w:val="00D21980"/>
    <w:rsid w:val="00D24347"/>
    <w:rsid w:val="00D25FE2"/>
    <w:rsid w:val="00D279BB"/>
    <w:rsid w:val="00D317BB"/>
    <w:rsid w:val="00D3192B"/>
    <w:rsid w:val="00D31A35"/>
    <w:rsid w:val="00D341D6"/>
    <w:rsid w:val="00D35D8F"/>
    <w:rsid w:val="00D417A5"/>
    <w:rsid w:val="00D42106"/>
    <w:rsid w:val="00D43252"/>
    <w:rsid w:val="00D45103"/>
    <w:rsid w:val="00D45C2F"/>
    <w:rsid w:val="00D525A5"/>
    <w:rsid w:val="00D5284C"/>
    <w:rsid w:val="00D52856"/>
    <w:rsid w:val="00D53B47"/>
    <w:rsid w:val="00D54AB1"/>
    <w:rsid w:val="00D54E5F"/>
    <w:rsid w:val="00D57892"/>
    <w:rsid w:val="00D60093"/>
    <w:rsid w:val="00D61666"/>
    <w:rsid w:val="00D637C6"/>
    <w:rsid w:val="00D63AF3"/>
    <w:rsid w:val="00D63CC4"/>
    <w:rsid w:val="00D655D5"/>
    <w:rsid w:val="00D66932"/>
    <w:rsid w:val="00D71971"/>
    <w:rsid w:val="00D73A96"/>
    <w:rsid w:val="00D74E9A"/>
    <w:rsid w:val="00D76E2A"/>
    <w:rsid w:val="00D77993"/>
    <w:rsid w:val="00D81879"/>
    <w:rsid w:val="00D81A2B"/>
    <w:rsid w:val="00D83937"/>
    <w:rsid w:val="00D91C9C"/>
    <w:rsid w:val="00D943F1"/>
    <w:rsid w:val="00D95F86"/>
    <w:rsid w:val="00D978C6"/>
    <w:rsid w:val="00DA2989"/>
    <w:rsid w:val="00DA3054"/>
    <w:rsid w:val="00DA3E74"/>
    <w:rsid w:val="00DA4AC8"/>
    <w:rsid w:val="00DA5C98"/>
    <w:rsid w:val="00DA67AD"/>
    <w:rsid w:val="00DB2A67"/>
    <w:rsid w:val="00DB2BED"/>
    <w:rsid w:val="00DB579F"/>
    <w:rsid w:val="00DB5D0F"/>
    <w:rsid w:val="00DC050C"/>
    <w:rsid w:val="00DC2836"/>
    <w:rsid w:val="00DC3156"/>
    <w:rsid w:val="00DC3242"/>
    <w:rsid w:val="00DC410C"/>
    <w:rsid w:val="00DC7D1E"/>
    <w:rsid w:val="00DD5F36"/>
    <w:rsid w:val="00DD6DB6"/>
    <w:rsid w:val="00DD738F"/>
    <w:rsid w:val="00DE057D"/>
    <w:rsid w:val="00DE0580"/>
    <w:rsid w:val="00DE0710"/>
    <w:rsid w:val="00DE1E0A"/>
    <w:rsid w:val="00DE7C9F"/>
    <w:rsid w:val="00DF0A29"/>
    <w:rsid w:val="00DF12D5"/>
    <w:rsid w:val="00DF12F7"/>
    <w:rsid w:val="00DF1FBC"/>
    <w:rsid w:val="00DF2C64"/>
    <w:rsid w:val="00DF30CC"/>
    <w:rsid w:val="00DF545B"/>
    <w:rsid w:val="00DF64B4"/>
    <w:rsid w:val="00DF6813"/>
    <w:rsid w:val="00E01030"/>
    <w:rsid w:val="00E0120E"/>
    <w:rsid w:val="00E012D2"/>
    <w:rsid w:val="00E01575"/>
    <w:rsid w:val="00E023E0"/>
    <w:rsid w:val="00E027C0"/>
    <w:rsid w:val="00E02BA9"/>
    <w:rsid w:val="00E02C81"/>
    <w:rsid w:val="00E0362D"/>
    <w:rsid w:val="00E06EAB"/>
    <w:rsid w:val="00E07263"/>
    <w:rsid w:val="00E108C8"/>
    <w:rsid w:val="00E10F7C"/>
    <w:rsid w:val="00E130AB"/>
    <w:rsid w:val="00E13A8A"/>
    <w:rsid w:val="00E14309"/>
    <w:rsid w:val="00E16CF4"/>
    <w:rsid w:val="00E200B9"/>
    <w:rsid w:val="00E26913"/>
    <w:rsid w:val="00E322DE"/>
    <w:rsid w:val="00E329E0"/>
    <w:rsid w:val="00E33E37"/>
    <w:rsid w:val="00E33F8C"/>
    <w:rsid w:val="00E369CA"/>
    <w:rsid w:val="00E405EE"/>
    <w:rsid w:val="00E4125F"/>
    <w:rsid w:val="00E41B04"/>
    <w:rsid w:val="00E42928"/>
    <w:rsid w:val="00E43A7D"/>
    <w:rsid w:val="00E443CE"/>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80865"/>
    <w:rsid w:val="00E80F5F"/>
    <w:rsid w:val="00E811C3"/>
    <w:rsid w:val="00E826C0"/>
    <w:rsid w:val="00E828B8"/>
    <w:rsid w:val="00E82C26"/>
    <w:rsid w:val="00E85856"/>
    <w:rsid w:val="00E85ED4"/>
    <w:rsid w:val="00E87921"/>
    <w:rsid w:val="00E87EC4"/>
    <w:rsid w:val="00E9006B"/>
    <w:rsid w:val="00E903D0"/>
    <w:rsid w:val="00E91DE2"/>
    <w:rsid w:val="00E934F9"/>
    <w:rsid w:val="00E959F0"/>
    <w:rsid w:val="00E96630"/>
    <w:rsid w:val="00E96D11"/>
    <w:rsid w:val="00E97278"/>
    <w:rsid w:val="00E97F8A"/>
    <w:rsid w:val="00EA0243"/>
    <w:rsid w:val="00EA0F7B"/>
    <w:rsid w:val="00EA264E"/>
    <w:rsid w:val="00EA2D43"/>
    <w:rsid w:val="00EA3A41"/>
    <w:rsid w:val="00EA4029"/>
    <w:rsid w:val="00EA4CA3"/>
    <w:rsid w:val="00EA634C"/>
    <w:rsid w:val="00EA677C"/>
    <w:rsid w:val="00EA7F49"/>
    <w:rsid w:val="00EB132F"/>
    <w:rsid w:val="00EB1FE7"/>
    <w:rsid w:val="00EB3339"/>
    <w:rsid w:val="00EB430E"/>
    <w:rsid w:val="00EB5C99"/>
    <w:rsid w:val="00EC066A"/>
    <w:rsid w:val="00EC2105"/>
    <w:rsid w:val="00EC232F"/>
    <w:rsid w:val="00EC24F9"/>
    <w:rsid w:val="00EC326B"/>
    <w:rsid w:val="00EC3AE0"/>
    <w:rsid w:val="00EC48A8"/>
    <w:rsid w:val="00EC5C86"/>
    <w:rsid w:val="00EC65A6"/>
    <w:rsid w:val="00ED5C86"/>
    <w:rsid w:val="00ED7A2A"/>
    <w:rsid w:val="00EE4BFE"/>
    <w:rsid w:val="00EF09B7"/>
    <w:rsid w:val="00EF0A24"/>
    <w:rsid w:val="00EF193A"/>
    <w:rsid w:val="00EF1D7F"/>
    <w:rsid w:val="00EF3A31"/>
    <w:rsid w:val="00EF7CDC"/>
    <w:rsid w:val="00F05659"/>
    <w:rsid w:val="00F10E8A"/>
    <w:rsid w:val="00F11288"/>
    <w:rsid w:val="00F14F1C"/>
    <w:rsid w:val="00F15F3D"/>
    <w:rsid w:val="00F17440"/>
    <w:rsid w:val="00F2229D"/>
    <w:rsid w:val="00F22733"/>
    <w:rsid w:val="00F23051"/>
    <w:rsid w:val="00F244D5"/>
    <w:rsid w:val="00F244F1"/>
    <w:rsid w:val="00F26CE9"/>
    <w:rsid w:val="00F31D6C"/>
    <w:rsid w:val="00F32177"/>
    <w:rsid w:val="00F34768"/>
    <w:rsid w:val="00F359EF"/>
    <w:rsid w:val="00F36089"/>
    <w:rsid w:val="00F3643A"/>
    <w:rsid w:val="00F366BF"/>
    <w:rsid w:val="00F36C4A"/>
    <w:rsid w:val="00F377FC"/>
    <w:rsid w:val="00F429EB"/>
    <w:rsid w:val="00F44963"/>
    <w:rsid w:val="00F45C47"/>
    <w:rsid w:val="00F52A98"/>
    <w:rsid w:val="00F52B1B"/>
    <w:rsid w:val="00F53A2D"/>
    <w:rsid w:val="00F53EDA"/>
    <w:rsid w:val="00F55EC3"/>
    <w:rsid w:val="00F5718D"/>
    <w:rsid w:val="00F61158"/>
    <w:rsid w:val="00F618D8"/>
    <w:rsid w:val="00F63562"/>
    <w:rsid w:val="00F65F0D"/>
    <w:rsid w:val="00F66BB0"/>
    <w:rsid w:val="00F70182"/>
    <w:rsid w:val="00F70533"/>
    <w:rsid w:val="00F707E4"/>
    <w:rsid w:val="00F70F95"/>
    <w:rsid w:val="00F73A93"/>
    <w:rsid w:val="00F75508"/>
    <w:rsid w:val="00F7753D"/>
    <w:rsid w:val="00F800CA"/>
    <w:rsid w:val="00F811D5"/>
    <w:rsid w:val="00F822D3"/>
    <w:rsid w:val="00F82703"/>
    <w:rsid w:val="00F82767"/>
    <w:rsid w:val="00F8280A"/>
    <w:rsid w:val="00F82B74"/>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E4A"/>
    <w:rsid w:val="00FB171A"/>
    <w:rsid w:val="00FB213D"/>
    <w:rsid w:val="00FB2412"/>
    <w:rsid w:val="00FB48D5"/>
    <w:rsid w:val="00FB5541"/>
    <w:rsid w:val="00FB583B"/>
    <w:rsid w:val="00FB6CD1"/>
    <w:rsid w:val="00FC2EF5"/>
    <w:rsid w:val="00FC3D2E"/>
    <w:rsid w:val="00FC4669"/>
    <w:rsid w:val="00FC4ECC"/>
    <w:rsid w:val="00FC4F4B"/>
    <w:rsid w:val="00FC68B7"/>
    <w:rsid w:val="00FC68E5"/>
    <w:rsid w:val="00FC6DE3"/>
    <w:rsid w:val="00FD02AA"/>
    <w:rsid w:val="00FD0419"/>
    <w:rsid w:val="00FD4F7E"/>
    <w:rsid w:val="00FD7BF6"/>
    <w:rsid w:val="00FE57F9"/>
    <w:rsid w:val="00FE5818"/>
    <w:rsid w:val="00FE6FC6"/>
    <w:rsid w:val="00FE7DCB"/>
    <w:rsid w:val="00FF0A40"/>
    <w:rsid w:val="00FF2267"/>
    <w:rsid w:val="00FF2BB3"/>
    <w:rsid w:val="00FF3AE6"/>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6BC5E79B-7B87-4C03-A101-22157840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uiPriority w:val="3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uiPriority w:val="99"/>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iPriority w:val="99"/>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semiHidden/>
    <w:unhideWhenUsed/>
    <w:rsid w:val="00EF193A"/>
    <w:pPr>
      <w:spacing w:line="240" w:lineRule="auto"/>
    </w:pPr>
  </w:style>
  <w:style w:type="character" w:customStyle="1" w:styleId="CommentTextChar">
    <w:name w:val="Comment Text Char"/>
    <w:basedOn w:val="DefaultParagraphFont"/>
    <w:link w:val="CommentText"/>
    <w:semiHidden/>
    <w:rsid w:val="00EF193A"/>
    <w:rPr>
      <w:lang w:eastAsia="en-US"/>
    </w:rPr>
  </w:style>
  <w:style w:type="paragraph" w:styleId="CommentSubject">
    <w:name w:val="annotation subject"/>
    <w:basedOn w:val="CommentText"/>
    <w:next w:val="CommentText"/>
    <w:link w:val="CommentSubjectChar"/>
    <w:semiHidden/>
    <w:unhideWhenUsed/>
    <w:rsid w:val="00EF193A"/>
    <w:rPr>
      <w:b/>
      <w:bCs/>
    </w:rPr>
  </w:style>
  <w:style w:type="character" w:customStyle="1" w:styleId="CommentSubjectChar">
    <w:name w:val="Comment Subject Char"/>
    <w:basedOn w:val="CommentTextChar"/>
    <w:link w:val="CommentSubject"/>
    <w:semiHidden/>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uiPriority w:val="99"/>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rsid w:val="001A289F"/>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2.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1AC8-661A-4DE6-8DC5-37F7F8D8D5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4b4a1c0d-4a69-4996-a84a-fc699b9f49de"/>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5FAEA003-6B9F-4963-BD7F-267F75DF9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36</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UN/SCETDG/62/INF.3</vt:lpstr>
    </vt:vector>
  </TitlesOfParts>
  <Company>CSD</Company>
  <LinksUpToDate>false</LinksUpToDate>
  <CharactersWithSpaces>4805</CharactersWithSpaces>
  <SharedDoc>false</SharedDoc>
  <HLinks>
    <vt:vector size="12" baseType="variant">
      <vt:variant>
        <vt:i4>6094932</vt:i4>
      </vt:variant>
      <vt:variant>
        <vt:i4>3</vt:i4>
      </vt:variant>
      <vt:variant>
        <vt:i4>0</vt:i4>
      </vt:variant>
      <vt:variant>
        <vt:i4>5</vt:i4>
      </vt:variant>
      <vt:variant>
        <vt:lpwstr>https://www.bsu-bund.de/SharedDocs/pdf/EN/Investigation_Report/2014/Investigation_Report_255_12.pdf?__blob=publicationFile</vt:lpwstr>
      </vt:variant>
      <vt:variant>
        <vt:lpwstr/>
      </vt:variant>
      <vt:variant>
        <vt:i4>6094932</vt:i4>
      </vt:variant>
      <vt:variant>
        <vt:i4>0</vt:i4>
      </vt:variant>
      <vt:variant>
        <vt:i4>0</vt:i4>
      </vt:variant>
      <vt:variant>
        <vt:i4>5</vt:i4>
      </vt:variant>
      <vt:variant>
        <vt:lpwstr>https://www.bsu-bund.de/SharedDocs/pdf/EN/Investigation_Report/2014/Investigation_Report_255_12.pdf?__blob=publicationFile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UN/SCETDG/62/INF.14</dc:title>
  <dc:subject/>
  <dc:creator>Garcia_Couto</dc:creator>
  <cp:keywords/>
  <cp:lastModifiedBy>Romain Hubert</cp:lastModifiedBy>
  <cp:revision>26</cp:revision>
  <cp:lastPrinted>2019-06-28T15:05:00Z</cp:lastPrinted>
  <dcterms:created xsi:type="dcterms:W3CDTF">2023-10-30T09:24:00Z</dcterms:created>
  <dcterms:modified xsi:type="dcterms:W3CDTF">2023-10-30T12:40:00Z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