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F77D6E" w14:paraId="4D250AE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6A3046" w14:textId="77777777" w:rsidR="00132EA9" w:rsidRPr="00F77D6E" w:rsidRDefault="00132EA9" w:rsidP="004B502C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CABBB1" w14:textId="77777777" w:rsidR="00132EA9" w:rsidRPr="00F77D6E" w:rsidRDefault="00132EA9" w:rsidP="00F01738">
            <w:pPr>
              <w:spacing w:after="80" w:line="300" w:lineRule="exact"/>
              <w:rPr>
                <w:sz w:val="28"/>
                <w:lang w:val="fr-FR"/>
              </w:rPr>
            </w:pPr>
            <w:r w:rsidRPr="00F77D6E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8F57B9" w14:textId="31C1B734" w:rsidR="00132EA9" w:rsidRPr="00F77D6E" w:rsidRDefault="004B502C" w:rsidP="004B502C">
            <w:pPr>
              <w:jc w:val="right"/>
              <w:rPr>
                <w:lang w:val="fr-FR"/>
              </w:rPr>
            </w:pPr>
            <w:r w:rsidRPr="00F77D6E">
              <w:rPr>
                <w:sz w:val="40"/>
                <w:lang w:val="fr-FR"/>
              </w:rPr>
              <w:t>ST</w:t>
            </w:r>
            <w:r w:rsidRPr="00F77D6E">
              <w:rPr>
                <w:lang w:val="fr-FR"/>
              </w:rPr>
              <w:t>/SG/AC</w:t>
            </w:r>
            <w:r w:rsidR="00A97C41" w:rsidRPr="00F77D6E">
              <w:rPr>
                <w:lang w:val="fr-FR"/>
              </w:rPr>
              <w:t>.</w:t>
            </w:r>
            <w:r w:rsidRPr="00F77D6E">
              <w:rPr>
                <w:lang w:val="fr-FR"/>
              </w:rPr>
              <w:t>10/C</w:t>
            </w:r>
            <w:r w:rsidR="00A97C41" w:rsidRPr="00F77D6E">
              <w:rPr>
                <w:lang w:val="fr-FR"/>
              </w:rPr>
              <w:t>.</w:t>
            </w:r>
            <w:r w:rsidRPr="00F77D6E">
              <w:rPr>
                <w:lang w:val="fr-FR"/>
              </w:rPr>
              <w:t>4/89/Add</w:t>
            </w:r>
            <w:r w:rsidR="00A97C41" w:rsidRPr="00F77D6E">
              <w:rPr>
                <w:lang w:val="fr-FR"/>
              </w:rPr>
              <w:t>.</w:t>
            </w:r>
            <w:r w:rsidRPr="00F77D6E">
              <w:rPr>
                <w:lang w:val="fr-FR"/>
              </w:rPr>
              <w:t>1</w:t>
            </w:r>
          </w:p>
        </w:tc>
      </w:tr>
      <w:tr w:rsidR="00132EA9" w:rsidRPr="00F77D6E" w14:paraId="540B2A8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12030B0" w14:textId="77777777" w:rsidR="00132EA9" w:rsidRPr="00F77D6E" w:rsidRDefault="00132EA9" w:rsidP="00F01738">
            <w:pPr>
              <w:spacing w:before="120"/>
              <w:jc w:val="center"/>
              <w:rPr>
                <w:lang w:val="fr-FR"/>
              </w:rPr>
            </w:pPr>
            <w:r w:rsidRPr="00F77D6E">
              <w:rPr>
                <w:noProof/>
                <w:lang w:val="fr-FR" w:eastAsia="fr-CH"/>
              </w:rPr>
              <w:drawing>
                <wp:inline distT="0" distB="0" distL="0" distR="0" wp14:anchorId="575CA8DE" wp14:editId="18C72BA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F89193" w14:textId="77777777" w:rsidR="00132EA9" w:rsidRPr="00F77D6E" w:rsidRDefault="00132EA9" w:rsidP="00F01738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F77D6E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3D5D4B" w14:textId="1DF53479" w:rsidR="00132EA9" w:rsidRPr="00F77D6E" w:rsidRDefault="004B502C" w:rsidP="00F01738">
            <w:pPr>
              <w:spacing w:before="240"/>
              <w:rPr>
                <w:lang w:val="fr-FR"/>
              </w:rPr>
            </w:pPr>
            <w:r w:rsidRPr="00F77D6E">
              <w:rPr>
                <w:lang w:val="fr-FR"/>
              </w:rPr>
              <w:t>Distr</w:t>
            </w:r>
            <w:r w:rsidR="00A97C41" w:rsidRPr="00F77D6E">
              <w:rPr>
                <w:lang w:val="fr-FR"/>
              </w:rPr>
              <w:t>.</w:t>
            </w:r>
            <w:r w:rsidRPr="00F77D6E">
              <w:rPr>
                <w:lang w:val="fr-FR"/>
              </w:rPr>
              <w:t xml:space="preserve"> générale</w:t>
            </w:r>
          </w:p>
          <w:p w14:paraId="647FB894" w14:textId="77777777" w:rsidR="004B502C" w:rsidRPr="00F77D6E" w:rsidRDefault="004B502C" w:rsidP="004B502C">
            <w:pPr>
              <w:spacing w:line="240" w:lineRule="exact"/>
              <w:rPr>
                <w:lang w:val="fr-FR"/>
              </w:rPr>
            </w:pPr>
            <w:r w:rsidRPr="00F77D6E">
              <w:rPr>
                <w:lang w:val="fr-FR"/>
              </w:rPr>
              <w:t>22 septembre 2023</w:t>
            </w:r>
          </w:p>
          <w:p w14:paraId="74C1CDA5" w14:textId="77777777" w:rsidR="004B502C" w:rsidRPr="00F77D6E" w:rsidRDefault="004B502C" w:rsidP="004B502C">
            <w:pPr>
              <w:spacing w:line="240" w:lineRule="exact"/>
              <w:rPr>
                <w:lang w:val="fr-FR"/>
              </w:rPr>
            </w:pPr>
            <w:r w:rsidRPr="00F77D6E">
              <w:rPr>
                <w:lang w:val="fr-FR"/>
              </w:rPr>
              <w:t>Français</w:t>
            </w:r>
          </w:p>
          <w:p w14:paraId="5CF592BC" w14:textId="590499C8" w:rsidR="004B502C" w:rsidRPr="00F77D6E" w:rsidRDefault="004B502C" w:rsidP="004B502C">
            <w:pPr>
              <w:spacing w:line="240" w:lineRule="exact"/>
              <w:rPr>
                <w:lang w:val="fr-FR"/>
              </w:rPr>
            </w:pPr>
            <w:r w:rsidRPr="00F77D6E">
              <w:rPr>
                <w:lang w:val="fr-FR"/>
              </w:rPr>
              <w:t>Original</w:t>
            </w:r>
            <w:r w:rsidR="00A72424" w:rsidRPr="00F77D6E">
              <w:rPr>
                <w:lang w:val="fr-FR"/>
              </w:rPr>
              <w:t> :</w:t>
            </w:r>
            <w:r w:rsidRPr="00F77D6E">
              <w:rPr>
                <w:lang w:val="fr-FR"/>
              </w:rPr>
              <w:t xml:space="preserve"> anglais</w:t>
            </w:r>
          </w:p>
        </w:tc>
      </w:tr>
    </w:tbl>
    <w:p w14:paraId="519FF919" w14:textId="155E85ED" w:rsidR="004B502C" w:rsidRPr="00F77D6E" w:rsidRDefault="004B502C" w:rsidP="000305D3">
      <w:pPr>
        <w:spacing w:before="120"/>
        <w:rPr>
          <w:b/>
          <w:sz w:val="24"/>
          <w:szCs w:val="24"/>
          <w:lang w:val="fr-FR"/>
        </w:rPr>
      </w:pPr>
      <w:r w:rsidRPr="00F77D6E">
        <w:rPr>
          <w:b/>
          <w:sz w:val="24"/>
          <w:szCs w:val="24"/>
          <w:lang w:val="fr-FR"/>
        </w:rPr>
        <w:t>Comité d</w:t>
      </w:r>
      <w:r w:rsidR="00A72424" w:rsidRPr="00F77D6E">
        <w:rPr>
          <w:b/>
          <w:sz w:val="24"/>
          <w:szCs w:val="24"/>
          <w:lang w:val="fr-FR"/>
        </w:rPr>
        <w:t>’</w:t>
      </w:r>
      <w:r w:rsidRPr="00F77D6E">
        <w:rPr>
          <w:b/>
          <w:sz w:val="24"/>
          <w:szCs w:val="24"/>
          <w:lang w:val="fr-FR"/>
        </w:rPr>
        <w:t>experts du transport des marchandises dangereuses</w:t>
      </w:r>
      <w:r w:rsidRPr="00F77D6E">
        <w:rPr>
          <w:b/>
          <w:sz w:val="24"/>
          <w:szCs w:val="24"/>
          <w:lang w:val="fr-FR"/>
        </w:rPr>
        <w:br/>
        <w:t>et du Système général harmonisé de classification</w:t>
      </w:r>
      <w:r w:rsidRPr="00F77D6E">
        <w:rPr>
          <w:b/>
          <w:sz w:val="24"/>
          <w:szCs w:val="24"/>
          <w:lang w:val="fr-FR"/>
        </w:rPr>
        <w:br/>
        <w:t>et d</w:t>
      </w:r>
      <w:r w:rsidR="00A72424" w:rsidRPr="00F77D6E">
        <w:rPr>
          <w:b/>
          <w:sz w:val="24"/>
          <w:szCs w:val="24"/>
          <w:lang w:val="fr-FR"/>
        </w:rPr>
        <w:t>’</w:t>
      </w:r>
      <w:r w:rsidRPr="00F77D6E">
        <w:rPr>
          <w:b/>
          <w:sz w:val="24"/>
          <w:szCs w:val="24"/>
          <w:lang w:val="fr-FR"/>
        </w:rPr>
        <w:t>étiquetage des produits chimiques</w:t>
      </w:r>
    </w:p>
    <w:p w14:paraId="0124151E" w14:textId="2549E305" w:rsidR="004B502C" w:rsidRPr="00F77D6E" w:rsidRDefault="004B502C" w:rsidP="004B502C">
      <w:pPr>
        <w:spacing w:before="120"/>
        <w:ind w:right="3826"/>
        <w:rPr>
          <w:b/>
          <w:lang w:val="fr-FR"/>
        </w:rPr>
      </w:pPr>
      <w:r w:rsidRPr="00F77D6E">
        <w:rPr>
          <w:rFonts w:ascii="Times New Roman Bold" w:hAnsi="Times New Roman Bold"/>
          <w:b/>
          <w:spacing w:val="4"/>
          <w:lang w:val="fr-FR"/>
        </w:rPr>
        <w:t>Sous-Comité d</w:t>
      </w:r>
      <w:r w:rsidR="00A72424" w:rsidRPr="00F77D6E">
        <w:rPr>
          <w:rFonts w:ascii="Times New Roman Bold" w:hAnsi="Times New Roman Bold"/>
          <w:b/>
          <w:spacing w:val="4"/>
          <w:lang w:val="fr-FR"/>
        </w:rPr>
        <w:t>’</w:t>
      </w:r>
      <w:r w:rsidRPr="00F77D6E">
        <w:rPr>
          <w:rFonts w:ascii="Times New Roman Bold" w:hAnsi="Times New Roman Bold"/>
          <w:b/>
          <w:spacing w:val="4"/>
          <w:lang w:val="fr-FR"/>
        </w:rPr>
        <w:t xml:space="preserve">experts </w:t>
      </w:r>
      <w:r w:rsidRPr="00F77D6E">
        <w:rPr>
          <w:rFonts w:ascii="Times New Roman Bold" w:hAnsi="Times New Roman Bold"/>
          <w:b/>
          <w:bCs/>
          <w:spacing w:val="4"/>
          <w:lang w:val="fr-FR"/>
        </w:rPr>
        <w:t>du Système général harmonisé</w:t>
      </w:r>
      <w:r w:rsidRPr="00F77D6E">
        <w:rPr>
          <w:b/>
          <w:bCs/>
          <w:lang w:val="fr-FR"/>
        </w:rPr>
        <w:t xml:space="preserve"> de</w:t>
      </w:r>
      <w:r w:rsidRPr="00F77D6E">
        <w:rPr>
          <w:b/>
          <w:bCs/>
          <w:lang w:val="fr-FR"/>
        </w:rPr>
        <w:t> </w:t>
      </w:r>
      <w:r w:rsidRPr="00F77D6E">
        <w:rPr>
          <w:b/>
          <w:bCs/>
          <w:lang w:val="fr-FR"/>
        </w:rPr>
        <w:t>classification et d</w:t>
      </w:r>
      <w:r w:rsidR="00A72424" w:rsidRPr="00F77D6E">
        <w:rPr>
          <w:b/>
          <w:bCs/>
          <w:lang w:val="fr-FR"/>
        </w:rPr>
        <w:t>’</w:t>
      </w:r>
      <w:r w:rsidRPr="00F77D6E">
        <w:rPr>
          <w:b/>
          <w:bCs/>
          <w:lang w:val="fr-FR"/>
        </w:rPr>
        <w:t>étiquetage des produits chimiques</w:t>
      </w:r>
    </w:p>
    <w:p w14:paraId="604ADBFD" w14:textId="1A630766" w:rsidR="004B502C" w:rsidRPr="00F77D6E" w:rsidRDefault="004B502C" w:rsidP="000305D3">
      <w:pPr>
        <w:spacing w:before="120"/>
        <w:rPr>
          <w:b/>
          <w:lang w:val="fr-FR"/>
        </w:rPr>
      </w:pPr>
      <w:r w:rsidRPr="00F77D6E">
        <w:rPr>
          <w:b/>
          <w:bCs/>
          <w:lang w:val="fr-FR"/>
        </w:rPr>
        <w:t>Quarante-cinquième</w:t>
      </w:r>
      <w:r w:rsidRPr="00F77D6E">
        <w:rPr>
          <w:b/>
          <w:lang w:val="fr-FR"/>
        </w:rPr>
        <w:t xml:space="preserve"> session</w:t>
      </w:r>
    </w:p>
    <w:p w14:paraId="32E66CAD" w14:textId="536FBCBC" w:rsidR="004B502C" w:rsidRPr="00F77D6E" w:rsidRDefault="004B502C" w:rsidP="000305D3">
      <w:pPr>
        <w:rPr>
          <w:lang w:val="fr-FR"/>
        </w:rPr>
      </w:pPr>
      <w:r w:rsidRPr="00F77D6E">
        <w:rPr>
          <w:lang w:val="fr-FR"/>
        </w:rPr>
        <w:t xml:space="preserve">Genève, </w:t>
      </w:r>
      <w:r w:rsidRPr="00F77D6E">
        <w:rPr>
          <w:lang w:val="fr-FR"/>
        </w:rPr>
        <w:t>6-8 décembre 2023</w:t>
      </w:r>
    </w:p>
    <w:p w14:paraId="4CE40023" w14:textId="68EC0B95" w:rsidR="004B502C" w:rsidRPr="00F77D6E" w:rsidRDefault="004B502C" w:rsidP="000305D3">
      <w:pPr>
        <w:rPr>
          <w:lang w:val="fr-FR"/>
        </w:rPr>
      </w:pPr>
      <w:r w:rsidRPr="00F77D6E">
        <w:rPr>
          <w:lang w:val="fr-FR"/>
        </w:rPr>
        <w:t>Point 1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provisoire</w:t>
      </w:r>
    </w:p>
    <w:p w14:paraId="4A43116A" w14:textId="0F50BBC3" w:rsidR="00446FE5" w:rsidRPr="00F77D6E" w:rsidRDefault="004B502C" w:rsidP="00AC3823">
      <w:pPr>
        <w:rPr>
          <w:b/>
          <w:bCs/>
          <w:lang w:val="fr-FR"/>
        </w:rPr>
      </w:pPr>
      <w:r w:rsidRPr="00F77D6E">
        <w:rPr>
          <w:b/>
          <w:bCs/>
          <w:lang w:val="fr-FR"/>
        </w:rPr>
        <w:t>Adoption de l</w:t>
      </w:r>
      <w:r w:rsidR="00A72424" w:rsidRPr="00F77D6E">
        <w:rPr>
          <w:b/>
          <w:bCs/>
          <w:lang w:val="fr-FR"/>
        </w:rPr>
        <w:t>’</w:t>
      </w:r>
      <w:r w:rsidRPr="00F77D6E">
        <w:rPr>
          <w:b/>
          <w:bCs/>
          <w:lang w:val="fr-FR"/>
        </w:rPr>
        <w:t>ordre du jour</w:t>
      </w:r>
    </w:p>
    <w:p w14:paraId="75D47141" w14:textId="77777777" w:rsidR="004B502C" w:rsidRPr="00F77D6E" w:rsidRDefault="004B502C" w:rsidP="004B502C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Pr="00F77D6E">
        <w:rPr>
          <w:lang w:val="fr-FR"/>
        </w:rPr>
        <w:tab/>
        <w:t>Ordre du jour provisoire de la quarante-cinquième session</w:t>
      </w:r>
    </w:p>
    <w:p w14:paraId="22B1E25D" w14:textId="77777777" w:rsidR="00A72424" w:rsidRPr="00F77D6E" w:rsidRDefault="004B502C" w:rsidP="004B502C">
      <w:pPr>
        <w:pStyle w:val="H23G"/>
        <w:rPr>
          <w:lang w:val="fr-FR"/>
        </w:rPr>
      </w:pPr>
      <w:r w:rsidRPr="00F77D6E">
        <w:rPr>
          <w:lang w:val="fr-FR"/>
        </w:rPr>
        <w:tab/>
      </w:r>
      <w:r w:rsidRPr="00F77D6E">
        <w:rPr>
          <w:lang w:val="fr-FR"/>
        </w:rPr>
        <w:tab/>
        <w:t>Additif</w:t>
      </w:r>
    </w:p>
    <w:p w14:paraId="7D0CC1CA" w14:textId="1E970545" w:rsidR="004B502C" w:rsidRPr="00F77D6E" w:rsidRDefault="004B502C" w:rsidP="00A72424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Pr="00F77D6E">
        <w:rPr>
          <w:lang w:val="fr-FR"/>
        </w:rPr>
        <w:tab/>
        <w:t>Liste des documents et annotations</w:t>
      </w:r>
    </w:p>
    <w:p w14:paraId="6D7360A2" w14:textId="64960970" w:rsidR="004B502C" w:rsidRPr="00F77D6E" w:rsidRDefault="004B502C" w:rsidP="004B502C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Pr="00F77D6E">
        <w:rPr>
          <w:lang w:val="fr-FR"/>
        </w:rPr>
        <w:t>1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ab/>
        <w:t>Adoption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4598"/>
      </w:tblGrid>
      <w:tr w:rsidR="004B502C" w:rsidRPr="00F77D6E" w14:paraId="166C0C44" w14:textId="77777777" w:rsidTr="00CD4A5D">
        <w:trPr>
          <w:tblHeader/>
        </w:trPr>
        <w:tc>
          <w:tcPr>
            <w:tcW w:w="2772" w:type="dxa"/>
            <w:shd w:val="clear" w:color="auto" w:fill="auto"/>
          </w:tcPr>
          <w:p w14:paraId="7CFC86A4" w14:textId="54C61739" w:rsidR="004B502C" w:rsidRPr="00F77D6E" w:rsidRDefault="00A97C41" w:rsidP="004B502C">
            <w:pPr>
              <w:spacing w:before="40" w:after="120"/>
              <w:ind w:right="113"/>
              <w:rPr>
                <w:lang w:val="fr-FR"/>
              </w:rPr>
            </w:pPr>
            <w:hyperlink r:id="rId9" w:history="1">
              <w:r w:rsidRPr="00F77D6E">
                <w:rPr>
                  <w:rStyle w:val="Hyperlink"/>
                  <w:lang w:val="fr-FR"/>
                </w:rPr>
                <w:t>ST/SG/AC.10/C.4/89</w:t>
              </w:r>
            </w:hyperlink>
            <w:r w:rsidR="004B502C" w:rsidRPr="00F77D6E">
              <w:rPr>
                <w:lang w:val="fr-FR"/>
              </w:rPr>
              <w:t xml:space="preserve"> et ST/SG/AC</w:t>
            </w:r>
            <w:r w:rsidRPr="00F77D6E">
              <w:rPr>
                <w:lang w:val="fr-FR"/>
              </w:rPr>
              <w:t>.</w:t>
            </w:r>
            <w:r w:rsidR="004B502C" w:rsidRPr="00F77D6E">
              <w:rPr>
                <w:lang w:val="fr-FR"/>
              </w:rPr>
              <w:t>10/C</w:t>
            </w:r>
            <w:r w:rsidRPr="00F77D6E">
              <w:rPr>
                <w:lang w:val="fr-FR"/>
              </w:rPr>
              <w:t>.</w:t>
            </w:r>
            <w:r w:rsidR="004B502C" w:rsidRPr="00F77D6E">
              <w:rPr>
                <w:lang w:val="fr-FR"/>
              </w:rPr>
              <w:t>4/89/Add</w:t>
            </w:r>
            <w:r w:rsidRPr="00F77D6E">
              <w:rPr>
                <w:lang w:val="fr-FR"/>
              </w:rPr>
              <w:t>.</w:t>
            </w:r>
            <w:r w:rsidR="004B502C" w:rsidRPr="00F77D6E">
              <w:rPr>
                <w:lang w:val="fr-FR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7EC63F01" w14:textId="7369CB02" w:rsidR="004B502C" w:rsidRPr="00F77D6E" w:rsidRDefault="004B502C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Ordre du jour provisoire de la quarante-cinquième session</w:t>
            </w:r>
          </w:p>
        </w:tc>
      </w:tr>
    </w:tbl>
    <w:p w14:paraId="2E48AEF8" w14:textId="77777777" w:rsidR="004B502C" w:rsidRPr="00F77D6E" w:rsidRDefault="004B502C" w:rsidP="004B502C">
      <w:pPr>
        <w:pStyle w:val="H1G"/>
        <w:rPr>
          <w:lang w:val="fr-FR"/>
        </w:rPr>
      </w:pPr>
      <w:r w:rsidRPr="00F77D6E">
        <w:rPr>
          <w:lang w:val="fr-FR"/>
        </w:rPr>
        <w:tab/>
      </w:r>
      <w:r w:rsidRPr="00F77D6E">
        <w:rPr>
          <w:lang w:val="fr-FR"/>
        </w:rPr>
        <w:tab/>
        <w:t>Documents de référence (secrétariat)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4604"/>
      </w:tblGrid>
      <w:tr w:rsidR="004B502C" w:rsidRPr="00F77D6E" w14:paraId="7129224D" w14:textId="77777777" w:rsidTr="004B502C">
        <w:tc>
          <w:tcPr>
            <w:tcW w:w="2766" w:type="dxa"/>
            <w:shd w:val="clear" w:color="auto" w:fill="auto"/>
          </w:tcPr>
          <w:p w14:paraId="5D67E6C6" w14:textId="54EDFFEB" w:rsidR="004B502C" w:rsidRPr="00F77D6E" w:rsidRDefault="00A97C41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ST/SG/AC.10/30/Rev.10</w:t>
            </w:r>
          </w:p>
        </w:tc>
        <w:tc>
          <w:tcPr>
            <w:tcW w:w="4604" w:type="dxa"/>
            <w:shd w:val="clear" w:color="auto" w:fill="auto"/>
          </w:tcPr>
          <w:p w14:paraId="760D23F3" w14:textId="0195FB31" w:rsidR="004B502C" w:rsidRPr="00F77D6E" w:rsidRDefault="004B502C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Système général harmonisé de classification et d</w:t>
            </w:r>
            <w:r w:rsidR="00A72424"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étiquetage des produits chimiques (SGH), dixième édition révisée</w:t>
            </w:r>
          </w:p>
        </w:tc>
      </w:tr>
      <w:tr w:rsidR="004B502C" w:rsidRPr="00F77D6E" w14:paraId="1C047EE7" w14:textId="77777777" w:rsidTr="004B502C">
        <w:tc>
          <w:tcPr>
            <w:tcW w:w="2766" w:type="dxa"/>
            <w:shd w:val="clear" w:color="auto" w:fill="auto"/>
          </w:tcPr>
          <w:p w14:paraId="22E13DB6" w14:textId="44C80B07" w:rsidR="004B502C" w:rsidRPr="00F77D6E" w:rsidRDefault="00A97C41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ST/SG/AC.10/1/Rev.23</w:t>
            </w:r>
          </w:p>
        </w:tc>
        <w:tc>
          <w:tcPr>
            <w:tcW w:w="4604" w:type="dxa"/>
            <w:shd w:val="clear" w:color="auto" w:fill="auto"/>
          </w:tcPr>
          <w:p w14:paraId="360940B7" w14:textId="2C65F5E8" w:rsidR="004B502C" w:rsidRPr="00F77D6E" w:rsidRDefault="004B502C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Recommandations relatives au transport des marchandises dangereuses, Règlement type, vingt</w:t>
            </w:r>
            <w:r w:rsidR="00173E2B" w:rsidRPr="00F77D6E">
              <w:rPr>
                <w:lang w:val="fr-FR"/>
              </w:rPr>
              <w:noBreakHyphen/>
            </w:r>
            <w:r w:rsidRPr="00F77D6E">
              <w:rPr>
                <w:lang w:val="fr-FR"/>
              </w:rPr>
              <w:t>troisième édition révisée</w:t>
            </w:r>
          </w:p>
        </w:tc>
      </w:tr>
      <w:tr w:rsidR="004B502C" w:rsidRPr="00F77D6E" w14:paraId="3246E747" w14:textId="77777777" w:rsidTr="004B502C">
        <w:tc>
          <w:tcPr>
            <w:tcW w:w="2766" w:type="dxa"/>
            <w:shd w:val="clear" w:color="auto" w:fill="auto"/>
          </w:tcPr>
          <w:p w14:paraId="73853643" w14:textId="64C97A4A" w:rsidR="004B502C" w:rsidRPr="00F77D6E" w:rsidRDefault="00A97C41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ST/SG/AC.10/11/Rev.8</w:t>
            </w:r>
          </w:p>
        </w:tc>
        <w:tc>
          <w:tcPr>
            <w:tcW w:w="4604" w:type="dxa"/>
            <w:shd w:val="clear" w:color="auto" w:fill="auto"/>
          </w:tcPr>
          <w:p w14:paraId="587F9A14" w14:textId="2826D213" w:rsidR="004B502C" w:rsidRPr="00F77D6E" w:rsidRDefault="004B502C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Manuel d</w:t>
            </w:r>
            <w:r w:rsidR="00A72424"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épreuves et de critères, huitième édition révisée</w:t>
            </w:r>
          </w:p>
        </w:tc>
      </w:tr>
      <w:tr w:rsidR="004B502C" w:rsidRPr="00F77D6E" w14:paraId="694407F5" w14:textId="77777777" w:rsidTr="004B502C">
        <w:tc>
          <w:tcPr>
            <w:tcW w:w="2766" w:type="dxa"/>
            <w:shd w:val="clear" w:color="auto" w:fill="auto"/>
          </w:tcPr>
          <w:p w14:paraId="5CF44F7B" w14:textId="6B77D9F1" w:rsidR="004B502C" w:rsidRPr="00F77D6E" w:rsidRDefault="00A97C41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ST/SG/AC.10/C.4/88</w:t>
            </w:r>
          </w:p>
        </w:tc>
        <w:tc>
          <w:tcPr>
            <w:tcW w:w="4604" w:type="dxa"/>
            <w:shd w:val="clear" w:color="auto" w:fill="auto"/>
          </w:tcPr>
          <w:p w14:paraId="239A15D3" w14:textId="0E30DDA3" w:rsidR="004B502C" w:rsidRPr="00F77D6E" w:rsidRDefault="004B502C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Rapport du Sous-Comité d</w:t>
            </w:r>
            <w:r w:rsidR="00A72424"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experts du Système général harmonisé de classification et d</w:t>
            </w:r>
            <w:r w:rsidR="00A72424"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étiquetage des produits chimiques sur sa quarante-quatrième session</w:t>
            </w:r>
          </w:p>
        </w:tc>
      </w:tr>
      <w:tr w:rsidR="004B502C" w:rsidRPr="00F77D6E" w14:paraId="7F84DBAF" w14:textId="77777777" w:rsidTr="004B502C">
        <w:tc>
          <w:tcPr>
            <w:tcW w:w="2766" w:type="dxa"/>
            <w:shd w:val="clear" w:color="auto" w:fill="auto"/>
          </w:tcPr>
          <w:p w14:paraId="71F226B4" w14:textId="05BB149C" w:rsidR="004B502C" w:rsidRPr="00F77D6E" w:rsidRDefault="00A97C41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ST/SG/AC.10/C.3/124</w:t>
            </w:r>
            <w:r w:rsidR="004B502C" w:rsidRPr="00F77D6E">
              <w:rPr>
                <w:lang w:val="fr-FR"/>
              </w:rPr>
              <w:t xml:space="preserve"> et </w:t>
            </w:r>
            <w:hyperlink r:id="rId10" w:history="1">
              <w:r w:rsidRPr="00F77D6E">
                <w:rPr>
                  <w:rStyle w:val="Hyperlink"/>
                  <w:lang w:val="fr-FR"/>
                </w:rPr>
                <w:t>Add</w:t>
              </w:r>
              <w:r w:rsidRPr="00F77D6E">
                <w:rPr>
                  <w:rStyle w:val="Hyperlink"/>
                  <w:lang w:val="fr-FR"/>
                </w:rPr>
                <w:t>.</w:t>
              </w:r>
              <w:r w:rsidRPr="00F77D6E">
                <w:rPr>
                  <w:rStyle w:val="Hyperlink"/>
                  <w:lang w:val="fr-FR"/>
                </w:rPr>
                <w:t>1</w:t>
              </w:r>
            </w:hyperlink>
          </w:p>
        </w:tc>
        <w:tc>
          <w:tcPr>
            <w:tcW w:w="4604" w:type="dxa"/>
            <w:shd w:val="clear" w:color="auto" w:fill="auto"/>
          </w:tcPr>
          <w:p w14:paraId="71C3CC63" w14:textId="152F79DF" w:rsidR="004B502C" w:rsidRPr="00F77D6E" w:rsidRDefault="004B502C" w:rsidP="004B502C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Rapport du Sous-Comité d</w:t>
            </w:r>
            <w:r w:rsidR="00A72424"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experts du transport des marchandises dangereuses sur sa soixante-deuxième session</w:t>
            </w:r>
          </w:p>
        </w:tc>
      </w:tr>
    </w:tbl>
    <w:p w14:paraId="4943A833" w14:textId="2BBDC3D5" w:rsidR="004B502C" w:rsidRPr="00F77D6E" w:rsidRDefault="00CD4A5D" w:rsidP="00CD4A5D">
      <w:pPr>
        <w:pStyle w:val="HChG"/>
        <w:rPr>
          <w:lang w:val="fr-FR"/>
        </w:rPr>
      </w:pPr>
      <w:r w:rsidRPr="00F77D6E">
        <w:rPr>
          <w:lang w:val="fr-FR"/>
        </w:rPr>
        <w:lastRenderedPageBreak/>
        <w:tab/>
      </w:r>
      <w:r w:rsidR="004B502C" w:rsidRPr="00F77D6E">
        <w:rPr>
          <w:lang w:val="fr-FR"/>
        </w:rPr>
        <w:t>2</w:t>
      </w:r>
      <w:r w:rsidR="00A97C41" w:rsidRPr="00F77D6E">
        <w:rPr>
          <w:lang w:val="fr-FR"/>
        </w:rPr>
        <w:t>.</w:t>
      </w:r>
      <w:r w:rsidR="004B502C" w:rsidRPr="00F77D6E">
        <w:rPr>
          <w:lang w:val="fr-FR"/>
        </w:rPr>
        <w:tab/>
        <w:t>Travaux relatifs au Système général harmonisé de</w:t>
      </w:r>
      <w:r w:rsidRPr="00F77D6E">
        <w:rPr>
          <w:lang w:val="fr-FR"/>
        </w:rPr>
        <w:t> </w:t>
      </w:r>
      <w:r w:rsidR="004B502C" w:rsidRPr="00F77D6E">
        <w:rPr>
          <w:lang w:val="fr-FR"/>
        </w:rPr>
        <w:t>classification et d</w:t>
      </w:r>
      <w:r w:rsidR="00A72424" w:rsidRPr="00F77D6E">
        <w:rPr>
          <w:lang w:val="fr-FR"/>
        </w:rPr>
        <w:t>’</w:t>
      </w:r>
      <w:r w:rsidR="004B502C" w:rsidRPr="00F77D6E">
        <w:rPr>
          <w:lang w:val="fr-FR"/>
        </w:rPr>
        <w:t>étiquetage des produits chimiques</w:t>
      </w:r>
    </w:p>
    <w:p w14:paraId="43987A74" w14:textId="18703384" w:rsidR="004B502C" w:rsidRPr="00F77D6E" w:rsidRDefault="00CD4A5D" w:rsidP="00CD4A5D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a)</w:t>
      </w:r>
      <w:r w:rsidR="004B502C" w:rsidRPr="00F77D6E">
        <w:rPr>
          <w:lang w:val="fr-FR"/>
        </w:rPr>
        <w:tab/>
      </w:r>
      <w:r w:rsidR="004B502C" w:rsidRPr="00F77D6E">
        <w:rPr>
          <w:rFonts w:ascii="Times New Roman Bold" w:hAnsi="Times New Roman Bold"/>
          <w:spacing w:val="2"/>
          <w:lang w:val="fr-FR"/>
        </w:rPr>
        <w:t>Travaux du Sous-Comité d</w:t>
      </w:r>
      <w:r w:rsidR="00A72424" w:rsidRPr="00F77D6E">
        <w:rPr>
          <w:rFonts w:ascii="Times New Roman Bold" w:hAnsi="Times New Roman Bold"/>
          <w:spacing w:val="2"/>
          <w:lang w:val="fr-FR"/>
        </w:rPr>
        <w:t>’</w:t>
      </w:r>
      <w:r w:rsidR="004B502C" w:rsidRPr="00F77D6E">
        <w:rPr>
          <w:rFonts w:ascii="Times New Roman Bold" w:hAnsi="Times New Roman Bold"/>
          <w:spacing w:val="2"/>
          <w:lang w:val="fr-FR"/>
        </w:rPr>
        <w:t>experts du transport des marchandises</w:t>
      </w:r>
      <w:r w:rsidR="004B502C" w:rsidRPr="00F77D6E">
        <w:rPr>
          <w:lang w:val="fr-FR"/>
        </w:rPr>
        <w:t xml:space="preserve"> </w:t>
      </w:r>
      <w:r w:rsidR="004B502C" w:rsidRPr="00F77D6E">
        <w:rPr>
          <w:rFonts w:ascii="Times New Roman Bold" w:hAnsi="Times New Roman Bold"/>
          <w:spacing w:val="-2"/>
          <w:lang w:val="fr-FR"/>
        </w:rPr>
        <w:t>dangereuses sur des questions intéressant le Sous-Comité d</w:t>
      </w:r>
      <w:r w:rsidR="00A72424" w:rsidRPr="00F77D6E">
        <w:rPr>
          <w:rFonts w:ascii="Times New Roman Bold" w:hAnsi="Times New Roman Bold"/>
          <w:spacing w:val="-2"/>
          <w:lang w:val="fr-FR"/>
        </w:rPr>
        <w:t>’</w:t>
      </w:r>
      <w:r w:rsidR="004B502C" w:rsidRPr="00F77D6E">
        <w:rPr>
          <w:rFonts w:ascii="Times New Roman Bold" w:hAnsi="Times New Roman Bold"/>
          <w:spacing w:val="-2"/>
          <w:lang w:val="fr-FR"/>
        </w:rPr>
        <w:t>experts</w:t>
      </w:r>
      <w:r w:rsidR="004B502C" w:rsidRPr="00F77D6E">
        <w:rPr>
          <w:lang w:val="fr-FR"/>
        </w:rPr>
        <w:t xml:space="preserve"> du</w:t>
      </w:r>
      <w:r w:rsidRPr="00F77D6E">
        <w:rPr>
          <w:lang w:val="fr-FR"/>
        </w:rPr>
        <w:t> </w:t>
      </w:r>
      <w:r w:rsidR="004B502C" w:rsidRPr="00F77D6E">
        <w:rPr>
          <w:lang w:val="fr-FR"/>
        </w:rPr>
        <w:t>Système général harmonisé de classification et d</w:t>
      </w:r>
      <w:r w:rsidR="00A72424" w:rsidRPr="00F77D6E">
        <w:rPr>
          <w:lang w:val="fr-FR"/>
        </w:rPr>
        <w:t>’</w:t>
      </w:r>
      <w:r w:rsidR="004B502C" w:rsidRPr="00F77D6E">
        <w:rPr>
          <w:lang w:val="fr-FR"/>
        </w:rPr>
        <w:t>étiquetage des</w:t>
      </w:r>
      <w:r w:rsidRPr="00F77D6E">
        <w:rPr>
          <w:lang w:val="fr-FR"/>
        </w:rPr>
        <w:t> </w:t>
      </w:r>
      <w:r w:rsidR="004B502C" w:rsidRPr="00F77D6E">
        <w:rPr>
          <w:lang w:val="fr-FR"/>
        </w:rPr>
        <w:t>produits chimiques</w:t>
      </w:r>
      <w:r w:rsidR="004B502C" w:rsidRPr="00F77D6E">
        <w:rPr>
          <w:rStyle w:val="FootnoteReference"/>
          <w:b w:val="0"/>
          <w:bCs/>
          <w:position w:val="4"/>
          <w:lang w:val="fr-FR"/>
        </w:rPr>
        <w:footnoteReference w:id="2"/>
      </w:r>
    </w:p>
    <w:p w14:paraId="4B9E8A62" w14:textId="0CB44BB8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Le Sous-Comité SGH sera informé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issue des débats du Sous-Comité TMD en ce qui concerne toute question présentant un intérêt pour lui</w:t>
      </w:r>
      <w:r w:rsidR="00A97C41" w:rsidRPr="00F77D6E">
        <w:rPr>
          <w:lang w:val="fr-FR"/>
        </w:rPr>
        <w:t>.</w:t>
      </w:r>
    </w:p>
    <w:p w14:paraId="1C2FAE11" w14:textId="0A17B3AA" w:rsidR="004B502C" w:rsidRPr="00F77D6E" w:rsidRDefault="00CD4A5D" w:rsidP="00CD4A5D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b)</w:t>
      </w:r>
      <w:r w:rsidR="004B502C" w:rsidRPr="00F77D6E">
        <w:rPr>
          <w:lang w:val="fr-FR"/>
        </w:rPr>
        <w:tab/>
        <w:t>Affectation à plusieurs classes de danger physique et hiérarchisation des dangers</w:t>
      </w:r>
    </w:p>
    <w:p w14:paraId="6C357B32" w14:textId="6ECD4D3D" w:rsidR="004B502C" w:rsidRPr="00F77D6E" w:rsidRDefault="004B502C" w:rsidP="00173E2B">
      <w:pPr>
        <w:pStyle w:val="SingleTxtG"/>
        <w:ind w:firstLine="567"/>
        <w:rPr>
          <w:b/>
          <w:sz w:val="24"/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expert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Allemagne souhaitera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sur cette question depuis la quarante-quatrième session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 paragraphe</w:t>
      </w:r>
      <w:r w:rsidR="00173E2B" w:rsidRPr="00F77D6E">
        <w:rPr>
          <w:lang w:val="fr-FR"/>
        </w:rPr>
        <w:t> </w:t>
      </w:r>
      <w:r w:rsidRPr="00F77D6E">
        <w:rPr>
          <w:lang w:val="fr-FR"/>
        </w:rPr>
        <w:t xml:space="preserve">14 du document </w:t>
      </w:r>
      <w:r w:rsidR="00A97C41" w:rsidRPr="00F77D6E">
        <w:rPr>
          <w:lang w:val="fr-FR"/>
        </w:rPr>
        <w:t>ST/SG/AC.10/C.4/88.</w:t>
      </w:r>
    </w:p>
    <w:p w14:paraId="5AC40FC5" w14:textId="6EFBC592" w:rsidR="004B502C" w:rsidRPr="00F77D6E" w:rsidRDefault="00CD4A5D" w:rsidP="00CD4A5D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c)</w:t>
      </w:r>
      <w:r w:rsidR="004B502C" w:rsidRPr="00F77D6E">
        <w:rPr>
          <w:lang w:val="fr-FR"/>
        </w:rPr>
        <w:tab/>
        <w:t>Utilisation de méthodes d</w:t>
      </w:r>
      <w:r w:rsidR="00A72424" w:rsidRPr="00F77D6E">
        <w:rPr>
          <w:lang w:val="fr-FR"/>
        </w:rPr>
        <w:t>’</w:t>
      </w:r>
      <w:r w:rsidR="004B502C" w:rsidRPr="00F77D6E">
        <w:rPr>
          <w:lang w:val="fr-FR"/>
        </w:rPr>
        <w:t>expérimentation non animales aux fins du</w:t>
      </w:r>
      <w:r w:rsidRPr="00F77D6E">
        <w:rPr>
          <w:lang w:val="fr-FR"/>
        </w:rPr>
        <w:t> </w:t>
      </w:r>
      <w:r w:rsidR="004B502C" w:rsidRPr="00F77D6E">
        <w:rPr>
          <w:lang w:val="fr-FR"/>
        </w:rPr>
        <w:t>classement des dangers pour la santé et l</w:t>
      </w:r>
      <w:r w:rsidR="00A72424" w:rsidRPr="00F77D6E">
        <w:rPr>
          <w:lang w:val="fr-FR"/>
        </w:rPr>
        <w:t>’</w:t>
      </w:r>
      <w:r w:rsidR="004B502C" w:rsidRPr="00F77D6E">
        <w:rPr>
          <w:lang w:val="fr-FR"/>
        </w:rPr>
        <w:t>environnement</w:t>
      </w:r>
    </w:p>
    <w:p w14:paraId="2E9DD3E8" w14:textId="403A8284" w:rsidR="004B502C" w:rsidRPr="00F77D6E" w:rsidRDefault="004B502C" w:rsidP="00173E2B">
      <w:pPr>
        <w:pStyle w:val="SingleTxtG"/>
        <w:ind w:firstLine="567"/>
        <w:rPr>
          <w:b/>
          <w:sz w:val="24"/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Les experts du Royaume-Uni de Grande-Bretagne et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Irlande du Nord et du Royaume des Pays-Bas souhaiteront peut-être informer le Sous</w:t>
      </w:r>
      <w:r w:rsidR="00BA4105" w:rsidRPr="00F77D6E">
        <w:rPr>
          <w:lang w:val="fr-FR"/>
        </w:rPr>
        <w:noBreakHyphen/>
      </w:r>
      <w:r w:rsidRPr="00F77D6E">
        <w:rPr>
          <w:lang w:val="fr-FR"/>
        </w:rPr>
        <w:t>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sur cette question depuis la quarante</w:t>
      </w:r>
      <w:r w:rsidR="00BA4105" w:rsidRPr="00F77D6E">
        <w:rPr>
          <w:lang w:val="fr-FR"/>
        </w:rPr>
        <w:noBreakHyphen/>
      </w:r>
      <w:r w:rsidRPr="00F77D6E">
        <w:rPr>
          <w:lang w:val="fr-FR"/>
        </w:rPr>
        <w:t>quatrième session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 paragraphe</w:t>
      </w:r>
      <w:r w:rsidR="00BA4105" w:rsidRPr="00F77D6E">
        <w:rPr>
          <w:lang w:val="fr-FR"/>
        </w:rPr>
        <w:t> </w:t>
      </w:r>
      <w:r w:rsidRPr="00F77D6E">
        <w:rPr>
          <w:lang w:val="fr-FR"/>
        </w:rPr>
        <w:t xml:space="preserve">15 du document </w:t>
      </w:r>
      <w:r w:rsidR="00A97C41" w:rsidRPr="00F77D6E">
        <w:rPr>
          <w:lang w:val="fr-FR"/>
        </w:rPr>
        <w:t>ST/SG/AC.10/C.4/88.</w:t>
      </w:r>
    </w:p>
    <w:p w14:paraId="194C3010" w14:textId="77777777" w:rsidR="00A72424" w:rsidRPr="00F77D6E" w:rsidRDefault="00CD4A5D" w:rsidP="00CD4A5D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d)</w:t>
      </w:r>
      <w:r w:rsidR="004B502C" w:rsidRPr="00F77D6E">
        <w:rPr>
          <w:lang w:val="fr-FR"/>
        </w:rPr>
        <w:tab/>
        <w:t>Critères de classement relatifs à la mutagénicité sur les cellules germinales</w:t>
      </w:r>
    </w:p>
    <w:p w14:paraId="152DCE59" w14:textId="69044CE0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expert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Union européenne souhaitera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sur cette question depuis la quarante-quatrième session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 paragraphe</w:t>
      </w:r>
      <w:r w:rsidR="00BA4105" w:rsidRPr="00F77D6E">
        <w:rPr>
          <w:lang w:val="fr-FR"/>
        </w:rPr>
        <w:t> </w:t>
      </w:r>
      <w:r w:rsidRPr="00F77D6E">
        <w:rPr>
          <w:lang w:val="fr-FR"/>
        </w:rPr>
        <w:t xml:space="preserve">16 du document </w:t>
      </w:r>
      <w:r w:rsidR="00A97C41" w:rsidRPr="00F77D6E">
        <w:rPr>
          <w:lang w:val="fr-FR"/>
        </w:rPr>
        <w:t>ST/SG/AC.10/C.4/88.</w:t>
      </w:r>
    </w:p>
    <w:p w14:paraId="1951DBC4" w14:textId="7216FB79" w:rsidR="004B502C" w:rsidRPr="00F77D6E" w:rsidRDefault="00CD4A5D" w:rsidP="00BA4105">
      <w:pPr>
        <w:pStyle w:val="H1G"/>
        <w:rPr>
          <w:lang w:val="fr-FR"/>
        </w:rPr>
      </w:pPr>
      <w:r w:rsidRPr="00F77D6E">
        <w:rPr>
          <w:lang w:val="fr-FR"/>
        </w:rPr>
        <w:lastRenderedPageBreak/>
        <w:tab/>
      </w:r>
      <w:r w:rsidR="004B502C" w:rsidRPr="00F77D6E">
        <w:rPr>
          <w:lang w:val="fr-FR"/>
        </w:rPr>
        <w:t>e)</w:t>
      </w:r>
      <w:r w:rsidR="004B502C" w:rsidRPr="00F77D6E">
        <w:rPr>
          <w:lang w:val="fr-FR"/>
        </w:rPr>
        <w:tab/>
        <w:t xml:space="preserve">Questions relatives aux dangers potentiels et à leur présentation </w:t>
      </w:r>
      <w:r w:rsidRPr="00F77D6E">
        <w:rPr>
          <w:lang w:val="fr-FR"/>
        </w:rPr>
        <w:br/>
      </w:r>
      <w:r w:rsidR="004B502C" w:rsidRPr="00F77D6E">
        <w:rPr>
          <w:lang w:val="fr-FR"/>
        </w:rPr>
        <w:t>dans le Système général harmonisé</w:t>
      </w:r>
    </w:p>
    <w:p w14:paraId="7468A0DA" w14:textId="38C77BAC" w:rsidR="004B502C" w:rsidRPr="00F77D6E" w:rsidRDefault="004B502C" w:rsidP="00BA4105">
      <w:pPr>
        <w:pStyle w:val="SingleTxtG"/>
        <w:keepNext/>
        <w:keepLines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expert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Union européenne souhaitera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sur cette question depuis la quarante-quatrième session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les paragraphes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 xml:space="preserve">17 à 19 du document </w:t>
      </w:r>
      <w:r w:rsidR="00A97C41" w:rsidRPr="00F77D6E">
        <w:rPr>
          <w:lang w:val="fr-FR"/>
        </w:rPr>
        <w:t>ST/SG/AC.10/C.4/88.</w:t>
      </w:r>
    </w:p>
    <w:p w14:paraId="6CEFC34E" w14:textId="39BBFB52" w:rsidR="004B502C" w:rsidRPr="00F77D6E" w:rsidRDefault="00CD4A5D" w:rsidP="00CD4A5D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f)</w:t>
      </w:r>
      <w:r w:rsidR="004B502C" w:rsidRPr="00F77D6E">
        <w:rPr>
          <w:lang w:val="fr-FR"/>
        </w:rPr>
        <w:tab/>
        <w:t>Questions pratiques relatives au classement (amendements proposés au</w:t>
      </w:r>
      <w:r w:rsidRPr="00F77D6E">
        <w:rPr>
          <w:lang w:val="fr-FR"/>
        </w:rPr>
        <w:t> </w:t>
      </w:r>
      <w:r w:rsidR="004B502C" w:rsidRPr="00F77D6E">
        <w:rPr>
          <w:lang w:val="fr-FR"/>
        </w:rPr>
        <w:t>Système général harmonisé)</w:t>
      </w:r>
    </w:p>
    <w:p w14:paraId="452467C5" w14:textId="516FEA6C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expert des États-Unis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Amérique souhaitera peut</w:t>
      </w:r>
      <w:r w:rsidR="001C08A9" w:rsidRPr="00F77D6E">
        <w:rPr>
          <w:lang w:val="fr-FR"/>
        </w:rPr>
        <w:noBreakHyphen/>
      </w:r>
      <w:r w:rsidRPr="00F77D6E">
        <w:rPr>
          <w:lang w:val="fr-FR"/>
        </w:rPr>
        <w:t>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du groupe sur les points du programme de travail encore en suspens concernant les propositions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amendements au SGH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 paragraphe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 xml:space="preserve">20 du document </w:t>
      </w:r>
      <w:r w:rsidR="00A97C41" w:rsidRPr="00F77D6E">
        <w:rPr>
          <w:lang w:val="fr-FR"/>
        </w:rPr>
        <w:t>ST/SG/AC.10/C.4/88.</w:t>
      </w:r>
    </w:p>
    <w:p w14:paraId="20ADC1B7" w14:textId="7BA553C0" w:rsidR="004B502C" w:rsidRPr="00F77D6E" w:rsidRDefault="00CD4A5D" w:rsidP="00804EE1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g)</w:t>
      </w:r>
      <w:r w:rsidR="004B502C" w:rsidRPr="00F77D6E">
        <w:rPr>
          <w:lang w:val="fr-FR"/>
        </w:rPr>
        <w:tab/>
        <w:t>Nanomatériaux</w:t>
      </w:r>
    </w:p>
    <w:p w14:paraId="44ED5874" w14:textId="3CA3D31E" w:rsidR="004B502C" w:rsidRPr="00F77D6E" w:rsidRDefault="004B502C" w:rsidP="00173E2B">
      <w:pPr>
        <w:pStyle w:val="SingleTxtG"/>
        <w:ind w:firstLine="567"/>
        <w:rPr>
          <w:b/>
          <w:sz w:val="24"/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</w:p>
    <w:p w14:paraId="1CEA06C2" w14:textId="77777777" w:rsidR="00A72424" w:rsidRPr="00F77D6E" w:rsidRDefault="00CD4A5D" w:rsidP="00CD4A5D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h)</w:t>
      </w:r>
      <w:r w:rsidR="004B502C" w:rsidRPr="00F77D6E">
        <w:rPr>
          <w:lang w:val="fr-FR"/>
        </w:rPr>
        <w:tab/>
        <w:t>Dangers pour le système atmosphérique</w:t>
      </w:r>
    </w:p>
    <w:p w14:paraId="74D7181C" w14:textId="34FAB378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À sa quarante-troisième session, le Sous-Comité SGH a décidé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ajouter un point à son programme de travail pour 2023-2024 concernant la communication des dangers des gaz visés par le Protocole de Montréal et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 xml:space="preserve">autres Conventions (voir </w:t>
      </w:r>
      <w:r w:rsidR="00A97C41" w:rsidRPr="00F77D6E">
        <w:rPr>
          <w:lang w:val="fr-FR"/>
        </w:rPr>
        <w:t>ST/SG/AC.10/C.4/86</w:t>
      </w:r>
      <w:r w:rsidRPr="00F77D6E">
        <w:rPr>
          <w:lang w:val="fr-FR"/>
        </w:rPr>
        <w:t>, par</w:t>
      </w:r>
      <w:r w:rsidR="00A97C41" w:rsidRPr="00F77D6E">
        <w:rPr>
          <w:lang w:val="fr-FR"/>
        </w:rPr>
        <w:t>.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>47, et annexe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>I)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À sa quarante-quatrième session, il a adopté un ensemble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amendements au chapitre 4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2 consacrés à ce thème (voir </w:t>
      </w:r>
      <w:r w:rsidR="00A97C41" w:rsidRPr="00F77D6E">
        <w:rPr>
          <w:lang w:val="fr-FR"/>
        </w:rPr>
        <w:t>ST/SG/AC.10/C.4/88</w:t>
      </w:r>
      <w:r w:rsidRPr="00F77D6E">
        <w:rPr>
          <w:lang w:val="fr-FR"/>
        </w:rPr>
        <w:t>, par</w:t>
      </w:r>
      <w:r w:rsidR="00A97C41" w:rsidRPr="00F77D6E">
        <w:rPr>
          <w:lang w:val="fr-FR"/>
        </w:rPr>
        <w:t>.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>22 et annexe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>I) et a décidé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entreprendre des travaux destinés à élargir le champ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application du Système général harmonisé de façon à y faire figurer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autres matières et mélanges dangereux pour le système atmosphérique, raison pour laquelle le point correspondant du présent ordre du jour a été renommé</w:t>
      </w:r>
      <w:r w:rsidR="00A97C41" w:rsidRPr="00F77D6E">
        <w:rPr>
          <w:lang w:val="fr-FR"/>
        </w:rPr>
        <w:t>.</w:t>
      </w:r>
    </w:p>
    <w:p w14:paraId="7AC4CECC" w14:textId="45177E0E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expert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Union européenne souhaitera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sur cette question depuis la quarante-quatrième session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 paragraphe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 xml:space="preserve">23 du document </w:t>
      </w:r>
      <w:r w:rsidR="00A97C41" w:rsidRPr="00F77D6E">
        <w:rPr>
          <w:lang w:val="fr-FR"/>
        </w:rPr>
        <w:t>ST/SG/AC.10/C.4/88.</w:t>
      </w:r>
    </w:p>
    <w:p w14:paraId="6B3E6636" w14:textId="3F02E9C6" w:rsidR="004B502C" w:rsidRPr="00F77D6E" w:rsidRDefault="00CD4A5D" w:rsidP="00CD4A5D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i)</w:t>
      </w:r>
      <w:r w:rsidR="004B502C" w:rsidRPr="00F77D6E">
        <w:rPr>
          <w:lang w:val="fr-FR"/>
        </w:rPr>
        <w:tab/>
        <w:t>Amélioration des annexes 1 à 3 et poursuite de la rationalisation des</w:t>
      </w:r>
      <w:r w:rsidRPr="00F77D6E">
        <w:rPr>
          <w:lang w:val="fr-FR"/>
        </w:rPr>
        <w:t> </w:t>
      </w:r>
      <w:r w:rsidR="004B502C" w:rsidRPr="00F77D6E">
        <w:rPr>
          <w:lang w:val="fr-FR"/>
        </w:rPr>
        <w:t>conseils de prudence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570"/>
      </w:tblGrid>
      <w:tr w:rsidR="00A72424" w:rsidRPr="00F77D6E" w14:paraId="7FEB34C4" w14:textId="77777777" w:rsidTr="00A72424">
        <w:tc>
          <w:tcPr>
            <w:tcW w:w="2800" w:type="dxa"/>
            <w:shd w:val="clear" w:color="auto" w:fill="auto"/>
          </w:tcPr>
          <w:p w14:paraId="0A2F9D28" w14:textId="7900775C" w:rsidR="00A72424" w:rsidRPr="00F77D6E" w:rsidRDefault="00A97C41" w:rsidP="00A72424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ST/SG/AC.10/C.4/2023/9</w:t>
            </w:r>
            <w:r w:rsidR="00A72424" w:rsidRPr="00F77D6E">
              <w:rPr>
                <w:lang w:val="fr-FR"/>
              </w:rPr>
              <w:t xml:space="preserve"> et</w:t>
            </w:r>
            <w:r w:rsidRPr="00F77D6E">
              <w:rPr>
                <w:lang w:val="fr-FR"/>
              </w:rPr>
              <w:t> </w:t>
            </w:r>
            <w:r w:rsidR="00A72424" w:rsidRPr="00F77D6E">
              <w:rPr>
                <w:lang w:val="fr-FR"/>
              </w:rPr>
              <w:t>document informel INF</w:t>
            </w:r>
            <w:r w:rsidRPr="00F77D6E">
              <w:rPr>
                <w:lang w:val="fr-FR"/>
              </w:rPr>
              <w:t>.</w:t>
            </w:r>
            <w:r w:rsidR="00A72424" w:rsidRPr="00F77D6E">
              <w:rPr>
                <w:lang w:val="fr-FR"/>
              </w:rPr>
              <w:t>3 (Royaume-Uni au nom du groupe de travail informel)</w:t>
            </w:r>
          </w:p>
        </w:tc>
        <w:tc>
          <w:tcPr>
            <w:tcW w:w="4570" w:type="dxa"/>
            <w:shd w:val="clear" w:color="auto" w:fill="auto"/>
          </w:tcPr>
          <w:p w14:paraId="5FACB6BC" w14:textId="1080B1B0" w:rsidR="00A72424" w:rsidRPr="00F77D6E" w:rsidRDefault="00A72424" w:rsidP="00A72424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Propositions d</w:t>
            </w:r>
            <w:r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amendements aux conseils de prudence de l</w:t>
            </w:r>
            <w:r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annexe 3 en ce qui concerne les classes de danger relatives à la «</w:t>
            </w:r>
            <w:r w:rsidR="001C08A9" w:rsidRPr="00F77D6E">
              <w:rPr>
                <w:lang w:val="fr-FR"/>
              </w:rPr>
              <w:t> </w:t>
            </w:r>
            <w:r w:rsidRPr="00F77D6E">
              <w:rPr>
                <w:lang w:val="fr-FR"/>
              </w:rPr>
              <w:t>toxicité aiguë</w:t>
            </w:r>
            <w:r w:rsidR="001C08A9" w:rsidRPr="00F77D6E">
              <w:rPr>
                <w:lang w:val="fr-FR"/>
              </w:rPr>
              <w:t> </w:t>
            </w:r>
            <w:r w:rsidRPr="00F77D6E">
              <w:rPr>
                <w:lang w:val="fr-FR"/>
              </w:rPr>
              <w:t>» et à la «</w:t>
            </w:r>
            <w:r w:rsidR="001C08A9" w:rsidRPr="00F77D6E">
              <w:rPr>
                <w:lang w:val="fr-FR"/>
              </w:rPr>
              <w:t> </w:t>
            </w:r>
            <w:r w:rsidRPr="00F77D6E">
              <w:rPr>
                <w:lang w:val="fr-FR"/>
              </w:rPr>
              <w:t>toxicité pour certains organes cibles</w:t>
            </w:r>
            <w:r w:rsidR="001C08A9" w:rsidRPr="00F77D6E">
              <w:rPr>
                <w:lang w:val="fr-FR"/>
              </w:rPr>
              <w:t> </w:t>
            </w:r>
            <w:r w:rsidRPr="00F77D6E">
              <w:rPr>
                <w:lang w:val="fr-FR"/>
              </w:rPr>
              <w:t>»</w:t>
            </w:r>
          </w:p>
        </w:tc>
      </w:tr>
    </w:tbl>
    <w:p w14:paraId="343AD3EC" w14:textId="0F72A55C" w:rsidR="004B502C" w:rsidRPr="00F77D6E" w:rsidRDefault="004B502C" w:rsidP="00BA4105">
      <w:pPr>
        <w:pStyle w:val="SingleTxtG"/>
        <w:spacing w:before="240"/>
        <w:ind w:firstLine="567"/>
        <w:rPr>
          <w:b/>
          <w:sz w:val="24"/>
          <w:lang w:val="fr-FR"/>
        </w:rPr>
      </w:pPr>
      <w:r w:rsidRPr="00F77D6E">
        <w:rPr>
          <w:lang w:val="fr-FR"/>
        </w:rPr>
        <w:t>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expert du Royaume-Uni souhaitera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du groupe de travail informel sur les points du programme de travail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les paragraphes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 xml:space="preserve">24 et 25 du document </w:t>
      </w:r>
      <w:r w:rsidR="00A97C41" w:rsidRPr="00F77D6E">
        <w:rPr>
          <w:lang w:val="fr-FR"/>
        </w:rPr>
        <w:t>ST/SG/AC.10/C.4/88.</w:t>
      </w:r>
    </w:p>
    <w:p w14:paraId="4FE0DD13" w14:textId="2EF1F18B" w:rsidR="00A72424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lastRenderedPageBreak/>
        <w:tab/>
      </w:r>
      <w:r w:rsidR="004B502C" w:rsidRPr="00F77D6E">
        <w:rPr>
          <w:lang w:val="fr-FR"/>
        </w:rPr>
        <w:t>j)</w:t>
      </w:r>
      <w:r w:rsidR="004B502C" w:rsidRPr="00F77D6E">
        <w:rPr>
          <w:lang w:val="fr-FR"/>
        </w:rPr>
        <w:tab/>
        <w:t>Autres questions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570"/>
      </w:tblGrid>
      <w:tr w:rsidR="00A72424" w:rsidRPr="00F77D6E" w:rsidDel="005F71B2" w14:paraId="706FDB32" w14:textId="77777777" w:rsidTr="00A72424">
        <w:tc>
          <w:tcPr>
            <w:tcW w:w="2800" w:type="dxa"/>
            <w:shd w:val="clear" w:color="auto" w:fill="auto"/>
          </w:tcPr>
          <w:p w14:paraId="00B5C154" w14:textId="4588DA02" w:rsidR="00A72424" w:rsidRPr="00F77D6E" w:rsidRDefault="00A97C41" w:rsidP="00A72424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ST/SG/AC.10/C.4/2023/7</w:t>
            </w:r>
            <w:r w:rsidR="00A72424" w:rsidRPr="00F77D6E">
              <w:rPr>
                <w:lang w:val="fr-FR"/>
              </w:rPr>
              <w:t xml:space="preserve"> (Canada)</w:t>
            </w:r>
          </w:p>
        </w:tc>
        <w:tc>
          <w:tcPr>
            <w:tcW w:w="4570" w:type="dxa"/>
            <w:shd w:val="clear" w:color="auto" w:fill="auto"/>
          </w:tcPr>
          <w:p w14:paraId="57C66079" w14:textId="7CB6751B" w:rsidR="00A72424" w:rsidRPr="00F77D6E" w:rsidRDefault="00A72424" w:rsidP="00A72424">
            <w:pPr>
              <w:spacing w:before="40" w:after="120"/>
              <w:ind w:right="113"/>
              <w:rPr>
                <w:spacing w:val="-2"/>
                <w:lang w:val="fr-FR"/>
              </w:rPr>
            </w:pPr>
            <w:r w:rsidRPr="00F77D6E">
              <w:rPr>
                <w:spacing w:val="-2"/>
                <w:lang w:val="fr-FR"/>
              </w:rPr>
              <w:t>Traduction française des mentions de danger pour les produits chimiques sous pression des catégories 1, 2 et 3</w:t>
            </w:r>
          </w:p>
        </w:tc>
      </w:tr>
      <w:tr w:rsidR="00A72424" w:rsidRPr="00F77D6E" w:rsidDel="005F71B2" w14:paraId="3E757AC9" w14:textId="77777777" w:rsidTr="00A72424">
        <w:tc>
          <w:tcPr>
            <w:tcW w:w="2800" w:type="dxa"/>
            <w:shd w:val="clear" w:color="auto" w:fill="auto"/>
          </w:tcPr>
          <w:p w14:paraId="2FC661CC" w14:textId="2BA3361E" w:rsidR="00A72424" w:rsidRPr="00F77D6E" w:rsidRDefault="00A97C41" w:rsidP="00A72424">
            <w:pPr>
              <w:spacing w:before="40" w:after="120"/>
              <w:ind w:right="113"/>
              <w:rPr>
                <w:lang w:val="fr-FR"/>
              </w:rPr>
            </w:pPr>
            <w:hyperlink r:id="rId11" w:history="1">
              <w:r w:rsidRPr="00F77D6E">
                <w:rPr>
                  <w:rStyle w:val="Hyperlink"/>
                  <w:lang w:val="fr-FR"/>
                </w:rPr>
                <w:t>ST/SG/AC.10/C.4/2023/8</w:t>
              </w:r>
            </w:hyperlink>
            <w:r w:rsidR="00A72424" w:rsidRPr="00F77D6E">
              <w:rPr>
                <w:lang w:val="fr-FR"/>
              </w:rPr>
              <w:t xml:space="preserve"> (Chine)</w:t>
            </w:r>
          </w:p>
        </w:tc>
        <w:tc>
          <w:tcPr>
            <w:tcW w:w="4570" w:type="dxa"/>
            <w:shd w:val="clear" w:color="auto" w:fill="auto"/>
          </w:tcPr>
          <w:p w14:paraId="68A2892D" w14:textId="060F428A" w:rsidR="00A72424" w:rsidRPr="00F77D6E" w:rsidRDefault="00A72424" w:rsidP="00A72424">
            <w:pPr>
              <w:spacing w:before="40" w:after="120"/>
              <w:ind w:right="113"/>
              <w:rPr>
                <w:lang w:val="fr-FR"/>
              </w:rPr>
            </w:pPr>
            <w:r w:rsidRPr="00F77D6E">
              <w:rPr>
                <w:lang w:val="fr-FR"/>
              </w:rPr>
              <w:t>Proposition visant à ajouter, à l</w:t>
            </w:r>
            <w:r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annexe 4 du Système général harmonisé de classification et d</w:t>
            </w:r>
            <w:r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étiquetage des produits chimiques («</w:t>
            </w:r>
            <w:r w:rsidR="001C08A9" w:rsidRPr="00F77D6E">
              <w:rPr>
                <w:lang w:val="fr-FR"/>
              </w:rPr>
              <w:t> </w:t>
            </w:r>
            <w:r w:rsidRPr="00F77D6E">
              <w:rPr>
                <w:lang w:val="fr-FR"/>
              </w:rPr>
              <w:t>Document guide sur l</w:t>
            </w:r>
            <w:r w:rsidRPr="00F77D6E">
              <w:rPr>
                <w:lang w:val="fr-FR"/>
              </w:rPr>
              <w:t>’</w:t>
            </w:r>
            <w:r w:rsidRPr="00F77D6E">
              <w:rPr>
                <w:lang w:val="fr-FR"/>
              </w:rPr>
              <w:t>élaboration de fiches de données de sécurité (FDS)</w:t>
            </w:r>
            <w:r w:rsidR="001C08A9" w:rsidRPr="00F77D6E">
              <w:rPr>
                <w:lang w:val="fr-FR"/>
              </w:rPr>
              <w:t> </w:t>
            </w:r>
            <w:r w:rsidRPr="00F77D6E">
              <w:rPr>
                <w:lang w:val="fr-FR"/>
              </w:rPr>
              <w:t>»), des prescriptions en matière de communication des dangers pour les matières ou mélanges dégageant des vapeurs inflammables</w:t>
            </w:r>
          </w:p>
        </w:tc>
      </w:tr>
    </w:tbl>
    <w:p w14:paraId="3BF43907" w14:textId="184C5440" w:rsidR="004B502C" w:rsidRPr="00F77D6E" w:rsidRDefault="00A72424" w:rsidP="00A72424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3</w:t>
      </w:r>
      <w:r w:rsidR="00A97C41" w:rsidRPr="00F77D6E">
        <w:rPr>
          <w:lang w:val="fr-FR"/>
        </w:rPr>
        <w:t>.</w:t>
      </w:r>
      <w:r w:rsidR="004B502C" w:rsidRPr="00F77D6E">
        <w:rPr>
          <w:lang w:val="fr-FR"/>
        </w:rPr>
        <w:tab/>
        <w:t>Application</w:t>
      </w:r>
    </w:p>
    <w:p w14:paraId="233C8A60" w14:textId="2A3C609D" w:rsidR="004B502C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a)</w:t>
      </w:r>
      <w:r w:rsidR="004B502C" w:rsidRPr="00F77D6E">
        <w:rPr>
          <w:lang w:val="fr-FR"/>
        </w:rPr>
        <w:tab/>
        <w:t>Élaboration éventuelle d</w:t>
      </w:r>
      <w:r w:rsidRPr="00F77D6E">
        <w:rPr>
          <w:lang w:val="fr-FR"/>
        </w:rPr>
        <w:t>’</w:t>
      </w:r>
      <w:r w:rsidR="004B502C" w:rsidRPr="00F77D6E">
        <w:rPr>
          <w:lang w:val="fr-FR"/>
        </w:rPr>
        <w:t>une liste des produits chimiques classés conformément au Système général harmonisé</w:t>
      </w:r>
    </w:p>
    <w:p w14:paraId="64954DA1" w14:textId="27888028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Les experts du Canada et des États-Unis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Amérique souhaiteront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sur cette question depuis la quarante-quatrième session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 paragraphe</w:t>
      </w:r>
      <w:r w:rsidR="001C08A9" w:rsidRPr="00F77D6E">
        <w:rPr>
          <w:lang w:val="fr-FR"/>
        </w:rPr>
        <w:t> </w:t>
      </w:r>
      <w:r w:rsidRPr="00F77D6E">
        <w:rPr>
          <w:lang w:val="fr-FR"/>
        </w:rPr>
        <w:t xml:space="preserve">32 du document </w:t>
      </w:r>
      <w:r w:rsidR="00A97C41" w:rsidRPr="00F77D6E">
        <w:rPr>
          <w:lang w:val="fr-FR"/>
        </w:rPr>
        <w:t>ST/SG/AC.10/C.4/88.</w:t>
      </w:r>
    </w:p>
    <w:p w14:paraId="4ED001A3" w14:textId="16DCFA59" w:rsidR="004B502C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b)</w:t>
      </w:r>
      <w:r w:rsidR="004B502C" w:rsidRPr="00F77D6E">
        <w:rPr>
          <w:lang w:val="fr-FR"/>
        </w:rPr>
        <w:tab/>
        <w:t>Rapports relatifs au stade atteint dans l</w:t>
      </w:r>
      <w:r w:rsidRPr="00F77D6E">
        <w:rPr>
          <w:lang w:val="fr-FR"/>
        </w:rPr>
        <w:t>’</w:t>
      </w:r>
      <w:r w:rsidR="004B502C" w:rsidRPr="00F77D6E">
        <w:rPr>
          <w:lang w:val="fr-FR"/>
        </w:rPr>
        <w:t>application du Système général harmonisé</w:t>
      </w:r>
    </w:p>
    <w:p w14:paraId="2529B6E1" w14:textId="0C176278" w:rsidR="00A72424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Les experts, observateurs et organisations internationales souhaiteront peut-être informer le Sous-Comité SGH du stade atteint dans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application du SGH dans leurs pays ou domaines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activités respectifs</w:t>
      </w:r>
      <w:r w:rsidR="00A97C41" w:rsidRPr="00F77D6E">
        <w:rPr>
          <w:lang w:val="fr-FR"/>
        </w:rPr>
        <w:t>.</w:t>
      </w:r>
    </w:p>
    <w:p w14:paraId="33F49EF2" w14:textId="5912112C" w:rsidR="004B502C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c)</w:t>
      </w:r>
      <w:r w:rsidR="004B502C" w:rsidRPr="00F77D6E">
        <w:rPr>
          <w:lang w:val="fr-FR"/>
        </w:rPr>
        <w:tab/>
        <w:t>Coopération avec d</w:t>
      </w:r>
      <w:r w:rsidRPr="00F77D6E">
        <w:rPr>
          <w:lang w:val="fr-FR"/>
        </w:rPr>
        <w:t>’</w:t>
      </w:r>
      <w:r w:rsidR="004B502C" w:rsidRPr="00F77D6E">
        <w:rPr>
          <w:lang w:val="fr-FR"/>
        </w:rPr>
        <w:t>autres entités ou organisations internationales</w:t>
      </w:r>
    </w:p>
    <w:p w14:paraId="227BCE72" w14:textId="66492227" w:rsidR="00A72424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</w:p>
    <w:p w14:paraId="098171C2" w14:textId="4C598CCF" w:rsidR="004B502C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d)</w:t>
      </w:r>
      <w:r w:rsidR="004B502C" w:rsidRPr="00F77D6E">
        <w:rPr>
          <w:lang w:val="fr-FR"/>
        </w:rPr>
        <w:tab/>
        <w:t>Autres questions</w:t>
      </w:r>
    </w:p>
    <w:p w14:paraId="11C3EB69" w14:textId="65EE562F" w:rsidR="00A72424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</w:p>
    <w:p w14:paraId="02F568F4" w14:textId="121CC06B" w:rsidR="004B502C" w:rsidRPr="00F77D6E" w:rsidRDefault="00A72424" w:rsidP="00A72424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4</w:t>
      </w:r>
      <w:r w:rsidR="00A97C41" w:rsidRPr="00F77D6E">
        <w:rPr>
          <w:lang w:val="fr-FR"/>
        </w:rPr>
        <w:t>.</w:t>
      </w:r>
      <w:r w:rsidR="004B502C" w:rsidRPr="00F77D6E">
        <w:rPr>
          <w:lang w:val="fr-FR"/>
        </w:rPr>
        <w:tab/>
        <w:t>Élaboration de lignes directrices pour l</w:t>
      </w:r>
      <w:r w:rsidRPr="00F77D6E">
        <w:rPr>
          <w:lang w:val="fr-FR"/>
        </w:rPr>
        <w:t>’</w:t>
      </w:r>
      <w:r w:rsidR="004B502C" w:rsidRPr="00F77D6E">
        <w:rPr>
          <w:lang w:val="fr-FR"/>
        </w:rPr>
        <w:t>application du</w:t>
      </w:r>
      <w:r w:rsidR="00F7678F" w:rsidRPr="00F77D6E">
        <w:rPr>
          <w:lang w:val="fr-FR"/>
        </w:rPr>
        <w:t> </w:t>
      </w:r>
      <w:r w:rsidR="004B502C" w:rsidRPr="00F77D6E">
        <w:rPr>
          <w:lang w:val="fr-FR"/>
        </w:rPr>
        <w:t>Système général harmonisé</w:t>
      </w:r>
    </w:p>
    <w:p w14:paraId="1BC8139D" w14:textId="6635E7EB" w:rsidR="004B502C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a)</w:t>
      </w:r>
      <w:r w:rsidR="004B502C" w:rsidRPr="00F77D6E">
        <w:rPr>
          <w:lang w:val="fr-FR"/>
        </w:rPr>
        <w:tab/>
        <w:t>Questions pratiques relatives au classement</w:t>
      </w:r>
    </w:p>
    <w:p w14:paraId="65A51FA3" w14:textId="086BE2D7" w:rsidR="004B502C" w:rsidRPr="00F77D6E" w:rsidRDefault="004B502C" w:rsidP="00173E2B">
      <w:pPr>
        <w:pStyle w:val="SingleTxtG"/>
        <w:ind w:firstLine="567"/>
        <w:rPr>
          <w:b/>
          <w:sz w:val="24"/>
          <w:lang w:val="fr-FR"/>
        </w:rPr>
      </w:pPr>
      <w:r w:rsidRPr="00F77D6E">
        <w:rPr>
          <w:lang w:val="fr-FR"/>
        </w:rPr>
        <w:t>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expert des États-Unis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Amérique souhaitera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du groupe de travail informel sur les points du programme de travail ayant trait à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élaboration de lignes directrices pour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application des critères du SGH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Pour en savoir plus, on consultera le paragraphe</w:t>
      </w:r>
      <w:r w:rsidR="00F7678F" w:rsidRPr="00F77D6E">
        <w:rPr>
          <w:lang w:val="fr-FR"/>
        </w:rPr>
        <w:t> </w:t>
      </w:r>
      <w:r w:rsidRPr="00F77D6E">
        <w:rPr>
          <w:lang w:val="fr-FR"/>
        </w:rPr>
        <w:t xml:space="preserve">41 du document </w:t>
      </w:r>
      <w:r w:rsidR="00A97C41" w:rsidRPr="00F77D6E">
        <w:rPr>
          <w:lang w:val="fr-FR"/>
        </w:rPr>
        <w:t>ST/SG/AC.10/C.4/88.</w:t>
      </w:r>
    </w:p>
    <w:p w14:paraId="0ABBAA80" w14:textId="6A7EBAD1" w:rsidR="004B502C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lastRenderedPageBreak/>
        <w:tab/>
      </w:r>
      <w:r w:rsidR="004B502C" w:rsidRPr="00F77D6E">
        <w:rPr>
          <w:lang w:val="fr-FR"/>
        </w:rPr>
        <w:t>b)</w:t>
      </w:r>
      <w:r w:rsidR="004B502C" w:rsidRPr="00F77D6E">
        <w:rPr>
          <w:lang w:val="fr-FR"/>
        </w:rPr>
        <w:tab/>
        <w:t>Questions pratiques relatives à l</w:t>
      </w:r>
      <w:r w:rsidRPr="00F77D6E">
        <w:rPr>
          <w:lang w:val="fr-FR"/>
        </w:rPr>
        <w:t>’</w:t>
      </w:r>
      <w:r w:rsidR="004B502C" w:rsidRPr="00F77D6E">
        <w:rPr>
          <w:lang w:val="fr-FR"/>
        </w:rPr>
        <w:t>étiquetage</w:t>
      </w:r>
    </w:p>
    <w:p w14:paraId="5C88B4C2" w14:textId="08043E5D" w:rsidR="004B502C" w:rsidRPr="00F77D6E" w:rsidRDefault="004B502C" w:rsidP="00173E2B">
      <w:pPr>
        <w:pStyle w:val="SingleTxtG"/>
        <w:ind w:firstLine="567"/>
        <w:rPr>
          <w:b/>
          <w:sz w:val="24"/>
          <w:lang w:val="fr-FR"/>
        </w:rPr>
      </w:pPr>
      <w:r w:rsidRPr="00F77D6E">
        <w:rPr>
          <w:lang w:val="fr-FR"/>
        </w:rPr>
        <w:t>À sa quarante-quatrième session, le Sous-Comité SGH a adopté un ensemble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amendements aux exemples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étiquetage figurant à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annexe</w:t>
      </w:r>
      <w:r w:rsidR="00572D10" w:rsidRPr="00F77D6E">
        <w:rPr>
          <w:lang w:val="fr-FR"/>
        </w:rPr>
        <w:t> </w:t>
      </w:r>
      <w:r w:rsidRPr="00F77D6E">
        <w:rPr>
          <w:lang w:val="fr-FR"/>
        </w:rPr>
        <w:t xml:space="preserve">7 du SGH (voir </w:t>
      </w:r>
      <w:r w:rsidR="00A97C41" w:rsidRPr="00F77D6E">
        <w:rPr>
          <w:lang w:val="fr-FR"/>
        </w:rPr>
        <w:t>ST/SG/AC.10/C.4/88</w:t>
      </w:r>
      <w:r w:rsidRPr="00F77D6E">
        <w:rPr>
          <w:lang w:val="fr-FR"/>
        </w:rPr>
        <w:t>, par</w:t>
      </w:r>
      <w:r w:rsidR="00A97C41" w:rsidRPr="00F77D6E">
        <w:rPr>
          <w:lang w:val="fr-FR"/>
        </w:rPr>
        <w:t>.</w:t>
      </w:r>
      <w:r w:rsidR="00572D10" w:rsidRPr="00F77D6E">
        <w:rPr>
          <w:lang w:val="fr-FR"/>
        </w:rPr>
        <w:t> </w:t>
      </w:r>
      <w:r w:rsidRPr="00F77D6E">
        <w:rPr>
          <w:lang w:val="fr-FR"/>
        </w:rPr>
        <w:t>42 et annexe</w:t>
      </w:r>
      <w:r w:rsidR="00572D10" w:rsidRPr="00F77D6E">
        <w:rPr>
          <w:lang w:val="fr-FR"/>
        </w:rPr>
        <w:t> </w:t>
      </w:r>
      <w:r w:rsidRPr="00F77D6E">
        <w:rPr>
          <w:lang w:val="fr-FR"/>
        </w:rPr>
        <w:t>I)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 xml:space="preserve"> Le représentant du European Chemical Industry Council (Cefic) souhaitera peut-être informer le Sous-Comité SGH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avancement des travaux du groupe de travail informel sur les points du programme de travail encore en suspens (voir document informel INF</w:t>
      </w:r>
      <w:r w:rsidR="00A97C41" w:rsidRPr="00F77D6E">
        <w:rPr>
          <w:lang w:val="fr-FR"/>
        </w:rPr>
        <w:t>.</w:t>
      </w:r>
      <w:r w:rsidRPr="00F77D6E">
        <w:rPr>
          <w:lang w:val="fr-FR"/>
        </w:rPr>
        <w:t>32 (quarante-troisième session))</w:t>
      </w:r>
      <w:r w:rsidRPr="00F77D6E">
        <w:rPr>
          <w:rStyle w:val="FootnoteReference"/>
          <w:lang w:val="fr-FR"/>
        </w:rPr>
        <w:footnoteReference w:id="3"/>
      </w:r>
      <w:r w:rsidR="00A97C41" w:rsidRPr="00F77D6E">
        <w:rPr>
          <w:lang w:val="fr-FR"/>
        </w:rPr>
        <w:t>.</w:t>
      </w:r>
    </w:p>
    <w:p w14:paraId="038B6287" w14:textId="2A5A213B" w:rsidR="004B502C" w:rsidRPr="00F77D6E" w:rsidRDefault="00A72424" w:rsidP="00A72424">
      <w:pPr>
        <w:pStyle w:val="H1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c)</w:t>
      </w:r>
      <w:r w:rsidR="004B502C" w:rsidRPr="00F77D6E">
        <w:rPr>
          <w:lang w:val="fr-FR"/>
        </w:rPr>
        <w:tab/>
        <w:t>Autres questions</w:t>
      </w:r>
    </w:p>
    <w:p w14:paraId="1A930370" w14:textId="251E7497" w:rsidR="00A72424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</w:p>
    <w:p w14:paraId="26C7ECE8" w14:textId="6216A4FF" w:rsidR="004B502C" w:rsidRPr="00F77D6E" w:rsidRDefault="00A72424" w:rsidP="00A72424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5</w:t>
      </w:r>
      <w:r w:rsidR="00A97C41" w:rsidRPr="00F77D6E">
        <w:rPr>
          <w:lang w:val="fr-FR"/>
        </w:rPr>
        <w:t>.</w:t>
      </w:r>
      <w:r w:rsidR="004B502C" w:rsidRPr="00F77D6E">
        <w:rPr>
          <w:lang w:val="fr-FR"/>
        </w:rPr>
        <w:tab/>
        <w:t>Renforcement des capacités</w:t>
      </w:r>
    </w:p>
    <w:p w14:paraId="5ED83674" w14:textId="2BEBBFB2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Les experts, les observateurs et les organisations internationales souhaiteront peut</w:t>
      </w:r>
      <w:r w:rsidR="00A97C41" w:rsidRPr="00F77D6E">
        <w:rPr>
          <w:lang w:val="fr-FR"/>
        </w:rPr>
        <w:noBreakHyphen/>
      </w:r>
      <w:r w:rsidRPr="00F77D6E">
        <w:rPr>
          <w:lang w:val="fr-FR"/>
        </w:rPr>
        <w:t>être informer le Sous-Comité SGH des éventuels projets et activités de renforcement des capacités menés en lien avec le SGH</w:t>
      </w:r>
      <w:r w:rsidR="00A97C41" w:rsidRPr="00F77D6E">
        <w:rPr>
          <w:lang w:val="fr-FR"/>
        </w:rPr>
        <w:t>.</w:t>
      </w:r>
    </w:p>
    <w:p w14:paraId="27ADE67F" w14:textId="5CC9EA92" w:rsidR="004B502C" w:rsidRPr="00F77D6E" w:rsidRDefault="00A72424" w:rsidP="00A72424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6</w:t>
      </w:r>
      <w:r w:rsidR="00A97C41" w:rsidRPr="00F77D6E">
        <w:rPr>
          <w:lang w:val="fr-FR"/>
        </w:rPr>
        <w:t>.</w:t>
      </w:r>
      <w:r w:rsidR="004B502C" w:rsidRPr="00F77D6E">
        <w:rPr>
          <w:lang w:val="fr-FR"/>
        </w:rPr>
        <w:tab/>
        <w:t>Mise en œuvre du Programme 2030 et travaux du Conseil économique et social</w:t>
      </w:r>
    </w:p>
    <w:p w14:paraId="55704E42" w14:textId="251F6275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</w:p>
    <w:p w14:paraId="507715B0" w14:textId="64BF23E2" w:rsidR="004B502C" w:rsidRPr="00F77D6E" w:rsidRDefault="00A72424" w:rsidP="00A72424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7</w:t>
      </w:r>
      <w:r w:rsidR="00A97C41" w:rsidRPr="00F77D6E">
        <w:rPr>
          <w:lang w:val="fr-FR"/>
        </w:rPr>
        <w:t>.</w:t>
      </w:r>
      <w:r w:rsidR="004B502C" w:rsidRPr="00F77D6E">
        <w:rPr>
          <w:lang w:val="fr-FR"/>
        </w:rPr>
        <w:tab/>
        <w:t>Questions diverses</w:t>
      </w:r>
    </w:p>
    <w:p w14:paraId="0387E75E" w14:textId="40E90671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Aucun document n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avait été soumis au titre de ce point de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ordre du jour au moment de la rédaction du présent document</w:t>
      </w:r>
      <w:r w:rsidR="00A97C41" w:rsidRPr="00F77D6E">
        <w:rPr>
          <w:lang w:val="fr-FR"/>
        </w:rPr>
        <w:t>.</w:t>
      </w:r>
    </w:p>
    <w:p w14:paraId="0FC3C03E" w14:textId="5D813E90" w:rsidR="004B502C" w:rsidRPr="00F77D6E" w:rsidRDefault="00A72424" w:rsidP="00A72424">
      <w:pPr>
        <w:pStyle w:val="HChG"/>
        <w:rPr>
          <w:lang w:val="fr-FR"/>
        </w:rPr>
      </w:pPr>
      <w:r w:rsidRPr="00F77D6E">
        <w:rPr>
          <w:lang w:val="fr-FR"/>
        </w:rPr>
        <w:tab/>
      </w:r>
      <w:r w:rsidR="004B502C" w:rsidRPr="00F77D6E">
        <w:rPr>
          <w:lang w:val="fr-FR"/>
        </w:rPr>
        <w:t>8</w:t>
      </w:r>
      <w:r w:rsidR="00A97C41" w:rsidRPr="00F77D6E">
        <w:rPr>
          <w:lang w:val="fr-FR"/>
        </w:rPr>
        <w:t>.</w:t>
      </w:r>
      <w:r w:rsidR="004B502C" w:rsidRPr="00F77D6E">
        <w:rPr>
          <w:lang w:val="fr-FR"/>
        </w:rPr>
        <w:tab/>
        <w:t>Adoption du rapport</w:t>
      </w:r>
    </w:p>
    <w:p w14:paraId="68E44978" w14:textId="21E379A7" w:rsidR="004B502C" w:rsidRPr="00F77D6E" w:rsidRDefault="004B502C" w:rsidP="00173E2B">
      <w:pPr>
        <w:pStyle w:val="SingleTxtG"/>
        <w:ind w:firstLine="567"/>
        <w:rPr>
          <w:lang w:val="fr-FR"/>
        </w:rPr>
      </w:pPr>
      <w:r w:rsidRPr="00F77D6E">
        <w:rPr>
          <w:lang w:val="fr-FR"/>
        </w:rPr>
        <w:t>Conformément à l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usage, le Sous-Comité SGH souhaitera peut-être adopter le rapport sur sa quarante-cinquième session et son ou ses annexes sur la base d</w:t>
      </w:r>
      <w:r w:rsidR="00A72424" w:rsidRPr="00F77D6E">
        <w:rPr>
          <w:lang w:val="fr-FR"/>
        </w:rPr>
        <w:t>’</w:t>
      </w:r>
      <w:r w:rsidRPr="00F77D6E">
        <w:rPr>
          <w:lang w:val="fr-FR"/>
        </w:rPr>
        <w:t>un projet établi par le secrétariat</w:t>
      </w:r>
      <w:r w:rsidR="00A97C41" w:rsidRPr="00F77D6E">
        <w:rPr>
          <w:lang w:val="fr-FR"/>
        </w:rPr>
        <w:t>.</w:t>
      </w:r>
    </w:p>
    <w:p w14:paraId="2F1B64C9" w14:textId="48F635B5" w:rsidR="004B502C" w:rsidRPr="00F77D6E" w:rsidRDefault="004B502C" w:rsidP="004B502C">
      <w:pPr>
        <w:pStyle w:val="SingleTxtG"/>
        <w:spacing w:before="240" w:after="0"/>
        <w:jc w:val="center"/>
        <w:rPr>
          <w:u w:val="single"/>
          <w:lang w:val="fr-FR"/>
        </w:rPr>
      </w:pPr>
      <w:r w:rsidRPr="00F77D6E">
        <w:rPr>
          <w:u w:val="single"/>
          <w:lang w:val="fr-FR"/>
        </w:rPr>
        <w:tab/>
      </w:r>
      <w:r w:rsidRPr="00F77D6E">
        <w:rPr>
          <w:u w:val="single"/>
          <w:lang w:val="fr-FR"/>
        </w:rPr>
        <w:tab/>
      </w:r>
      <w:r w:rsidRPr="00F77D6E">
        <w:rPr>
          <w:u w:val="single"/>
          <w:lang w:val="fr-FR"/>
        </w:rPr>
        <w:tab/>
      </w:r>
    </w:p>
    <w:sectPr w:rsidR="004B502C" w:rsidRPr="00F77D6E" w:rsidSect="004B502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8481" w14:textId="77777777" w:rsidR="00566581" w:rsidRDefault="00566581" w:rsidP="00F95C08">
      <w:pPr>
        <w:spacing w:line="240" w:lineRule="auto"/>
      </w:pPr>
    </w:p>
  </w:endnote>
  <w:endnote w:type="continuationSeparator" w:id="0">
    <w:p w14:paraId="6720484B" w14:textId="77777777" w:rsidR="00566581" w:rsidRPr="00AC3823" w:rsidRDefault="00566581" w:rsidP="00AC3823">
      <w:pPr>
        <w:pStyle w:val="Footer"/>
      </w:pPr>
    </w:p>
  </w:endnote>
  <w:endnote w:type="continuationNotice" w:id="1">
    <w:p w14:paraId="0F9AB40D" w14:textId="77777777" w:rsidR="00566581" w:rsidRDefault="005665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8E2D" w14:textId="208C3B3D" w:rsidR="004B502C" w:rsidRPr="004B502C" w:rsidRDefault="004B502C" w:rsidP="004B502C">
    <w:pPr>
      <w:pStyle w:val="Footer"/>
      <w:tabs>
        <w:tab w:val="right" w:pos="9638"/>
      </w:tabs>
    </w:pPr>
    <w:r w:rsidRPr="004B502C">
      <w:rPr>
        <w:b/>
        <w:sz w:val="18"/>
      </w:rPr>
      <w:fldChar w:fldCharType="begin"/>
    </w:r>
    <w:r w:rsidRPr="004B502C">
      <w:rPr>
        <w:b/>
        <w:sz w:val="18"/>
      </w:rPr>
      <w:instrText xml:space="preserve"> PAGE  \* MERGEFORMAT </w:instrText>
    </w:r>
    <w:r w:rsidRPr="004B502C">
      <w:rPr>
        <w:b/>
        <w:sz w:val="18"/>
      </w:rPr>
      <w:fldChar w:fldCharType="separate"/>
    </w:r>
    <w:r w:rsidRPr="004B502C">
      <w:rPr>
        <w:b/>
        <w:noProof/>
        <w:sz w:val="18"/>
      </w:rPr>
      <w:t>2</w:t>
    </w:r>
    <w:r w:rsidRPr="004B502C">
      <w:rPr>
        <w:b/>
        <w:sz w:val="18"/>
      </w:rPr>
      <w:fldChar w:fldCharType="end"/>
    </w:r>
    <w:r>
      <w:rPr>
        <w:b/>
        <w:sz w:val="18"/>
      </w:rPr>
      <w:tab/>
    </w:r>
    <w:r>
      <w:t>GE.23-18305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4E28" w14:textId="00EA07E4" w:rsidR="004B502C" w:rsidRPr="004B502C" w:rsidRDefault="004B502C" w:rsidP="004B502C">
    <w:pPr>
      <w:pStyle w:val="Footer"/>
      <w:tabs>
        <w:tab w:val="right" w:pos="9638"/>
      </w:tabs>
      <w:rPr>
        <w:b/>
        <w:sz w:val="18"/>
      </w:rPr>
    </w:pPr>
    <w:r>
      <w:t>GE.23-18305</w:t>
    </w:r>
    <w:r>
      <w:tab/>
    </w:r>
    <w:r w:rsidRPr="004B502C">
      <w:rPr>
        <w:b/>
        <w:sz w:val="18"/>
      </w:rPr>
      <w:fldChar w:fldCharType="begin"/>
    </w:r>
    <w:r w:rsidRPr="004B502C">
      <w:rPr>
        <w:b/>
        <w:sz w:val="18"/>
      </w:rPr>
      <w:instrText xml:space="preserve"> PAGE  \* MERGEFORMAT </w:instrText>
    </w:r>
    <w:r w:rsidRPr="004B502C">
      <w:rPr>
        <w:b/>
        <w:sz w:val="18"/>
      </w:rPr>
      <w:fldChar w:fldCharType="separate"/>
    </w:r>
    <w:r w:rsidRPr="004B502C">
      <w:rPr>
        <w:b/>
        <w:noProof/>
        <w:sz w:val="18"/>
      </w:rPr>
      <w:t>3</w:t>
    </w:r>
    <w:r w:rsidRPr="004B50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BCFC" w14:textId="5926DF09" w:rsidR="0068456F" w:rsidRPr="004B502C" w:rsidRDefault="004B502C" w:rsidP="004B502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53206C2" wp14:editId="6EC10C4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23-18305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1CDF164" wp14:editId="54BCE50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137924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181023    191023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B229" w14:textId="77777777" w:rsidR="00566581" w:rsidRPr="00AC3823" w:rsidRDefault="0056658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BB4208" w14:textId="77777777" w:rsidR="00566581" w:rsidRPr="00AC3823" w:rsidRDefault="0056658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846B45" w14:textId="77777777" w:rsidR="00566581" w:rsidRPr="00AC3823" w:rsidRDefault="00566581">
      <w:pPr>
        <w:spacing w:line="240" w:lineRule="auto"/>
        <w:rPr>
          <w:sz w:val="2"/>
          <w:szCs w:val="2"/>
        </w:rPr>
      </w:pPr>
    </w:p>
  </w:footnote>
  <w:footnote w:id="2">
    <w:p w14:paraId="5AD99B8D" w14:textId="45B239D2" w:rsidR="004B502C" w:rsidRPr="001D772A" w:rsidRDefault="004B502C" w:rsidP="004B502C">
      <w:pPr>
        <w:pStyle w:val="FootnoteText"/>
        <w:rPr>
          <w:lang w:val="fr-FR"/>
        </w:rPr>
      </w:pPr>
      <w:r>
        <w:rPr>
          <w:lang w:val="fr-FR"/>
        </w:rPr>
        <w:tab/>
      </w:r>
      <w:r w:rsidRPr="00C83B06">
        <w:rPr>
          <w:rStyle w:val="FootnoteReference"/>
        </w:rPr>
        <w:footnoteRef/>
      </w:r>
      <w:r>
        <w:rPr>
          <w:lang w:val="fr-FR"/>
        </w:rPr>
        <w:tab/>
        <w:t>Les représentantes et représentants participant aux travaux du Sous-Comité d</w:t>
      </w:r>
      <w:r w:rsidR="00CD4A5D">
        <w:rPr>
          <w:lang w:val="fr-FR"/>
        </w:rPr>
        <w:t>’</w:t>
      </w:r>
      <w:r>
        <w:rPr>
          <w:lang w:val="fr-FR"/>
        </w:rPr>
        <w:t>experts du Système général harmonisé de classification et d</w:t>
      </w:r>
      <w:r w:rsidR="00CD4A5D">
        <w:rPr>
          <w:lang w:val="fr-FR"/>
        </w:rPr>
        <w:t>’</w:t>
      </w:r>
      <w:r>
        <w:rPr>
          <w:lang w:val="fr-FR"/>
        </w:rPr>
        <w:t xml:space="preserve">étiquetage des produits chimiques (Sous-Comité SGH) qui ne </w:t>
      </w:r>
      <w:r w:rsidRPr="00CD4A5D">
        <w:rPr>
          <w:spacing w:val="-3"/>
          <w:lang w:val="fr-FR"/>
        </w:rPr>
        <w:t>participent pas habituellement aux travaux du Sous-Comité d</w:t>
      </w:r>
      <w:r w:rsidR="00CD4A5D" w:rsidRPr="00CD4A5D">
        <w:rPr>
          <w:spacing w:val="-3"/>
          <w:lang w:val="fr-FR"/>
        </w:rPr>
        <w:t>’</w:t>
      </w:r>
      <w:r w:rsidRPr="00CD4A5D">
        <w:rPr>
          <w:spacing w:val="-3"/>
          <w:lang w:val="fr-FR"/>
        </w:rPr>
        <w:t xml:space="preserve">experts du transport des marchandises dangereuses (Sous-Comité TMD) sont invités à participer aux travaux de ce dernier quand il examine la question des dangers physiques en qualité de centre de liaison pour le Sous-Comité SGH (voir aussi </w:t>
      </w:r>
      <w:hyperlink r:id="rId1" w:history="1">
        <w:r w:rsidR="00A97C41">
          <w:rPr>
            <w:rStyle w:val="Hyperlink"/>
            <w:spacing w:val="-3"/>
            <w:lang w:val="fr-FR"/>
          </w:rPr>
          <w:t>ST/SG/AC.10/C.4/2</w:t>
        </w:r>
      </w:hyperlink>
      <w:r w:rsidRPr="00CD4A5D">
        <w:rPr>
          <w:spacing w:val="-3"/>
          <w:lang w:val="fr-FR"/>
        </w:rPr>
        <w:t>, par. 43 b)). À sa soixante-troisième session (27 novembre-6 décembre 2023), le Sous-Comité TMD pourrait examiner des questions intéressant le Sous-Comité SGH. Tous les documents de la session seront disponibles en ligne à l</w:t>
      </w:r>
      <w:r w:rsidR="00CD4A5D" w:rsidRPr="00CD4A5D">
        <w:rPr>
          <w:spacing w:val="-3"/>
          <w:lang w:val="fr-FR"/>
        </w:rPr>
        <w:t>’</w:t>
      </w:r>
      <w:r w:rsidRPr="00CD4A5D">
        <w:rPr>
          <w:spacing w:val="-3"/>
          <w:lang w:val="fr-FR"/>
        </w:rPr>
        <w:t>adresse suivante</w:t>
      </w:r>
      <w:r w:rsidR="00CD4A5D" w:rsidRPr="00CD4A5D">
        <w:rPr>
          <w:spacing w:val="-3"/>
          <w:lang w:val="fr-FR"/>
        </w:rPr>
        <w:t> </w:t>
      </w:r>
      <w:r w:rsidRPr="00CD4A5D">
        <w:rPr>
          <w:spacing w:val="-3"/>
          <w:lang w:val="fr-FR"/>
        </w:rPr>
        <w:t xml:space="preserve">: </w:t>
      </w:r>
      <w:hyperlink r:id="rId2" w:history="1">
        <w:r w:rsidR="00A97C41">
          <w:rPr>
            <w:rStyle w:val="Hyperlink"/>
            <w:spacing w:val="-3"/>
            <w:lang w:val="fr-FR"/>
          </w:rPr>
          <w:t>https://unece.org/info/Transport/Dangerous-Goods/events/376526</w:t>
        </w:r>
      </w:hyperlink>
      <w:r w:rsidRPr="00CD4A5D">
        <w:rPr>
          <w:spacing w:val="-3"/>
          <w:lang w:val="fr-FR"/>
        </w:rPr>
        <w:t>. Les représentantes et représentants siégeant au Sous</w:t>
      </w:r>
      <w:r w:rsidR="00CD4A5D" w:rsidRPr="00CD4A5D">
        <w:rPr>
          <w:spacing w:val="-3"/>
          <w:lang w:val="fr-FR"/>
        </w:rPr>
        <w:noBreakHyphen/>
      </w:r>
      <w:r w:rsidRPr="00CD4A5D">
        <w:rPr>
          <w:spacing w:val="-3"/>
          <w:lang w:val="fr-FR"/>
        </w:rPr>
        <w:t>Comité SGH qui souhaiteraient participer à ces travaux sont invités à s</w:t>
      </w:r>
      <w:r w:rsidR="00CD4A5D" w:rsidRPr="00CD4A5D">
        <w:rPr>
          <w:spacing w:val="-3"/>
          <w:lang w:val="fr-FR"/>
        </w:rPr>
        <w:t>’</w:t>
      </w:r>
      <w:r w:rsidRPr="00CD4A5D">
        <w:rPr>
          <w:spacing w:val="-3"/>
          <w:lang w:val="fr-FR"/>
        </w:rPr>
        <w:t>inscrire à la session du Sous-Comité TMD.</w:t>
      </w:r>
    </w:p>
  </w:footnote>
  <w:footnote w:id="3">
    <w:p w14:paraId="69315227" w14:textId="2EDAE459" w:rsidR="004B502C" w:rsidRPr="001D772A" w:rsidRDefault="004B502C" w:rsidP="004B502C">
      <w:pPr>
        <w:pStyle w:val="FootnoteText"/>
        <w:rPr>
          <w:lang w:val="fr-FR"/>
        </w:rPr>
      </w:pPr>
      <w:r>
        <w:rPr>
          <w:lang w:val="fr-FR"/>
        </w:rPr>
        <w:tab/>
      </w:r>
      <w:r w:rsidRPr="00C83B06">
        <w:rPr>
          <w:rStyle w:val="FootnoteReference"/>
        </w:rPr>
        <w:footnoteRef/>
      </w:r>
      <w:r>
        <w:rPr>
          <w:lang w:val="fr-FR"/>
        </w:rPr>
        <w:tab/>
      </w:r>
      <w:hyperlink r:id="rId3" w:history="1">
        <w:r w:rsidR="00A97C41">
          <w:rPr>
            <w:rStyle w:val="Hyperlink"/>
            <w:lang w:val="fr-FR"/>
          </w:rPr>
          <w:t>https://unece.org/info/events/event/368936</w:t>
        </w:r>
      </w:hyperlink>
      <w:r w:rsidR="00CD4A5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B40D" w14:textId="70FF81E3" w:rsidR="004B502C" w:rsidRPr="004B502C" w:rsidRDefault="004B502C">
    <w:pPr>
      <w:pStyle w:val="Header"/>
    </w:pPr>
    <w:fldSimple w:instr=" TITLE  \* MERGEFORMAT ">
      <w:r w:rsidR="00EE3430">
        <w:t>ST/SG/AC.10/C.4/89/Add.1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FDB0" w14:textId="1024E970" w:rsidR="004B502C" w:rsidRPr="004B502C" w:rsidRDefault="004B502C" w:rsidP="004B502C">
    <w:pPr>
      <w:pStyle w:val="Header"/>
      <w:jc w:val="right"/>
    </w:pPr>
    <w:fldSimple w:instr=" TITLE  \* MERGEFORMAT ">
      <w:r w:rsidR="00EE3430">
        <w:t>ST/SG/AC.10/C.4/89/Add.1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95414813">
    <w:abstractNumId w:val="12"/>
  </w:num>
  <w:num w:numId="2" w16cid:durableId="1783376441">
    <w:abstractNumId w:val="11"/>
  </w:num>
  <w:num w:numId="3" w16cid:durableId="776025236">
    <w:abstractNumId w:val="10"/>
  </w:num>
  <w:num w:numId="4" w16cid:durableId="1631088848">
    <w:abstractNumId w:val="8"/>
  </w:num>
  <w:num w:numId="5" w16cid:durableId="1857690357">
    <w:abstractNumId w:val="3"/>
  </w:num>
  <w:num w:numId="6" w16cid:durableId="308484170">
    <w:abstractNumId w:val="2"/>
  </w:num>
  <w:num w:numId="7" w16cid:durableId="1590970063">
    <w:abstractNumId w:val="1"/>
  </w:num>
  <w:num w:numId="8" w16cid:durableId="237710666">
    <w:abstractNumId w:val="0"/>
  </w:num>
  <w:num w:numId="9" w16cid:durableId="1343627602">
    <w:abstractNumId w:val="9"/>
  </w:num>
  <w:num w:numId="10" w16cid:durableId="293680234">
    <w:abstractNumId w:val="7"/>
  </w:num>
  <w:num w:numId="11" w16cid:durableId="1236205740">
    <w:abstractNumId w:val="6"/>
  </w:num>
  <w:num w:numId="12" w16cid:durableId="553811542">
    <w:abstractNumId w:val="5"/>
  </w:num>
  <w:num w:numId="13" w16cid:durableId="639770108">
    <w:abstractNumId w:val="4"/>
  </w:num>
  <w:num w:numId="14" w16cid:durableId="1696806745">
    <w:abstractNumId w:val="12"/>
  </w:num>
  <w:num w:numId="15" w16cid:durableId="1966815544">
    <w:abstractNumId w:val="11"/>
  </w:num>
  <w:num w:numId="16" w16cid:durableId="1243835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81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3E2B"/>
    <w:rsid w:val="00176178"/>
    <w:rsid w:val="001C08A9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B502C"/>
    <w:rsid w:val="004E468C"/>
    <w:rsid w:val="005505B7"/>
    <w:rsid w:val="00566581"/>
    <w:rsid w:val="00572D10"/>
    <w:rsid w:val="00573BE5"/>
    <w:rsid w:val="00584DC4"/>
    <w:rsid w:val="00586ED3"/>
    <w:rsid w:val="00596AA9"/>
    <w:rsid w:val="0068456F"/>
    <w:rsid w:val="006B1F12"/>
    <w:rsid w:val="0071601D"/>
    <w:rsid w:val="007A62E6"/>
    <w:rsid w:val="00804EE1"/>
    <w:rsid w:val="0080684C"/>
    <w:rsid w:val="008123E0"/>
    <w:rsid w:val="00871C75"/>
    <w:rsid w:val="008776DC"/>
    <w:rsid w:val="008B40CD"/>
    <w:rsid w:val="009705C8"/>
    <w:rsid w:val="009C1CF4"/>
    <w:rsid w:val="00A30353"/>
    <w:rsid w:val="00A72424"/>
    <w:rsid w:val="00A81281"/>
    <w:rsid w:val="00A97C41"/>
    <w:rsid w:val="00AC3823"/>
    <w:rsid w:val="00AE323C"/>
    <w:rsid w:val="00B00181"/>
    <w:rsid w:val="00B00B0D"/>
    <w:rsid w:val="00B765F7"/>
    <w:rsid w:val="00BA0CA9"/>
    <w:rsid w:val="00BA4105"/>
    <w:rsid w:val="00C02897"/>
    <w:rsid w:val="00CD4A5D"/>
    <w:rsid w:val="00D3439C"/>
    <w:rsid w:val="00DB1831"/>
    <w:rsid w:val="00DD3BFD"/>
    <w:rsid w:val="00DF6678"/>
    <w:rsid w:val="00EE3430"/>
    <w:rsid w:val="00EF2E22"/>
    <w:rsid w:val="00F01738"/>
    <w:rsid w:val="00F660DF"/>
    <w:rsid w:val="00F730C8"/>
    <w:rsid w:val="00F7678F"/>
    <w:rsid w:val="00F77D6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112A2"/>
  <w15:docId w15:val="{9BBA6B88-3B6C-40BD-87E2-6ADA39A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fr/ST/SG/AC.10/C.4/2023/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ndocs.org/fr/ST/SG/AC.10/C.3/124/Add.1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undocs.org/fr/ST/SG/AC.10/C.4/89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info/events/event/368936" TargetMode="External"/><Relationship Id="rId2" Type="http://schemas.openxmlformats.org/officeDocument/2006/relationships/hyperlink" Target="https://unece.org/info/Transport/Dangerous-Goods/events/376526" TargetMode="External"/><Relationship Id="rId1" Type="http://schemas.openxmlformats.org/officeDocument/2006/relationships/hyperlink" Target="http://undocs.org/fr/ST/SG/AC.10/C.4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3384B-D938-4683-A4D3-416241ADD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281A5-A07D-4508-9717-9685DB8E4454}"/>
</file>

<file path=customXml/itemProps3.xml><?xml version="1.0" encoding="utf-8"?>
<ds:datastoreItem xmlns:ds="http://schemas.openxmlformats.org/officeDocument/2006/customXml" ds:itemID="{0A5467C2-3714-490A-BBBF-2294F5AFFF1D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5</Pages>
  <Words>1492</Words>
  <Characters>8759</Characters>
  <Application>Microsoft Office Word</Application>
  <DocSecurity>0</DocSecurity>
  <Lines>194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ST/SG/AC.10/C.4/89/Add.1</dc:title>
  <dc:subject/>
  <dc:creator>Luisa PENA-MONTERO</dc:creator>
  <cp:keywords/>
  <cp:lastModifiedBy>Luisa PENA-MONTERO</cp:lastModifiedBy>
  <cp:revision>3</cp:revision>
  <cp:lastPrinted>2023-10-19T11:16:00Z</cp:lastPrinted>
  <dcterms:created xsi:type="dcterms:W3CDTF">2023-10-19T11:16:00Z</dcterms:created>
  <dcterms:modified xsi:type="dcterms:W3CDTF">2023-10-19T11:17:00Z</dcterms:modified>
</cp:coreProperties>
</file>