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14:paraId="5C5DD660" w14:textId="77777777" w:rsidTr="006476E1">
        <w:trPr>
          <w:trHeight w:val="851"/>
        </w:trPr>
        <w:tc>
          <w:tcPr>
            <w:tcW w:w="1259" w:type="dxa"/>
            <w:tcBorders>
              <w:top w:val="nil"/>
              <w:left w:val="nil"/>
              <w:bottom w:val="single" w:sz="4" w:space="0" w:color="auto"/>
              <w:right w:val="nil"/>
            </w:tcBorders>
          </w:tcPr>
          <w:p w14:paraId="172FAB07" w14:textId="77777777" w:rsidR="00E52109" w:rsidRPr="002A32CB" w:rsidRDefault="00E52109" w:rsidP="004858F5"/>
        </w:tc>
        <w:tc>
          <w:tcPr>
            <w:tcW w:w="2236" w:type="dxa"/>
            <w:tcBorders>
              <w:top w:val="nil"/>
              <w:left w:val="nil"/>
              <w:bottom w:val="single" w:sz="4" w:space="0" w:color="auto"/>
              <w:right w:val="nil"/>
            </w:tcBorders>
            <w:vAlign w:val="bottom"/>
          </w:tcPr>
          <w:p w14:paraId="1AC0FC18" w14:textId="77777777" w:rsidR="00E52109" w:rsidRDefault="00E52109" w:rsidP="006476E1">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7893E24F" w14:textId="0D0248D2" w:rsidR="00E52109" w:rsidRDefault="00453CDE" w:rsidP="00453CDE">
            <w:pPr>
              <w:jc w:val="right"/>
            </w:pPr>
            <w:r w:rsidRPr="00453CDE">
              <w:rPr>
                <w:sz w:val="40"/>
              </w:rPr>
              <w:t>ST</w:t>
            </w:r>
            <w:r>
              <w:t>/SG/AC.10/C.4/2023/9</w:t>
            </w:r>
          </w:p>
        </w:tc>
      </w:tr>
      <w:tr w:rsidR="00E52109" w14:paraId="66356BF0" w14:textId="77777777" w:rsidTr="006476E1">
        <w:trPr>
          <w:trHeight w:val="2835"/>
        </w:trPr>
        <w:tc>
          <w:tcPr>
            <w:tcW w:w="1259" w:type="dxa"/>
            <w:tcBorders>
              <w:top w:val="single" w:sz="4" w:space="0" w:color="auto"/>
              <w:left w:val="nil"/>
              <w:bottom w:val="single" w:sz="12" w:space="0" w:color="auto"/>
              <w:right w:val="nil"/>
            </w:tcBorders>
          </w:tcPr>
          <w:p w14:paraId="16F60D73" w14:textId="77777777" w:rsidR="00E52109" w:rsidRDefault="00E52109" w:rsidP="006476E1">
            <w:pPr>
              <w:spacing w:before="120"/>
              <w:jc w:val="center"/>
            </w:pPr>
            <w:r>
              <w:rPr>
                <w:noProof/>
                <w:lang w:val="fr-CH" w:eastAsia="fr-CH"/>
              </w:rPr>
              <w:drawing>
                <wp:inline distT="0" distB="0" distL="0" distR="0" wp14:anchorId="44B934EC" wp14:editId="10302AF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786EAFD1" w14:textId="77777777" w:rsidR="00E52109" w:rsidRDefault="00D94B05" w:rsidP="006476E1">
            <w:pPr>
              <w:spacing w:before="120" w:line="420" w:lineRule="exact"/>
              <w:rPr>
                <w:b/>
                <w:sz w:val="40"/>
                <w:szCs w:val="40"/>
              </w:rPr>
            </w:pPr>
            <w:r>
              <w:rPr>
                <w:b/>
                <w:sz w:val="40"/>
                <w:szCs w:val="40"/>
              </w:rPr>
              <w:t>Secretariat</w:t>
            </w:r>
          </w:p>
        </w:tc>
        <w:tc>
          <w:tcPr>
            <w:tcW w:w="2930" w:type="dxa"/>
            <w:tcBorders>
              <w:top w:val="single" w:sz="4" w:space="0" w:color="auto"/>
              <w:left w:val="nil"/>
              <w:bottom w:val="single" w:sz="12" w:space="0" w:color="auto"/>
              <w:right w:val="nil"/>
            </w:tcBorders>
          </w:tcPr>
          <w:p w14:paraId="02D122F3" w14:textId="77777777" w:rsidR="00D94B05" w:rsidRDefault="00453CDE" w:rsidP="00453CDE">
            <w:pPr>
              <w:spacing w:before="240" w:line="240" w:lineRule="exact"/>
            </w:pPr>
            <w:r>
              <w:t>Distr.: General</w:t>
            </w:r>
          </w:p>
          <w:p w14:paraId="6EECF564" w14:textId="42BC1375" w:rsidR="00453CDE" w:rsidRDefault="00165D2E" w:rsidP="00453CDE">
            <w:pPr>
              <w:spacing w:line="240" w:lineRule="exact"/>
            </w:pPr>
            <w:r w:rsidRPr="00EE6D77">
              <w:t xml:space="preserve">19 </w:t>
            </w:r>
            <w:r w:rsidR="00453CDE" w:rsidRPr="00EE6D77">
              <w:t>September 2023</w:t>
            </w:r>
          </w:p>
          <w:p w14:paraId="6E2E4CE9" w14:textId="77777777" w:rsidR="00453CDE" w:rsidRDefault="00453CDE" w:rsidP="00453CDE">
            <w:pPr>
              <w:spacing w:line="240" w:lineRule="exact"/>
            </w:pPr>
          </w:p>
          <w:p w14:paraId="495BEA39" w14:textId="01496881" w:rsidR="00453CDE" w:rsidRDefault="00453CDE" w:rsidP="00453CDE">
            <w:pPr>
              <w:spacing w:line="240" w:lineRule="exact"/>
            </w:pPr>
            <w:r>
              <w:t>Original: English</w:t>
            </w:r>
          </w:p>
        </w:tc>
      </w:tr>
    </w:tbl>
    <w:p w14:paraId="5DE1B612" w14:textId="77777777" w:rsidR="00453CDE" w:rsidRPr="009F0F06" w:rsidRDefault="00453CDE" w:rsidP="004858F5">
      <w:pPr>
        <w:spacing w:before="120"/>
        <w:rPr>
          <w:b/>
          <w:sz w:val="24"/>
          <w:szCs w:val="24"/>
          <w:lang w:val="en-US"/>
        </w:rPr>
      </w:pPr>
      <w:r w:rsidRPr="009F0F06">
        <w:rPr>
          <w:b/>
          <w:sz w:val="24"/>
          <w:szCs w:val="24"/>
          <w:lang w:val="en-US"/>
        </w:rPr>
        <w:t>Committee of Experts on the Transport of Dangerous Goods</w:t>
      </w:r>
      <w:r>
        <w:rPr>
          <w:b/>
          <w:sz w:val="24"/>
          <w:szCs w:val="24"/>
          <w:lang w:val="en-US"/>
        </w:rPr>
        <w:br/>
      </w:r>
      <w:r w:rsidRPr="009F0F06">
        <w:rPr>
          <w:b/>
          <w:sz w:val="24"/>
          <w:szCs w:val="24"/>
          <w:lang w:val="en-US"/>
        </w:rPr>
        <w:t>and on the Globally Harmonized System of Classification</w:t>
      </w:r>
      <w:r>
        <w:rPr>
          <w:b/>
          <w:sz w:val="24"/>
          <w:szCs w:val="24"/>
          <w:lang w:val="en-US"/>
        </w:rPr>
        <w:br/>
      </w:r>
      <w:r w:rsidRPr="009F0F06">
        <w:rPr>
          <w:b/>
          <w:sz w:val="24"/>
          <w:szCs w:val="24"/>
          <w:lang w:val="en-US"/>
        </w:rPr>
        <w:t>and Labelling of Chemicals</w:t>
      </w:r>
    </w:p>
    <w:p w14:paraId="3712CB4F" w14:textId="77777777" w:rsidR="00453CDE" w:rsidRPr="009F0F06" w:rsidRDefault="00453CDE" w:rsidP="004858F5">
      <w:pPr>
        <w:spacing w:before="120"/>
        <w:rPr>
          <w:rFonts w:ascii="Helv" w:hAnsi="Helv" w:cs="Helv"/>
          <w:b/>
          <w:color w:val="000000"/>
          <w:lang w:val="en-US"/>
        </w:rPr>
      </w:pPr>
      <w:r w:rsidRPr="009F0F06">
        <w:rPr>
          <w:b/>
          <w:lang w:val="en-US"/>
        </w:rPr>
        <w:t>Sub-Committee of Experts on the Globally Harmonized</w:t>
      </w:r>
      <w:r>
        <w:rPr>
          <w:b/>
          <w:lang w:val="en-US"/>
        </w:rPr>
        <w:br/>
      </w:r>
      <w:r w:rsidRPr="009F0F06">
        <w:rPr>
          <w:b/>
          <w:lang w:val="en-US"/>
        </w:rPr>
        <w:t>System of Classification and Labelling of Chemicals</w:t>
      </w:r>
    </w:p>
    <w:p w14:paraId="6490B92B" w14:textId="77777777" w:rsidR="00980517" w:rsidRPr="000D6247" w:rsidRDefault="00980517" w:rsidP="00980517">
      <w:pPr>
        <w:spacing w:before="120"/>
        <w:rPr>
          <w:b/>
        </w:rPr>
      </w:pPr>
      <w:r w:rsidRPr="000D6247">
        <w:rPr>
          <w:b/>
        </w:rPr>
        <w:t>Forty-fifth session</w:t>
      </w:r>
    </w:p>
    <w:p w14:paraId="1F1C96A4" w14:textId="77777777" w:rsidR="00980517" w:rsidRPr="000D6247" w:rsidRDefault="00980517" w:rsidP="00980517">
      <w:r w:rsidRPr="000D6247">
        <w:t>Geneva, 6-8 December 2023</w:t>
      </w:r>
    </w:p>
    <w:p w14:paraId="26CBDA43" w14:textId="77777777" w:rsidR="00980517" w:rsidRPr="000D6247" w:rsidRDefault="00980517" w:rsidP="00980517">
      <w:r w:rsidRPr="000D6247">
        <w:t>Item 2 (i) of the provisional agenda</w:t>
      </w:r>
    </w:p>
    <w:p w14:paraId="7580F728" w14:textId="77777777" w:rsidR="00980517" w:rsidRDefault="00980517" w:rsidP="00980517">
      <w:r w:rsidRPr="000D6247">
        <w:rPr>
          <w:b/>
          <w:bCs/>
        </w:rPr>
        <w:t xml:space="preserve">Work on the Globally Harmonized System of Classification and </w:t>
      </w:r>
      <w:r w:rsidRPr="000D6247">
        <w:rPr>
          <w:b/>
          <w:bCs/>
        </w:rPr>
        <w:br/>
        <w:t xml:space="preserve">Labelling of Chemicals: Improvement of annexes 1 to 3 and </w:t>
      </w:r>
      <w:r w:rsidRPr="000D6247">
        <w:rPr>
          <w:b/>
          <w:bCs/>
        </w:rPr>
        <w:br/>
        <w:t>further rationalization of precautionary statements</w:t>
      </w:r>
    </w:p>
    <w:p w14:paraId="6EB502D1" w14:textId="527508FA" w:rsidR="003D2F02" w:rsidRPr="000E74B2" w:rsidRDefault="003D2F02" w:rsidP="003D2F02">
      <w:pPr>
        <w:pStyle w:val="HChG"/>
        <w:jc w:val="both"/>
      </w:pPr>
      <w:r>
        <w:tab/>
      </w:r>
      <w:r>
        <w:tab/>
      </w:r>
      <w:r w:rsidRPr="000E74B2">
        <w:t xml:space="preserve">Proposed amendments to precautionary statements in </w:t>
      </w:r>
      <w:r>
        <w:t>a</w:t>
      </w:r>
      <w:r w:rsidRPr="000E74B2">
        <w:t xml:space="preserve">nnex 3 </w:t>
      </w:r>
      <w:r>
        <w:t>in relation</w:t>
      </w:r>
      <w:r w:rsidRPr="000E74B2">
        <w:t xml:space="preserve"> to </w:t>
      </w:r>
      <w:r>
        <w:t>acute toxicity</w:t>
      </w:r>
      <w:r w:rsidRPr="000E74B2">
        <w:t xml:space="preserve"> </w:t>
      </w:r>
      <w:r>
        <w:t xml:space="preserve">and specific target organ toxicity </w:t>
      </w:r>
      <w:r w:rsidRPr="000E74B2">
        <w:t>hazard class</w:t>
      </w:r>
      <w:r>
        <w:t>es</w:t>
      </w:r>
    </w:p>
    <w:p w14:paraId="313A0071" w14:textId="77777777" w:rsidR="003D2F02" w:rsidRDefault="003D2F02" w:rsidP="003D2F02">
      <w:pPr>
        <w:pStyle w:val="H1G"/>
        <w:ind w:firstLine="0"/>
      </w:pPr>
      <w:r>
        <w:t>Transmitted by the expert from the United Kingdom on behalf of the informal working group on improving annexes 1, 2 and 3 of the GHS</w:t>
      </w:r>
      <w:r w:rsidRPr="00AE68E2">
        <w:rPr>
          <w:rStyle w:val="FootnoteReference"/>
          <w:sz w:val="20"/>
          <w:vertAlign w:val="baseline"/>
        </w:rPr>
        <w:footnoteReference w:customMarkFollows="1" w:id="2"/>
        <w:t>*</w:t>
      </w:r>
    </w:p>
    <w:p w14:paraId="192FB3EA" w14:textId="77777777" w:rsidR="003D2F02" w:rsidRPr="00127BA7" w:rsidRDefault="003D2F02" w:rsidP="003D2F02">
      <w:pPr>
        <w:pStyle w:val="HChG"/>
      </w:pPr>
      <w:r w:rsidRPr="00E51D98">
        <w:tab/>
        <w:t>I.</w:t>
      </w:r>
      <w:r w:rsidRPr="00E51D98">
        <w:tab/>
      </w:r>
      <w:r w:rsidRPr="00127BA7">
        <w:t>Background</w:t>
      </w:r>
    </w:p>
    <w:p w14:paraId="5615C8B6" w14:textId="77777777" w:rsidR="003D2F02" w:rsidRPr="00680A00" w:rsidRDefault="003D2F02" w:rsidP="003D2F02">
      <w:pPr>
        <w:pStyle w:val="SingleTxtG"/>
      </w:pPr>
      <w:r w:rsidRPr="00680A00">
        <w:t>1.</w:t>
      </w:r>
      <w:r w:rsidRPr="00680A00">
        <w:tab/>
        <w:t>In line with its mandate for the 20</w:t>
      </w:r>
      <w:r>
        <w:t>23</w:t>
      </w:r>
      <w:r w:rsidRPr="00680A00">
        <w:t>-20</w:t>
      </w:r>
      <w:r>
        <w:t>24</w:t>
      </w:r>
      <w:r w:rsidRPr="00680A00">
        <w:t xml:space="preserve"> biennium the informal working group has taken forward work under its focus area (a): “to develop proposals to rationalise and improve the comprehensibility of hazard and precautionary statements for users, while taking into account usability for labelling practitioners.” </w:t>
      </w:r>
    </w:p>
    <w:p w14:paraId="1CC1CA82" w14:textId="12813627" w:rsidR="003D2F02" w:rsidRPr="00555703" w:rsidRDefault="003D2F02" w:rsidP="003D2F02">
      <w:pPr>
        <w:pStyle w:val="SingleTxtG"/>
        <w:rPr>
          <w:rFonts w:asciiTheme="majorBidi" w:hAnsiTheme="majorBidi" w:cstheme="majorBidi"/>
        </w:rPr>
      </w:pPr>
      <w:r w:rsidRPr="00680A00">
        <w:t>2.</w:t>
      </w:r>
      <w:r w:rsidRPr="00680A00">
        <w:tab/>
        <w:t xml:space="preserve">This document, together with informal document </w:t>
      </w:r>
      <w:r w:rsidRPr="002D7ACC">
        <w:t>INF.</w:t>
      </w:r>
      <w:r w:rsidR="00F403BF" w:rsidRPr="002D7ACC">
        <w:t>3</w:t>
      </w:r>
      <w:r w:rsidRPr="00680A00">
        <w:t xml:space="preserve">, presents the outcome of work under </w:t>
      </w:r>
      <w:r>
        <w:t xml:space="preserve">the first issue of </w:t>
      </w:r>
      <w:r w:rsidRPr="00680A00">
        <w:t xml:space="preserve">item </w:t>
      </w:r>
      <w:r>
        <w:t>2</w:t>
      </w:r>
      <w:r w:rsidRPr="00680A00">
        <w:t xml:space="preserve"> in the group’s workplan </w:t>
      </w:r>
      <w:r w:rsidRPr="00DD39FD">
        <w:t>for the 2023-2024 biennium</w:t>
      </w:r>
      <w:r w:rsidRPr="00555703">
        <w:rPr>
          <w:rStyle w:val="FootnoteReference"/>
          <w:sz w:val="20"/>
        </w:rPr>
        <w:footnoteReference w:id="3"/>
      </w:r>
      <w:r w:rsidRPr="00DD39FD">
        <w:t xml:space="preserve"> to review the precautionary statements in the tables of </w:t>
      </w:r>
      <w:r>
        <w:t>a</w:t>
      </w:r>
      <w:r w:rsidRPr="00DD39FD">
        <w:t xml:space="preserve">nnex 3 in relation to </w:t>
      </w:r>
      <w:r w:rsidRPr="00555703">
        <w:t xml:space="preserve">acute toxicity hazard categories </w:t>
      </w:r>
      <w:r>
        <w:t>and</w:t>
      </w:r>
      <w:r w:rsidRPr="00DD39FD">
        <w:t xml:space="preserve"> identify where potential improvements could be made</w:t>
      </w:r>
      <w:r>
        <w:t xml:space="preserve">, </w:t>
      </w:r>
      <w:r>
        <w:rPr>
          <w:rFonts w:asciiTheme="majorBidi" w:hAnsiTheme="majorBidi" w:cstheme="majorBidi"/>
        </w:rPr>
        <w:t xml:space="preserve">as detailed in </w:t>
      </w:r>
      <w:r w:rsidRPr="00B36410">
        <w:rPr>
          <w:rFonts w:asciiTheme="majorBidi" w:hAnsiTheme="majorBidi" w:cstheme="majorBidi"/>
        </w:rPr>
        <w:t xml:space="preserve">paragraphs </w:t>
      </w:r>
      <w:r w:rsidRPr="00583174">
        <w:rPr>
          <w:rFonts w:asciiTheme="majorBidi" w:hAnsiTheme="majorBidi" w:cstheme="majorBidi"/>
        </w:rPr>
        <w:t>3 to 29 and 37 to 39</w:t>
      </w:r>
      <w:r w:rsidRPr="00B36410">
        <w:rPr>
          <w:rFonts w:asciiTheme="majorBidi" w:hAnsiTheme="majorBidi" w:cstheme="majorBidi"/>
        </w:rPr>
        <w:t xml:space="preserve"> below</w:t>
      </w:r>
      <w:r w:rsidRPr="00B36410">
        <w:t>. D</w:t>
      </w:r>
      <w:r w:rsidRPr="00B36410">
        <w:rPr>
          <w:rFonts w:asciiTheme="majorBidi" w:eastAsia="Times New Roman" w:hAnsiTheme="majorBidi" w:cstheme="majorBidi"/>
          <w:lang w:eastAsia="en-US"/>
        </w:rPr>
        <w:t xml:space="preserve">uring the review, the group also identified that a couple of related amendments were also necessary to the </w:t>
      </w:r>
      <w:r w:rsidRPr="00B36410">
        <w:rPr>
          <w:rFonts w:asciiTheme="majorBidi" w:hAnsiTheme="majorBidi" w:cstheme="majorBidi"/>
        </w:rPr>
        <w:t xml:space="preserve">specific target organ toxicity hazard classes as detailed in paragraphs </w:t>
      </w:r>
      <w:r w:rsidRPr="00583174">
        <w:rPr>
          <w:rFonts w:asciiTheme="majorBidi" w:hAnsiTheme="majorBidi" w:cstheme="majorBidi"/>
        </w:rPr>
        <w:t>31 to 35</w:t>
      </w:r>
      <w:r w:rsidRPr="00B36410">
        <w:rPr>
          <w:rFonts w:asciiTheme="majorBidi" w:hAnsiTheme="majorBidi" w:cstheme="majorBidi"/>
        </w:rPr>
        <w:t xml:space="preserve"> below</w:t>
      </w:r>
      <w:r>
        <w:rPr>
          <w:rFonts w:asciiTheme="majorBidi" w:hAnsiTheme="majorBidi" w:cstheme="majorBidi"/>
        </w:rPr>
        <w:t xml:space="preserve">. </w:t>
      </w:r>
    </w:p>
    <w:p w14:paraId="51828F47" w14:textId="77777777" w:rsidR="003D2F02" w:rsidRPr="00C06108" w:rsidRDefault="003D2F02" w:rsidP="003D2F02">
      <w:pPr>
        <w:pStyle w:val="HChG"/>
      </w:pPr>
      <w:r w:rsidRPr="00E51D98">
        <w:tab/>
        <w:t>II.</w:t>
      </w:r>
      <w:r w:rsidRPr="00E51D98">
        <w:tab/>
      </w:r>
      <w:r w:rsidRPr="00C06108">
        <w:tab/>
        <w:t>Discussion</w:t>
      </w:r>
    </w:p>
    <w:p w14:paraId="18BF7D86" w14:textId="77777777" w:rsidR="003D2F02" w:rsidRPr="00C06108" w:rsidRDefault="003D2F02" w:rsidP="003D2F02">
      <w:pPr>
        <w:pStyle w:val="H1G"/>
      </w:pPr>
      <w:r w:rsidRPr="00C06108">
        <w:tab/>
        <w:t>A.</w:t>
      </w:r>
      <w:r w:rsidRPr="00C06108">
        <w:tab/>
        <w:t xml:space="preserve">Acute toxicity, inhalation, </w:t>
      </w:r>
      <w:r>
        <w:t>c</w:t>
      </w:r>
      <w:r w:rsidRPr="00C06108">
        <w:t>ategory 3: P260</w:t>
      </w:r>
      <w:r>
        <w:t>,</w:t>
      </w:r>
      <w:r w:rsidRPr="00C06108">
        <w:t xml:space="preserve"> P261 and P284</w:t>
      </w:r>
    </w:p>
    <w:p w14:paraId="053F3249" w14:textId="542D6EEF" w:rsidR="003D2F02" w:rsidRPr="00D300ED" w:rsidRDefault="003D2F02" w:rsidP="003D2F02">
      <w:pPr>
        <w:pStyle w:val="SingleTxtG"/>
      </w:pPr>
      <w:r w:rsidRPr="00D300ED">
        <w:t>3.</w:t>
      </w:r>
      <w:r w:rsidRPr="00D300ED">
        <w:tab/>
      </w:r>
      <w:r>
        <w:t>Although they present varying degrees of hazard, a</w:t>
      </w:r>
      <w:r w:rsidRPr="00D300ED">
        <w:t xml:space="preserve">cute toxicity, </w:t>
      </w:r>
      <w:r>
        <w:t>c</w:t>
      </w:r>
      <w:r w:rsidRPr="00D300ED">
        <w:t>ategor</w:t>
      </w:r>
      <w:r>
        <w:t>ies</w:t>
      </w:r>
      <w:r w:rsidRPr="00D300ED">
        <w:t xml:space="preserve"> </w:t>
      </w:r>
      <w:r>
        <w:t>1, 2 and </w:t>
      </w:r>
      <w:r w:rsidRPr="00D300ED">
        <w:t xml:space="preserve">3, </w:t>
      </w:r>
      <w:r>
        <w:t>are all</w:t>
      </w:r>
      <w:r w:rsidRPr="00D300ED">
        <w:t xml:space="preserve"> considered to be of relatively high </w:t>
      </w:r>
      <w:r w:rsidRPr="000275FC">
        <w:t xml:space="preserve">seriousness and </w:t>
      </w:r>
      <w:r>
        <w:t xml:space="preserve">high </w:t>
      </w:r>
      <w:r w:rsidRPr="000275FC">
        <w:t xml:space="preserve">urgency for obtaining medical </w:t>
      </w:r>
      <w:r w:rsidRPr="000275FC">
        <w:lastRenderedPageBreak/>
        <w:t>treatment</w:t>
      </w:r>
      <w:r>
        <w:t>,</w:t>
      </w:r>
      <w:r w:rsidRPr="000275FC">
        <w:t xml:space="preserve"> </w:t>
      </w:r>
      <w:r>
        <w:t xml:space="preserve">and as such categories 1, 2 and 3 of each respective acute toxicity hazard class </w:t>
      </w:r>
      <w:r w:rsidRPr="000275FC">
        <w:t>normally receive s</w:t>
      </w:r>
      <w:r>
        <w:t>imilar</w:t>
      </w:r>
      <w:r w:rsidRPr="000275FC">
        <w:t xml:space="preserve"> precautionary statements</w:t>
      </w:r>
      <w:r w:rsidR="00165D2E">
        <w:t> </w:t>
      </w:r>
      <w:r w:rsidRPr="00BB50BA">
        <w:rPr>
          <w:vertAlign w:val="superscript"/>
        </w:rPr>
        <w:footnoteReference w:id="4"/>
      </w:r>
      <w:r>
        <w:t>.</w:t>
      </w:r>
      <w:r w:rsidR="00EC0722">
        <w:t xml:space="preserve"> </w:t>
      </w:r>
      <w:r w:rsidRPr="00D300ED">
        <w:t xml:space="preserve">However, a review of precautionary statements that apply to the acute toxicity </w:t>
      </w:r>
      <w:r>
        <w:t xml:space="preserve">inhalation </w:t>
      </w:r>
      <w:r w:rsidRPr="00D300ED">
        <w:t>hazard class identified t</w:t>
      </w:r>
      <w:r>
        <w:t>wo preventative</w:t>
      </w:r>
      <w:r w:rsidRPr="00D300ED">
        <w:t xml:space="preserve"> precautionary statements that have acute toxicity </w:t>
      </w:r>
      <w:r>
        <w:t>inhalation</w:t>
      </w:r>
      <w:r w:rsidRPr="00D300ED">
        <w:t xml:space="preserve">, </w:t>
      </w:r>
      <w:r>
        <w:t>c</w:t>
      </w:r>
      <w:r w:rsidRPr="00D300ED">
        <w:t xml:space="preserve">ategories 1 and 2, allocated to them, but not acute toxicity, </w:t>
      </w:r>
      <w:r>
        <w:t>inhalation,</w:t>
      </w:r>
      <w:r w:rsidRPr="00D300ED">
        <w:t xml:space="preserve"> </w:t>
      </w:r>
      <w:r>
        <w:t>c</w:t>
      </w:r>
      <w:r w:rsidRPr="00D300ED">
        <w:t>ategory</w:t>
      </w:r>
      <w:r>
        <w:t> </w:t>
      </w:r>
      <w:r w:rsidRPr="00D300ED">
        <w:t xml:space="preserve">3. These precautionary statements are: </w:t>
      </w:r>
    </w:p>
    <w:p w14:paraId="6478BB43" w14:textId="77777777" w:rsidR="003D2F02" w:rsidRPr="00AC694D" w:rsidRDefault="003D2F02" w:rsidP="003D2F02">
      <w:pPr>
        <w:pStyle w:val="SingleTxtG"/>
        <w:keepNext/>
        <w:keepLines/>
        <w:ind w:left="2268" w:hanging="567"/>
      </w:pPr>
      <w:r w:rsidRPr="00680A00">
        <w:rPr>
          <w:bCs/>
        </w:rPr>
        <w:t>(a)</w:t>
      </w:r>
      <w:r w:rsidRPr="00AC694D">
        <w:rPr>
          <w:bCs/>
        </w:rPr>
        <w:tab/>
        <w:t xml:space="preserve">P260 </w:t>
      </w:r>
      <w:r w:rsidRPr="00AC694D">
        <w:rPr>
          <w:b/>
        </w:rPr>
        <w:t xml:space="preserve">“Do not breathe </w:t>
      </w:r>
      <w:r w:rsidRPr="00AC694D">
        <w:rPr>
          <w:b/>
          <w:bCs/>
        </w:rPr>
        <w:t xml:space="preserve">dust/fume/gas/mist/vapours/spray.” </w:t>
      </w:r>
      <w:r w:rsidRPr="00A6591F">
        <w:t xml:space="preserve">with </w:t>
      </w:r>
      <w:r>
        <w:t xml:space="preserve">the </w:t>
      </w:r>
      <w:r w:rsidRPr="00A6591F">
        <w:t>conditions for use:</w:t>
      </w:r>
    </w:p>
    <w:p w14:paraId="06B4E1A5" w14:textId="77777777" w:rsidR="003D2F02" w:rsidRPr="00A6591F" w:rsidRDefault="003D2F02" w:rsidP="003D2F02">
      <w:pPr>
        <w:pStyle w:val="SingleTxtG"/>
        <w:keepNext/>
        <w:keepLines/>
        <w:ind w:left="2268"/>
      </w:pPr>
      <w:r w:rsidRPr="00A6591F">
        <w:t>“Manufacturer/supplier or the competent authority to specify applicable physical state(s).”</w:t>
      </w:r>
    </w:p>
    <w:p w14:paraId="6441246C" w14:textId="77777777" w:rsidR="003D2F02" w:rsidRDefault="003D2F02" w:rsidP="003D2F02">
      <w:pPr>
        <w:pStyle w:val="SingleTxtG"/>
        <w:ind w:left="2268" w:hanging="567"/>
        <w:rPr>
          <w:rStyle w:val="StyleBold"/>
        </w:rPr>
      </w:pPr>
      <w:r w:rsidRPr="00680A00">
        <w:rPr>
          <w:rFonts w:eastAsiaTheme="minorHAnsi"/>
          <w:lang w:eastAsia="en-US"/>
        </w:rPr>
        <w:t>(b)</w:t>
      </w:r>
      <w:r w:rsidRPr="00680A00">
        <w:rPr>
          <w:rFonts w:eastAsiaTheme="minorHAnsi"/>
          <w:lang w:eastAsia="en-US"/>
        </w:rPr>
        <w:tab/>
      </w:r>
      <w:r w:rsidRPr="00680A00">
        <w:t>P284 “</w:t>
      </w:r>
      <w:r w:rsidRPr="00680A00">
        <w:rPr>
          <w:b/>
        </w:rPr>
        <w:t>In case of inadequate ventilation wear respiratory protection.</w:t>
      </w:r>
      <w:r w:rsidRPr="00680A00">
        <w:rPr>
          <w:rStyle w:val="StyleBold"/>
        </w:rPr>
        <w:t>”</w:t>
      </w:r>
    </w:p>
    <w:p w14:paraId="321F26E4" w14:textId="08834C95" w:rsidR="003D2F02" w:rsidRPr="00F81BD8" w:rsidRDefault="003D2F02" w:rsidP="0014547C">
      <w:pPr>
        <w:pStyle w:val="SingleTxtG"/>
        <w:rPr>
          <w:b/>
          <w:bCs/>
        </w:rPr>
      </w:pPr>
      <w:r>
        <w:t>4.</w:t>
      </w:r>
      <w:r>
        <w:tab/>
        <w:t xml:space="preserve">The informal </w:t>
      </w:r>
      <w:r w:rsidRPr="0057261C">
        <w:t>working</w:t>
      </w:r>
      <w:r>
        <w:t xml:space="preserve"> group considered that acute toxicity, inhalation category</w:t>
      </w:r>
      <w:r w:rsidR="0014547C">
        <w:t> </w:t>
      </w:r>
      <w:r>
        <w:t xml:space="preserve">3 should also be included under these precautionary statements and be deleted from beneath </w:t>
      </w:r>
      <w:r w:rsidRPr="00F81BD8">
        <w:t xml:space="preserve">P261 </w:t>
      </w:r>
      <w:r w:rsidRPr="00F81BD8">
        <w:rPr>
          <w:b/>
          <w:bCs/>
        </w:rPr>
        <w:t>“Avoid breathing dust/fume/gas/mist/vapours/spray.”</w:t>
      </w:r>
      <w:r w:rsidRPr="001B1550">
        <w:t>.</w:t>
      </w:r>
    </w:p>
    <w:p w14:paraId="7023C2A1" w14:textId="77777777" w:rsidR="003D2F02" w:rsidRDefault="003D2F02" w:rsidP="003D2F02">
      <w:pPr>
        <w:pStyle w:val="SingleTxtG"/>
      </w:pPr>
      <w:r>
        <w:t>5.</w:t>
      </w:r>
      <w:r>
        <w:tab/>
        <w:t xml:space="preserve">Although the precautionary </w:t>
      </w:r>
      <w:r w:rsidRPr="00F91C00">
        <w:t>statement</w:t>
      </w:r>
      <w:r>
        <w:t>s for P260 and P261 are</w:t>
      </w:r>
      <w:r w:rsidRPr="00F91C00">
        <w:t xml:space="preserve"> very similar</w:t>
      </w:r>
      <w:r>
        <w:t>, the group considered that the statement in P260 would convey the stronger instruction</w:t>
      </w:r>
      <w:r w:rsidRPr="005B19EA">
        <w:t xml:space="preserve"> </w:t>
      </w:r>
      <w:r>
        <w:t>(i.e., “Do not breathe…” (in P260) rather than “Avoid...” (in P261)) that is necessary given the seriousness and high hazard of acute toxicity,</w:t>
      </w:r>
      <w:r w:rsidRPr="0040716C">
        <w:t xml:space="preserve"> </w:t>
      </w:r>
      <w:r>
        <w:t>inhalation, category 3</w:t>
      </w:r>
      <w:r w:rsidRPr="0040716C">
        <w:t xml:space="preserve"> </w:t>
      </w:r>
      <w:r>
        <w:t>substances and mixtures. In addition, this proposed amendment would also provide greater consistency with the application of precautionary statements that are applied for c</w:t>
      </w:r>
      <w:r w:rsidRPr="00D300ED">
        <w:t>ategories 1 and 2</w:t>
      </w:r>
      <w:r>
        <w:t xml:space="preserve"> of this hazard class. </w:t>
      </w:r>
    </w:p>
    <w:p w14:paraId="26EE9778" w14:textId="3B939F3C" w:rsidR="003D2F02" w:rsidRDefault="003D2F02" w:rsidP="003D2F02">
      <w:pPr>
        <w:pStyle w:val="SingleTxtG"/>
      </w:pPr>
      <w:r w:rsidRPr="00B36410">
        <w:rPr>
          <w:rFonts w:asciiTheme="majorBidi" w:hAnsiTheme="majorBidi" w:cstheme="majorBidi"/>
        </w:rPr>
        <w:t>6.</w:t>
      </w:r>
      <w:r w:rsidRPr="00B36410">
        <w:rPr>
          <w:rFonts w:asciiTheme="majorBidi" w:hAnsiTheme="majorBidi" w:cstheme="majorBidi"/>
        </w:rPr>
        <w:tab/>
        <w:t>These proposed changes are listed in</w:t>
      </w:r>
      <w:r w:rsidRPr="00B36410">
        <w:t xml:space="preserve"> section III (paragraphs </w:t>
      </w:r>
      <w:r w:rsidRPr="00583174">
        <w:t>41 to 43</w:t>
      </w:r>
      <w:r w:rsidRPr="00B36410">
        <w:t>) and</w:t>
      </w:r>
      <w:r w:rsidRPr="00CD3EF6">
        <w:t xml:space="preserve"> section IV of this document, and provided in full in the accompanying informal </w:t>
      </w:r>
      <w:r w:rsidRPr="002D7ACC">
        <w:t>document INF.</w:t>
      </w:r>
      <w:r w:rsidR="00BB5B36" w:rsidRPr="002D7ACC">
        <w:t>3</w:t>
      </w:r>
      <w:r w:rsidRPr="00CD3EF6">
        <w:t>.</w:t>
      </w:r>
    </w:p>
    <w:p w14:paraId="2A35AF89" w14:textId="77777777" w:rsidR="003D2F02" w:rsidRPr="00224574" w:rsidRDefault="003D2F02" w:rsidP="003D2F02">
      <w:pPr>
        <w:pStyle w:val="H1G"/>
      </w:pPr>
      <w:r>
        <w:tab/>
        <w:t>B.</w:t>
      </w:r>
      <w:r>
        <w:tab/>
      </w:r>
      <w:r w:rsidRPr="009E457A">
        <w:t>Acute toxicity, dermal and inhalation,</w:t>
      </w:r>
      <w:r>
        <w:t xml:space="preserve"> c</w:t>
      </w:r>
      <w:r w:rsidRPr="009E457A">
        <w:t>ategor</w:t>
      </w:r>
      <w:r>
        <w:t>y</w:t>
      </w:r>
      <w:r w:rsidRPr="009E457A">
        <w:t xml:space="preserve"> 5</w:t>
      </w:r>
      <w:r>
        <w:t xml:space="preserve">: </w:t>
      </w:r>
      <w:r w:rsidRPr="009E457A">
        <w:t>P340; and P</w:t>
      </w:r>
      <w:r>
        <w:t>352</w:t>
      </w:r>
    </w:p>
    <w:p w14:paraId="689BE58C" w14:textId="5F65792B" w:rsidR="003D2F02" w:rsidRPr="004B2B7F" w:rsidRDefault="003D2F02" w:rsidP="00BB5B36">
      <w:pPr>
        <w:pStyle w:val="SingleTxtG"/>
        <w:rPr>
          <w:rFonts w:asciiTheme="majorBidi" w:hAnsiTheme="majorBidi" w:cstheme="majorBidi"/>
        </w:rPr>
      </w:pPr>
      <w:r>
        <w:rPr>
          <w:rFonts w:asciiTheme="majorBidi" w:hAnsiTheme="majorBidi" w:cstheme="majorBidi"/>
        </w:rPr>
        <w:t>7</w:t>
      </w:r>
      <w:r w:rsidRPr="000275FC">
        <w:rPr>
          <w:rFonts w:asciiTheme="majorBidi" w:hAnsiTheme="majorBidi" w:cstheme="majorBidi"/>
        </w:rPr>
        <w:t>.</w:t>
      </w:r>
      <w:r w:rsidRPr="000275FC">
        <w:rPr>
          <w:rFonts w:asciiTheme="majorBidi" w:hAnsiTheme="majorBidi" w:cstheme="majorBidi"/>
        </w:rPr>
        <w:tab/>
      </w:r>
      <w:r>
        <w:rPr>
          <w:rFonts w:asciiTheme="majorBidi" w:hAnsiTheme="majorBidi" w:cstheme="majorBidi"/>
        </w:rPr>
        <w:t xml:space="preserve">Within informal document </w:t>
      </w:r>
      <w:r w:rsidR="00BB5B36">
        <w:rPr>
          <w:rFonts w:asciiTheme="majorBidi" w:hAnsiTheme="majorBidi" w:cstheme="majorBidi"/>
        </w:rPr>
        <w:t>INF.</w:t>
      </w:r>
      <w:r>
        <w:rPr>
          <w:rFonts w:asciiTheme="majorBidi" w:hAnsiTheme="majorBidi" w:cstheme="majorBidi"/>
        </w:rPr>
        <w:t xml:space="preserve">6 </w:t>
      </w:r>
      <w:r w:rsidR="00BB5B36">
        <w:rPr>
          <w:rFonts w:asciiTheme="majorBidi" w:hAnsiTheme="majorBidi" w:cstheme="majorBidi"/>
        </w:rPr>
        <w:t>(</w:t>
      </w:r>
      <w:r>
        <w:rPr>
          <w:rFonts w:asciiTheme="majorBidi" w:hAnsiTheme="majorBidi" w:cstheme="majorBidi"/>
        </w:rPr>
        <w:t>forty-fourth session</w:t>
      </w:r>
      <w:r w:rsidR="00516DA2">
        <w:rPr>
          <w:rFonts w:asciiTheme="majorBidi" w:hAnsiTheme="majorBidi" w:cstheme="majorBidi"/>
        </w:rPr>
        <w:t>, paragraphs 9 to 12</w:t>
      </w:r>
      <w:r w:rsidR="00BB5B36">
        <w:rPr>
          <w:rFonts w:asciiTheme="majorBidi" w:hAnsiTheme="majorBidi" w:cstheme="majorBidi"/>
        </w:rPr>
        <w:t>)</w:t>
      </w:r>
      <w:r>
        <w:rPr>
          <w:rFonts w:asciiTheme="majorBidi" w:hAnsiTheme="majorBidi" w:cstheme="majorBidi"/>
        </w:rPr>
        <w:t xml:space="preserve"> the group </w:t>
      </w:r>
      <w:r>
        <w:t xml:space="preserve">had noted that the response combination precautionary statements for both acute toxicity dermal and inhalation category 5 required further consideration. Respectively these are: </w:t>
      </w:r>
    </w:p>
    <w:p w14:paraId="3FC21057" w14:textId="1BE66326" w:rsidR="003D2F02" w:rsidRPr="00256355" w:rsidRDefault="003D2F02" w:rsidP="00714154">
      <w:pPr>
        <w:spacing w:after="120"/>
        <w:ind w:left="1701" w:right="1134"/>
        <w:jc w:val="both"/>
        <w:rPr>
          <w:rStyle w:val="StyleBold"/>
        </w:rPr>
      </w:pPr>
      <w:r w:rsidRPr="00256355">
        <w:rPr>
          <w:rStyle w:val="StyleBold"/>
        </w:rPr>
        <w:t>P302+P317</w:t>
      </w:r>
      <w:r w:rsidRPr="00256355">
        <w:rPr>
          <w:rStyle w:val="StyleBold"/>
        </w:rPr>
        <w:tab/>
        <w:t>“IF ON SKIN: Get medical help.”</w:t>
      </w:r>
    </w:p>
    <w:p w14:paraId="12F9A357" w14:textId="77777777" w:rsidR="003D2F02" w:rsidRPr="00C27322" w:rsidRDefault="003D2F02" w:rsidP="00714154">
      <w:pPr>
        <w:spacing w:after="120"/>
        <w:ind w:left="1701" w:right="1134"/>
        <w:jc w:val="both"/>
      </w:pPr>
      <w:r w:rsidRPr="00256355">
        <w:rPr>
          <w:rStyle w:val="StyleBold"/>
        </w:rPr>
        <w:t>P304+P317</w:t>
      </w:r>
      <w:r w:rsidRPr="00256355">
        <w:rPr>
          <w:rStyle w:val="StyleBold"/>
        </w:rPr>
        <w:tab/>
        <w:t xml:space="preserve">“IF INHALED: </w:t>
      </w:r>
      <w:r w:rsidRPr="00256355">
        <w:rPr>
          <w:b/>
        </w:rPr>
        <w:t>Get medical help.”</w:t>
      </w:r>
    </w:p>
    <w:p w14:paraId="0DFBE9E5" w14:textId="77777777" w:rsidR="003D2F02" w:rsidRDefault="003D2F02" w:rsidP="003D2F02">
      <w:pPr>
        <w:pStyle w:val="SingleTxtG"/>
      </w:pPr>
      <w:r>
        <w:t>8.</w:t>
      </w:r>
      <w:r>
        <w:tab/>
        <w:t>Currently, the only response precautionary statement for someone who has inhaled a chemical classified as acute toxicity inhalation category 5 is to “Get medical help”.</w:t>
      </w:r>
    </w:p>
    <w:p w14:paraId="1448ACE4" w14:textId="540D2262" w:rsidR="003D2F02" w:rsidRPr="00C27322" w:rsidRDefault="003D2F02" w:rsidP="003D2F02">
      <w:pPr>
        <w:pStyle w:val="SingleTxtG"/>
      </w:pPr>
      <w:r>
        <w:t>9.</w:t>
      </w:r>
      <w:r>
        <w:tab/>
        <w:t>Following further deliberation, the group considered that the initial action to help a person who had inhaled a chemical classified as acute toxicity inhalation category 5 should be to first remove them to fresh/clean air and then get medical help. Consequently, the group agreed that this hazard class and category should be placed under P340 (</w:t>
      </w:r>
      <w:r w:rsidR="00BB5B36">
        <w:t>“</w:t>
      </w:r>
      <w:r w:rsidRPr="00714154">
        <w:rPr>
          <w:b/>
          <w:bCs/>
        </w:rPr>
        <w:t>Remove person to fresh air and keep comfortable for breathing</w:t>
      </w:r>
      <w:r w:rsidRPr="00714154">
        <w:t>.</w:t>
      </w:r>
      <w:r>
        <w:t xml:space="preserve">”), together with amendment of the current combination </w:t>
      </w:r>
      <w:r w:rsidRPr="00C27322">
        <w:t>statement from: P304+P317 (</w:t>
      </w:r>
      <w:r w:rsidRPr="00C27322">
        <w:rPr>
          <w:b/>
          <w:bCs/>
        </w:rPr>
        <w:t>“IF INHALED: Get medical help.”</w:t>
      </w:r>
      <w:r w:rsidRPr="00C27322">
        <w:t>) to: P304+P340 (“</w:t>
      </w:r>
      <w:r w:rsidRPr="00256355">
        <w:rPr>
          <w:rStyle w:val="StyleBold"/>
          <w:rFonts w:asciiTheme="majorBidi" w:hAnsiTheme="majorBidi" w:cstheme="majorBidi"/>
        </w:rPr>
        <w:t xml:space="preserve">IF INHALED:  </w:t>
      </w:r>
      <w:r w:rsidRPr="00256355">
        <w:rPr>
          <w:rFonts w:asciiTheme="majorBidi" w:hAnsiTheme="majorBidi" w:cstheme="majorBidi"/>
          <w:b/>
        </w:rPr>
        <w:t>Remove person to fresh air and keep comfortable for breathing.</w:t>
      </w:r>
      <w:r w:rsidRPr="00C27322">
        <w:t xml:space="preserve">”), as proposed in section III (paragraphs 48, 52 and 53).  </w:t>
      </w:r>
    </w:p>
    <w:p w14:paraId="431D713B" w14:textId="7B1BB34D" w:rsidR="003D2F02" w:rsidRDefault="003D2F02" w:rsidP="003D2F02">
      <w:pPr>
        <w:pStyle w:val="SingleTxtG"/>
      </w:pPr>
      <w:r w:rsidRPr="00F011E0">
        <w:t>10.</w:t>
      </w:r>
      <w:r w:rsidRPr="00F011E0">
        <w:tab/>
        <w:t xml:space="preserve">Similarly, the group also considered that the initial action be to help a person exposed to a chemical classified as acute toxicity dermal </w:t>
      </w:r>
      <w:r>
        <w:t>c</w:t>
      </w:r>
      <w:r w:rsidRPr="00F011E0">
        <w:t>ategory 5 on the skin should be to first wash it off with plenty of water and then get medical help. Consequently, the group agreed that this hazard class and category should be placed under P352 (</w:t>
      </w:r>
      <w:r w:rsidR="00020507">
        <w:t>“</w:t>
      </w:r>
      <w:r w:rsidRPr="00714154">
        <w:rPr>
          <w:rStyle w:val="StyleBold"/>
          <w:rFonts w:asciiTheme="majorBidi" w:hAnsiTheme="majorBidi" w:cstheme="majorBidi"/>
        </w:rPr>
        <w:t>Wash with plenty of water/...</w:t>
      </w:r>
      <w:r w:rsidRPr="00020507">
        <w:t>”),</w:t>
      </w:r>
      <w:r w:rsidRPr="00F011E0">
        <w:t xml:space="preserve"> together with amendment of the current combination statement from: P302+P317 (</w:t>
      </w:r>
      <w:r w:rsidRPr="00F011E0">
        <w:rPr>
          <w:b/>
          <w:bCs/>
        </w:rPr>
        <w:t>“IF ON SKIN: Get medical help.”</w:t>
      </w:r>
      <w:r w:rsidRPr="00F011E0">
        <w:t xml:space="preserve">) to: </w:t>
      </w:r>
      <w:r w:rsidRPr="00C27322">
        <w:t>P302+P352 (“</w:t>
      </w:r>
      <w:r w:rsidRPr="00256355">
        <w:rPr>
          <w:rStyle w:val="StyleBold"/>
          <w:rFonts w:asciiTheme="majorBidi" w:hAnsiTheme="majorBidi" w:cstheme="majorBidi"/>
        </w:rPr>
        <w:t>IF ON SKIN:  Wash with plenty of water/...</w:t>
      </w:r>
      <w:r w:rsidRPr="00C27322">
        <w:t>”), as proposed in section III (paragraphs 49 to 51).</w:t>
      </w:r>
    </w:p>
    <w:p w14:paraId="69E89CA8" w14:textId="77777777" w:rsidR="003D2F02" w:rsidRPr="009B749D" w:rsidRDefault="003D2F02" w:rsidP="003D2F02">
      <w:pPr>
        <w:spacing w:before="360" w:after="120" w:line="240" w:lineRule="auto"/>
        <w:ind w:left="709" w:right="1134"/>
        <w:jc w:val="both"/>
        <w:rPr>
          <w:b/>
          <w:bCs/>
          <w:sz w:val="24"/>
          <w:szCs w:val="24"/>
        </w:rPr>
      </w:pPr>
      <w:r>
        <w:rPr>
          <w:b/>
          <w:bCs/>
          <w:sz w:val="24"/>
          <w:szCs w:val="24"/>
        </w:rPr>
        <w:t>C</w:t>
      </w:r>
      <w:r w:rsidRPr="009B749D">
        <w:rPr>
          <w:b/>
          <w:bCs/>
          <w:sz w:val="24"/>
          <w:szCs w:val="24"/>
        </w:rPr>
        <w:t>.</w:t>
      </w:r>
      <w:r w:rsidRPr="009B749D">
        <w:rPr>
          <w:b/>
          <w:bCs/>
          <w:sz w:val="24"/>
          <w:szCs w:val="24"/>
        </w:rPr>
        <w:tab/>
        <w:t>Acute toxicity, inhalation, category</w:t>
      </w:r>
      <w:r>
        <w:rPr>
          <w:b/>
          <w:bCs/>
          <w:sz w:val="24"/>
          <w:szCs w:val="24"/>
        </w:rPr>
        <w:t xml:space="preserve"> 4: P501</w:t>
      </w:r>
    </w:p>
    <w:p w14:paraId="1BCECD2C" w14:textId="55A00B85" w:rsidR="003D2F02" w:rsidRDefault="003D2F02" w:rsidP="003D2F02">
      <w:pPr>
        <w:spacing w:after="120" w:line="240" w:lineRule="auto"/>
        <w:ind w:left="1134" w:right="1134"/>
        <w:jc w:val="both"/>
      </w:pPr>
      <w:r>
        <w:rPr>
          <w:rFonts w:asciiTheme="majorBidi" w:hAnsiTheme="majorBidi" w:cstheme="majorBidi"/>
        </w:rPr>
        <w:t>11</w:t>
      </w:r>
      <w:r w:rsidRPr="000275FC">
        <w:rPr>
          <w:rFonts w:asciiTheme="majorBidi" w:hAnsiTheme="majorBidi" w:cstheme="majorBidi"/>
        </w:rPr>
        <w:t>.</w:t>
      </w:r>
      <w:r w:rsidRPr="000275FC">
        <w:rPr>
          <w:rFonts w:asciiTheme="majorBidi" w:hAnsiTheme="majorBidi" w:cstheme="majorBidi"/>
        </w:rPr>
        <w:tab/>
        <w:t xml:space="preserve">The group also noted that acute toxicity, oral and dermal, </w:t>
      </w:r>
      <w:r>
        <w:rPr>
          <w:rFonts w:asciiTheme="majorBidi" w:hAnsiTheme="majorBidi" w:cstheme="majorBidi"/>
        </w:rPr>
        <w:t>c</w:t>
      </w:r>
      <w:r w:rsidRPr="000275FC">
        <w:rPr>
          <w:rFonts w:asciiTheme="majorBidi" w:hAnsiTheme="majorBidi" w:cstheme="majorBidi"/>
        </w:rPr>
        <w:t xml:space="preserve">ategory 4 </w:t>
      </w:r>
      <w:proofErr w:type="gramStart"/>
      <w:r w:rsidRPr="000275FC">
        <w:rPr>
          <w:rFonts w:asciiTheme="majorBidi" w:hAnsiTheme="majorBidi" w:cstheme="majorBidi"/>
        </w:rPr>
        <w:t>are</w:t>
      </w:r>
      <w:proofErr w:type="gramEnd"/>
      <w:r w:rsidRPr="000275FC">
        <w:rPr>
          <w:rFonts w:asciiTheme="majorBidi" w:hAnsiTheme="majorBidi" w:cstheme="majorBidi"/>
        </w:rPr>
        <w:t xml:space="preserve"> both listed under </w:t>
      </w:r>
      <w:r w:rsidRPr="000275FC">
        <w:rPr>
          <w:rFonts w:asciiTheme="majorBidi" w:eastAsiaTheme="minorHAnsi" w:hAnsiTheme="majorBidi" w:cstheme="majorBidi"/>
          <w:lang w:eastAsia="en-US"/>
        </w:rPr>
        <w:t>P501 “</w:t>
      </w:r>
      <w:r w:rsidRPr="000275FC">
        <w:rPr>
          <w:rFonts w:asciiTheme="majorBidi" w:eastAsiaTheme="minorHAnsi" w:hAnsiTheme="majorBidi" w:cstheme="majorBidi"/>
          <w:b/>
          <w:bCs/>
          <w:lang w:eastAsia="en-US"/>
        </w:rPr>
        <w:t>Dispose of contents/container to…</w:t>
      </w:r>
      <w:r w:rsidR="009D23FD" w:rsidRPr="00714154">
        <w:rPr>
          <w:rFonts w:asciiTheme="majorBidi" w:eastAsiaTheme="minorHAnsi" w:hAnsiTheme="majorBidi" w:cstheme="majorBidi"/>
          <w:lang w:eastAsia="en-US"/>
        </w:rPr>
        <w:t>”</w:t>
      </w:r>
      <w:r w:rsidRPr="000275FC">
        <w:rPr>
          <w:rFonts w:asciiTheme="majorBidi" w:eastAsiaTheme="minorHAnsi" w:hAnsiTheme="majorBidi" w:cstheme="majorBidi"/>
          <w:lang w:eastAsia="en-US"/>
        </w:rPr>
        <w:t xml:space="preserve"> whereas </w:t>
      </w:r>
      <w:r w:rsidRPr="000275FC">
        <w:rPr>
          <w:rFonts w:asciiTheme="majorBidi" w:hAnsiTheme="majorBidi" w:cstheme="majorBidi"/>
        </w:rPr>
        <w:t xml:space="preserve">acute toxicity, inhalation, </w:t>
      </w:r>
      <w:r>
        <w:rPr>
          <w:rFonts w:asciiTheme="majorBidi" w:hAnsiTheme="majorBidi" w:cstheme="majorBidi"/>
        </w:rPr>
        <w:lastRenderedPageBreak/>
        <w:t>c</w:t>
      </w:r>
      <w:r w:rsidRPr="000275FC">
        <w:rPr>
          <w:rFonts w:asciiTheme="majorBidi" w:hAnsiTheme="majorBidi" w:cstheme="majorBidi"/>
        </w:rPr>
        <w:t xml:space="preserve">ategory 4 appears to have been omitted. Given that acute toxicity, inhalation, </w:t>
      </w:r>
      <w:r>
        <w:rPr>
          <w:rFonts w:asciiTheme="majorBidi" w:hAnsiTheme="majorBidi" w:cstheme="majorBidi"/>
        </w:rPr>
        <w:t>c</w:t>
      </w:r>
      <w:r w:rsidRPr="000275FC">
        <w:rPr>
          <w:rFonts w:asciiTheme="majorBidi" w:hAnsiTheme="majorBidi" w:cstheme="majorBidi"/>
        </w:rPr>
        <w:t xml:space="preserve">ategory 4 substances and mixtures, and the containers within which they have been stored, also need to be disposed of appropriately, the group considered that acute toxicity, inhalation, </w:t>
      </w:r>
      <w:r>
        <w:rPr>
          <w:rFonts w:asciiTheme="majorBidi" w:hAnsiTheme="majorBidi" w:cstheme="majorBidi"/>
        </w:rPr>
        <w:t>c</w:t>
      </w:r>
      <w:r w:rsidRPr="000275FC">
        <w:rPr>
          <w:rFonts w:asciiTheme="majorBidi" w:hAnsiTheme="majorBidi" w:cstheme="majorBidi"/>
        </w:rPr>
        <w:t>ategory 4 should also be included under P501</w:t>
      </w:r>
      <w:r>
        <w:rPr>
          <w:rFonts w:asciiTheme="majorBidi" w:hAnsiTheme="majorBidi" w:cstheme="majorBidi"/>
        </w:rPr>
        <w:t xml:space="preserve"> with the existing conditions for use that is provided for all hazard classes under P501</w:t>
      </w:r>
      <w:r w:rsidRPr="000275FC">
        <w:rPr>
          <w:rFonts w:asciiTheme="majorBidi" w:hAnsiTheme="majorBidi" w:cstheme="majorBidi"/>
        </w:rPr>
        <w:t xml:space="preserve">, </w:t>
      </w:r>
      <w:r>
        <w:t xml:space="preserve">as proposed in </w:t>
      </w:r>
      <w:r w:rsidRPr="00B12232">
        <w:t xml:space="preserve">section </w:t>
      </w:r>
      <w:r>
        <w:t>III (</w:t>
      </w:r>
      <w:r w:rsidRPr="00F011E0">
        <w:t xml:space="preserve">paragraph </w:t>
      </w:r>
      <w:r w:rsidRPr="00583174">
        <w:t>54</w:t>
      </w:r>
      <w:r w:rsidRPr="00F011E0">
        <w:t>).</w:t>
      </w:r>
    </w:p>
    <w:p w14:paraId="67A1D94A" w14:textId="711260B7" w:rsidR="003D2F02" w:rsidRDefault="003D2F02" w:rsidP="003D2F02">
      <w:pPr>
        <w:spacing w:after="120" w:line="240" w:lineRule="auto"/>
        <w:ind w:left="1134" w:right="1134"/>
        <w:jc w:val="both"/>
      </w:pPr>
      <w:r>
        <w:t xml:space="preserve">12. </w:t>
      </w:r>
      <w:r>
        <w:tab/>
        <w:t xml:space="preserve">In addition, the informal working group noted that two identical conditions for use entries are provided in column 5 for P501. </w:t>
      </w:r>
      <w:r w:rsidR="00725118">
        <w:t>As t</w:t>
      </w:r>
      <w:r w:rsidR="00066D74">
        <w:t xml:space="preserve">his </w:t>
      </w:r>
      <w:r w:rsidR="003B78EE">
        <w:t>is a</w:t>
      </w:r>
      <w:r w:rsidR="00725118">
        <w:t xml:space="preserve"> minor </w:t>
      </w:r>
      <w:r w:rsidR="003B78EE">
        <w:t xml:space="preserve">formatting </w:t>
      </w:r>
      <w:r w:rsidR="00725118">
        <w:t>issue</w:t>
      </w:r>
      <w:r w:rsidR="004154E4">
        <w:t>,</w:t>
      </w:r>
      <w:r w:rsidR="00725118">
        <w:t xml:space="preserve"> </w:t>
      </w:r>
      <w:r w:rsidR="004154E4">
        <w:t>r</w:t>
      </w:r>
      <w:r w:rsidR="003B78EE">
        <w:t xml:space="preserve">ather than </w:t>
      </w:r>
      <w:r w:rsidR="00501A96">
        <w:t>a</w:t>
      </w:r>
      <w:r w:rsidR="004154E4">
        <w:t xml:space="preserve"> proposed</w:t>
      </w:r>
      <w:r w:rsidR="00501A96">
        <w:t xml:space="preserve"> amendment</w:t>
      </w:r>
      <w:r w:rsidR="004154E4">
        <w:t>,</w:t>
      </w:r>
      <w:r w:rsidR="00501A96">
        <w:t xml:space="preserve"> </w:t>
      </w:r>
      <w:r w:rsidR="004154E4">
        <w:t xml:space="preserve">the group </w:t>
      </w:r>
      <w:r w:rsidR="00066D74">
        <w:t xml:space="preserve">raised </w:t>
      </w:r>
      <w:r w:rsidR="000171DA">
        <w:t xml:space="preserve">the issue </w:t>
      </w:r>
      <w:r w:rsidR="003B78EE">
        <w:t xml:space="preserve">with the </w:t>
      </w:r>
      <w:r w:rsidR="00165D2E">
        <w:t>s</w:t>
      </w:r>
      <w:r w:rsidR="003B78EE">
        <w:t xml:space="preserve">ecretariat who will </w:t>
      </w:r>
      <w:r w:rsidR="00501A96">
        <w:t xml:space="preserve">ensure that this issue is corrected </w:t>
      </w:r>
      <w:r w:rsidR="00422664">
        <w:t xml:space="preserve">in the </w:t>
      </w:r>
      <w:r w:rsidR="00165D2E">
        <w:t>e</w:t>
      </w:r>
      <w:r w:rsidR="00422664">
        <w:t xml:space="preserve">leventh </w:t>
      </w:r>
      <w:r w:rsidR="00165D2E">
        <w:t>r</w:t>
      </w:r>
      <w:r w:rsidR="00422664">
        <w:t xml:space="preserve">evision </w:t>
      </w:r>
      <w:r w:rsidR="00165D2E">
        <w:t>e</w:t>
      </w:r>
      <w:r w:rsidR="00422664">
        <w:t>dition</w:t>
      </w:r>
      <w:r w:rsidR="00165D2E">
        <w:t xml:space="preserve"> of the GHS</w:t>
      </w:r>
      <w:r w:rsidR="00422664">
        <w:t xml:space="preserve">. </w:t>
      </w:r>
    </w:p>
    <w:p w14:paraId="4719D096" w14:textId="76C639CC" w:rsidR="003D2F02" w:rsidRDefault="003D2F02" w:rsidP="003D2F02">
      <w:pPr>
        <w:pStyle w:val="H1G"/>
      </w:pPr>
      <w:r w:rsidRPr="00E51D98">
        <w:tab/>
      </w:r>
      <w:r>
        <w:t>D.</w:t>
      </w:r>
      <w:r>
        <w:tab/>
      </w:r>
      <w:r w:rsidRPr="00E51D98">
        <w:t>P320 “</w:t>
      </w:r>
      <w:r w:rsidRPr="00C06108">
        <w:t xml:space="preserve">Specific treatment is urgent (see ... on this label)” and </w:t>
      </w:r>
      <w:r w:rsidRPr="00E51D98">
        <w:t xml:space="preserve">P321 </w:t>
      </w:r>
      <w:r w:rsidR="009D23FD">
        <w:t>“</w:t>
      </w:r>
      <w:r w:rsidRPr="00E51D98">
        <w:t>Specific treatment (see ... on this label)”</w:t>
      </w:r>
    </w:p>
    <w:p w14:paraId="4463E920" w14:textId="7D861894" w:rsidR="003D2F02" w:rsidRDefault="0098150D" w:rsidP="00714154">
      <w:pPr>
        <w:pStyle w:val="H23G"/>
      </w:pPr>
      <w:r w:rsidRPr="00714154">
        <w:tab/>
      </w:r>
      <w:r w:rsidR="00374EDF" w:rsidRPr="00714154">
        <w:t>1.</w:t>
      </w:r>
      <w:r w:rsidR="00374EDF" w:rsidRPr="00776A71">
        <w:tab/>
      </w:r>
      <w:r w:rsidR="003D2F02">
        <w:tab/>
      </w:r>
      <w:r w:rsidR="003D2F02" w:rsidRPr="009B749D">
        <w:t>Acute toxicity, inhalation, category</w:t>
      </w:r>
      <w:r w:rsidR="003D2F02">
        <w:t xml:space="preserve"> 3</w:t>
      </w:r>
    </w:p>
    <w:p w14:paraId="47F35A46" w14:textId="77777777" w:rsidR="003D2F02" w:rsidRPr="00F011E0" w:rsidRDefault="003D2F02" w:rsidP="003D2F02">
      <w:pPr>
        <w:spacing w:after="120"/>
        <w:ind w:left="1134" w:right="1134"/>
        <w:jc w:val="both"/>
      </w:pPr>
      <w:r>
        <w:t>13.</w:t>
      </w:r>
      <w:r>
        <w:tab/>
        <w:t xml:space="preserve">As detailed in </w:t>
      </w:r>
      <w:r w:rsidRPr="00F011E0">
        <w:t xml:space="preserve">paragraph </w:t>
      </w:r>
      <w:r w:rsidRPr="00532E3E">
        <w:t>3</w:t>
      </w:r>
      <w:r w:rsidRPr="00F011E0">
        <w:t xml:space="preserve"> above, acute toxicity category 3 hazard classes normally receive similar precautionary statements as have been allocated for categories 1 and 2 for their respective hazard classes. </w:t>
      </w:r>
    </w:p>
    <w:p w14:paraId="5DDB0D9D" w14:textId="110AD897" w:rsidR="003D2F02" w:rsidRPr="00F011E0" w:rsidRDefault="003D2F02" w:rsidP="003D2F02">
      <w:pPr>
        <w:spacing w:after="120"/>
        <w:ind w:left="1134" w:right="1134"/>
        <w:jc w:val="both"/>
      </w:pPr>
      <w:r w:rsidRPr="00F011E0">
        <w:t>14.</w:t>
      </w:r>
      <w:r w:rsidRPr="00F011E0">
        <w:tab/>
        <w:t>However, the informal working group noted that acute toxicity, inhalation, category</w:t>
      </w:r>
      <w:r w:rsidR="00374EDF">
        <w:t> </w:t>
      </w:r>
      <w:r w:rsidRPr="00F011E0">
        <w:t>3 had been allocated to P321 “</w:t>
      </w:r>
      <w:r w:rsidRPr="00F011E0">
        <w:rPr>
          <w:b/>
        </w:rPr>
        <w:t>Specific treatment (see ... on this label).</w:t>
      </w:r>
      <w:r w:rsidRPr="00F011E0">
        <w:t>”, whereas categories 1 and 2 for this hazard class are listed beneath P320 “</w:t>
      </w:r>
      <w:r w:rsidRPr="00F011E0">
        <w:rPr>
          <w:b/>
        </w:rPr>
        <w:t>Specific treatment is urgent (see ... on this label).</w:t>
      </w:r>
      <w:r w:rsidRPr="00F011E0">
        <w:t xml:space="preserve">”. </w:t>
      </w:r>
    </w:p>
    <w:p w14:paraId="37A6263D" w14:textId="77777777" w:rsidR="003D2F02" w:rsidRPr="00C54426" w:rsidRDefault="003D2F02" w:rsidP="003D2F02">
      <w:pPr>
        <w:ind w:left="1134" w:right="1134"/>
        <w:jc w:val="both"/>
      </w:pPr>
      <w:r w:rsidRPr="00F011E0">
        <w:t>15.</w:t>
      </w:r>
      <w:r w:rsidRPr="00F011E0">
        <w:tab/>
        <w:t xml:space="preserve">Consequently, given that categories 1, 2 and 3 all require urgent treatment to be obtained, the group considered that acute toxicity, inhalation category 3 should also be included under P320 and be deleted from beneath P321, as proposed in section III (paragraphs </w:t>
      </w:r>
      <w:r w:rsidRPr="00532E3E">
        <w:t>44</w:t>
      </w:r>
      <w:r w:rsidRPr="00F011E0">
        <w:t xml:space="preserve"> and </w:t>
      </w:r>
      <w:r w:rsidRPr="00532E3E">
        <w:t>45</w:t>
      </w:r>
      <w:r w:rsidRPr="00F011E0">
        <w:t>).</w:t>
      </w:r>
    </w:p>
    <w:p w14:paraId="7C15C2B4" w14:textId="311E1AF4" w:rsidR="003D2F02" w:rsidRDefault="0098150D" w:rsidP="00714154">
      <w:pPr>
        <w:pStyle w:val="H23G"/>
      </w:pPr>
      <w:r>
        <w:tab/>
      </w:r>
      <w:r w:rsidR="00374EDF">
        <w:t>2.</w:t>
      </w:r>
      <w:r w:rsidR="00374EDF">
        <w:tab/>
      </w:r>
      <w:r w:rsidR="003D2F02" w:rsidRPr="009B749D">
        <w:t xml:space="preserve">Acute toxicity, </w:t>
      </w:r>
      <w:r w:rsidR="003D2F02">
        <w:t>oral and dermal</w:t>
      </w:r>
      <w:r w:rsidR="003D2F02" w:rsidRPr="009B749D">
        <w:t>, categor</w:t>
      </w:r>
      <w:r w:rsidR="003D2F02">
        <w:t>ies 1, 2 and 3</w:t>
      </w:r>
    </w:p>
    <w:p w14:paraId="69DB7DB5" w14:textId="77777777" w:rsidR="003D2F02" w:rsidRDefault="003D2F02" w:rsidP="003D2F02">
      <w:pPr>
        <w:spacing w:after="120"/>
        <w:ind w:left="1134" w:right="1134"/>
        <w:jc w:val="both"/>
      </w:pPr>
      <w:r>
        <w:t>16.</w:t>
      </w:r>
      <w:r>
        <w:tab/>
        <w:t xml:space="preserve">Given that acute toxicity, oral, dermal and inhalation categories 1, 2 and 3 are all considered to be of </w:t>
      </w:r>
      <w:r w:rsidRPr="00D300ED">
        <w:t xml:space="preserve">high </w:t>
      </w:r>
      <w:r w:rsidRPr="000275FC">
        <w:t xml:space="preserve">seriousness and </w:t>
      </w:r>
      <w:r>
        <w:t xml:space="preserve">high </w:t>
      </w:r>
      <w:r w:rsidRPr="000275FC">
        <w:t xml:space="preserve">urgency for obtaining </w:t>
      </w:r>
      <w:r>
        <w:t xml:space="preserve">specific </w:t>
      </w:r>
      <w:r w:rsidRPr="000275FC">
        <w:t>treatment</w:t>
      </w:r>
      <w:r>
        <w:t xml:space="preserve"> (as detailed in paragraph 3 above), the group noted an inconsistency in relation to acute toxicity, oral and dermal, categories 1, 2 and 3 which are currently allocated to beneath P321. </w:t>
      </w:r>
    </w:p>
    <w:p w14:paraId="24726E95" w14:textId="1BE883E9" w:rsidR="003D2F02" w:rsidRDefault="003D2F02" w:rsidP="003D2F02">
      <w:pPr>
        <w:spacing w:after="120"/>
        <w:ind w:left="1134" w:right="1134"/>
        <w:jc w:val="both"/>
      </w:pPr>
      <w:r>
        <w:t>17.</w:t>
      </w:r>
      <w:r>
        <w:tab/>
        <w:t>The group considered that in view of the high urgency of obtaining specific treatment following exposure to chemicals classified as acute toxicity, oral and dermal, categories 1, 2 and 3, it would be more appropriate to list them beneath P320, rather than P321, which would also be more consistent with the allocation for the acute toxicity inhalation hazard categories</w:t>
      </w:r>
      <w:r w:rsidR="0098150D">
        <w:t> </w:t>
      </w:r>
      <w:r>
        <w:t>1, 2 and 3.</w:t>
      </w:r>
    </w:p>
    <w:p w14:paraId="55091E33" w14:textId="77777777" w:rsidR="003D2F02" w:rsidRDefault="003D2F02" w:rsidP="003D2F02">
      <w:pPr>
        <w:spacing w:after="120"/>
        <w:ind w:left="1134" w:right="1134"/>
        <w:jc w:val="both"/>
      </w:pPr>
      <w:r>
        <w:t>18.</w:t>
      </w:r>
      <w:r>
        <w:tab/>
        <w:t xml:space="preserve">Hence the </w:t>
      </w:r>
      <w:r>
        <w:rPr>
          <w:bCs/>
        </w:rPr>
        <w:t xml:space="preserve">informal working </w:t>
      </w:r>
      <w:r>
        <w:t xml:space="preserve">group propose that acute toxicity, oral and dermal, categories 1, 2 and 3 should be included under P320 and deleted from beneath </w:t>
      </w:r>
      <w:r w:rsidRPr="00F81BD8">
        <w:t>P</w:t>
      </w:r>
      <w:r>
        <w:t xml:space="preserve">321, as detailed in </w:t>
      </w:r>
      <w:r w:rsidRPr="00B12232">
        <w:t xml:space="preserve">section </w:t>
      </w:r>
      <w:r>
        <w:t>III (</w:t>
      </w:r>
      <w:r w:rsidRPr="00F011E0">
        <w:t xml:space="preserve">paragraphs </w:t>
      </w:r>
      <w:r w:rsidRPr="00532E3E">
        <w:t>44</w:t>
      </w:r>
      <w:r w:rsidRPr="00F011E0">
        <w:t xml:space="preserve"> and </w:t>
      </w:r>
      <w:r w:rsidRPr="00532E3E">
        <w:t>45</w:t>
      </w:r>
      <w:r w:rsidRPr="00F011E0">
        <w:t>).</w:t>
      </w:r>
    </w:p>
    <w:p w14:paraId="59D85CB9" w14:textId="3B5E5A47" w:rsidR="003D2F02" w:rsidRDefault="0098150D" w:rsidP="00D0771A">
      <w:pPr>
        <w:pStyle w:val="H23G"/>
      </w:pPr>
      <w:r>
        <w:tab/>
        <w:t>3.</w:t>
      </w:r>
      <w:r>
        <w:tab/>
      </w:r>
      <w:r w:rsidR="003D2F02" w:rsidRPr="009B749D">
        <w:t xml:space="preserve">Acute toxicity, </w:t>
      </w:r>
      <w:r w:rsidR="003D2F02">
        <w:t xml:space="preserve">oral and </w:t>
      </w:r>
      <w:r w:rsidR="003D2F02" w:rsidRPr="009B749D">
        <w:t>inhalation, category</w:t>
      </w:r>
      <w:r w:rsidR="003D2F02">
        <w:t xml:space="preserve"> 4</w:t>
      </w:r>
    </w:p>
    <w:p w14:paraId="5C6A0903" w14:textId="77777777" w:rsidR="003D2F02" w:rsidRDefault="003D2F02" w:rsidP="003D2F02">
      <w:pPr>
        <w:spacing w:after="120"/>
        <w:ind w:left="1134" w:right="1134"/>
        <w:jc w:val="both"/>
      </w:pPr>
      <w:r>
        <w:rPr>
          <w:bCs/>
        </w:rPr>
        <w:t>19.</w:t>
      </w:r>
      <w:r>
        <w:rPr>
          <w:bCs/>
        </w:rPr>
        <w:tab/>
        <w:t xml:space="preserve">In addition to retaining acute toxicity dermal category 4 beneath P321, given that </w:t>
      </w:r>
      <w:r>
        <w:t>a</w:t>
      </w:r>
      <w:r w:rsidRPr="000275FC">
        <w:t>cute toxicity, oral, dermal and inhalation, categor</w:t>
      </w:r>
      <w:r>
        <w:t>y</w:t>
      </w:r>
      <w:r w:rsidRPr="000275FC">
        <w:t xml:space="preserve"> 4 </w:t>
      </w:r>
      <w:proofErr w:type="gramStart"/>
      <w:r w:rsidRPr="000275FC">
        <w:t>are</w:t>
      </w:r>
      <w:proofErr w:type="gramEnd"/>
      <w:r w:rsidRPr="000275FC">
        <w:t xml:space="preserve"> all considered to present</w:t>
      </w:r>
      <w:r>
        <w:t xml:space="preserve"> different</w:t>
      </w:r>
      <w:r w:rsidRPr="000275FC">
        <w:t xml:space="preserve"> hazard</w:t>
      </w:r>
      <w:r>
        <w:t>s</w:t>
      </w:r>
      <w:r w:rsidRPr="000275FC">
        <w:t xml:space="preserve"> </w:t>
      </w:r>
      <w:r>
        <w:t xml:space="preserve">but are all of relatively low </w:t>
      </w:r>
      <w:r w:rsidRPr="000275FC">
        <w:t xml:space="preserve">seriousness and </w:t>
      </w:r>
      <w:r>
        <w:t xml:space="preserve">high </w:t>
      </w:r>
      <w:r w:rsidRPr="000275FC">
        <w:t>urgency for obtaining medical treatment</w:t>
      </w:r>
      <w:r>
        <w:t xml:space="preserve">, </w:t>
      </w:r>
      <w:r w:rsidRPr="000275FC">
        <w:t xml:space="preserve">normally </w:t>
      </w:r>
      <w:r>
        <w:t xml:space="preserve">they receive </w:t>
      </w:r>
      <w:r w:rsidRPr="000275FC">
        <w:t>s</w:t>
      </w:r>
      <w:r>
        <w:t>imilar</w:t>
      </w:r>
      <w:r w:rsidRPr="000275FC">
        <w:t xml:space="preserve"> precautionary statements</w:t>
      </w:r>
      <w:r>
        <w:t xml:space="preserve"> </w:t>
      </w:r>
      <w:r w:rsidRPr="005F1083">
        <w:rPr>
          <w:vertAlign w:val="superscript"/>
        </w:rPr>
        <w:t>2</w:t>
      </w:r>
      <w:r>
        <w:t xml:space="preserve">. </w:t>
      </w:r>
    </w:p>
    <w:p w14:paraId="6AE88FD4" w14:textId="77777777" w:rsidR="003D2F02" w:rsidRPr="00C54426" w:rsidRDefault="003D2F02" w:rsidP="003D2F02">
      <w:pPr>
        <w:spacing w:after="120"/>
        <w:ind w:left="1134" w:right="1134"/>
        <w:jc w:val="both"/>
        <w:rPr>
          <w:bCs/>
        </w:rPr>
      </w:pPr>
      <w:r>
        <w:rPr>
          <w:bCs/>
        </w:rPr>
        <w:t>20.</w:t>
      </w:r>
      <w:r>
        <w:rPr>
          <w:bCs/>
        </w:rPr>
        <w:tab/>
        <w:t xml:space="preserve">Consequently, for greater consistency and to ensure that details regarding the necessary specific treatment are provided for all acute toxicity category 4 hazard classes, the informal working group </w:t>
      </w:r>
      <w:r>
        <w:t xml:space="preserve">propose that acute toxicity, oral and inhalation, category 4 should also be included beneath P321, as detailed in </w:t>
      </w:r>
      <w:r w:rsidRPr="00B12232">
        <w:t xml:space="preserve">section </w:t>
      </w:r>
      <w:r>
        <w:t xml:space="preserve">III </w:t>
      </w:r>
      <w:r w:rsidRPr="00F011E0">
        <w:t xml:space="preserve">(paragraph </w:t>
      </w:r>
      <w:r w:rsidRPr="00532E3E">
        <w:t>45</w:t>
      </w:r>
      <w:r w:rsidRPr="00F011E0">
        <w:t>).</w:t>
      </w:r>
    </w:p>
    <w:p w14:paraId="76E2ACC0" w14:textId="7BC6F5D3" w:rsidR="003D2F02" w:rsidRDefault="0098150D" w:rsidP="00D0771A">
      <w:pPr>
        <w:pStyle w:val="H23G"/>
      </w:pPr>
      <w:r>
        <w:tab/>
        <w:t>4.</w:t>
      </w:r>
      <w:r>
        <w:tab/>
      </w:r>
      <w:r w:rsidR="003D2F02">
        <w:t xml:space="preserve">Amendments to the text of the precautionary statements and conditions for use </w:t>
      </w:r>
    </w:p>
    <w:p w14:paraId="710A41F3" w14:textId="77777777" w:rsidR="003D2F02" w:rsidRDefault="003D2F02" w:rsidP="003D2F02">
      <w:pPr>
        <w:spacing w:after="120" w:line="240" w:lineRule="auto"/>
        <w:ind w:left="1134" w:right="1134"/>
        <w:jc w:val="both"/>
      </w:pPr>
      <w:r>
        <w:t>21.</w:t>
      </w:r>
      <w:r>
        <w:tab/>
        <w:t xml:space="preserve">During the review, the informal working group continued its consideration of P320 and P321 in relation to the reference to the use of antidotes in the current conditions for use </w:t>
      </w:r>
      <w:r>
        <w:lastRenderedPageBreak/>
        <w:t>for acute toxicity, inhalation, categories 1 and 2 (in P320) and for acute toxicity, oral, categories 1, 2 and 3 (in P321).</w:t>
      </w:r>
    </w:p>
    <w:p w14:paraId="3190FF63" w14:textId="77777777" w:rsidR="003D2F02" w:rsidRDefault="003D2F02" w:rsidP="003D2F02">
      <w:pPr>
        <w:spacing w:after="120" w:line="240" w:lineRule="auto"/>
        <w:ind w:left="1134" w:right="1134"/>
        <w:jc w:val="both"/>
        <w:rPr>
          <w:rFonts w:asciiTheme="majorBidi" w:hAnsiTheme="majorBidi" w:cstheme="majorBidi"/>
        </w:rPr>
      </w:pPr>
      <w:r w:rsidRPr="002B3D56">
        <w:t>22.</w:t>
      </w:r>
      <w:r>
        <w:tab/>
      </w:r>
      <w:r w:rsidRPr="00560269">
        <w:rPr>
          <w:rFonts w:asciiTheme="majorBidi" w:hAnsiTheme="majorBidi" w:cstheme="majorBidi"/>
        </w:rPr>
        <w:t>Concerns had</w:t>
      </w:r>
      <w:r>
        <w:rPr>
          <w:rFonts w:asciiTheme="majorBidi" w:hAnsiTheme="majorBidi" w:cstheme="majorBidi"/>
        </w:rPr>
        <w:t xml:space="preserve"> previously</w:t>
      </w:r>
      <w:r w:rsidRPr="00560269">
        <w:rPr>
          <w:rFonts w:asciiTheme="majorBidi" w:hAnsiTheme="majorBidi" w:cstheme="majorBidi"/>
        </w:rPr>
        <w:t xml:space="preserve"> been raised regarding the appropriateness of the reference given that some jurisdictions do not routinely recommend the use of antidotes due to variety of issues including the availability of trained persons to administer the treatment</w:t>
      </w:r>
      <w:r>
        <w:rPr>
          <w:rFonts w:asciiTheme="majorBidi" w:hAnsiTheme="majorBidi" w:cstheme="majorBidi"/>
        </w:rPr>
        <w:t xml:space="preserve"> and</w:t>
      </w:r>
      <w:r w:rsidRPr="00560269">
        <w:rPr>
          <w:rFonts w:asciiTheme="majorBidi" w:hAnsiTheme="majorBidi" w:cstheme="majorBidi"/>
        </w:rPr>
        <w:t xml:space="preserve"> in-date medical treatment (e.g., epi-pens, inhalers) on site; storage issues; potential consequences of incorrect administration to the exposed person; target audience; and potential legal issues</w:t>
      </w:r>
      <w:r>
        <w:rPr>
          <w:rFonts w:asciiTheme="majorBidi" w:hAnsiTheme="majorBidi" w:cstheme="majorBidi"/>
        </w:rPr>
        <w:t>.</w:t>
      </w:r>
    </w:p>
    <w:p w14:paraId="22A25966" w14:textId="3A8068C3" w:rsidR="003D2F02" w:rsidRPr="007F70D6" w:rsidRDefault="003D2F02" w:rsidP="003D2F02">
      <w:pPr>
        <w:spacing w:after="120" w:line="240" w:lineRule="auto"/>
        <w:ind w:left="1134" w:right="1134"/>
        <w:jc w:val="both"/>
        <w:rPr>
          <w:rFonts w:asciiTheme="majorBidi" w:hAnsiTheme="majorBidi" w:cstheme="majorBidi"/>
        </w:rPr>
      </w:pPr>
      <w:r>
        <w:rPr>
          <w:rFonts w:asciiTheme="majorBidi" w:hAnsiTheme="majorBidi" w:cstheme="majorBidi"/>
        </w:rPr>
        <w:t>23</w:t>
      </w:r>
      <w:r w:rsidRPr="007F70D6">
        <w:rPr>
          <w:rFonts w:asciiTheme="majorBidi" w:hAnsiTheme="majorBidi" w:cstheme="majorBidi"/>
        </w:rPr>
        <w:t>.</w:t>
      </w:r>
      <w:r w:rsidRPr="007F70D6">
        <w:rPr>
          <w:rFonts w:asciiTheme="majorBidi" w:hAnsiTheme="majorBidi" w:cstheme="majorBidi"/>
        </w:rPr>
        <w:tab/>
        <w:t xml:space="preserve">However, during the discussions </w:t>
      </w:r>
      <w:r>
        <w:rPr>
          <w:rFonts w:asciiTheme="majorBidi" w:hAnsiTheme="majorBidi" w:cstheme="majorBidi"/>
        </w:rPr>
        <w:t>the group learned</w:t>
      </w:r>
      <w:r w:rsidRPr="007F70D6">
        <w:rPr>
          <w:rFonts w:asciiTheme="majorBidi" w:hAnsiTheme="majorBidi" w:cstheme="majorBidi"/>
        </w:rPr>
        <w:t xml:space="preserve"> that some jurisdictions </w:t>
      </w:r>
      <w:r>
        <w:rPr>
          <w:rFonts w:asciiTheme="majorBidi" w:hAnsiTheme="majorBidi" w:cstheme="majorBidi"/>
        </w:rPr>
        <w:t>do</w:t>
      </w:r>
      <w:r w:rsidRPr="007F70D6">
        <w:rPr>
          <w:rFonts w:asciiTheme="majorBidi" w:hAnsiTheme="majorBidi" w:cstheme="majorBidi"/>
        </w:rPr>
        <w:t xml:space="preserve"> include reference for a small number of substances and mixtures. Although consideration was made regarding whether or not to delete P320, the group concluded that it would be appropriate to retain this statement as it expresses the urgency of obtaining treatment, </w:t>
      </w:r>
      <w:r>
        <w:rPr>
          <w:rFonts w:asciiTheme="majorBidi" w:hAnsiTheme="majorBidi" w:cstheme="majorBidi"/>
        </w:rPr>
        <w:t>and that it is important to note in the conditions of use that such treatments should be simple and easily administered, without concern for potential negative consequence of incorrect administration.</w:t>
      </w:r>
    </w:p>
    <w:p w14:paraId="494C6F20" w14:textId="77777777" w:rsidR="003D2F02" w:rsidRDefault="003D2F02" w:rsidP="003D2F02">
      <w:pPr>
        <w:spacing w:after="120" w:line="240" w:lineRule="auto"/>
        <w:ind w:left="1134" w:right="1134"/>
        <w:jc w:val="both"/>
      </w:pPr>
      <w:r>
        <w:t>24.</w:t>
      </w:r>
      <w:r>
        <w:tab/>
      </w:r>
      <w:r w:rsidRPr="00B313AB">
        <w:t xml:space="preserve">In addition, the group took the opportunity to </w:t>
      </w:r>
      <w:r>
        <w:t xml:space="preserve">propose the </w:t>
      </w:r>
      <w:r w:rsidRPr="00B313AB">
        <w:t>re</w:t>
      </w:r>
      <w:r>
        <w:t>placement of</w:t>
      </w:r>
      <w:r w:rsidRPr="00B313AB">
        <w:t xml:space="preserve"> the dots (</w:t>
      </w:r>
      <w:r>
        <w:t>“</w:t>
      </w:r>
      <w:r w:rsidRPr="00B313AB">
        <w:t>…</w:t>
      </w:r>
      <w:r>
        <w:t>”</w:t>
      </w:r>
      <w:r w:rsidRPr="00B313AB">
        <w:t>)</w:t>
      </w:r>
      <w:r>
        <w:t xml:space="preserve"> with the word: “</w:t>
      </w:r>
      <w:r w:rsidRPr="006E4F5C">
        <w:rPr>
          <w:b/>
          <w:bCs/>
        </w:rPr>
        <w:t>information</w:t>
      </w:r>
      <w:r>
        <w:t xml:space="preserve">” </w:t>
      </w:r>
      <w:r w:rsidRPr="00B313AB">
        <w:t xml:space="preserve">in the statements for P320 and P321 </w:t>
      </w:r>
      <w:r>
        <w:t>as currently it is</w:t>
      </w:r>
      <w:r w:rsidRPr="00B313AB">
        <w:t xml:space="preserve"> frequently found that the dots are not replaced </w:t>
      </w:r>
      <w:r>
        <w:t xml:space="preserve">by </w:t>
      </w:r>
      <w:r w:rsidRPr="00B313AB">
        <w:t>appropriate</w:t>
      </w:r>
      <w:r>
        <w:t xml:space="preserve"> wording</w:t>
      </w:r>
      <w:r w:rsidRPr="00B313AB">
        <w:t xml:space="preserve"> and</w:t>
      </w:r>
      <w:r>
        <w:t xml:space="preserve"> they</w:t>
      </w:r>
      <w:r w:rsidRPr="00B313AB">
        <w:t xml:space="preserve"> appear on labels</w:t>
      </w:r>
      <w:r>
        <w:t>,</w:t>
      </w:r>
      <w:r w:rsidRPr="00B313AB">
        <w:t xml:space="preserve"> creating potential confusion and clutter through the use of irrelevant text. </w:t>
      </w:r>
    </w:p>
    <w:p w14:paraId="14500CFF" w14:textId="437E98A5" w:rsidR="003D2F02" w:rsidRDefault="003D2F02" w:rsidP="003D2F02">
      <w:pPr>
        <w:spacing w:after="120" w:line="240" w:lineRule="auto"/>
        <w:ind w:left="1134" w:right="1134"/>
        <w:jc w:val="both"/>
      </w:pPr>
      <w:r>
        <w:t>25.</w:t>
      </w:r>
      <w:r>
        <w:tab/>
        <w:t xml:space="preserve">Further, to help address the concerns raised in </w:t>
      </w:r>
      <w:r w:rsidRPr="00E6414E">
        <w:t>paragraph 22 regarding</w:t>
      </w:r>
      <w:r>
        <w:t xml:space="preserve"> the use of antidotes, and to ensure that the appropriate information is provided on both the label and the safety data sheet, the group also propose amendments to both the P320 and P321 precautionary statements and their respective conditions for use to address these issues (see</w:t>
      </w:r>
      <w:r w:rsidR="00E07E59">
        <w:t> </w:t>
      </w:r>
      <w:r w:rsidRPr="00F011E0">
        <w:t xml:space="preserve">paragraphs </w:t>
      </w:r>
      <w:r w:rsidRPr="00532E3E">
        <w:t>44</w:t>
      </w:r>
      <w:r w:rsidRPr="00F011E0">
        <w:t xml:space="preserve"> and </w:t>
      </w:r>
      <w:r w:rsidRPr="00532E3E">
        <w:t>45</w:t>
      </w:r>
      <w:r w:rsidRPr="00F011E0">
        <w:t>). In addition</w:t>
      </w:r>
      <w:r>
        <w:t xml:space="preserve">, the group also propose two new precautionary statements (see </w:t>
      </w:r>
      <w:r w:rsidR="00E07E59">
        <w:t>s</w:t>
      </w:r>
      <w:r>
        <w:t xml:space="preserve">ection F below), that are complementary to P320 and P321, to ensure that users have the detailed information needed for training and administration of more complicated treatments. </w:t>
      </w:r>
    </w:p>
    <w:p w14:paraId="5E0F5B77" w14:textId="65E4E47C" w:rsidR="003D2F02" w:rsidRDefault="003D2F02" w:rsidP="003D2F02">
      <w:pPr>
        <w:spacing w:after="120" w:line="240" w:lineRule="auto"/>
        <w:ind w:left="1134" w:right="1134"/>
        <w:jc w:val="both"/>
        <w:rPr>
          <w:lang w:eastAsia="en-US"/>
        </w:rPr>
      </w:pPr>
      <w:r>
        <w:t>26.</w:t>
      </w:r>
      <w:r>
        <w:tab/>
        <w:t xml:space="preserve">The informal working group acknowledged the perennial issue of competing space on labels and considered that </w:t>
      </w:r>
      <w:r>
        <w:rPr>
          <w:lang w:eastAsia="en-US"/>
        </w:rPr>
        <w:t xml:space="preserve">additional detail which may be too lengthy to provide on the label would need to be provided on the safety data sheet. In effect, a reference or </w:t>
      </w:r>
      <w:r w:rsidR="00E07E59">
        <w:rPr>
          <w:lang w:eastAsia="en-US"/>
        </w:rPr>
        <w:t>“</w:t>
      </w:r>
      <w:proofErr w:type="gramStart"/>
      <w:r>
        <w:rPr>
          <w:lang w:eastAsia="en-US"/>
        </w:rPr>
        <w:t>sign post</w:t>
      </w:r>
      <w:proofErr w:type="gramEnd"/>
      <w:r w:rsidR="00E07E59">
        <w:rPr>
          <w:lang w:eastAsia="en-US"/>
        </w:rPr>
        <w:t>”</w:t>
      </w:r>
      <w:r>
        <w:rPr>
          <w:lang w:eastAsia="en-US"/>
        </w:rPr>
        <w:t xml:space="preserve"> would still need to be provided on the label directing users to the safety data sheet for the more detailed information.</w:t>
      </w:r>
      <w:r w:rsidRPr="00E56F2F">
        <w:rPr>
          <w:lang w:eastAsia="en-US"/>
        </w:rPr>
        <w:t xml:space="preserve"> </w:t>
      </w:r>
    </w:p>
    <w:p w14:paraId="0E34D35A" w14:textId="77777777" w:rsidR="003D2F02" w:rsidRDefault="003D2F02" w:rsidP="003D2F02">
      <w:pPr>
        <w:spacing w:after="120" w:line="240" w:lineRule="auto"/>
        <w:ind w:left="1134" w:right="1134"/>
        <w:jc w:val="both"/>
      </w:pPr>
      <w:r>
        <w:t>27.</w:t>
      </w:r>
      <w:r>
        <w:tab/>
        <w:t xml:space="preserve">The informal working group also considered whether or not the same conditions for use could be used for all of the listed hazard classes and categories listed under P321. </w:t>
      </w:r>
    </w:p>
    <w:p w14:paraId="1B9CE57C" w14:textId="6B195BEC" w:rsidR="003D2F02" w:rsidRDefault="003D2F02" w:rsidP="003D2F02">
      <w:pPr>
        <w:spacing w:after="120" w:line="240" w:lineRule="auto"/>
        <w:ind w:left="1134" w:right="1134"/>
        <w:jc w:val="both"/>
      </w:pPr>
      <w:r>
        <w:t>28.</w:t>
      </w:r>
      <w:r>
        <w:tab/>
        <w:t xml:space="preserve">In view of the proposed amended wording for P321 and the conditions for use for the acute toxicity oral entry under P321 would both refer to information being provided on the label and safety data sheet, and that the proposed amended conditions for use for this hazard category would refer to </w:t>
      </w:r>
      <w:r w:rsidR="00E07E59">
        <w:t>“</w:t>
      </w:r>
      <w:r>
        <w:t>..</w:t>
      </w:r>
      <w:r w:rsidRPr="00B648AE">
        <w:rPr>
          <w:b/>
          <w:bCs/>
          <w:i/>
          <w:iCs/>
        </w:rPr>
        <w:t>administration of an antidote or other specific treatment.</w:t>
      </w:r>
      <w:r>
        <w:t>.</w:t>
      </w:r>
      <w:r w:rsidR="00E07E59">
        <w:t>”</w:t>
      </w:r>
      <w:r>
        <w:t xml:space="preserve">, the group considered that the term </w:t>
      </w:r>
      <w:r w:rsidR="00E07E59">
        <w:t>“</w:t>
      </w:r>
      <w:r w:rsidRPr="00F23FD5">
        <w:rPr>
          <w:b/>
          <w:bCs/>
        </w:rPr>
        <w:t>specific treatment</w:t>
      </w:r>
      <w:r w:rsidR="00E07E59">
        <w:t>”</w:t>
      </w:r>
      <w:r>
        <w:t xml:space="preserve"> would also encompass other treatments (e.g. specific cleansing agents or measures), not just medical treatments, that may be relevant. Consequently, the group considered that the same proposed conditions for use could be applied for all the hazard classes and categories listed under P321, which would greatly simplify the current column 5 entries for P321. </w:t>
      </w:r>
    </w:p>
    <w:p w14:paraId="6D1C8BF4" w14:textId="77777777" w:rsidR="003D2F02" w:rsidRPr="00B56885" w:rsidRDefault="003D2F02" w:rsidP="003D2F02">
      <w:pPr>
        <w:spacing w:after="120" w:line="240" w:lineRule="auto"/>
        <w:ind w:left="1134" w:right="1134"/>
        <w:jc w:val="both"/>
      </w:pPr>
      <w:r>
        <w:t>29.</w:t>
      </w:r>
      <w:r>
        <w:tab/>
        <w:t xml:space="preserve">In addition, the proposed amended conditions for use for P321 indicate that this statement may be omitted if P320 is provided on the label. This is because if both P320 and P321 were provided on the label for those substances or mixtures that have multiple classifications and listed under both these precautionary statements, there would be a large amount of duplication and in those cases, it would be the precautionary statement (i.e., with the higher urgency) from the higher hazard that would be applied. </w:t>
      </w:r>
      <w:r w:rsidRPr="00B56885">
        <w:t xml:space="preserve">For example, if a substance was classified as both acute toxicity, </w:t>
      </w:r>
      <w:r>
        <w:t>inhalation</w:t>
      </w:r>
      <w:r w:rsidRPr="00B56885">
        <w:t xml:space="preserve">, </w:t>
      </w:r>
      <w:r>
        <w:t>c</w:t>
      </w:r>
      <w:r w:rsidRPr="00B56885">
        <w:t xml:space="preserve">ategory </w:t>
      </w:r>
      <w:r>
        <w:t>1</w:t>
      </w:r>
      <w:r w:rsidRPr="00B56885">
        <w:t xml:space="preserve"> </w:t>
      </w:r>
      <w:r>
        <w:t xml:space="preserve">(listed under P320) </w:t>
      </w:r>
      <w:r w:rsidRPr="00B56885">
        <w:t xml:space="preserve">and skin corrosion, </w:t>
      </w:r>
      <w:r>
        <w:t>c</w:t>
      </w:r>
      <w:r w:rsidRPr="00B56885">
        <w:t>ategory 1B</w:t>
      </w:r>
      <w:r>
        <w:t xml:space="preserve"> (listed under P321), under the proposed amendments then only P320 would be applied.</w:t>
      </w:r>
    </w:p>
    <w:p w14:paraId="7B31FB89" w14:textId="07FE4E74" w:rsidR="003D2F02" w:rsidRDefault="003D2F02" w:rsidP="003D2F02">
      <w:pPr>
        <w:pStyle w:val="SingleTxtG"/>
      </w:pPr>
      <w:r>
        <w:t>30</w:t>
      </w:r>
      <w:r w:rsidRPr="003E71AE">
        <w:t>.</w:t>
      </w:r>
      <w:r w:rsidRPr="003E71AE">
        <w:tab/>
        <w:t xml:space="preserve">The proposed changes to </w:t>
      </w:r>
      <w:r>
        <w:t>P320 and P321 and</w:t>
      </w:r>
      <w:r w:rsidRPr="003E71AE">
        <w:t xml:space="preserve"> </w:t>
      </w:r>
      <w:r>
        <w:t xml:space="preserve">their respective </w:t>
      </w:r>
      <w:r w:rsidRPr="003E71AE">
        <w:t xml:space="preserve">conditions for use are </w:t>
      </w:r>
      <w:r>
        <w:t>provided</w:t>
      </w:r>
      <w:r w:rsidRPr="003E71AE">
        <w:t xml:space="preserve"> in section III (</w:t>
      </w:r>
      <w:r w:rsidRPr="00F011E0">
        <w:t xml:space="preserve">paragraphs </w:t>
      </w:r>
      <w:r w:rsidRPr="00532E3E">
        <w:t>44</w:t>
      </w:r>
      <w:r w:rsidRPr="00F011E0">
        <w:t xml:space="preserve"> to </w:t>
      </w:r>
      <w:r w:rsidRPr="00532E3E">
        <w:t>45</w:t>
      </w:r>
      <w:r w:rsidRPr="00F011E0">
        <w:t>) and</w:t>
      </w:r>
      <w:r w:rsidRPr="003E71AE">
        <w:t xml:space="preserve"> section IV </w:t>
      </w:r>
      <w:r>
        <w:t>(</w:t>
      </w:r>
      <w:r w:rsidR="00441A63">
        <w:t>“</w:t>
      </w:r>
      <w:r w:rsidRPr="00E41954">
        <w:t xml:space="preserve">Proposed amendments to the matrix tables in annex 3, </w:t>
      </w:r>
      <w:r w:rsidR="00441A63">
        <w:t>s</w:t>
      </w:r>
      <w:r w:rsidRPr="00E41954">
        <w:t>ection 3</w:t>
      </w:r>
      <w:r w:rsidR="00441A63">
        <w:t>”</w:t>
      </w:r>
      <w:r>
        <w:t xml:space="preserve">) </w:t>
      </w:r>
      <w:r w:rsidRPr="003E71AE">
        <w:t xml:space="preserve">of this document and provided in full in the accompanying informal document </w:t>
      </w:r>
      <w:r w:rsidRPr="00A23A7E">
        <w:t>INF.</w:t>
      </w:r>
      <w:r w:rsidR="00441A63" w:rsidRPr="00A23A7E">
        <w:t>3</w:t>
      </w:r>
      <w:r w:rsidRPr="00A23A7E">
        <w:t>.</w:t>
      </w:r>
    </w:p>
    <w:p w14:paraId="478BA630" w14:textId="77777777" w:rsidR="003D2F02" w:rsidRPr="004728B3" w:rsidRDefault="003D2F02" w:rsidP="004E6E2F">
      <w:pPr>
        <w:pStyle w:val="H1G"/>
        <w:ind w:hanging="567"/>
        <w:jc w:val="both"/>
      </w:pPr>
      <w:r>
        <w:lastRenderedPageBreak/>
        <w:t>E.</w:t>
      </w:r>
      <w:r>
        <w:tab/>
      </w:r>
      <w:r>
        <w:tab/>
      </w:r>
      <w:r w:rsidRPr="004728B3">
        <w:t>Specific target organ toxicity, single exposure</w:t>
      </w:r>
      <w:r>
        <w:t xml:space="preserve"> (STOT SE)</w:t>
      </w:r>
      <w:r w:rsidRPr="004728B3">
        <w:t xml:space="preserve">, </w:t>
      </w:r>
      <w:r>
        <w:t>c</w:t>
      </w:r>
      <w:r w:rsidRPr="004728B3">
        <w:t>ategory 2 and specific target organ toxicity, repeat</w:t>
      </w:r>
      <w:r>
        <w:t>ed</w:t>
      </w:r>
      <w:r w:rsidRPr="004728B3">
        <w:t xml:space="preserve"> exposure</w:t>
      </w:r>
      <w:r>
        <w:t xml:space="preserve"> (STOT RE)</w:t>
      </w:r>
      <w:r w:rsidRPr="004728B3">
        <w:t xml:space="preserve">, </w:t>
      </w:r>
      <w:r>
        <w:t>c</w:t>
      </w:r>
      <w:r w:rsidRPr="004728B3">
        <w:t>ategory 2: P260 and P261:</w:t>
      </w:r>
    </w:p>
    <w:p w14:paraId="53735D2C" w14:textId="081B0FB2" w:rsidR="003D2F02" w:rsidRPr="00B12232" w:rsidRDefault="003D2F02" w:rsidP="004E6E2F">
      <w:pPr>
        <w:pStyle w:val="SingleTxtG"/>
      </w:pPr>
      <w:r>
        <w:t>31</w:t>
      </w:r>
      <w:r w:rsidRPr="002D4E30">
        <w:t>.</w:t>
      </w:r>
      <w:r w:rsidRPr="002D4E30">
        <w:tab/>
        <w:t xml:space="preserve">The guidance value </w:t>
      </w:r>
      <w:r w:rsidRPr="00780454">
        <w:t xml:space="preserve">ranges for specific target organ toxicity, single exposure </w:t>
      </w:r>
      <w:r>
        <w:t>c</w:t>
      </w:r>
      <w:r w:rsidRPr="00780454">
        <w:t xml:space="preserve">ategory 1 </w:t>
      </w:r>
      <w:proofErr w:type="gramStart"/>
      <w:r w:rsidRPr="00780454">
        <w:t>are</w:t>
      </w:r>
      <w:proofErr w:type="gramEnd"/>
      <w:r w:rsidRPr="00780454">
        <w:t xml:space="preserve"> a</w:t>
      </w:r>
      <w:r w:rsidRPr="002D4E30">
        <w:t xml:space="preserve">ligned with the acute toxicity estimate values and criteria for acute toxicity </w:t>
      </w:r>
      <w:r>
        <w:t>c</w:t>
      </w:r>
      <w:r w:rsidRPr="002D4E30">
        <w:t>ategories 1, 2 and 3, while the guidance value ranges for STOT</w:t>
      </w:r>
      <w:r>
        <w:t xml:space="preserve"> </w:t>
      </w:r>
      <w:r w:rsidRPr="002D4E30">
        <w:t xml:space="preserve">SE </w:t>
      </w:r>
      <w:r>
        <w:t>c</w:t>
      </w:r>
      <w:r w:rsidRPr="002D4E30">
        <w:t>ategory</w:t>
      </w:r>
      <w:r>
        <w:t> </w:t>
      </w:r>
      <w:r w:rsidRPr="002D4E30">
        <w:t xml:space="preserve">2 are aligned with the </w:t>
      </w:r>
      <w:r w:rsidRPr="00B12232">
        <w:t xml:space="preserve">acute toxicity estimate values and criteria for acute toxicity </w:t>
      </w:r>
      <w:r>
        <w:t>c</w:t>
      </w:r>
      <w:r w:rsidRPr="00B12232">
        <w:t xml:space="preserve">ategory 4. </w:t>
      </w:r>
      <w:r w:rsidRPr="002D4E30">
        <w:t>Hence an inconsistency was identified by the group between these hazard classes and categories.</w:t>
      </w:r>
    </w:p>
    <w:p w14:paraId="0BCA43BE" w14:textId="77777777" w:rsidR="003D2F02" w:rsidRPr="002D4E30" w:rsidRDefault="003D2F02" w:rsidP="004E6E2F">
      <w:pPr>
        <w:pStyle w:val="SingleTxtG"/>
        <w:rPr>
          <w:rFonts w:asciiTheme="majorBidi" w:hAnsiTheme="majorBidi" w:cstheme="majorBidi"/>
        </w:rPr>
      </w:pPr>
      <w:r>
        <w:rPr>
          <w:rFonts w:asciiTheme="majorBidi" w:hAnsiTheme="majorBidi" w:cstheme="majorBidi"/>
        </w:rPr>
        <w:t>32</w:t>
      </w:r>
      <w:r w:rsidRPr="00B12232">
        <w:rPr>
          <w:rFonts w:asciiTheme="majorBidi" w:hAnsiTheme="majorBidi" w:cstheme="majorBidi"/>
        </w:rPr>
        <w:t>.</w:t>
      </w:r>
      <w:r w:rsidRPr="00B12232">
        <w:rPr>
          <w:rFonts w:asciiTheme="majorBidi" w:hAnsiTheme="majorBidi" w:cstheme="majorBidi"/>
        </w:rPr>
        <w:tab/>
        <w:t xml:space="preserve">Currently, STOT </w:t>
      </w:r>
      <w:r>
        <w:rPr>
          <w:rFonts w:asciiTheme="majorBidi" w:hAnsiTheme="majorBidi" w:cstheme="majorBidi"/>
        </w:rPr>
        <w:t>SE c</w:t>
      </w:r>
      <w:r w:rsidRPr="00B12232">
        <w:rPr>
          <w:rFonts w:asciiTheme="majorBidi" w:hAnsiTheme="majorBidi" w:cstheme="majorBidi"/>
        </w:rPr>
        <w:t xml:space="preserve">ategory 2 and </w:t>
      </w:r>
      <w:r>
        <w:rPr>
          <w:rFonts w:asciiTheme="majorBidi" w:hAnsiTheme="majorBidi" w:cstheme="majorBidi"/>
        </w:rPr>
        <w:t xml:space="preserve">STOT </w:t>
      </w:r>
      <w:r w:rsidRPr="00B12232">
        <w:rPr>
          <w:rFonts w:asciiTheme="majorBidi" w:hAnsiTheme="majorBidi" w:cstheme="majorBidi"/>
        </w:rPr>
        <w:t xml:space="preserve">RE </w:t>
      </w:r>
      <w:r>
        <w:rPr>
          <w:rFonts w:asciiTheme="majorBidi" w:hAnsiTheme="majorBidi" w:cstheme="majorBidi"/>
        </w:rPr>
        <w:t>c</w:t>
      </w:r>
      <w:r w:rsidRPr="00B12232">
        <w:rPr>
          <w:rFonts w:asciiTheme="majorBidi" w:hAnsiTheme="majorBidi" w:cstheme="majorBidi"/>
        </w:rPr>
        <w:t>ategory 2</w:t>
      </w:r>
      <w:r>
        <w:rPr>
          <w:rFonts w:asciiTheme="majorBidi" w:hAnsiTheme="majorBidi" w:cstheme="majorBidi"/>
        </w:rPr>
        <w:t xml:space="preserve"> </w:t>
      </w:r>
      <w:r w:rsidRPr="00B12232">
        <w:rPr>
          <w:rFonts w:asciiTheme="majorBidi" w:hAnsiTheme="majorBidi" w:cstheme="majorBidi"/>
        </w:rPr>
        <w:t>are listed u</w:t>
      </w:r>
      <w:r w:rsidRPr="002D4E30">
        <w:rPr>
          <w:rFonts w:asciiTheme="majorBidi" w:hAnsiTheme="majorBidi" w:cstheme="majorBidi"/>
        </w:rPr>
        <w:t>nder P260 (“Do not breathe…”) when the more appropriate instruction should be to: “Avoid breathing”, as applied to acu</w:t>
      </w:r>
      <w:r w:rsidRPr="002D4E30">
        <w:t xml:space="preserve">te toxicity, inhalation, </w:t>
      </w:r>
      <w:r>
        <w:t>c</w:t>
      </w:r>
      <w:r w:rsidRPr="002D4E30">
        <w:t>ategory 4</w:t>
      </w:r>
      <w:r>
        <w:t xml:space="preserve"> listed </w:t>
      </w:r>
      <w:r>
        <w:rPr>
          <w:rFonts w:asciiTheme="majorBidi" w:hAnsiTheme="majorBidi" w:cstheme="majorBidi"/>
        </w:rPr>
        <w:t>under</w:t>
      </w:r>
      <w:r w:rsidRPr="002D4E30">
        <w:rPr>
          <w:rFonts w:asciiTheme="majorBidi" w:hAnsiTheme="majorBidi" w:cstheme="majorBidi"/>
        </w:rPr>
        <w:t xml:space="preserve"> P261</w:t>
      </w:r>
      <w:r w:rsidRPr="002D4E30">
        <w:t xml:space="preserve">. </w:t>
      </w:r>
    </w:p>
    <w:p w14:paraId="699592EF" w14:textId="77777777" w:rsidR="003D2F02" w:rsidRPr="002D4E30" w:rsidRDefault="003D2F02" w:rsidP="004E6E2F">
      <w:pPr>
        <w:pStyle w:val="SingleTxtG"/>
        <w:rPr>
          <w:rFonts w:asciiTheme="majorBidi" w:hAnsiTheme="majorBidi" w:cstheme="majorBidi"/>
        </w:rPr>
      </w:pPr>
      <w:r>
        <w:rPr>
          <w:rFonts w:asciiTheme="majorBidi" w:hAnsiTheme="majorBidi" w:cstheme="majorBidi"/>
        </w:rPr>
        <w:t>33</w:t>
      </w:r>
      <w:r w:rsidRPr="002D4E30">
        <w:rPr>
          <w:rFonts w:asciiTheme="majorBidi" w:hAnsiTheme="majorBidi" w:cstheme="majorBidi"/>
        </w:rPr>
        <w:t>.</w:t>
      </w:r>
      <w:r w:rsidRPr="002D4E30">
        <w:rPr>
          <w:rFonts w:asciiTheme="majorBidi" w:hAnsiTheme="majorBidi" w:cstheme="majorBidi"/>
        </w:rPr>
        <w:tab/>
        <w:t>The group initially considered whether or not acu</w:t>
      </w:r>
      <w:r w:rsidRPr="002D4E30">
        <w:t xml:space="preserve">te toxicity, inhalation </w:t>
      </w:r>
      <w:r>
        <w:t>c</w:t>
      </w:r>
      <w:r w:rsidRPr="002D4E30">
        <w:t>ategory 4 should be move from P261 to P260 given that</w:t>
      </w:r>
      <w:r w:rsidRPr="002D4E30">
        <w:rPr>
          <w:rFonts w:asciiTheme="majorBidi" w:hAnsiTheme="majorBidi" w:cstheme="majorBidi"/>
        </w:rPr>
        <w:t xml:space="preserve"> STOT SE and RE hazard classes were not considered to be technically within the remit of the current work item on acute toxicity issues. However, due to the close link between the</w:t>
      </w:r>
      <w:r w:rsidRPr="002D4E30">
        <w:t xml:space="preserve"> estimate values and criteria for </w:t>
      </w:r>
      <w:r w:rsidRPr="002D4E30">
        <w:rPr>
          <w:rFonts w:asciiTheme="majorBidi" w:hAnsiTheme="majorBidi" w:cstheme="majorBidi"/>
        </w:rPr>
        <w:t xml:space="preserve">STOT SE, </w:t>
      </w:r>
      <w:r>
        <w:rPr>
          <w:rFonts w:asciiTheme="majorBidi" w:hAnsiTheme="majorBidi" w:cstheme="majorBidi"/>
        </w:rPr>
        <w:t>c</w:t>
      </w:r>
      <w:r w:rsidRPr="002D4E30">
        <w:rPr>
          <w:rFonts w:asciiTheme="majorBidi" w:hAnsiTheme="majorBidi" w:cstheme="majorBidi"/>
        </w:rPr>
        <w:t xml:space="preserve">ategory 2, and acute toxicity, </w:t>
      </w:r>
      <w:r>
        <w:rPr>
          <w:rFonts w:asciiTheme="majorBidi" w:hAnsiTheme="majorBidi" w:cstheme="majorBidi"/>
        </w:rPr>
        <w:t>c</w:t>
      </w:r>
      <w:r w:rsidRPr="002D4E30">
        <w:rPr>
          <w:rFonts w:asciiTheme="majorBidi" w:hAnsiTheme="majorBidi" w:cstheme="majorBidi"/>
        </w:rPr>
        <w:t xml:space="preserve">ategory 4, the group concluded that </w:t>
      </w:r>
      <w:r>
        <w:rPr>
          <w:rFonts w:asciiTheme="majorBidi" w:hAnsiTheme="majorBidi" w:cstheme="majorBidi"/>
        </w:rPr>
        <w:t>it w</w:t>
      </w:r>
      <w:r w:rsidRPr="002D4E30">
        <w:rPr>
          <w:rFonts w:asciiTheme="majorBidi" w:hAnsiTheme="majorBidi" w:cstheme="majorBidi"/>
        </w:rPr>
        <w:t xml:space="preserve">ould be </w:t>
      </w:r>
      <w:r>
        <w:rPr>
          <w:rFonts w:asciiTheme="majorBidi" w:hAnsiTheme="majorBidi" w:cstheme="majorBidi"/>
        </w:rPr>
        <w:t>more appropriate</w:t>
      </w:r>
      <w:r w:rsidRPr="002D4E30">
        <w:rPr>
          <w:rFonts w:asciiTheme="majorBidi" w:hAnsiTheme="majorBidi" w:cstheme="majorBidi"/>
        </w:rPr>
        <w:t xml:space="preserve"> to move STOT SE, </w:t>
      </w:r>
      <w:r>
        <w:rPr>
          <w:rFonts w:asciiTheme="majorBidi" w:hAnsiTheme="majorBidi" w:cstheme="majorBidi"/>
        </w:rPr>
        <w:t>c</w:t>
      </w:r>
      <w:r w:rsidRPr="002D4E30">
        <w:rPr>
          <w:rFonts w:asciiTheme="majorBidi" w:hAnsiTheme="majorBidi" w:cstheme="majorBidi"/>
        </w:rPr>
        <w:t xml:space="preserve">ategory 2, from under P260 and place it under P261. </w:t>
      </w:r>
    </w:p>
    <w:p w14:paraId="2A32BC88" w14:textId="77777777" w:rsidR="003D2F02" w:rsidRPr="006B360B" w:rsidRDefault="003D2F02" w:rsidP="004E6E2F">
      <w:pPr>
        <w:pStyle w:val="SingleTxtG"/>
        <w:rPr>
          <w:rFonts w:asciiTheme="majorBidi" w:hAnsiTheme="majorBidi" w:cstheme="majorBidi"/>
        </w:rPr>
      </w:pPr>
      <w:r>
        <w:rPr>
          <w:rFonts w:asciiTheme="majorBidi" w:hAnsiTheme="majorBidi" w:cstheme="majorBidi"/>
        </w:rPr>
        <w:t>34</w:t>
      </w:r>
      <w:r w:rsidRPr="002D4E30">
        <w:rPr>
          <w:rFonts w:asciiTheme="majorBidi" w:hAnsiTheme="majorBidi" w:cstheme="majorBidi"/>
        </w:rPr>
        <w:t>.</w:t>
      </w:r>
      <w:r w:rsidRPr="002D4E30">
        <w:rPr>
          <w:rFonts w:asciiTheme="majorBidi" w:hAnsiTheme="majorBidi" w:cstheme="majorBidi"/>
        </w:rPr>
        <w:tab/>
        <w:t xml:space="preserve">In addition, to avoid any inconsistency between the application of P260 and P261 to STOT SE, </w:t>
      </w:r>
      <w:r>
        <w:rPr>
          <w:rFonts w:asciiTheme="majorBidi" w:hAnsiTheme="majorBidi" w:cstheme="majorBidi"/>
        </w:rPr>
        <w:t>c</w:t>
      </w:r>
      <w:r w:rsidRPr="002D4E30">
        <w:rPr>
          <w:rFonts w:asciiTheme="majorBidi" w:hAnsiTheme="majorBidi" w:cstheme="majorBidi"/>
        </w:rPr>
        <w:t xml:space="preserve">ategory 2, and STOT RE, </w:t>
      </w:r>
      <w:r>
        <w:rPr>
          <w:rFonts w:asciiTheme="majorBidi" w:hAnsiTheme="majorBidi" w:cstheme="majorBidi"/>
        </w:rPr>
        <w:t>c</w:t>
      </w:r>
      <w:r w:rsidRPr="002D4E30">
        <w:rPr>
          <w:rFonts w:asciiTheme="majorBidi" w:hAnsiTheme="majorBidi" w:cstheme="majorBidi"/>
        </w:rPr>
        <w:t>ategory 2, the group also propose to move STOT</w:t>
      </w:r>
      <w:r>
        <w:rPr>
          <w:rFonts w:asciiTheme="majorBidi" w:hAnsiTheme="majorBidi" w:cstheme="majorBidi"/>
        </w:rPr>
        <w:t> </w:t>
      </w:r>
      <w:r w:rsidRPr="002D4E30">
        <w:rPr>
          <w:rFonts w:asciiTheme="majorBidi" w:hAnsiTheme="majorBidi" w:cstheme="majorBidi"/>
        </w:rPr>
        <w:t xml:space="preserve">RE, </w:t>
      </w:r>
      <w:r>
        <w:rPr>
          <w:rFonts w:asciiTheme="majorBidi" w:hAnsiTheme="majorBidi" w:cstheme="majorBidi"/>
        </w:rPr>
        <w:t>c</w:t>
      </w:r>
      <w:r w:rsidRPr="002D4E30">
        <w:rPr>
          <w:rFonts w:asciiTheme="majorBidi" w:hAnsiTheme="majorBidi" w:cstheme="majorBidi"/>
        </w:rPr>
        <w:t>ategory 2, from under P260 and place it under P261</w:t>
      </w:r>
      <w:r>
        <w:rPr>
          <w:rFonts w:asciiTheme="majorBidi" w:hAnsiTheme="majorBidi" w:cstheme="majorBidi"/>
        </w:rPr>
        <w:t xml:space="preserve">, together with the </w:t>
      </w:r>
      <w:r>
        <w:t xml:space="preserve">same conditions for use </w:t>
      </w:r>
      <w:r w:rsidRPr="006B360B">
        <w:t>that currently appl</w:t>
      </w:r>
      <w:r>
        <w:t>ies to</w:t>
      </w:r>
      <w:r w:rsidRPr="006B360B">
        <w:t xml:space="preserve"> </w:t>
      </w:r>
      <w:r w:rsidRPr="006B360B">
        <w:rPr>
          <w:rFonts w:asciiTheme="majorBidi" w:hAnsiTheme="majorBidi" w:cstheme="majorBidi"/>
        </w:rPr>
        <w:t>theses hazard classes and categories under P260</w:t>
      </w:r>
      <w:r>
        <w:rPr>
          <w:rFonts w:asciiTheme="majorBidi" w:hAnsiTheme="majorBidi" w:cstheme="majorBidi"/>
        </w:rPr>
        <w:t xml:space="preserve"> </w:t>
      </w:r>
      <w:r w:rsidRPr="006B360B">
        <w:t>(</w:t>
      </w:r>
      <w:r>
        <w:t xml:space="preserve">i.e. </w:t>
      </w:r>
      <w:r w:rsidRPr="00724FE4">
        <w:t>“</w:t>
      </w:r>
      <w:r w:rsidRPr="00724FE4">
        <w:rPr>
          <w:b/>
          <w:bCs/>
        </w:rPr>
        <w:t>Manufacturer/supplier or the competent authority to specify applicable physical state(s).</w:t>
      </w:r>
      <w:r w:rsidRPr="00724FE4">
        <w:t>”)</w:t>
      </w:r>
      <w:r w:rsidRPr="00724FE4">
        <w:rPr>
          <w:rFonts w:asciiTheme="majorBidi" w:hAnsiTheme="majorBidi" w:cstheme="majorBidi"/>
        </w:rPr>
        <w:t>.</w:t>
      </w:r>
    </w:p>
    <w:p w14:paraId="777781D9" w14:textId="68C10B1B" w:rsidR="003D2F02" w:rsidRPr="000F3A00" w:rsidRDefault="003D2F02" w:rsidP="004E6E2F">
      <w:pPr>
        <w:pStyle w:val="SingleTxtG"/>
        <w:keepNext/>
        <w:keepLines/>
        <w:spacing w:after="240" w:line="240" w:lineRule="auto"/>
      </w:pPr>
      <w:r>
        <w:t>35.</w:t>
      </w:r>
      <w:r>
        <w:tab/>
        <w:t>Further</w:t>
      </w:r>
      <w:r w:rsidRPr="00680A00">
        <w:t xml:space="preserve">, </w:t>
      </w:r>
      <w:r>
        <w:t xml:space="preserve">given that </w:t>
      </w:r>
      <w:r w:rsidRPr="00680A00">
        <w:t xml:space="preserve">the words “dust/fume/gas/vapour/spray” </w:t>
      </w:r>
      <w:r>
        <w:t xml:space="preserve">are </w:t>
      </w:r>
      <w:r w:rsidRPr="00680A00">
        <w:t xml:space="preserve">more accurately described as </w:t>
      </w:r>
      <w:r>
        <w:t>“</w:t>
      </w:r>
      <w:r w:rsidRPr="000F3A00">
        <w:rPr>
          <w:b/>
          <w:bCs/>
        </w:rPr>
        <w:t>physical states</w:t>
      </w:r>
      <w:r>
        <w:rPr>
          <w:b/>
          <w:bCs/>
        </w:rPr>
        <w:t>”</w:t>
      </w:r>
      <w:r w:rsidRPr="00680A00">
        <w:t xml:space="preserve"> rather than </w:t>
      </w:r>
      <w:r>
        <w:t>“</w:t>
      </w:r>
      <w:r w:rsidRPr="000F3A00">
        <w:rPr>
          <w:b/>
          <w:bCs/>
        </w:rPr>
        <w:t>conditions</w:t>
      </w:r>
      <w:r>
        <w:rPr>
          <w:b/>
          <w:bCs/>
        </w:rPr>
        <w:t>”</w:t>
      </w:r>
      <w:r>
        <w:t xml:space="preserve">, and in line with the change to the conditions for use that was adopted for P260 in December 2022 (see document </w:t>
      </w:r>
      <w:r w:rsidR="00683255">
        <w:t>ST/SG/AC.10/C.4/</w:t>
      </w:r>
      <w:r>
        <w:t>2022/16, paragraph 8</w:t>
      </w:r>
      <w:r w:rsidR="00683255">
        <w:t xml:space="preserve"> </w:t>
      </w:r>
      <w:r>
        <w:t>(b) (ii to iv)) for a number of health hazard classes, the group considered that it would be appropriate to</w:t>
      </w:r>
      <w:r w:rsidRPr="00680A00">
        <w:t xml:space="preserve"> amend the </w:t>
      </w:r>
      <w:r>
        <w:t>c</w:t>
      </w:r>
      <w:r w:rsidRPr="00680A00">
        <w:t xml:space="preserve">onditions for use for all </w:t>
      </w:r>
      <w:r>
        <w:t xml:space="preserve">the </w:t>
      </w:r>
      <w:r w:rsidRPr="00680A00">
        <w:t xml:space="preserve">health hazard classes </w:t>
      </w:r>
      <w:r>
        <w:t xml:space="preserve">currently </w:t>
      </w:r>
      <w:r w:rsidRPr="00680A00">
        <w:t xml:space="preserve">listed </w:t>
      </w:r>
      <w:r>
        <w:t>under</w:t>
      </w:r>
      <w:r w:rsidRPr="00680A00">
        <w:t xml:space="preserve"> P26</w:t>
      </w:r>
      <w:r>
        <w:t>1. This would ensure greater alignment between the conditions for use provided for in P260 and P261.</w:t>
      </w:r>
    </w:p>
    <w:p w14:paraId="3EBD56DF" w14:textId="4884AA7C" w:rsidR="003D2F02" w:rsidRPr="0009401A" w:rsidRDefault="003D2F02" w:rsidP="004E6E2F">
      <w:pPr>
        <w:pStyle w:val="SingleTxtG"/>
      </w:pPr>
      <w:r>
        <w:rPr>
          <w:rFonts w:asciiTheme="majorBidi" w:hAnsiTheme="majorBidi" w:cstheme="majorBidi"/>
        </w:rPr>
        <w:t>36.</w:t>
      </w:r>
      <w:r>
        <w:rPr>
          <w:rFonts w:asciiTheme="majorBidi" w:hAnsiTheme="majorBidi" w:cstheme="majorBidi"/>
        </w:rPr>
        <w:tab/>
        <w:t>These proposed changes are listed in</w:t>
      </w:r>
      <w:r w:rsidRPr="003E71AE">
        <w:t xml:space="preserve"> </w:t>
      </w:r>
      <w:r>
        <w:t>section III (</w:t>
      </w:r>
      <w:r w:rsidRPr="00F011E0">
        <w:t xml:space="preserve">paragraph </w:t>
      </w:r>
      <w:r w:rsidRPr="00532E3E">
        <w:t>41 and 42</w:t>
      </w:r>
      <w:r w:rsidRPr="00F011E0">
        <w:t>)</w:t>
      </w:r>
      <w:r w:rsidRPr="003E71AE">
        <w:t xml:space="preserve"> and section IV of this document and provided in full in the accompanying informal document </w:t>
      </w:r>
      <w:r w:rsidRPr="00A23A7E">
        <w:t>INF.</w:t>
      </w:r>
      <w:r w:rsidR="00683255" w:rsidRPr="00A23A7E">
        <w:t>3</w:t>
      </w:r>
      <w:r w:rsidRPr="00A23A7E">
        <w:t>.</w:t>
      </w:r>
    </w:p>
    <w:p w14:paraId="00BA785D" w14:textId="77777777" w:rsidR="003D2F02" w:rsidRPr="004728B3" w:rsidRDefault="003D2F02" w:rsidP="004E6E2F">
      <w:pPr>
        <w:pStyle w:val="H1G"/>
        <w:jc w:val="both"/>
        <w:rPr>
          <w:b w:val="0"/>
          <w:bCs/>
        </w:rPr>
      </w:pPr>
      <w:r>
        <w:tab/>
        <w:t>F.</w:t>
      </w:r>
      <w:r>
        <w:tab/>
      </w:r>
      <w:r w:rsidRPr="00E51D98">
        <w:t xml:space="preserve">Proposed new precautionary statements: P322 and P323 </w:t>
      </w:r>
    </w:p>
    <w:p w14:paraId="0CA848FA" w14:textId="77777777" w:rsidR="003D2F02" w:rsidRPr="00A55977" w:rsidRDefault="003D2F02" w:rsidP="004E6E2F">
      <w:pPr>
        <w:spacing w:after="120" w:line="240" w:lineRule="auto"/>
        <w:ind w:left="1134" w:right="1134"/>
        <w:jc w:val="both"/>
        <w:rPr>
          <w:rFonts w:asciiTheme="majorBidi" w:hAnsiTheme="majorBidi" w:cstheme="majorBidi"/>
        </w:rPr>
      </w:pPr>
      <w:r>
        <w:t>37.</w:t>
      </w:r>
      <w:r>
        <w:tab/>
        <w:t xml:space="preserve">The group also propose to introduce two new precautionary statements “P322” and “P323” into Table A3.2.3, that are similar to P320 and P321, but which </w:t>
      </w:r>
      <w:r w:rsidRPr="00A55977">
        <w:t xml:space="preserve">refer to information </w:t>
      </w:r>
      <w:r>
        <w:t xml:space="preserve">being provided </w:t>
      </w:r>
      <w:r w:rsidRPr="00A55977">
        <w:t xml:space="preserve">on the safety data sheet. </w:t>
      </w:r>
      <w:r w:rsidRPr="001B1550">
        <w:t>The proposed new statements read as follows:</w:t>
      </w:r>
    </w:p>
    <w:p w14:paraId="2F045359" w14:textId="77777777" w:rsidR="003D2F02" w:rsidRPr="007264FF" w:rsidRDefault="003D2F02" w:rsidP="004E6E2F">
      <w:pPr>
        <w:pStyle w:val="Bullet1G"/>
      </w:pPr>
      <w:r w:rsidRPr="007264FF">
        <w:t>P32</w:t>
      </w:r>
      <w:r>
        <w:t>2</w:t>
      </w:r>
      <w:r w:rsidRPr="007264FF">
        <w:t xml:space="preserve"> “</w:t>
      </w:r>
      <w:r w:rsidRPr="00714154">
        <w:rPr>
          <w:b/>
          <w:bCs/>
        </w:rPr>
        <w:t>Specific treatment is urgent (see information on the safety data sheet).</w:t>
      </w:r>
      <w:r w:rsidRPr="007264FF">
        <w:t>”</w:t>
      </w:r>
    </w:p>
    <w:p w14:paraId="53FE48F9" w14:textId="77777777" w:rsidR="003D2F02" w:rsidRPr="003931A6" w:rsidRDefault="003D2F02" w:rsidP="004E6E2F">
      <w:pPr>
        <w:pStyle w:val="Bullet1G"/>
      </w:pPr>
      <w:r w:rsidRPr="000C2E0D">
        <w:t>P32</w:t>
      </w:r>
      <w:r>
        <w:t>3</w:t>
      </w:r>
      <w:r w:rsidRPr="000C2E0D">
        <w:t xml:space="preserve"> “</w:t>
      </w:r>
      <w:r w:rsidRPr="00714154">
        <w:rPr>
          <w:b/>
          <w:bCs/>
        </w:rPr>
        <w:t>Specific treatment (see information on the safety data sheet).</w:t>
      </w:r>
      <w:r w:rsidRPr="000C2E0D">
        <w:t>”</w:t>
      </w:r>
    </w:p>
    <w:p w14:paraId="5D424D29" w14:textId="597F4D40" w:rsidR="003D2F02" w:rsidRDefault="003D2F02" w:rsidP="004E6E2F">
      <w:pPr>
        <w:spacing w:after="120"/>
        <w:ind w:left="1134" w:right="1134"/>
        <w:jc w:val="both"/>
      </w:pPr>
      <w:r>
        <w:t>38.</w:t>
      </w:r>
      <w:r>
        <w:tab/>
        <w:t xml:space="preserve">The proposed </w:t>
      </w:r>
      <w:r w:rsidRPr="0089744A">
        <w:t>conditions for use for P322 and P323 are also very similar</w:t>
      </w:r>
      <w:r>
        <w:t xml:space="preserve"> to each other, </w:t>
      </w:r>
      <w:r w:rsidRPr="0089744A">
        <w:t xml:space="preserve">each </w:t>
      </w:r>
      <w:r>
        <w:t xml:space="preserve">referring </w:t>
      </w:r>
      <w:r w:rsidRPr="0058526F">
        <w:t xml:space="preserve">to </w:t>
      </w:r>
      <w:r>
        <w:t xml:space="preserve">additional </w:t>
      </w:r>
      <w:r w:rsidRPr="0058526F">
        <w:rPr>
          <w:rStyle w:val="StyleItalic"/>
          <w:rFonts w:cstheme="minorBidi"/>
          <w:i w:val="0"/>
          <w:iCs w:val="0"/>
        </w:rPr>
        <w:t xml:space="preserve">detailed instructions and </w:t>
      </w:r>
      <w:r>
        <w:rPr>
          <w:rStyle w:val="StyleItalic"/>
          <w:rFonts w:cstheme="minorBidi"/>
          <w:i w:val="0"/>
          <w:iCs w:val="0"/>
        </w:rPr>
        <w:t xml:space="preserve">any </w:t>
      </w:r>
      <w:r w:rsidRPr="0058526F">
        <w:rPr>
          <w:rStyle w:val="StyleItalic"/>
          <w:rFonts w:cstheme="minorBidi"/>
          <w:i w:val="0"/>
          <w:iCs w:val="0"/>
        </w:rPr>
        <w:t>treatment</w:t>
      </w:r>
      <w:r w:rsidRPr="0058526F">
        <w:t xml:space="preserve"> </w:t>
      </w:r>
      <w:r w:rsidRPr="0058526F">
        <w:rPr>
          <w:rStyle w:val="StyleItalic"/>
          <w:rFonts w:cstheme="minorBidi"/>
          <w:i w:val="0"/>
          <w:iCs w:val="0"/>
        </w:rPr>
        <w:t xml:space="preserve">training requirements </w:t>
      </w:r>
      <w:r>
        <w:t>being provided on the safety data sheet</w:t>
      </w:r>
      <w:r w:rsidRPr="0058526F">
        <w:rPr>
          <w:rStyle w:val="StyleItalic"/>
          <w:rFonts w:cstheme="minorBidi"/>
          <w:i w:val="0"/>
          <w:iCs w:val="0"/>
        </w:rPr>
        <w:t xml:space="preserve"> </w:t>
      </w:r>
      <w:r w:rsidRPr="0058526F">
        <w:t>for</w:t>
      </w:r>
      <w:r>
        <w:t xml:space="preserve"> the specific substance or mixture. This enables detailed information to be provided on more complex or multi-stage treatments, including details on any additional materials or training that may be necessary for the treatment of the exposed person. The group considered that this would ensure that the manufacturer/supplier would provide the necessary detailed information for more complicated treatments that might be omitted/overlooked if only limited information were provided on the label. The information provided on the safety data sheet should be of sufficient detail to minimize the potential negative consequences of incorrect administration of an antidote or special treatment.</w:t>
      </w:r>
    </w:p>
    <w:p w14:paraId="5397182D" w14:textId="03C3764E" w:rsidR="003D2F02" w:rsidRPr="00F011E0" w:rsidRDefault="003D2F02" w:rsidP="003D2F02">
      <w:pPr>
        <w:pStyle w:val="SingleTxtG"/>
      </w:pPr>
      <w:r>
        <w:lastRenderedPageBreak/>
        <w:t>39.</w:t>
      </w:r>
      <w:r>
        <w:tab/>
        <w:t xml:space="preserve">The </w:t>
      </w:r>
      <w:r w:rsidRPr="00827E74">
        <w:t xml:space="preserve">conditions for use </w:t>
      </w:r>
      <w:r>
        <w:t xml:space="preserve">for P322 and P323 also provide </w:t>
      </w:r>
      <w:r w:rsidRPr="00F011E0">
        <w:t xml:space="preserve">complementary statements to those provided for P320 and P321. For the same reasoning as detailed in paragraph </w:t>
      </w:r>
      <w:r w:rsidRPr="00532E3E">
        <w:t>29</w:t>
      </w:r>
      <w:r w:rsidRPr="00F011E0">
        <w:t xml:space="preserve"> above, the conditions for use indicate that P322 may be omitted if P320 is provided on the label, and similarly that P323 may be omitted if P321 or P322 is provided on the label. </w:t>
      </w:r>
    </w:p>
    <w:p w14:paraId="668760F8" w14:textId="569F171A" w:rsidR="003D2F02" w:rsidRPr="003E71AE" w:rsidRDefault="003D2F02" w:rsidP="003D2F02">
      <w:pPr>
        <w:pStyle w:val="SingleTxtG"/>
      </w:pPr>
      <w:r w:rsidRPr="00F011E0">
        <w:t>40.</w:t>
      </w:r>
      <w:r w:rsidRPr="00F011E0">
        <w:tab/>
        <w:t xml:space="preserve">The proposed new precautionary statements, conditions for use and hazard class categories are listed in section III (paragraphs </w:t>
      </w:r>
      <w:r w:rsidRPr="00532E3E">
        <w:t>46</w:t>
      </w:r>
      <w:r w:rsidRPr="00F011E0">
        <w:t xml:space="preserve"> to </w:t>
      </w:r>
      <w:r w:rsidRPr="00532E3E">
        <w:t>47</w:t>
      </w:r>
      <w:r w:rsidRPr="00F011E0">
        <w:t>) and section</w:t>
      </w:r>
      <w:r w:rsidRPr="003E71AE">
        <w:t xml:space="preserve"> IV of this document and provided in full in the accompanying informal </w:t>
      </w:r>
      <w:r w:rsidRPr="00A23A7E">
        <w:t>document INF.</w:t>
      </w:r>
      <w:r w:rsidR="007D7C83" w:rsidRPr="00A23A7E">
        <w:t>3</w:t>
      </w:r>
      <w:r w:rsidRPr="003E71AE">
        <w:t>.</w:t>
      </w:r>
    </w:p>
    <w:p w14:paraId="729FF623" w14:textId="77777777" w:rsidR="003D2F02" w:rsidRPr="007D7C83" w:rsidRDefault="003D2F02" w:rsidP="007D7C83">
      <w:pPr>
        <w:pStyle w:val="HChG"/>
      </w:pPr>
      <w:r w:rsidRPr="007D7C83">
        <w:tab/>
        <w:t>III.</w:t>
      </w:r>
      <w:r w:rsidRPr="007D7C83">
        <w:tab/>
        <w:t>Proposed amendments to annex 3, section 2</w:t>
      </w:r>
    </w:p>
    <w:p w14:paraId="7DB29A11" w14:textId="77777777" w:rsidR="003D2F02" w:rsidRDefault="003D2F02" w:rsidP="007D7C83">
      <w:pPr>
        <w:pStyle w:val="H1G"/>
      </w:pPr>
      <w:r>
        <w:tab/>
      </w:r>
      <w:r>
        <w:tab/>
      </w:r>
      <w:r w:rsidRPr="00A52C53">
        <w:t>Table A3.2.2</w:t>
      </w:r>
    </w:p>
    <w:p w14:paraId="47CD7A08" w14:textId="77777777" w:rsidR="003D2F02" w:rsidRDefault="003D2F02" w:rsidP="003D2F02">
      <w:pPr>
        <w:pStyle w:val="H23G"/>
      </w:pPr>
      <w:r>
        <w:tab/>
      </w:r>
      <w:r>
        <w:tab/>
        <w:t>P260, column (4)</w:t>
      </w:r>
    </w:p>
    <w:p w14:paraId="1FE84640" w14:textId="4AFA8311" w:rsidR="003D2F02" w:rsidRDefault="003D2F02" w:rsidP="00C7347C">
      <w:pPr>
        <w:pStyle w:val="SingleTxtG"/>
      </w:pPr>
      <w:r>
        <w:t>41</w:t>
      </w:r>
      <w:r w:rsidRPr="005B1C46">
        <w:t>.</w:t>
      </w:r>
      <w:r w:rsidRPr="005B1C46">
        <w:tab/>
      </w:r>
      <w:r>
        <w:t>For “A</w:t>
      </w:r>
      <w:r w:rsidRPr="005B1C46">
        <w:t>cute toxicity</w:t>
      </w:r>
      <w:r>
        <w:t>,</w:t>
      </w:r>
      <w:r w:rsidRPr="005B1C46">
        <w:t xml:space="preserve"> </w:t>
      </w:r>
      <w:r>
        <w:t>inhalation (chapter 3.1)”:</w:t>
      </w:r>
      <w:r w:rsidR="00763DE4">
        <w:t xml:space="preserve"> </w:t>
      </w:r>
      <w:r>
        <w:t>I</w:t>
      </w:r>
      <w:r w:rsidRPr="005B1C46">
        <w:t>nsert “</w:t>
      </w:r>
      <w:r>
        <w:t xml:space="preserve">, </w:t>
      </w:r>
      <w:r w:rsidRPr="005B1C46">
        <w:t>3” after</w:t>
      </w:r>
      <w:r>
        <w:t xml:space="preserve"> </w:t>
      </w:r>
      <w:r w:rsidRPr="005B1C46">
        <w:t>“1, 2”.</w:t>
      </w:r>
    </w:p>
    <w:p w14:paraId="046D07B2" w14:textId="2C978BE2" w:rsidR="003D2F02" w:rsidRDefault="003D2F02" w:rsidP="00763DE4">
      <w:pPr>
        <w:pStyle w:val="SingleTxtG"/>
        <w:ind w:left="1701"/>
      </w:pPr>
      <w:r>
        <w:t>F</w:t>
      </w:r>
      <w:r w:rsidRPr="00B42805">
        <w:t>or “</w:t>
      </w:r>
      <w:r w:rsidRPr="003D6A09">
        <w:t>Specific target organ toxicity, single exposure (chapter 3.8)</w:t>
      </w:r>
      <w:r w:rsidRPr="00B42805">
        <w:t>” and “</w:t>
      </w:r>
      <w:r w:rsidRPr="003D6A09">
        <w:t>Specific target organ toxicity, repeated exposure (chapter 3.9)</w:t>
      </w:r>
      <w:r w:rsidRPr="00B42805">
        <w:t>”</w:t>
      </w:r>
      <w:r>
        <w:t>:</w:t>
      </w:r>
      <w:r w:rsidR="00763DE4">
        <w:t xml:space="preserve"> </w:t>
      </w:r>
      <w:r>
        <w:t>D</w:t>
      </w:r>
      <w:r w:rsidRPr="00B42805">
        <w:t>elete: “, 2”.</w:t>
      </w:r>
    </w:p>
    <w:p w14:paraId="65CCDF99" w14:textId="77777777" w:rsidR="003D2F02" w:rsidRPr="00B42805" w:rsidRDefault="003D2F02" w:rsidP="003D2F02">
      <w:pPr>
        <w:pStyle w:val="H23G"/>
      </w:pPr>
      <w:r>
        <w:tab/>
      </w:r>
      <w:r>
        <w:tab/>
      </w:r>
      <w:r w:rsidRPr="00B12232">
        <w:t>P261</w:t>
      </w:r>
    </w:p>
    <w:p w14:paraId="7FAAE9AA" w14:textId="77777777" w:rsidR="003D2F02" w:rsidRDefault="003D2F02" w:rsidP="003D2F02">
      <w:pPr>
        <w:pStyle w:val="SingleTxtG"/>
      </w:pPr>
      <w:r>
        <w:t>42</w:t>
      </w:r>
      <w:r w:rsidRPr="008B45FA">
        <w:t>.</w:t>
      </w:r>
      <w:r w:rsidRPr="008B45FA">
        <w:tab/>
        <w:t>For “Acute toxicity, inhalation (chapter 3.1)”</w:t>
      </w:r>
      <w:r>
        <w:t>, column (4)</w:t>
      </w:r>
      <w:r w:rsidRPr="008B45FA">
        <w:t xml:space="preserve">: </w:t>
      </w:r>
      <w:r>
        <w:t xml:space="preserve"> delete “3,”.</w:t>
      </w:r>
    </w:p>
    <w:p w14:paraId="5AD30CFA" w14:textId="1BB570E3" w:rsidR="003D2F02" w:rsidRDefault="003D2F02" w:rsidP="003D2F02">
      <w:pPr>
        <w:pStyle w:val="SingleTxtG"/>
      </w:pPr>
      <w:r>
        <w:tab/>
        <w:t>Insert the following new rows below the entry for “Skin sensitization”:</w:t>
      </w:r>
    </w:p>
    <w:tbl>
      <w:tblPr>
        <w:tblStyle w:val="TableGrid"/>
        <w:tblW w:w="0" w:type="auto"/>
        <w:tblInd w:w="1134" w:type="dxa"/>
        <w:tblLook w:val="04A0" w:firstRow="1" w:lastRow="0" w:firstColumn="1" w:lastColumn="0" w:noHBand="0" w:noVBand="1"/>
      </w:tblPr>
      <w:tblGrid>
        <w:gridCol w:w="846"/>
        <w:gridCol w:w="850"/>
        <w:gridCol w:w="3261"/>
        <w:gridCol w:w="708"/>
        <w:gridCol w:w="1701"/>
      </w:tblGrid>
      <w:tr w:rsidR="003D2F02" w:rsidRPr="001A3982" w14:paraId="1CF76C54" w14:textId="77777777" w:rsidTr="00165D2E">
        <w:tc>
          <w:tcPr>
            <w:tcW w:w="846" w:type="dxa"/>
            <w:tcBorders>
              <w:bottom w:val="single" w:sz="4" w:space="0" w:color="auto"/>
            </w:tcBorders>
          </w:tcPr>
          <w:p w14:paraId="6DA5B426" w14:textId="77777777" w:rsidR="003D2F02" w:rsidRPr="00B12232" w:rsidRDefault="003D2F02" w:rsidP="004853DB">
            <w:pPr>
              <w:pStyle w:val="SingleTxtG"/>
              <w:spacing w:before="20" w:after="20" w:line="240" w:lineRule="auto"/>
              <w:ind w:left="0" w:right="2"/>
              <w:jc w:val="center"/>
              <w:rPr>
                <w:b/>
                <w:bCs/>
                <w:sz w:val="18"/>
                <w:szCs w:val="18"/>
              </w:rPr>
            </w:pPr>
            <w:r w:rsidRPr="00B12232">
              <w:rPr>
                <w:b/>
                <w:bCs/>
                <w:sz w:val="18"/>
                <w:szCs w:val="18"/>
              </w:rPr>
              <w:t>(1)</w:t>
            </w:r>
          </w:p>
        </w:tc>
        <w:tc>
          <w:tcPr>
            <w:tcW w:w="850" w:type="dxa"/>
            <w:tcBorders>
              <w:bottom w:val="single" w:sz="4" w:space="0" w:color="auto"/>
            </w:tcBorders>
          </w:tcPr>
          <w:p w14:paraId="08FD1423" w14:textId="77777777" w:rsidR="003D2F02" w:rsidRPr="00B12232" w:rsidRDefault="003D2F02" w:rsidP="004853DB">
            <w:pPr>
              <w:pStyle w:val="SingleTxtG"/>
              <w:spacing w:before="20" w:after="20" w:line="240" w:lineRule="auto"/>
              <w:ind w:left="0" w:right="0"/>
              <w:jc w:val="center"/>
              <w:rPr>
                <w:b/>
                <w:bCs/>
                <w:sz w:val="18"/>
                <w:szCs w:val="18"/>
              </w:rPr>
            </w:pPr>
            <w:r w:rsidRPr="00B12232">
              <w:rPr>
                <w:b/>
                <w:bCs/>
                <w:sz w:val="18"/>
                <w:szCs w:val="18"/>
              </w:rPr>
              <w:t>(2)</w:t>
            </w:r>
          </w:p>
        </w:tc>
        <w:tc>
          <w:tcPr>
            <w:tcW w:w="3261" w:type="dxa"/>
          </w:tcPr>
          <w:p w14:paraId="6FFA3FC7" w14:textId="77777777" w:rsidR="003D2F02" w:rsidRPr="00B12232" w:rsidRDefault="003D2F02" w:rsidP="004853DB">
            <w:pPr>
              <w:pStyle w:val="SingleTxtG"/>
              <w:spacing w:before="20" w:after="20" w:line="240" w:lineRule="auto"/>
              <w:ind w:left="0" w:right="0"/>
              <w:jc w:val="center"/>
              <w:rPr>
                <w:b/>
                <w:bCs/>
                <w:sz w:val="18"/>
                <w:szCs w:val="18"/>
              </w:rPr>
            </w:pPr>
            <w:r w:rsidRPr="00B12232">
              <w:rPr>
                <w:b/>
                <w:bCs/>
                <w:sz w:val="18"/>
                <w:szCs w:val="18"/>
              </w:rPr>
              <w:t>(3)</w:t>
            </w:r>
          </w:p>
        </w:tc>
        <w:tc>
          <w:tcPr>
            <w:tcW w:w="708" w:type="dxa"/>
          </w:tcPr>
          <w:p w14:paraId="6E6DB6EB" w14:textId="77777777" w:rsidR="003D2F02" w:rsidRPr="00B12232" w:rsidRDefault="003D2F02" w:rsidP="004853DB">
            <w:pPr>
              <w:pStyle w:val="SingleTxtG"/>
              <w:spacing w:before="20" w:after="20" w:line="240" w:lineRule="auto"/>
              <w:ind w:left="0" w:right="5"/>
              <w:jc w:val="center"/>
              <w:rPr>
                <w:b/>
                <w:bCs/>
                <w:sz w:val="18"/>
                <w:szCs w:val="18"/>
              </w:rPr>
            </w:pPr>
            <w:r w:rsidRPr="00B12232">
              <w:rPr>
                <w:b/>
                <w:bCs/>
                <w:sz w:val="18"/>
                <w:szCs w:val="18"/>
              </w:rPr>
              <w:t>(4)</w:t>
            </w:r>
          </w:p>
        </w:tc>
        <w:tc>
          <w:tcPr>
            <w:tcW w:w="1701" w:type="dxa"/>
            <w:tcBorders>
              <w:bottom w:val="single" w:sz="4" w:space="0" w:color="auto"/>
            </w:tcBorders>
          </w:tcPr>
          <w:p w14:paraId="020F3881" w14:textId="77777777" w:rsidR="003D2F02" w:rsidRPr="00B12232" w:rsidRDefault="003D2F02" w:rsidP="004853DB">
            <w:pPr>
              <w:pStyle w:val="SingleTxtG"/>
              <w:spacing w:before="20" w:after="20" w:line="240" w:lineRule="auto"/>
              <w:ind w:left="0" w:right="0"/>
              <w:jc w:val="center"/>
              <w:rPr>
                <w:b/>
                <w:bCs/>
                <w:sz w:val="18"/>
                <w:szCs w:val="18"/>
              </w:rPr>
            </w:pPr>
            <w:r w:rsidRPr="00B12232">
              <w:rPr>
                <w:b/>
                <w:bCs/>
                <w:sz w:val="18"/>
                <w:szCs w:val="18"/>
              </w:rPr>
              <w:t>(5)</w:t>
            </w:r>
          </w:p>
        </w:tc>
      </w:tr>
      <w:tr w:rsidR="003D2F02" w:rsidRPr="001A3982" w14:paraId="3F4F7FBD" w14:textId="77777777" w:rsidTr="00165D2E">
        <w:trPr>
          <w:trHeight w:val="238"/>
        </w:trPr>
        <w:tc>
          <w:tcPr>
            <w:tcW w:w="846" w:type="dxa"/>
            <w:vMerge w:val="restart"/>
            <w:tcBorders>
              <w:right w:val="single" w:sz="4" w:space="0" w:color="auto"/>
            </w:tcBorders>
          </w:tcPr>
          <w:p w14:paraId="5B03A696" w14:textId="77777777" w:rsidR="003D2F02" w:rsidRPr="00B12232" w:rsidRDefault="003D2F02" w:rsidP="004853DB">
            <w:pPr>
              <w:pStyle w:val="SingleTxtG"/>
              <w:spacing w:before="20" w:after="20" w:line="240" w:lineRule="auto"/>
              <w:ind w:left="0" w:right="2"/>
              <w:jc w:val="left"/>
              <w:rPr>
                <w:b/>
                <w:bCs/>
                <w:sz w:val="18"/>
                <w:szCs w:val="18"/>
              </w:rPr>
            </w:pPr>
          </w:p>
        </w:tc>
        <w:tc>
          <w:tcPr>
            <w:tcW w:w="850" w:type="dxa"/>
            <w:vMerge w:val="restart"/>
            <w:tcBorders>
              <w:left w:val="single" w:sz="4" w:space="0" w:color="auto"/>
            </w:tcBorders>
          </w:tcPr>
          <w:p w14:paraId="361AB1B1" w14:textId="77777777" w:rsidR="003D2F02" w:rsidRPr="00B12232" w:rsidRDefault="003D2F02" w:rsidP="004853DB">
            <w:pPr>
              <w:pStyle w:val="SingleTxtG"/>
              <w:spacing w:before="20" w:after="20" w:line="240" w:lineRule="auto"/>
              <w:ind w:left="0" w:right="0"/>
              <w:jc w:val="center"/>
              <w:rPr>
                <w:b/>
                <w:bCs/>
                <w:sz w:val="18"/>
                <w:szCs w:val="18"/>
              </w:rPr>
            </w:pPr>
          </w:p>
        </w:tc>
        <w:tc>
          <w:tcPr>
            <w:tcW w:w="3261" w:type="dxa"/>
          </w:tcPr>
          <w:p w14:paraId="391FAE0A" w14:textId="77777777" w:rsidR="003D2F02" w:rsidRPr="00B12232" w:rsidRDefault="003D2F02" w:rsidP="004853DB">
            <w:pPr>
              <w:pStyle w:val="SingleTxtG"/>
              <w:spacing w:before="20" w:after="20" w:line="240" w:lineRule="auto"/>
              <w:ind w:left="0" w:right="0"/>
              <w:jc w:val="left"/>
              <w:rPr>
                <w:sz w:val="18"/>
                <w:szCs w:val="18"/>
              </w:rPr>
            </w:pPr>
            <w:r w:rsidRPr="00B12232">
              <w:rPr>
                <w:sz w:val="18"/>
                <w:szCs w:val="18"/>
              </w:rPr>
              <w:t>Specific target organ toxicity, single exposure (chapter 3.8)</w:t>
            </w:r>
          </w:p>
        </w:tc>
        <w:tc>
          <w:tcPr>
            <w:tcW w:w="708" w:type="dxa"/>
          </w:tcPr>
          <w:p w14:paraId="0F648E34" w14:textId="77777777" w:rsidR="003D2F02" w:rsidRPr="00B12232" w:rsidRDefault="003D2F02" w:rsidP="004853DB">
            <w:pPr>
              <w:pStyle w:val="SingleTxtG"/>
              <w:spacing w:before="20" w:after="20" w:line="240" w:lineRule="auto"/>
              <w:ind w:left="0" w:right="5"/>
              <w:jc w:val="center"/>
              <w:rPr>
                <w:sz w:val="18"/>
                <w:szCs w:val="18"/>
              </w:rPr>
            </w:pPr>
            <w:r w:rsidRPr="00B12232">
              <w:rPr>
                <w:sz w:val="18"/>
                <w:szCs w:val="18"/>
              </w:rPr>
              <w:t>2</w:t>
            </w:r>
          </w:p>
        </w:tc>
        <w:tc>
          <w:tcPr>
            <w:tcW w:w="1701" w:type="dxa"/>
            <w:vMerge w:val="restart"/>
          </w:tcPr>
          <w:p w14:paraId="1FB008D4" w14:textId="77777777" w:rsidR="003D2F02" w:rsidRPr="001A3982" w:rsidRDefault="003D2F02" w:rsidP="004853DB">
            <w:pPr>
              <w:pStyle w:val="SingleTxtG"/>
              <w:spacing w:before="20" w:after="20" w:line="240" w:lineRule="auto"/>
              <w:ind w:left="144" w:right="0"/>
              <w:jc w:val="left"/>
              <w:rPr>
                <w:sz w:val="18"/>
                <w:szCs w:val="18"/>
              </w:rPr>
            </w:pPr>
          </w:p>
        </w:tc>
      </w:tr>
      <w:tr w:rsidR="003D2F02" w:rsidRPr="001A3982" w14:paraId="5F3CD4F5" w14:textId="77777777" w:rsidTr="00165D2E">
        <w:trPr>
          <w:trHeight w:val="238"/>
        </w:trPr>
        <w:tc>
          <w:tcPr>
            <w:tcW w:w="846" w:type="dxa"/>
            <w:vMerge/>
            <w:tcBorders>
              <w:right w:val="single" w:sz="4" w:space="0" w:color="auto"/>
            </w:tcBorders>
          </w:tcPr>
          <w:p w14:paraId="67E43D84" w14:textId="77777777" w:rsidR="003D2F02" w:rsidRPr="00B12232" w:rsidRDefault="003D2F02" w:rsidP="004853DB">
            <w:pPr>
              <w:pStyle w:val="SingleTxtG"/>
              <w:spacing w:before="20" w:after="20" w:line="240" w:lineRule="auto"/>
              <w:ind w:left="0" w:right="2"/>
              <w:jc w:val="left"/>
              <w:rPr>
                <w:b/>
                <w:bCs/>
                <w:sz w:val="18"/>
                <w:szCs w:val="18"/>
              </w:rPr>
            </w:pPr>
          </w:p>
        </w:tc>
        <w:tc>
          <w:tcPr>
            <w:tcW w:w="850" w:type="dxa"/>
            <w:vMerge/>
            <w:tcBorders>
              <w:left w:val="single" w:sz="4" w:space="0" w:color="auto"/>
            </w:tcBorders>
          </w:tcPr>
          <w:p w14:paraId="3A18D236" w14:textId="77777777" w:rsidR="003D2F02" w:rsidRPr="00B12232" w:rsidRDefault="003D2F02" w:rsidP="004853DB">
            <w:pPr>
              <w:pStyle w:val="SingleTxtG"/>
              <w:spacing w:before="20" w:after="20" w:line="240" w:lineRule="auto"/>
              <w:ind w:left="0" w:right="0"/>
              <w:jc w:val="center"/>
              <w:rPr>
                <w:b/>
                <w:bCs/>
                <w:sz w:val="18"/>
                <w:szCs w:val="18"/>
              </w:rPr>
            </w:pPr>
          </w:p>
        </w:tc>
        <w:tc>
          <w:tcPr>
            <w:tcW w:w="3261" w:type="dxa"/>
          </w:tcPr>
          <w:p w14:paraId="6545329D" w14:textId="77777777" w:rsidR="003D2F02" w:rsidRPr="00B12232" w:rsidRDefault="003D2F02" w:rsidP="004853DB">
            <w:pPr>
              <w:pStyle w:val="SingleTxtG"/>
              <w:spacing w:before="20" w:after="20" w:line="240" w:lineRule="auto"/>
              <w:ind w:left="0" w:right="0"/>
              <w:jc w:val="left"/>
              <w:rPr>
                <w:sz w:val="18"/>
                <w:szCs w:val="18"/>
              </w:rPr>
            </w:pPr>
            <w:r w:rsidRPr="003031A5">
              <w:rPr>
                <w:sz w:val="18"/>
                <w:szCs w:val="18"/>
              </w:rPr>
              <w:t>Specific target organ toxicity, repeated exposure (chapter 3.9)</w:t>
            </w:r>
          </w:p>
        </w:tc>
        <w:tc>
          <w:tcPr>
            <w:tcW w:w="708" w:type="dxa"/>
          </w:tcPr>
          <w:p w14:paraId="2AB39870" w14:textId="77777777" w:rsidR="003D2F02" w:rsidRPr="00B12232" w:rsidRDefault="003D2F02" w:rsidP="004853DB">
            <w:pPr>
              <w:pStyle w:val="SingleTxtG"/>
              <w:spacing w:before="20" w:after="20" w:line="240" w:lineRule="auto"/>
              <w:ind w:left="0" w:right="5"/>
              <w:jc w:val="center"/>
              <w:rPr>
                <w:sz w:val="18"/>
                <w:szCs w:val="18"/>
              </w:rPr>
            </w:pPr>
            <w:r w:rsidRPr="003031A5">
              <w:rPr>
                <w:sz w:val="18"/>
                <w:szCs w:val="18"/>
              </w:rPr>
              <w:t>2</w:t>
            </w:r>
          </w:p>
        </w:tc>
        <w:tc>
          <w:tcPr>
            <w:tcW w:w="1701" w:type="dxa"/>
            <w:vMerge/>
          </w:tcPr>
          <w:p w14:paraId="46EBCDA4" w14:textId="77777777" w:rsidR="003D2F02" w:rsidRPr="001A3982" w:rsidRDefault="003D2F02" w:rsidP="004853DB">
            <w:pPr>
              <w:pStyle w:val="SingleTxtG"/>
              <w:spacing w:before="20" w:after="20" w:line="240" w:lineRule="auto"/>
              <w:ind w:left="144" w:right="0"/>
              <w:jc w:val="left"/>
              <w:rPr>
                <w:sz w:val="18"/>
                <w:szCs w:val="18"/>
              </w:rPr>
            </w:pPr>
          </w:p>
        </w:tc>
      </w:tr>
    </w:tbl>
    <w:p w14:paraId="341D5472" w14:textId="2A7D27EF" w:rsidR="003D2F02" w:rsidRPr="00C93B4E" w:rsidRDefault="003D2F02" w:rsidP="00D636E4">
      <w:pPr>
        <w:pStyle w:val="SingleTxtG"/>
        <w:spacing w:before="240"/>
        <w:ind w:left="1701"/>
        <w:rPr>
          <w:bCs/>
        </w:rPr>
      </w:pPr>
      <w:r w:rsidRPr="00C93B4E">
        <w:t xml:space="preserve">In column </w:t>
      </w:r>
      <w:r w:rsidR="00C7347C">
        <w:t>(</w:t>
      </w:r>
      <w:r w:rsidRPr="00C93B4E">
        <w:t>5</w:t>
      </w:r>
      <w:r w:rsidR="00C7347C">
        <w:t>)</w:t>
      </w:r>
      <w:r w:rsidRPr="00C93B4E">
        <w:t xml:space="preserve">, </w:t>
      </w:r>
      <w:r w:rsidR="0096344D">
        <w:t xml:space="preserve">at the end of </w:t>
      </w:r>
      <w:r w:rsidR="00CA79C4">
        <w:t>t</w:t>
      </w:r>
      <w:r w:rsidRPr="00C93B4E">
        <w:t>he current condition for use (applicable to all entries)</w:t>
      </w:r>
      <w:r w:rsidR="00CA79C4">
        <w:t xml:space="preserve">, replace </w:t>
      </w:r>
      <w:r w:rsidR="00CA79C4">
        <w:rPr>
          <w:bCs/>
        </w:rPr>
        <w:t>“</w:t>
      </w:r>
      <w:r w:rsidRPr="00C93B4E">
        <w:rPr>
          <w:bCs/>
        </w:rPr>
        <w:t xml:space="preserve">applicable </w:t>
      </w:r>
      <w:r w:rsidR="00CA79C4">
        <w:rPr>
          <w:bCs/>
        </w:rPr>
        <w:t xml:space="preserve">conditions” with “applicable </w:t>
      </w:r>
      <w:r w:rsidRPr="00C93B4E">
        <w:rPr>
          <w:bCs/>
        </w:rPr>
        <w:t>physical state(s).”</w:t>
      </w:r>
    </w:p>
    <w:p w14:paraId="643D7413" w14:textId="0A9F0C48" w:rsidR="003D2F02" w:rsidRPr="00E01DF8" w:rsidRDefault="003D2F02" w:rsidP="003D2F02">
      <w:pPr>
        <w:pStyle w:val="H23G"/>
      </w:pPr>
      <w:r>
        <w:tab/>
      </w:r>
      <w:r>
        <w:tab/>
      </w:r>
      <w:r w:rsidRPr="00E01DF8">
        <w:t xml:space="preserve">P284, column </w:t>
      </w:r>
      <w:r w:rsidR="0080738D">
        <w:t>(</w:t>
      </w:r>
      <w:r w:rsidRPr="00E01DF8">
        <w:t>4</w:t>
      </w:r>
      <w:r w:rsidR="0080738D">
        <w:t>)</w:t>
      </w:r>
    </w:p>
    <w:p w14:paraId="249AF4DD" w14:textId="77777777" w:rsidR="003D2F02" w:rsidRDefault="003D2F02" w:rsidP="003D2F02">
      <w:pPr>
        <w:pStyle w:val="SingleTxtG"/>
      </w:pPr>
      <w:r>
        <w:t>43.</w:t>
      </w:r>
      <w:r>
        <w:tab/>
        <w:t xml:space="preserve"> For “A</w:t>
      </w:r>
      <w:r w:rsidRPr="005B1C46">
        <w:t>cute toxicity</w:t>
      </w:r>
      <w:r>
        <w:t>,</w:t>
      </w:r>
      <w:r w:rsidRPr="005B1C46">
        <w:t xml:space="preserve"> </w:t>
      </w:r>
      <w:r>
        <w:t>inhalation (chapter 3.1)”</w:t>
      </w:r>
      <w:r w:rsidRPr="005B1C46">
        <w:t>,</w:t>
      </w:r>
      <w:r>
        <w:t xml:space="preserve"> </w:t>
      </w:r>
      <w:r w:rsidRPr="005B1C46">
        <w:t>insert “</w:t>
      </w:r>
      <w:r>
        <w:t xml:space="preserve">, </w:t>
      </w:r>
      <w:r w:rsidRPr="005B1C46">
        <w:t>3” after “1, 2”.</w:t>
      </w:r>
    </w:p>
    <w:p w14:paraId="67B094B4" w14:textId="77777777" w:rsidR="003D2F02" w:rsidRDefault="003D2F02" w:rsidP="003D2F02">
      <w:pPr>
        <w:pStyle w:val="H1G"/>
      </w:pPr>
      <w:r>
        <w:tab/>
      </w:r>
      <w:r>
        <w:tab/>
      </w:r>
      <w:r w:rsidRPr="00A52C53">
        <w:t>Table A3.2.</w:t>
      </w:r>
      <w:r>
        <w:t>3</w:t>
      </w:r>
    </w:p>
    <w:p w14:paraId="7C45B619" w14:textId="77777777" w:rsidR="003D2F02" w:rsidRPr="00E01DF8" w:rsidRDefault="003D2F02" w:rsidP="003D2F02">
      <w:pPr>
        <w:pStyle w:val="H23G"/>
      </w:pPr>
      <w:r>
        <w:tab/>
      </w:r>
      <w:r>
        <w:tab/>
      </w:r>
      <w:r w:rsidRPr="00E01DF8">
        <w:t>P320</w:t>
      </w:r>
    </w:p>
    <w:p w14:paraId="1967CED3" w14:textId="75B80037" w:rsidR="003D2F02" w:rsidRDefault="003D2F02" w:rsidP="003D2F02">
      <w:pPr>
        <w:pStyle w:val="SingleTxtG"/>
      </w:pPr>
      <w:r>
        <w:t>44.</w:t>
      </w:r>
      <w:r>
        <w:tab/>
        <w:t xml:space="preserve">In column </w:t>
      </w:r>
      <w:r w:rsidR="00301036">
        <w:t>(</w:t>
      </w:r>
      <w:r>
        <w:t>2</w:t>
      </w:r>
      <w:r w:rsidR="00301036">
        <w:t>)</w:t>
      </w:r>
      <w:r>
        <w:t>, replace “</w:t>
      </w:r>
      <w:r w:rsidRPr="003C2633">
        <w:rPr>
          <w:b/>
        </w:rPr>
        <w:t xml:space="preserve">(see </w:t>
      </w:r>
      <w:r>
        <w:rPr>
          <w:b/>
        </w:rPr>
        <w:t>…</w:t>
      </w:r>
      <w:r w:rsidRPr="003C2633">
        <w:rPr>
          <w:b/>
        </w:rPr>
        <w:t xml:space="preserve"> on this label)</w:t>
      </w:r>
      <w:r w:rsidRPr="00626EEE">
        <w:rPr>
          <w:bCs/>
        </w:rPr>
        <w:t>” with</w:t>
      </w:r>
      <w:r>
        <w:rPr>
          <w:bCs/>
        </w:rPr>
        <w:t xml:space="preserve"> “</w:t>
      </w:r>
      <w:r w:rsidRPr="003C2633">
        <w:rPr>
          <w:b/>
        </w:rPr>
        <w:t xml:space="preserve">(see </w:t>
      </w:r>
      <w:r>
        <w:rPr>
          <w:b/>
        </w:rPr>
        <w:t xml:space="preserve">information </w:t>
      </w:r>
      <w:r w:rsidRPr="003C2633">
        <w:rPr>
          <w:b/>
        </w:rPr>
        <w:t>on this label</w:t>
      </w:r>
      <w:r>
        <w:rPr>
          <w:b/>
        </w:rPr>
        <w:t xml:space="preserve"> </w:t>
      </w:r>
      <w:r w:rsidRPr="009E2CB5">
        <w:rPr>
          <w:b/>
        </w:rPr>
        <w:t>and safety data sheet)</w:t>
      </w:r>
      <w:r w:rsidRPr="009E2CB5">
        <w:rPr>
          <w:bCs/>
        </w:rPr>
        <w:t xml:space="preserve">”. </w:t>
      </w:r>
    </w:p>
    <w:p w14:paraId="3E76444D" w14:textId="77777777" w:rsidR="003D2F02" w:rsidRDefault="003D2F02" w:rsidP="003D2F02">
      <w:pPr>
        <w:pStyle w:val="SingleTxtG"/>
        <w:ind w:left="1701"/>
      </w:pPr>
      <w:r>
        <w:t>Insert the following rows before the existing entry for “A</w:t>
      </w:r>
      <w:r w:rsidRPr="005B1C46">
        <w:t>cute toxicity</w:t>
      </w:r>
      <w:r>
        <w:t>,</w:t>
      </w:r>
      <w:r w:rsidRPr="005B1C46">
        <w:t xml:space="preserve"> </w:t>
      </w:r>
      <w:r>
        <w:t>inhalation (chapter 3.1)”:</w:t>
      </w:r>
    </w:p>
    <w:tbl>
      <w:tblPr>
        <w:tblStyle w:val="TableGrid"/>
        <w:tblW w:w="0" w:type="auto"/>
        <w:tblInd w:w="1134" w:type="dxa"/>
        <w:tblLook w:val="04A0" w:firstRow="1" w:lastRow="0" w:firstColumn="1" w:lastColumn="0" w:noHBand="0" w:noVBand="1"/>
      </w:tblPr>
      <w:tblGrid>
        <w:gridCol w:w="846"/>
        <w:gridCol w:w="850"/>
        <w:gridCol w:w="3261"/>
        <w:gridCol w:w="708"/>
        <w:gridCol w:w="1701"/>
      </w:tblGrid>
      <w:tr w:rsidR="003D2F02" w:rsidRPr="001A3982" w14:paraId="3196FD8C" w14:textId="77777777" w:rsidTr="00165D2E">
        <w:tc>
          <w:tcPr>
            <w:tcW w:w="846" w:type="dxa"/>
            <w:tcBorders>
              <w:bottom w:val="single" w:sz="4" w:space="0" w:color="auto"/>
            </w:tcBorders>
          </w:tcPr>
          <w:p w14:paraId="5A271B08" w14:textId="77777777" w:rsidR="003D2F02" w:rsidRPr="00B12232" w:rsidRDefault="003D2F02" w:rsidP="004853DB">
            <w:pPr>
              <w:pStyle w:val="SingleTxtG"/>
              <w:spacing w:before="20" w:after="20" w:line="240" w:lineRule="auto"/>
              <w:ind w:left="0" w:right="2"/>
              <w:jc w:val="center"/>
              <w:rPr>
                <w:b/>
                <w:bCs/>
                <w:sz w:val="16"/>
                <w:szCs w:val="16"/>
              </w:rPr>
            </w:pPr>
            <w:r w:rsidRPr="00B12232">
              <w:rPr>
                <w:b/>
                <w:bCs/>
                <w:sz w:val="16"/>
                <w:szCs w:val="16"/>
              </w:rPr>
              <w:t>(1)</w:t>
            </w:r>
          </w:p>
        </w:tc>
        <w:tc>
          <w:tcPr>
            <w:tcW w:w="850" w:type="dxa"/>
            <w:tcBorders>
              <w:bottom w:val="single" w:sz="4" w:space="0" w:color="auto"/>
            </w:tcBorders>
          </w:tcPr>
          <w:p w14:paraId="2944F2AD" w14:textId="77777777" w:rsidR="003D2F02" w:rsidRPr="00B12232" w:rsidRDefault="003D2F02" w:rsidP="004853DB">
            <w:pPr>
              <w:pStyle w:val="SingleTxtG"/>
              <w:spacing w:before="20" w:after="20" w:line="240" w:lineRule="auto"/>
              <w:ind w:left="0" w:right="0"/>
              <w:jc w:val="center"/>
              <w:rPr>
                <w:b/>
                <w:bCs/>
                <w:sz w:val="16"/>
                <w:szCs w:val="16"/>
              </w:rPr>
            </w:pPr>
            <w:r w:rsidRPr="00B12232">
              <w:rPr>
                <w:b/>
                <w:bCs/>
                <w:sz w:val="16"/>
                <w:szCs w:val="16"/>
              </w:rPr>
              <w:t>(2)</w:t>
            </w:r>
          </w:p>
        </w:tc>
        <w:tc>
          <w:tcPr>
            <w:tcW w:w="3261" w:type="dxa"/>
          </w:tcPr>
          <w:p w14:paraId="551E987C" w14:textId="77777777" w:rsidR="003D2F02" w:rsidRPr="00B12232" w:rsidRDefault="003D2F02" w:rsidP="004853DB">
            <w:pPr>
              <w:pStyle w:val="SingleTxtG"/>
              <w:spacing w:before="20" w:after="20" w:line="240" w:lineRule="auto"/>
              <w:ind w:left="0" w:right="0"/>
              <w:jc w:val="center"/>
              <w:rPr>
                <w:b/>
                <w:bCs/>
                <w:sz w:val="16"/>
                <w:szCs w:val="16"/>
              </w:rPr>
            </w:pPr>
            <w:r w:rsidRPr="00B12232">
              <w:rPr>
                <w:b/>
                <w:bCs/>
                <w:sz w:val="16"/>
                <w:szCs w:val="16"/>
              </w:rPr>
              <w:t>(3)</w:t>
            </w:r>
          </w:p>
        </w:tc>
        <w:tc>
          <w:tcPr>
            <w:tcW w:w="708" w:type="dxa"/>
          </w:tcPr>
          <w:p w14:paraId="11CCAB62" w14:textId="77777777" w:rsidR="003D2F02" w:rsidRPr="00B12232" w:rsidRDefault="003D2F02" w:rsidP="004853DB">
            <w:pPr>
              <w:pStyle w:val="SingleTxtG"/>
              <w:spacing w:before="20" w:after="20" w:line="240" w:lineRule="auto"/>
              <w:ind w:left="0" w:right="5"/>
              <w:jc w:val="center"/>
              <w:rPr>
                <w:b/>
                <w:bCs/>
                <w:sz w:val="16"/>
                <w:szCs w:val="16"/>
              </w:rPr>
            </w:pPr>
            <w:r w:rsidRPr="00B12232">
              <w:rPr>
                <w:b/>
                <w:bCs/>
                <w:sz w:val="16"/>
                <w:szCs w:val="16"/>
              </w:rPr>
              <w:t>(4)</w:t>
            </w:r>
          </w:p>
        </w:tc>
        <w:tc>
          <w:tcPr>
            <w:tcW w:w="1701" w:type="dxa"/>
            <w:tcBorders>
              <w:bottom w:val="single" w:sz="4" w:space="0" w:color="auto"/>
            </w:tcBorders>
          </w:tcPr>
          <w:p w14:paraId="73D79C60" w14:textId="77777777" w:rsidR="003D2F02" w:rsidRPr="00B12232" w:rsidRDefault="003D2F02" w:rsidP="004853DB">
            <w:pPr>
              <w:pStyle w:val="SingleTxtG"/>
              <w:spacing w:before="20" w:after="20" w:line="240" w:lineRule="auto"/>
              <w:ind w:left="0" w:right="0"/>
              <w:jc w:val="center"/>
              <w:rPr>
                <w:b/>
                <w:bCs/>
                <w:sz w:val="16"/>
                <w:szCs w:val="16"/>
              </w:rPr>
            </w:pPr>
            <w:r w:rsidRPr="00B12232">
              <w:rPr>
                <w:b/>
                <w:bCs/>
                <w:sz w:val="16"/>
                <w:szCs w:val="16"/>
              </w:rPr>
              <w:t>(5)</w:t>
            </w:r>
          </w:p>
        </w:tc>
      </w:tr>
      <w:tr w:rsidR="003D2F02" w:rsidRPr="001A3982" w14:paraId="4CA65FF6" w14:textId="77777777" w:rsidTr="00165D2E">
        <w:tc>
          <w:tcPr>
            <w:tcW w:w="846" w:type="dxa"/>
            <w:tcBorders>
              <w:bottom w:val="nil"/>
              <w:right w:val="single" w:sz="4" w:space="0" w:color="auto"/>
            </w:tcBorders>
          </w:tcPr>
          <w:p w14:paraId="0889A247" w14:textId="77777777" w:rsidR="003D2F02" w:rsidRPr="00B12232" w:rsidRDefault="003D2F02" w:rsidP="004853DB">
            <w:pPr>
              <w:pStyle w:val="SingleTxtG"/>
              <w:spacing w:before="20" w:after="20" w:line="240" w:lineRule="auto"/>
              <w:ind w:left="0" w:right="2"/>
              <w:jc w:val="left"/>
              <w:rPr>
                <w:b/>
                <w:bCs/>
                <w:sz w:val="16"/>
                <w:szCs w:val="16"/>
              </w:rPr>
            </w:pPr>
          </w:p>
        </w:tc>
        <w:tc>
          <w:tcPr>
            <w:tcW w:w="850" w:type="dxa"/>
            <w:tcBorders>
              <w:left w:val="single" w:sz="4" w:space="0" w:color="auto"/>
              <w:bottom w:val="nil"/>
            </w:tcBorders>
          </w:tcPr>
          <w:p w14:paraId="23233D09" w14:textId="77777777" w:rsidR="003D2F02" w:rsidRPr="00B12232" w:rsidRDefault="003D2F02" w:rsidP="004853DB">
            <w:pPr>
              <w:pStyle w:val="SingleTxtG"/>
              <w:spacing w:before="20" w:after="20" w:line="240" w:lineRule="auto"/>
              <w:ind w:left="0" w:right="0"/>
              <w:jc w:val="center"/>
              <w:rPr>
                <w:b/>
                <w:bCs/>
                <w:sz w:val="16"/>
                <w:szCs w:val="16"/>
              </w:rPr>
            </w:pPr>
          </w:p>
        </w:tc>
        <w:tc>
          <w:tcPr>
            <w:tcW w:w="3261" w:type="dxa"/>
          </w:tcPr>
          <w:p w14:paraId="19E94170" w14:textId="77777777" w:rsidR="003D2F02" w:rsidRPr="00AA6E20" w:rsidRDefault="003D2F02" w:rsidP="004853DB">
            <w:pPr>
              <w:pStyle w:val="SingleTxtG"/>
              <w:spacing w:before="20" w:after="20" w:line="240" w:lineRule="auto"/>
              <w:ind w:left="0" w:right="0"/>
              <w:jc w:val="left"/>
              <w:rPr>
                <w:b/>
                <w:bCs/>
                <w:sz w:val="18"/>
                <w:szCs w:val="18"/>
              </w:rPr>
            </w:pPr>
            <w:r w:rsidRPr="00AA6E20">
              <w:rPr>
                <w:sz w:val="18"/>
                <w:szCs w:val="18"/>
              </w:rPr>
              <w:t>Acute toxicity, oral (chapter 3.1)</w:t>
            </w:r>
          </w:p>
        </w:tc>
        <w:tc>
          <w:tcPr>
            <w:tcW w:w="708" w:type="dxa"/>
          </w:tcPr>
          <w:p w14:paraId="24801DE3" w14:textId="77777777" w:rsidR="003D2F02" w:rsidRPr="00AA6E20" w:rsidRDefault="003D2F02" w:rsidP="004853DB">
            <w:pPr>
              <w:pStyle w:val="SingleTxtG"/>
              <w:spacing w:before="20" w:after="20" w:line="240" w:lineRule="auto"/>
              <w:ind w:left="0" w:right="5"/>
              <w:jc w:val="center"/>
              <w:rPr>
                <w:sz w:val="18"/>
                <w:szCs w:val="18"/>
              </w:rPr>
            </w:pPr>
            <w:r w:rsidRPr="00AA6E20">
              <w:rPr>
                <w:sz w:val="18"/>
                <w:szCs w:val="18"/>
              </w:rPr>
              <w:t>1, 2, 3</w:t>
            </w:r>
          </w:p>
        </w:tc>
        <w:tc>
          <w:tcPr>
            <w:tcW w:w="1701" w:type="dxa"/>
            <w:vMerge w:val="restart"/>
          </w:tcPr>
          <w:p w14:paraId="620749C8" w14:textId="77777777" w:rsidR="003D2F02" w:rsidRPr="00AA6E20" w:rsidRDefault="003D2F02" w:rsidP="004853DB">
            <w:pPr>
              <w:pStyle w:val="SingleTxtG"/>
              <w:spacing w:before="20" w:after="20" w:line="240" w:lineRule="auto"/>
              <w:ind w:left="144" w:right="0"/>
              <w:jc w:val="left"/>
            </w:pPr>
          </w:p>
        </w:tc>
      </w:tr>
      <w:tr w:rsidR="003D2F02" w:rsidRPr="001A3982" w14:paraId="4C4C951A" w14:textId="77777777" w:rsidTr="00165D2E">
        <w:tc>
          <w:tcPr>
            <w:tcW w:w="846" w:type="dxa"/>
            <w:tcBorders>
              <w:top w:val="nil"/>
              <w:right w:val="single" w:sz="4" w:space="0" w:color="auto"/>
            </w:tcBorders>
          </w:tcPr>
          <w:p w14:paraId="25BC4632" w14:textId="77777777" w:rsidR="003D2F02" w:rsidRPr="00B12232" w:rsidRDefault="003D2F02" w:rsidP="004853DB">
            <w:pPr>
              <w:pStyle w:val="SingleTxtG"/>
              <w:spacing w:before="20" w:after="20" w:line="240" w:lineRule="auto"/>
              <w:ind w:left="0"/>
              <w:rPr>
                <w:sz w:val="16"/>
                <w:szCs w:val="16"/>
              </w:rPr>
            </w:pPr>
          </w:p>
        </w:tc>
        <w:tc>
          <w:tcPr>
            <w:tcW w:w="850" w:type="dxa"/>
            <w:tcBorders>
              <w:top w:val="nil"/>
              <w:left w:val="single" w:sz="4" w:space="0" w:color="auto"/>
            </w:tcBorders>
          </w:tcPr>
          <w:p w14:paraId="42DDC03C" w14:textId="77777777" w:rsidR="003D2F02" w:rsidRPr="00B12232" w:rsidRDefault="003D2F02" w:rsidP="004853DB">
            <w:pPr>
              <w:pStyle w:val="SingleTxtG"/>
              <w:spacing w:before="20" w:after="20" w:line="240" w:lineRule="auto"/>
              <w:ind w:left="0"/>
              <w:rPr>
                <w:sz w:val="16"/>
                <w:szCs w:val="16"/>
              </w:rPr>
            </w:pPr>
          </w:p>
        </w:tc>
        <w:tc>
          <w:tcPr>
            <w:tcW w:w="3261" w:type="dxa"/>
          </w:tcPr>
          <w:p w14:paraId="50248FFE" w14:textId="77777777" w:rsidR="003D2F02" w:rsidRPr="00AA6E20" w:rsidRDefault="003D2F02" w:rsidP="004853DB">
            <w:pPr>
              <w:pStyle w:val="SingleTxtG"/>
              <w:spacing w:before="20" w:after="20" w:line="240" w:lineRule="auto"/>
              <w:ind w:left="0" w:right="139"/>
              <w:rPr>
                <w:sz w:val="18"/>
                <w:szCs w:val="18"/>
              </w:rPr>
            </w:pPr>
            <w:r w:rsidRPr="00AA6E20">
              <w:rPr>
                <w:sz w:val="18"/>
                <w:szCs w:val="18"/>
              </w:rPr>
              <w:t>Acute toxicity, dermal (chapter 3.1)</w:t>
            </w:r>
          </w:p>
        </w:tc>
        <w:tc>
          <w:tcPr>
            <w:tcW w:w="708" w:type="dxa"/>
          </w:tcPr>
          <w:p w14:paraId="25B4E714" w14:textId="77777777" w:rsidR="003D2F02" w:rsidRPr="00AA6E20" w:rsidRDefault="003D2F02" w:rsidP="004853DB">
            <w:pPr>
              <w:pStyle w:val="SingleTxtG"/>
              <w:spacing w:before="20" w:after="20" w:line="240" w:lineRule="auto"/>
              <w:ind w:left="0" w:right="5"/>
              <w:jc w:val="center"/>
              <w:rPr>
                <w:sz w:val="18"/>
                <w:szCs w:val="18"/>
              </w:rPr>
            </w:pPr>
            <w:r w:rsidRPr="00AA6E20">
              <w:rPr>
                <w:sz w:val="18"/>
                <w:szCs w:val="18"/>
              </w:rPr>
              <w:t>1, 2, 3</w:t>
            </w:r>
          </w:p>
        </w:tc>
        <w:tc>
          <w:tcPr>
            <w:tcW w:w="1701" w:type="dxa"/>
            <w:vMerge/>
          </w:tcPr>
          <w:p w14:paraId="2811C202" w14:textId="77777777" w:rsidR="003D2F02" w:rsidRPr="00AC5EA5" w:rsidRDefault="003D2F02" w:rsidP="004853DB">
            <w:pPr>
              <w:pStyle w:val="SingleTxtG"/>
              <w:spacing w:before="20" w:after="20" w:line="240" w:lineRule="auto"/>
              <w:ind w:left="0"/>
            </w:pPr>
          </w:p>
        </w:tc>
      </w:tr>
    </w:tbl>
    <w:p w14:paraId="09A36274" w14:textId="77777777" w:rsidR="003D2F02" w:rsidRDefault="003D2F02" w:rsidP="00381620">
      <w:pPr>
        <w:pStyle w:val="SingleTxtG"/>
        <w:spacing w:before="240"/>
        <w:ind w:left="1701"/>
      </w:pPr>
      <w:r>
        <w:t>For “A</w:t>
      </w:r>
      <w:r w:rsidRPr="005B1C46">
        <w:t>cute toxicity</w:t>
      </w:r>
      <w:r>
        <w:t>,</w:t>
      </w:r>
      <w:r w:rsidRPr="005B1C46">
        <w:t xml:space="preserve"> </w:t>
      </w:r>
      <w:r>
        <w:t>inhalation (chapter 3.1)”</w:t>
      </w:r>
      <w:r w:rsidRPr="005B1C46">
        <w:t>,</w:t>
      </w:r>
      <w:r>
        <w:t xml:space="preserve"> </w:t>
      </w:r>
      <w:r w:rsidRPr="005B1C46">
        <w:t>insert “</w:t>
      </w:r>
      <w:r>
        <w:t xml:space="preserve">, </w:t>
      </w:r>
      <w:r w:rsidRPr="005B1C46">
        <w:t>3” after “1, 2”.</w:t>
      </w:r>
      <w:r>
        <w:t xml:space="preserve"> </w:t>
      </w:r>
    </w:p>
    <w:p w14:paraId="5C04B768" w14:textId="4ACD882C" w:rsidR="003D2F02" w:rsidRDefault="003D2F02" w:rsidP="003D2F02">
      <w:pPr>
        <w:pStyle w:val="SingleTxtG"/>
        <w:ind w:left="1701"/>
      </w:pPr>
      <w:r>
        <w:t xml:space="preserve">In column </w:t>
      </w:r>
      <w:r w:rsidR="00301036">
        <w:t>(</w:t>
      </w:r>
      <w:r>
        <w:t>5</w:t>
      </w:r>
      <w:r w:rsidR="00301036">
        <w:t>)</w:t>
      </w:r>
      <w:r>
        <w:t xml:space="preserve">, </w:t>
      </w:r>
      <w:r w:rsidR="004B0048">
        <w:t xml:space="preserve">amend </w:t>
      </w:r>
      <w:r>
        <w:t>the current condition for use (applicable to all entries)</w:t>
      </w:r>
      <w:r w:rsidR="004B0048">
        <w:t xml:space="preserve"> to read as follows</w:t>
      </w:r>
      <w:r>
        <w:t xml:space="preserve">: </w:t>
      </w:r>
    </w:p>
    <w:p w14:paraId="52103B08" w14:textId="32C64834" w:rsidR="00490F43" w:rsidRDefault="00490F43" w:rsidP="00435DAB">
      <w:pPr>
        <w:pStyle w:val="SingleTxtG"/>
        <w:ind w:left="1701"/>
        <w:rPr>
          <w:rStyle w:val="StyleItalic"/>
          <w:rFonts w:asciiTheme="majorBidi" w:hAnsiTheme="majorBidi" w:cstheme="majorBidi"/>
        </w:rPr>
      </w:pPr>
      <w:r w:rsidRPr="004766CF">
        <w:rPr>
          <w:rStyle w:val="StyleItalic"/>
        </w:rPr>
        <w:t>“- if immediate measures that can be easily applied, such as the administration of antidote or other specific treatment are required. T</w:t>
      </w:r>
      <w:r w:rsidRPr="004766CF">
        <w:rPr>
          <w:rStyle w:val="StyleItalic"/>
          <w:rFonts w:asciiTheme="majorBidi" w:hAnsiTheme="majorBidi" w:cstheme="majorBidi"/>
          <w:iCs w:val="0"/>
        </w:rPr>
        <w:t>he</w:t>
      </w:r>
      <w:r w:rsidRPr="004766CF">
        <w:rPr>
          <w:rStyle w:val="StyleItalic"/>
          <w:rFonts w:asciiTheme="majorBidi" w:hAnsiTheme="majorBidi" w:cstheme="majorBidi"/>
        </w:rPr>
        <w:t>se measures must be specified on the label and safety data sheet, recognizing additional detail</w:t>
      </w:r>
      <w:r w:rsidRPr="004766CF">
        <w:rPr>
          <w:rStyle w:val="StyleItalic"/>
        </w:rPr>
        <w:t>ed instructions, including any training requirements,</w:t>
      </w:r>
      <w:r w:rsidRPr="004766CF">
        <w:rPr>
          <w:rStyle w:val="StyleItalic"/>
          <w:rFonts w:asciiTheme="majorBidi" w:hAnsiTheme="majorBidi" w:cstheme="majorBidi"/>
        </w:rPr>
        <w:t xml:space="preserve"> should be provided on the safety data sheet, if appropriate</w:t>
      </w:r>
      <w:proofErr w:type="gramStart"/>
      <w:r w:rsidRPr="004766CF">
        <w:rPr>
          <w:rStyle w:val="StyleItalic"/>
          <w:rFonts w:asciiTheme="majorBidi" w:hAnsiTheme="majorBidi" w:cstheme="majorBidi"/>
        </w:rPr>
        <w:t>.</w:t>
      </w:r>
      <w:r w:rsidR="00BF35DA" w:rsidRPr="004766CF" w:rsidDel="00BF35DA">
        <w:rPr>
          <w:rStyle w:val="StyleItalic"/>
          <w:rFonts w:asciiTheme="majorBidi" w:hAnsiTheme="majorBidi" w:cstheme="majorBidi"/>
        </w:rPr>
        <w:t xml:space="preserve"> </w:t>
      </w:r>
      <w:r w:rsidRPr="004766CF">
        <w:rPr>
          <w:rStyle w:val="StyleItalic"/>
          <w:rFonts w:cstheme="minorBidi"/>
        </w:rPr>
        <w:t>”</w:t>
      </w:r>
      <w:proofErr w:type="gramEnd"/>
    </w:p>
    <w:p w14:paraId="49B2AEC6" w14:textId="77777777" w:rsidR="003D2F02" w:rsidRPr="003B1C5A" w:rsidRDefault="003D2F02" w:rsidP="003D2F02">
      <w:pPr>
        <w:pStyle w:val="H23G"/>
        <w:rPr>
          <w:b w:val="0"/>
        </w:rPr>
      </w:pPr>
      <w:r>
        <w:lastRenderedPageBreak/>
        <w:tab/>
      </w:r>
      <w:r>
        <w:tab/>
      </w:r>
      <w:r w:rsidRPr="003B1C5A">
        <w:t>P321</w:t>
      </w:r>
    </w:p>
    <w:p w14:paraId="66E7BF10" w14:textId="7235B8A4" w:rsidR="003D2F02" w:rsidRDefault="003D2F02" w:rsidP="003D2F02">
      <w:pPr>
        <w:pStyle w:val="SingleTxtG"/>
      </w:pPr>
      <w:r>
        <w:t>45.</w:t>
      </w:r>
      <w:r>
        <w:tab/>
        <w:t xml:space="preserve">In column </w:t>
      </w:r>
      <w:r w:rsidR="00301036">
        <w:t>(</w:t>
      </w:r>
      <w:r>
        <w:t>2</w:t>
      </w:r>
      <w:r w:rsidR="00301036">
        <w:t>)</w:t>
      </w:r>
      <w:r>
        <w:t xml:space="preserve"> replace “</w:t>
      </w:r>
      <w:r w:rsidRPr="003C2633">
        <w:rPr>
          <w:b/>
        </w:rPr>
        <w:t xml:space="preserve">(see </w:t>
      </w:r>
      <w:r>
        <w:rPr>
          <w:b/>
        </w:rPr>
        <w:t>…</w:t>
      </w:r>
      <w:r w:rsidRPr="003C2633">
        <w:rPr>
          <w:b/>
        </w:rPr>
        <w:t xml:space="preserve"> on this label)</w:t>
      </w:r>
      <w:r w:rsidRPr="00626EEE">
        <w:rPr>
          <w:bCs/>
        </w:rPr>
        <w:t>” with</w:t>
      </w:r>
      <w:r>
        <w:rPr>
          <w:bCs/>
        </w:rPr>
        <w:t xml:space="preserve"> “</w:t>
      </w:r>
      <w:r w:rsidRPr="003C2633">
        <w:rPr>
          <w:b/>
        </w:rPr>
        <w:t xml:space="preserve">(see </w:t>
      </w:r>
      <w:r>
        <w:rPr>
          <w:b/>
        </w:rPr>
        <w:t xml:space="preserve">information </w:t>
      </w:r>
      <w:r w:rsidRPr="003C2633">
        <w:rPr>
          <w:b/>
        </w:rPr>
        <w:t>on this label</w:t>
      </w:r>
      <w:r>
        <w:rPr>
          <w:b/>
        </w:rPr>
        <w:t xml:space="preserve"> </w:t>
      </w:r>
      <w:r w:rsidRPr="00FC12FE">
        <w:rPr>
          <w:b/>
        </w:rPr>
        <w:t>and safety data sheet)</w:t>
      </w:r>
      <w:r w:rsidRPr="00FC12FE">
        <w:rPr>
          <w:bCs/>
        </w:rPr>
        <w:t xml:space="preserve">”. </w:t>
      </w:r>
    </w:p>
    <w:p w14:paraId="6399C08C" w14:textId="059313DB" w:rsidR="003D2F02" w:rsidRDefault="003D2F02" w:rsidP="003D2F02">
      <w:pPr>
        <w:pStyle w:val="SingleTxtG"/>
        <w:ind w:left="1701"/>
      </w:pPr>
      <w:r>
        <w:t xml:space="preserve">In column </w:t>
      </w:r>
      <w:r w:rsidR="008D6A00">
        <w:t>(</w:t>
      </w:r>
      <w:r>
        <w:t>4</w:t>
      </w:r>
      <w:r w:rsidR="008D6A00">
        <w:t>)</w:t>
      </w:r>
      <w:r>
        <w:t>:</w:t>
      </w:r>
    </w:p>
    <w:p w14:paraId="1C7C9EBE" w14:textId="77777777" w:rsidR="003D2F02" w:rsidRDefault="003D2F02" w:rsidP="003D2F02">
      <w:pPr>
        <w:pStyle w:val="Bullet1G"/>
        <w:numPr>
          <w:ilvl w:val="0"/>
          <w:numId w:val="8"/>
        </w:numPr>
        <w:tabs>
          <w:tab w:val="clear" w:pos="1701"/>
        </w:tabs>
        <w:suppressAutoHyphens/>
        <w:kinsoku w:val="0"/>
        <w:overflowPunct w:val="0"/>
        <w:autoSpaceDE w:val="0"/>
        <w:autoSpaceDN w:val="0"/>
        <w:adjustRightInd w:val="0"/>
        <w:snapToGrid w:val="0"/>
        <w:ind w:left="1985" w:hanging="284"/>
      </w:pPr>
      <w:r>
        <w:t>For “A</w:t>
      </w:r>
      <w:r w:rsidRPr="005B1C46">
        <w:t>cute toxicity</w:t>
      </w:r>
      <w:r>
        <w:t>,</w:t>
      </w:r>
      <w:r w:rsidRPr="005B1C46">
        <w:t xml:space="preserve"> </w:t>
      </w:r>
      <w:r>
        <w:t>oral (chapter 3.1)”</w:t>
      </w:r>
      <w:r w:rsidRPr="005B1C46">
        <w:t>,</w:t>
      </w:r>
      <w:r>
        <w:t xml:space="preserve"> replace “1, 2, 3” with “4”.</w:t>
      </w:r>
    </w:p>
    <w:p w14:paraId="73E2975E" w14:textId="77777777" w:rsidR="003D2F02" w:rsidRDefault="003D2F02" w:rsidP="003D2F02">
      <w:pPr>
        <w:pStyle w:val="Bullet1G"/>
        <w:numPr>
          <w:ilvl w:val="0"/>
          <w:numId w:val="8"/>
        </w:numPr>
        <w:tabs>
          <w:tab w:val="clear" w:pos="1701"/>
        </w:tabs>
        <w:suppressAutoHyphens/>
        <w:kinsoku w:val="0"/>
        <w:overflowPunct w:val="0"/>
        <w:autoSpaceDE w:val="0"/>
        <w:autoSpaceDN w:val="0"/>
        <w:adjustRightInd w:val="0"/>
        <w:snapToGrid w:val="0"/>
        <w:ind w:left="1985" w:hanging="284"/>
      </w:pPr>
      <w:r>
        <w:t>For “A</w:t>
      </w:r>
      <w:r w:rsidRPr="005B1C46">
        <w:t>cute toxicity</w:t>
      </w:r>
      <w:r>
        <w:t>,</w:t>
      </w:r>
      <w:r w:rsidRPr="005B1C46">
        <w:t xml:space="preserve"> </w:t>
      </w:r>
      <w:r>
        <w:t>dermal (chapter 3.1)</w:t>
      </w:r>
      <w:proofErr w:type="gramStart"/>
      <w:r>
        <w:t>” ,</w:t>
      </w:r>
      <w:proofErr w:type="gramEnd"/>
      <w:r>
        <w:t xml:space="preserve"> delete “1, 2, 3” .</w:t>
      </w:r>
    </w:p>
    <w:p w14:paraId="56D5E1C4" w14:textId="77777777" w:rsidR="003D2F02" w:rsidRDefault="003D2F02" w:rsidP="003D2F02">
      <w:pPr>
        <w:pStyle w:val="Bullet1G"/>
        <w:numPr>
          <w:ilvl w:val="0"/>
          <w:numId w:val="8"/>
        </w:numPr>
        <w:tabs>
          <w:tab w:val="clear" w:pos="1701"/>
        </w:tabs>
        <w:suppressAutoHyphens/>
        <w:kinsoku w:val="0"/>
        <w:overflowPunct w:val="0"/>
        <w:autoSpaceDE w:val="0"/>
        <w:autoSpaceDN w:val="0"/>
        <w:adjustRightInd w:val="0"/>
        <w:snapToGrid w:val="0"/>
        <w:ind w:left="1985" w:hanging="284"/>
      </w:pPr>
      <w:r>
        <w:t>For “A</w:t>
      </w:r>
      <w:r w:rsidRPr="005B1C46">
        <w:t>cute toxicity</w:t>
      </w:r>
      <w:r>
        <w:t>,</w:t>
      </w:r>
      <w:r w:rsidRPr="005B1C46">
        <w:t xml:space="preserve"> </w:t>
      </w:r>
      <w:r>
        <w:t xml:space="preserve">inhalation (chapter 3.1)” replace </w:t>
      </w:r>
      <w:proofErr w:type="gramStart"/>
      <w:r>
        <w:t>“ 3</w:t>
      </w:r>
      <w:proofErr w:type="gramEnd"/>
      <w:r>
        <w:t>” with “4”.</w:t>
      </w:r>
    </w:p>
    <w:p w14:paraId="6642F657" w14:textId="3D28B08A" w:rsidR="003D2F02" w:rsidRPr="002B7D4D" w:rsidRDefault="003D2F02" w:rsidP="003D2F02">
      <w:pPr>
        <w:pStyle w:val="SingleTxtG"/>
        <w:ind w:left="1701"/>
      </w:pPr>
      <w:r>
        <w:t xml:space="preserve">In column </w:t>
      </w:r>
      <w:r w:rsidR="008D6A00">
        <w:t>(</w:t>
      </w:r>
      <w:r>
        <w:t>5</w:t>
      </w:r>
      <w:r w:rsidR="008D6A00">
        <w:t>)</w:t>
      </w:r>
      <w:r>
        <w:t>, replace all conditions for use with the following (applicable to all entries):</w:t>
      </w:r>
    </w:p>
    <w:p w14:paraId="43DD9B25" w14:textId="392C8933" w:rsidR="00490F43" w:rsidRPr="004766CF" w:rsidRDefault="00490F43" w:rsidP="000618EB">
      <w:pPr>
        <w:pStyle w:val="SingleTxtG"/>
        <w:ind w:left="1701"/>
        <w:rPr>
          <w:rStyle w:val="StyleItalic"/>
          <w:rFonts w:asciiTheme="majorBidi" w:hAnsiTheme="majorBidi" w:cstheme="majorBidi"/>
        </w:rPr>
      </w:pPr>
      <w:r w:rsidRPr="004766CF">
        <w:rPr>
          <w:rStyle w:val="StyleItalic"/>
        </w:rPr>
        <w:t>“- if immediate measures that can be easily applied, such as the administration of antidote or other specific treatment are required. T</w:t>
      </w:r>
      <w:r w:rsidRPr="004766CF">
        <w:rPr>
          <w:rStyle w:val="StyleItalic"/>
          <w:rFonts w:asciiTheme="majorBidi" w:hAnsiTheme="majorBidi" w:cstheme="majorBidi"/>
          <w:iCs w:val="0"/>
        </w:rPr>
        <w:t>he</w:t>
      </w:r>
      <w:r w:rsidRPr="004766CF">
        <w:rPr>
          <w:rStyle w:val="StyleItalic"/>
          <w:rFonts w:asciiTheme="majorBidi" w:hAnsiTheme="majorBidi" w:cstheme="majorBidi"/>
        </w:rPr>
        <w:t>se measures must be specified on the label and safety data sheet, recognizing additional detail</w:t>
      </w:r>
      <w:r w:rsidRPr="004766CF">
        <w:rPr>
          <w:rStyle w:val="StyleItalic"/>
        </w:rPr>
        <w:t>ed instructions, including any training requirements,</w:t>
      </w:r>
      <w:r w:rsidRPr="004766CF">
        <w:rPr>
          <w:rStyle w:val="StyleItalic"/>
          <w:rFonts w:asciiTheme="majorBidi" w:hAnsiTheme="majorBidi" w:cstheme="majorBidi"/>
        </w:rPr>
        <w:t xml:space="preserve"> should be provided on the safety data sheet, if appropriate.</w:t>
      </w:r>
    </w:p>
    <w:p w14:paraId="48127822" w14:textId="0191A320" w:rsidR="00490F43" w:rsidRPr="00CA5A3E" w:rsidRDefault="00490F43" w:rsidP="00242BA0">
      <w:pPr>
        <w:spacing w:before="120" w:after="120"/>
        <w:ind w:left="1701" w:right="1134"/>
        <w:rPr>
          <w:rStyle w:val="StyleItalic"/>
          <w:rFonts w:asciiTheme="majorBidi" w:hAnsiTheme="majorBidi" w:cstheme="majorBidi"/>
        </w:rPr>
      </w:pPr>
      <w:r w:rsidRPr="004766CF">
        <w:rPr>
          <w:rStyle w:val="StyleItalic"/>
          <w:rFonts w:cstheme="minorBidi"/>
        </w:rPr>
        <w:t>- may be omitted if P320 is given on the label.”</w:t>
      </w:r>
    </w:p>
    <w:p w14:paraId="7760F827" w14:textId="77777777" w:rsidR="003D2F02" w:rsidRPr="00E01DF8" w:rsidRDefault="003D2F02" w:rsidP="003D2F02">
      <w:pPr>
        <w:pStyle w:val="H23G"/>
      </w:pPr>
      <w:r>
        <w:tab/>
      </w:r>
      <w:r>
        <w:tab/>
      </w:r>
      <w:r w:rsidRPr="00E41954">
        <w:t>P322 (new)</w:t>
      </w:r>
    </w:p>
    <w:p w14:paraId="5E1CDCD1" w14:textId="77777777" w:rsidR="003D2F02" w:rsidRDefault="003D2F02" w:rsidP="003D2F02">
      <w:pPr>
        <w:pStyle w:val="SingleTxtG"/>
        <w:ind w:left="1701" w:hanging="567"/>
      </w:pPr>
      <w:r>
        <w:t>46.</w:t>
      </w:r>
      <w:r>
        <w:tab/>
        <w:t xml:space="preserve">Insert the following new precautionary statement entry after P321: </w:t>
      </w:r>
    </w:p>
    <w:tbl>
      <w:tblPr>
        <w:tblStyle w:val="TableGrid"/>
        <w:tblW w:w="0" w:type="auto"/>
        <w:tblInd w:w="1134" w:type="dxa"/>
        <w:tblLook w:val="04A0" w:firstRow="1" w:lastRow="0" w:firstColumn="1" w:lastColumn="0" w:noHBand="0" w:noVBand="1"/>
      </w:tblPr>
      <w:tblGrid>
        <w:gridCol w:w="562"/>
        <w:gridCol w:w="1843"/>
        <w:gridCol w:w="1985"/>
        <w:gridCol w:w="708"/>
        <w:gridCol w:w="2268"/>
      </w:tblGrid>
      <w:tr w:rsidR="003D2F02" w:rsidRPr="006B1577" w14:paraId="142F4879" w14:textId="77777777" w:rsidTr="00165D2E">
        <w:tc>
          <w:tcPr>
            <w:tcW w:w="562" w:type="dxa"/>
            <w:tcBorders>
              <w:bottom w:val="single" w:sz="4" w:space="0" w:color="auto"/>
            </w:tcBorders>
          </w:tcPr>
          <w:p w14:paraId="14501705" w14:textId="77777777" w:rsidR="003D2F02" w:rsidRPr="0072637D" w:rsidRDefault="003D2F02" w:rsidP="004853DB">
            <w:pPr>
              <w:pStyle w:val="SingleTxtG"/>
              <w:spacing w:before="20" w:after="20" w:line="240" w:lineRule="auto"/>
              <w:ind w:left="0" w:right="2"/>
              <w:jc w:val="center"/>
              <w:rPr>
                <w:b/>
                <w:bCs/>
                <w:sz w:val="18"/>
                <w:szCs w:val="18"/>
              </w:rPr>
            </w:pPr>
            <w:r w:rsidRPr="0072637D">
              <w:rPr>
                <w:b/>
                <w:bCs/>
                <w:sz w:val="18"/>
                <w:szCs w:val="18"/>
              </w:rPr>
              <w:t>(1)</w:t>
            </w:r>
          </w:p>
        </w:tc>
        <w:tc>
          <w:tcPr>
            <w:tcW w:w="1843" w:type="dxa"/>
            <w:tcBorders>
              <w:bottom w:val="single" w:sz="4" w:space="0" w:color="auto"/>
            </w:tcBorders>
          </w:tcPr>
          <w:p w14:paraId="5F8FCD2B" w14:textId="77777777" w:rsidR="003D2F02" w:rsidRPr="0072637D" w:rsidRDefault="003D2F02" w:rsidP="004853DB">
            <w:pPr>
              <w:pStyle w:val="SingleTxtG"/>
              <w:spacing w:before="20" w:after="20" w:line="240" w:lineRule="auto"/>
              <w:ind w:left="0" w:right="0"/>
              <w:jc w:val="center"/>
              <w:rPr>
                <w:b/>
                <w:bCs/>
                <w:sz w:val="18"/>
                <w:szCs w:val="18"/>
              </w:rPr>
            </w:pPr>
            <w:r w:rsidRPr="0072637D">
              <w:rPr>
                <w:b/>
                <w:bCs/>
                <w:sz w:val="18"/>
                <w:szCs w:val="18"/>
              </w:rPr>
              <w:t>(2)</w:t>
            </w:r>
          </w:p>
        </w:tc>
        <w:tc>
          <w:tcPr>
            <w:tcW w:w="1985" w:type="dxa"/>
          </w:tcPr>
          <w:p w14:paraId="2ABEC6DC" w14:textId="77777777" w:rsidR="003D2F02" w:rsidRPr="0072637D" w:rsidRDefault="003D2F02" w:rsidP="004853DB">
            <w:pPr>
              <w:pStyle w:val="SingleTxtG"/>
              <w:spacing w:before="20" w:after="20" w:line="240" w:lineRule="auto"/>
              <w:ind w:left="0" w:right="0"/>
              <w:jc w:val="center"/>
              <w:rPr>
                <w:b/>
                <w:bCs/>
                <w:sz w:val="18"/>
                <w:szCs w:val="18"/>
              </w:rPr>
            </w:pPr>
            <w:r w:rsidRPr="0072637D">
              <w:rPr>
                <w:b/>
                <w:bCs/>
                <w:sz w:val="18"/>
                <w:szCs w:val="18"/>
              </w:rPr>
              <w:t>(3)</w:t>
            </w:r>
          </w:p>
        </w:tc>
        <w:tc>
          <w:tcPr>
            <w:tcW w:w="708" w:type="dxa"/>
          </w:tcPr>
          <w:p w14:paraId="73DFB066" w14:textId="77777777" w:rsidR="003D2F02" w:rsidRPr="0072637D" w:rsidRDefault="003D2F02" w:rsidP="004853DB">
            <w:pPr>
              <w:pStyle w:val="SingleTxtG"/>
              <w:spacing w:before="20" w:after="20" w:line="240" w:lineRule="auto"/>
              <w:ind w:left="0" w:right="5"/>
              <w:jc w:val="center"/>
              <w:rPr>
                <w:b/>
                <w:bCs/>
                <w:sz w:val="18"/>
                <w:szCs w:val="18"/>
              </w:rPr>
            </w:pPr>
            <w:r w:rsidRPr="0072637D">
              <w:rPr>
                <w:b/>
                <w:bCs/>
                <w:sz w:val="18"/>
                <w:szCs w:val="18"/>
              </w:rPr>
              <w:t>(4)</w:t>
            </w:r>
          </w:p>
        </w:tc>
        <w:tc>
          <w:tcPr>
            <w:tcW w:w="2268" w:type="dxa"/>
            <w:tcBorders>
              <w:bottom w:val="single" w:sz="4" w:space="0" w:color="auto"/>
            </w:tcBorders>
          </w:tcPr>
          <w:p w14:paraId="677F2805" w14:textId="77777777" w:rsidR="003D2F02" w:rsidRPr="0072637D" w:rsidRDefault="003D2F02" w:rsidP="004853DB">
            <w:pPr>
              <w:pStyle w:val="SingleTxtG"/>
              <w:spacing w:before="20" w:after="20" w:line="240" w:lineRule="auto"/>
              <w:ind w:left="0" w:right="0"/>
              <w:jc w:val="center"/>
              <w:rPr>
                <w:b/>
                <w:bCs/>
                <w:sz w:val="18"/>
                <w:szCs w:val="18"/>
              </w:rPr>
            </w:pPr>
            <w:r w:rsidRPr="0072637D">
              <w:rPr>
                <w:b/>
                <w:bCs/>
                <w:sz w:val="18"/>
                <w:szCs w:val="18"/>
              </w:rPr>
              <w:t>(5)</w:t>
            </w:r>
          </w:p>
        </w:tc>
      </w:tr>
      <w:tr w:rsidR="003D2F02" w:rsidRPr="00656AE8" w14:paraId="5D0EBE13" w14:textId="77777777" w:rsidTr="00165D2E">
        <w:tc>
          <w:tcPr>
            <w:tcW w:w="562" w:type="dxa"/>
            <w:vMerge w:val="restart"/>
            <w:tcBorders>
              <w:right w:val="single" w:sz="4" w:space="0" w:color="auto"/>
            </w:tcBorders>
          </w:tcPr>
          <w:p w14:paraId="74FBF8B6" w14:textId="77777777" w:rsidR="003D2F02" w:rsidRPr="00FC12FE" w:rsidRDefault="003D2F02" w:rsidP="004853DB">
            <w:pPr>
              <w:pStyle w:val="SingleTxtG"/>
              <w:spacing w:before="20" w:after="20" w:line="240" w:lineRule="auto"/>
              <w:ind w:left="0" w:right="2"/>
              <w:jc w:val="center"/>
              <w:rPr>
                <w:sz w:val="18"/>
                <w:szCs w:val="18"/>
              </w:rPr>
            </w:pPr>
            <w:r w:rsidRPr="00FC12FE">
              <w:rPr>
                <w:sz w:val="18"/>
                <w:szCs w:val="18"/>
              </w:rPr>
              <w:t>P322</w:t>
            </w:r>
          </w:p>
        </w:tc>
        <w:tc>
          <w:tcPr>
            <w:tcW w:w="1843" w:type="dxa"/>
            <w:vMerge w:val="restart"/>
            <w:tcBorders>
              <w:left w:val="single" w:sz="4" w:space="0" w:color="auto"/>
            </w:tcBorders>
          </w:tcPr>
          <w:p w14:paraId="01814526" w14:textId="77777777" w:rsidR="003D2F02" w:rsidRPr="00FC12FE" w:rsidRDefault="003D2F02" w:rsidP="004853DB">
            <w:pPr>
              <w:pStyle w:val="SingleTxtG"/>
              <w:spacing w:before="20" w:after="20" w:line="240" w:lineRule="auto"/>
              <w:ind w:left="0" w:right="0"/>
              <w:jc w:val="left"/>
              <w:rPr>
                <w:b/>
                <w:bCs/>
                <w:sz w:val="18"/>
                <w:szCs w:val="18"/>
              </w:rPr>
            </w:pPr>
            <w:r w:rsidRPr="00FC12FE">
              <w:rPr>
                <w:b/>
                <w:bCs/>
                <w:sz w:val="18"/>
                <w:szCs w:val="18"/>
              </w:rPr>
              <w:t>Specific treatment is urgent (see information on the safety data sheet).</w:t>
            </w:r>
          </w:p>
        </w:tc>
        <w:tc>
          <w:tcPr>
            <w:tcW w:w="1985" w:type="dxa"/>
          </w:tcPr>
          <w:p w14:paraId="57466CFD" w14:textId="77777777" w:rsidR="003D2F02" w:rsidRPr="0072637D" w:rsidRDefault="003D2F02" w:rsidP="004853DB">
            <w:pPr>
              <w:pStyle w:val="SingleTxtG"/>
              <w:spacing w:before="20" w:after="20" w:line="240" w:lineRule="auto"/>
              <w:ind w:left="0" w:right="0"/>
              <w:jc w:val="left"/>
              <w:rPr>
                <w:b/>
                <w:bCs/>
                <w:sz w:val="18"/>
                <w:szCs w:val="18"/>
              </w:rPr>
            </w:pPr>
            <w:r w:rsidRPr="0072637D">
              <w:rPr>
                <w:sz w:val="18"/>
                <w:szCs w:val="18"/>
              </w:rPr>
              <w:t>Acute toxicity, oral (chapter 3.1)</w:t>
            </w:r>
          </w:p>
        </w:tc>
        <w:tc>
          <w:tcPr>
            <w:tcW w:w="708" w:type="dxa"/>
          </w:tcPr>
          <w:p w14:paraId="43D009DE" w14:textId="77777777" w:rsidR="003D2F02" w:rsidRPr="0072637D" w:rsidRDefault="003D2F02" w:rsidP="004853DB">
            <w:pPr>
              <w:pStyle w:val="SingleTxtG"/>
              <w:spacing w:before="20" w:after="20" w:line="240" w:lineRule="auto"/>
              <w:ind w:left="0" w:right="5"/>
              <w:jc w:val="center"/>
              <w:rPr>
                <w:sz w:val="18"/>
                <w:szCs w:val="18"/>
              </w:rPr>
            </w:pPr>
            <w:r w:rsidRPr="0072637D">
              <w:rPr>
                <w:sz w:val="18"/>
                <w:szCs w:val="18"/>
              </w:rPr>
              <w:t>1, 2, 3</w:t>
            </w:r>
          </w:p>
        </w:tc>
        <w:tc>
          <w:tcPr>
            <w:tcW w:w="2268" w:type="dxa"/>
            <w:vMerge w:val="restart"/>
          </w:tcPr>
          <w:p w14:paraId="1F17546E" w14:textId="77777777" w:rsidR="003D2F02" w:rsidRPr="0072637D" w:rsidRDefault="003D2F02" w:rsidP="004853DB">
            <w:pPr>
              <w:keepLines/>
              <w:tabs>
                <w:tab w:val="left" w:pos="178"/>
              </w:tabs>
              <w:spacing w:before="20" w:after="20" w:line="240" w:lineRule="auto"/>
              <w:ind w:left="40"/>
              <w:rPr>
                <w:sz w:val="18"/>
                <w:szCs w:val="18"/>
              </w:rPr>
            </w:pPr>
            <w:r w:rsidRPr="0072637D">
              <w:rPr>
                <w:rStyle w:val="StyleItalic"/>
                <w:rFonts w:cstheme="minorBidi"/>
                <w:i w:val="0"/>
                <w:iCs w:val="0"/>
                <w:sz w:val="18"/>
                <w:szCs w:val="18"/>
              </w:rPr>
              <w:t>Manufacturer/supplier to reference on the safety data sheet detailed instructions</w:t>
            </w:r>
            <w:r>
              <w:rPr>
                <w:rStyle w:val="StyleItalic"/>
                <w:rFonts w:cstheme="minorBidi"/>
                <w:i w:val="0"/>
                <w:iCs w:val="0"/>
                <w:sz w:val="18"/>
                <w:szCs w:val="18"/>
              </w:rPr>
              <w:t>,</w:t>
            </w:r>
            <w:r w:rsidRPr="0072637D">
              <w:rPr>
                <w:rStyle w:val="StyleItalic"/>
                <w:rFonts w:cstheme="minorBidi"/>
                <w:i w:val="0"/>
                <w:iCs w:val="0"/>
                <w:sz w:val="18"/>
                <w:szCs w:val="18"/>
              </w:rPr>
              <w:t xml:space="preserve"> </w:t>
            </w:r>
            <w:r w:rsidRPr="00836756">
              <w:rPr>
                <w:rStyle w:val="StyleItalic"/>
                <w:rFonts w:cstheme="minorBidi"/>
                <w:i w:val="0"/>
                <w:iCs w:val="0"/>
                <w:sz w:val="18"/>
                <w:szCs w:val="18"/>
              </w:rPr>
              <w:t>i</w:t>
            </w:r>
            <w:r w:rsidRPr="009D4595">
              <w:rPr>
                <w:rStyle w:val="StyleItalic"/>
                <w:i w:val="0"/>
                <w:iCs w:val="0"/>
                <w:sz w:val="18"/>
                <w:szCs w:val="18"/>
              </w:rPr>
              <w:t>ncluding</w:t>
            </w:r>
            <w:r w:rsidRPr="0072637D">
              <w:rPr>
                <w:rStyle w:val="StyleItalic"/>
                <w:rFonts w:cstheme="minorBidi"/>
                <w:i w:val="0"/>
                <w:iCs w:val="0"/>
                <w:sz w:val="18"/>
                <w:szCs w:val="18"/>
              </w:rPr>
              <w:t xml:space="preserve"> any training requirements</w:t>
            </w:r>
            <w:r>
              <w:rPr>
                <w:rStyle w:val="StyleItalic"/>
                <w:rFonts w:cstheme="minorBidi"/>
                <w:i w:val="0"/>
                <w:iCs w:val="0"/>
                <w:sz w:val="18"/>
                <w:szCs w:val="18"/>
              </w:rPr>
              <w:t>,</w:t>
            </w:r>
            <w:r w:rsidRPr="0072637D">
              <w:rPr>
                <w:rStyle w:val="StyleItalic"/>
                <w:rFonts w:cstheme="minorBidi"/>
                <w:i w:val="0"/>
                <w:iCs w:val="0"/>
                <w:sz w:val="18"/>
                <w:szCs w:val="18"/>
              </w:rPr>
              <w:t xml:space="preserve"> to administer an antidote or other </w:t>
            </w:r>
            <w:r w:rsidRPr="00F62F28">
              <w:rPr>
                <w:rStyle w:val="StyleItalic"/>
                <w:rFonts w:cstheme="minorBidi"/>
                <w:i w:val="0"/>
                <w:iCs w:val="0"/>
                <w:sz w:val="18"/>
                <w:szCs w:val="18"/>
              </w:rPr>
              <w:t>specific</w:t>
            </w:r>
            <w:r>
              <w:rPr>
                <w:rStyle w:val="StyleItalic"/>
                <w:rFonts w:cstheme="minorBidi"/>
                <w:sz w:val="18"/>
                <w:szCs w:val="18"/>
              </w:rPr>
              <w:t xml:space="preserve"> </w:t>
            </w:r>
            <w:r w:rsidRPr="0072637D">
              <w:rPr>
                <w:rStyle w:val="StyleItalic"/>
                <w:rFonts w:cstheme="minorBidi"/>
                <w:i w:val="0"/>
                <w:iCs w:val="0"/>
                <w:sz w:val="18"/>
                <w:szCs w:val="18"/>
              </w:rPr>
              <w:t>treatment.</w:t>
            </w:r>
            <w:r w:rsidRPr="0072637D">
              <w:rPr>
                <w:rStyle w:val="StyleItalic"/>
                <w:rFonts w:cstheme="minorBidi"/>
                <w:i w:val="0"/>
                <w:iCs w:val="0"/>
                <w:sz w:val="18"/>
                <w:szCs w:val="18"/>
              </w:rPr>
              <w:br/>
            </w:r>
            <w:r w:rsidRPr="00FC12FE">
              <w:rPr>
                <w:rStyle w:val="StyleItalic"/>
                <w:rFonts w:cstheme="minorBidi"/>
                <w:i w:val="0"/>
                <w:iCs w:val="0"/>
                <w:sz w:val="18"/>
                <w:szCs w:val="18"/>
              </w:rPr>
              <w:t xml:space="preserve">- </w:t>
            </w:r>
            <w:r w:rsidRPr="00FC12FE">
              <w:rPr>
                <w:rStyle w:val="StyleItalic"/>
                <w:rFonts w:cstheme="minorBidi"/>
                <w:sz w:val="18"/>
                <w:szCs w:val="18"/>
              </w:rPr>
              <w:t>may be omitted if P320 is given on the label.</w:t>
            </w:r>
          </w:p>
        </w:tc>
      </w:tr>
      <w:tr w:rsidR="003D2F02" w:rsidRPr="00656AE8" w14:paraId="4F4CF7E6" w14:textId="77777777" w:rsidTr="00165D2E">
        <w:tc>
          <w:tcPr>
            <w:tcW w:w="562" w:type="dxa"/>
            <w:vMerge/>
            <w:tcBorders>
              <w:right w:val="single" w:sz="4" w:space="0" w:color="auto"/>
            </w:tcBorders>
          </w:tcPr>
          <w:p w14:paraId="199ECEFF" w14:textId="77777777" w:rsidR="003D2F02" w:rsidRPr="00656AE8" w:rsidRDefault="003D2F02" w:rsidP="004853DB">
            <w:pPr>
              <w:pStyle w:val="SingleTxtG"/>
              <w:spacing w:before="20" w:after="20" w:line="240" w:lineRule="auto"/>
              <w:ind w:left="0" w:right="2"/>
              <w:jc w:val="left"/>
              <w:rPr>
                <w:b/>
                <w:bCs/>
                <w:sz w:val="16"/>
                <w:szCs w:val="16"/>
              </w:rPr>
            </w:pPr>
          </w:p>
        </w:tc>
        <w:tc>
          <w:tcPr>
            <w:tcW w:w="1843" w:type="dxa"/>
            <w:vMerge/>
            <w:tcBorders>
              <w:left w:val="single" w:sz="4" w:space="0" w:color="auto"/>
            </w:tcBorders>
          </w:tcPr>
          <w:p w14:paraId="7C77DC48" w14:textId="77777777" w:rsidR="003D2F02" w:rsidRPr="00656AE8" w:rsidRDefault="003D2F02" w:rsidP="004853DB">
            <w:pPr>
              <w:pStyle w:val="SingleTxtG"/>
              <w:spacing w:before="20" w:after="20" w:line="240" w:lineRule="auto"/>
              <w:ind w:left="0" w:right="0"/>
              <w:jc w:val="left"/>
              <w:rPr>
                <w:b/>
                <w:bCs/>
                <w:sz w:val="16"/>
                <w:szCs w:val="16"/>
              </w:rPr>
            </w:pPr>
          </w:p>
        </w:tc>
        <w:tc>
          <w:tcPr>
            <w:tcW w:w="1985" w:type="dxa"/>
          </w:tcPr>
          <w:p w14:paraId="1D4AB995" w14:textId="77777777" w:rsidR="003D2F02" w:rsidRPr="0072637D" w:rsidRDefault="003D2F02" w:rsidP="004853DB">
            <w:pPr>
              <w:pStyle w:val="SingleTxtG"/>
              <w:spacing w:before="20" w:after="20" w:line="240" w:lineRule="auto"/>
              <w:ind w:left="0" w:right="0"/>
              <w:jc w:val="left"/>
              <w:rPr>
                <w:sz w:val="18"/>
                <w:szCs w:val="18"/>
              </w:rPr>
            </w:pPr>
            <w:r w:rsidRPr="0072637D">
              <w:rPr>
                <w:sz w:val="18"/>
                <w:szCs w:val="18"/>
              </w:rPr>
              <w:t>Acute toxicity, dermal (chapter 3.1)</w:t>
            </w:r>
          </w:p>
        </w:tc>
        <w:tc>
          <w:tcPr>
            <w:tcW w:w="708" w:type="dxa"/>
          </w:tcPr>
          <w:p w14:paraId="56BE53AE" w14:textId="77777777" w:rsidR="003D2F02" w:rsidRPr="0072637D" w:rsidRDefault="003D2F02" w:rsidP="004853DB">
            <w:pPr>
              <w:pStyle w:val="SingleTxtG"/>
              <w:spacing w:before="20" w:after="20" w:line="240" w:lineRule="auto"/>
              <w:ind w:left="0" w:right="5"/>
              <w:jc w:val="center"/>
              <w:rPr>
                <w:sz w:val="18"/>
                <w:szCs w:val="18"/>
              </w:rPr>
            </w:pPr>
            <w:r w:rsidRPr="0072637D">
              <w:rPr>
                <w:sz w:val="18"/>
                <w:szCs w:val="18"/>
              </w:rPr>
              <w:t>1, 2, 3</w:t>
            </w:r>
          </w:p>
        </w:tc>
        <w:tc>
          <w:tcPr>
            <w:tcW w:w="2268" w:type="dxa"/>
            <w:vMerge/>
          </w:tcPr>
          <w:p w14:paraId="5E9D3026" w14:textId="77777777" w:rsidR="003D2F02" w:rsidRPr="00C368BC" w:rsidRDefault="003D2F02" w:rsidP="004853DB">
            <w:pPr>
              <w:keepLines/>
              <w:tabs>
                <w:tab w:val="left" w:pos="178"/>
              </w:tabs>
              <w:spacing w:before="20" w:after="20" w:line="240" w:lineRule="auto"/>
              <w:ind w:left="40"/>
              <w:rPr>
                <w:rStyle w:val="StyleItalic"/>
                <w:rFonts w:cstheme="minorBidi"/>
                <w:b/>
                <w:bCs/>
                <w:color w:val="0070C0"/>
                <w:sz w:val="16"/>
                <w:szCs w:val="16"/>
              </w:rPr>
            </w:pPr>
          </w:p>
        </w:tc>
      </w:tr>
      <w:tr w:rsidR="003D2F02" w:rsidRPr="00656AE8" w14:paraId="257923A3" w14:textId="77777777" w:rsidTr="00165D2E">
        <w:tc>
          <w:tcPr>
            <w:tcW w:w="562" w:type="dxa"/>
            <w:vMerge/>
            <w:tcBorders>
              <w:right w:val="single" w:sz="4" w:space="0" w:color="auto"/>
            </w:tcBorders>
          </w:tcPr>
          <w:p w14:paraId="56CF0114" w14:textId="77777777" w:rsidR="003D2F02" w:rsidRPr="00C368BC" w:rsidRDefault="003D2F02" w:rsidP="004853DB">
            <w:pPr>
              <w:pStyle w:val="SingleTxtG"/>
              <w:spacing w:before="20" w:after="20" w:line="240" w:lineRule="auto"/>
              <w:ind w:left="0"/>
              <w:rPr>
                <w:sz w:val="16"/>
                <w:szCs w:val="16"/>
              </w:rPr>
            </w:pPr>
          </w:p>
        </w:tc>
        <w:tc>
          <w:tcPr>
            <w:tcW w:w="1843" w:type="dxa"/>
            <w:vMerge/>
            <w:tcBorders>
              <w:left w:val="single" w:sz="4" w:space="0" w:color="auto"/>
            </w:tcBorders>
          </w:tcPr>
          <w:p w14:paraId="5E6943E4" w14:textId="77777777" w:rsidR="003D2F02" w:rsidRPr="00C368BC" w:rsidRDefault="003D2F02" w:rsidP="004853DB">
            <w:pPr>
              <w:pStyle w:val="SingleTxtG"/>
              <w:spacing w:before="20" w:after="20" w:line="240" w:lineRule="auto"/>
              <w:ind w:left="0"/>
              <w:rPr>
                <w:sz w:val="16"/>
                <w:szCs w:val="16"/>
              </w:rPr>
            </w:pPr>
          </w:p>
        </w:tc>
        <w:tc>
          <w:tcPr>
            <w:tcW w:w="1985" w:type="dxa"/>
          </w:tcPr>
          <w:p w14:paraId="075E63B0" w14:textId="77777777" w:rsidR="003D2F02" w:rsidRPr="0072637D" w:rsidRDefault="003D2F02" w:rsidP="004853DB">
            <w:pPr>
              <w:pStyle w:val="SingleTxtG"/>
              <w:spacing w:before="20" w:after="20" w:line="240" w:lineRule="auto"/>
              <w:ind w:left="0" w:right="142"/>
              <w:jc w:val="left"/>
              <w:rPr>
                <w:sz w:val="18"/>
                <w:szCs w:val="18"/>
              </w:rPr>
            </w:pPr>
            <w:r w:rsidRPr="0072637D">
              <w:rPr>
                <w:sz w:val="18"/>
                <w:szCs w:val="18"/>
              </w:rPr>
              <w:t>Acute toxicity, inhalation (</w:t>
            </w:r>
            <w:r w:rsidRPr="0072637D">
              <w:rPr>
                <w:rFonts w:eastAsia="Times New Roman"/>
                <w:sz w:val="18"/>
                <w:szCs w:val="18"/>
              </w:rPr>
              <w:t>chapter</w:t>
            </w:r>
            <w:r w:rsidRPr="0072637D">
              <w:rPr>
                <w:sz w:val="18"/>
                <w:szCs w:val="18"/>
              </w:rPr>
              <w:t xml:space="preserve"> 3.1)</w:t>
            </w:r>
          </w:p>
        </w:tc>
        <w:tc>
          <w:tcPr>
            <w:tcW w:w="708" w:type="dxa"/>
          </w:tcPr>
          <w:p w14:paraId="4B2312F4" w14:textId="77777777" w:rsidR="003D2F02" w:rsidRPr="0072637D" w:rsidRDefault="003D2F02" w:rsidP="004853DB">
            <w:pPr>
              <w:pStyle w:val="SingleTxtG"/>
              <w:spacing w:before="20" w:after="20" w:line="240" w:lineRule="auto"/>
              <w:ind w:left="0" w:right="5"/>
              <w:jc w:val="center"/>
              <w:rPr>
                <w:sz w:val="18"/>
                <w:szCs w:val="18"/>
              </w:rPr>
            </w:pPr>
            <w:r w:rsidRPr="0072637D">
              <w:rPr>
                <w:sz w:val="18"/>
                <w:szCs w:val="18"/>
              </w:rPr>
              <w:t>1, 2, 3</w:t>
            </w:r>
          </w:p>
        </w:tc>
        <w:tc>
          <w:tcPr>
            <w:tcW w:w="2268" w:type="dxa"/>
            <w:vMerge/>
          </w:tcPr>
          <w:p w14:paraId="1B9B0770" w14:textId="77777777" w:rsidR="003D2F02" w:rsidRPr="00E41954" w:rsidRDefault="003D2F02" w:rsidP="004853DB">
            <w:pPr>
              <w:pStyle w:val="SingleTxtG"/>
              <w:spacing w:before="20" w:after="20" w:line="240" w:lineRule="auto"/>
              <w:ind w:left="0"/>
              <w:rPr>
                <w:sz w:val="16"/>
                <w:szCs w:val="16"/>
              </w:rPr>
            </w:pPr>
          </w:p>
        </w:tc>
      </w:tr>
    </w:tbl>
    <w:p w14:paraId="3358F6C9" w14:textId="77777777" w:rsidR="003D2F02" w:rsidRPr="00E41954" w:rsidRDefault="003D2F02" w:rsidP="003D2F02">
      <w:pPr>
        <w:pStyle w:val="H23G"/>
        <w:rPr>
          <w:b w:val="0"/>
        </w:rPr>
      </w:pPr>
      <w:r>
        <w:tab/>
      </w:r>
      <w:r>
        <w:tab/>
      </w:r>
      <w:r w:rsidRPr="00E41954">
        <w:t>P323 (new)</w:t>
      </w:r>
    </w:p>
    <w:p w14:paraId="77005D4D" w14:textId="77777777" w:rsidR="003D2F02" w:rsidRDefault="003D2F02" w:rsidP="003D2F02">
      <w:pPr>
        <w:pStyle w:val="SingleTxtG"/>
        <w:ind w:left="1701" w:hanging="567"/>
      </w:pPr>
      <w:r>
        <w:t>47.</w:t>
      </w:r>
      <w:r>
        <w:tab/>
        <w:t>Insert the following new precautionary statement entry after the new P322:</w:t>
      </w:r>
    </w:p>
    <w:tbl>
      <w:tblPr>
        <w:tblStyle w:val="TableGrid"/>
        <w:tblW w:w="0" w:type="auto"/>
        <w:tblInd w:w="1134" w:type="dxa"/>
        <w:tblLook w:val="04A0" w:firstRow="1" w:lastRow="0" w:firstColumn="1" w:lastColumn="0" w:noHBand="0" w:noVBand="1"/>
      </w:tblPr>
      <w:tblGrid>
        <w:gridCol w:w="562"/>
        <w:gridCol w:w="1701"/>
        <w:gridCol w:w="2127"/>
        <w:gridCol w:w="1134"/>
        <w:gridCol w:w="1842"/>
      </w:tblGrid>
      <w:tr w:rsidR="003D2F02" w:rsidRPr="00AC2DAB" w14:paraId="5AB5B0E2" w14:textId="77777777" w:rsidTr="00165D2E">
        <w:tc>
          <w:tcPr>
            <w:tcW w:w="562" w:type="dxa"/>
            <w:tcBorders>
              <w:bottom w:val="single" w:sz="4" w:space="0" w:color="auto"/>
            </w:tcBorders>
          </w:tcPr>
          <w:p w14:paraId="64083C78" w14:textId="77777777" w:rsidR="003D2F02" w:rsidRPr="00AC2DAB" w:rsidRDefault="003D2F02" w:rsidP="004853DB">
            <w:pPr>
              <w:pStyle w:val="SingleTxtG"/>
              <w:spacing w:before="20" w:after="20" w:line="240" w:lineRule="auto"/>
              <w:ind w:left="0" w:right="2"/>
              <w:jc w:val="center"/>
              <w:rPr>
                <w:b/>
                <w:bCs/>
                <w:sz w:val="16"/>
                <w:szCs w:val="16"/>
              </w:rPr>
            </w:pPr>
            <w:r w:rsidRPr="00AC2DAB">
              <w:rPr>
                <w:b/>
                <w:bCs/>
                <w:sz w:val="16"/>
                <w:szCs w:val="16"/>
              </w:rPr>
              <w:t>(1)</w:t>
            </w:r>
          </w:p>
        </w:tc>
        <w:tc>
          <w:tcPr>
            <w:tcW w:w="1701" w:type="dxa"/>
            <w:tcBorders>
              <w:bottom w:val="single" w:sz="4" w:space="0" w:color="auto"/>
            </w:tcBorders>
          </w:tcPr>
          <w:p w14:paraId="2B04BE35" w14:textId="77777777" w:rsidR="003D2F02" w:rsidRPr="00AC2DAB" w:rsidRDefault="003D2F02" w:rsidP="004853DB">
            <w:pPr>
              <w:pStyle w:val="SingleTxtG"/>
              <w:spacing w:before="20" w:after="20" w:line="240" w:lineRule="auto"/>
              <w:ind w:left="0" w:right="0"/>
              <w:jc w:val="center"/>
              <w:rPr>
                <w:b/>
                <w:bCs/>
                <w:sz w:val="16"/>
                <w:szCs w:val="16"/>
              </w:rPr>
            </w:pPr>
            <w:r w:rsidRPr="00AC2DAB">
              <w:rPr>
                <w:b/>
                <w:bCs/>
                <w:sz w:val="16"/>
                <w:szCs w:val="16"/>
              </w:rPr>
              <w:t>(2)</w:t>
            </w:r>
          </w:p>
        </w:tc>
        <w:tc>
          <w:tcPr>
            <w:tcW w:w="2127" w:type="dxa"/>
          </w:tcPr>
          <w:p w14:paraId="7001BF55" w14:textId="77777777" w:rsidR="003D2F02" w:rsidRPr="00AC2DAB" w:rsidRDefault="003D2F02" w:rsidP="004853DB">
            <w:pPr>
              <w:pStyle w:val="SingleTxtG"/>
              <w:spacing w:before="20" w:after="20" w:line="240" w:lineRule="auto"/>
              <w:ind w:left="0" w:right="0"/>
              <w:jc w:val="center"/>
              <w:rPr>
                <w:b/>
                <w:bCs/>
                <w:sz w:val="16"/>
                <w:szCs w:val="16"/>
              </w:rPr>
            </w:pPr>
            <w:r w:rsidRPr="00AC2DAB">
              <w:rPr>
                <w:b/>
                <w:bCs/>
                <w:sz w:val="16"/>
                <w:szCs w:val="16"/>
              </w:rPr>
              <w:t>(3)</w:t>
            </w:r>
          </w:p>
        </w:tc>
        <w:tc>
          <w:tcPr>
            <w:tcW w:w="1134" w:type="dxa"/>
          </w:tcPr>
          <w:p w14:paraId="0E16160B" w14:textId="77777777" w:rsidR="003D2F02" w:rsidRPr="00AC2DAB" w:rsidRDefault="003D2F02" w:rsidP="004853DB">
            <w:pPr>
              <w:pStyle w:val="SingleTxtG"/>
              <w:spacing w:before="20" w:after="20" w:line="240" w:lineRule="auto"/>
              <w:ind w:left="0" w:right="5"/>
              <w:jc w:val="center"/>
              <w:rPr>
                <w:b/>
                <w:bCs/>
                <w:sz w:val="16"/>
                <w:szCs w:val="16"/>
              </w:rPr>
            </w:pPr>
            <w:r w:rsidRPr="00AC2DAB">
              <w:rPr>
                <w:b/>
                <w:bCs/>
                <w:sz w:val="16"/>
                <w:szCs w:val="16"/>
              </w:rPr>
              <w:t>(4)</w:t>
            </w:r>
          </w:p>
        </w:tc>
        <w:tc>
          <w:tcPr>
            <w:tcW w:w="1842" w:type="dxa"/>
            <w:tcBorders>
              <w:bottom w:val="single" w:sz="4" w:space="0" w:color="auto"/>
            </w:tcBorders>
          </w:tcPr>
          <w:p w14:paraId="005868B6" w14:textId="77777777" w:rsidR="003D2F02" w:rsidRPr="00AC2DAB" w:rsidRDefault="003D2F02" w:rsidP="004853DB">
            <w:pPr>
              <w:pStyle w:val="SingleTxtG"/>
              <w:spacing w:before="20" w:after="20" w:line="240" w:lineRule="auto"/>
              <w:ind w:left="0" w:right="0"/>
              <w:jc w:val="center"/>
              <w:rPr>
                <w:b/>
                <w:bCs/>
                <w:sz w:val="16"/>
                <w:szCs w:val="16"/>
              </w:rPr>
            </w:pPr>
            <w:r w:rsidRPr="00AC2DAB">
              <w:rPr>
                <w:b/>
                <w:bCs/>
                <w:sz w:val="16"/>
                <w:szCs w:val="16"/>
              </w:rPr>
              <w:t>(5)</w:t>
            </w:r>
          </w:p>
        </w:tc>
      </w:tr>
      <w:tr w:rsidR="003D2F02" w:rsidRPr="00656AE8" w14:paraId="2A649492" w14:textId="77777777" w:rsidTr="00165D2E">
        <w:tc>
          <w:tcPr>
            <w:tcW w:w="562" w:type="dxa"/>
            <w:vMerge w:val="restart"/>
            <w:tcBorders>
              <w:right w:val="single" w:sz="4" w:space="0" w:color="auto"/>
            </w:tcBorders>
          </w:tcPr>
          <w:p w14:paraId="074FB2BC" w14:textId="77777777" w:rsidR="003D2F02" w:rsidRPr="00FC12FE" w:rsidRDefault="003D2F02" w:rsidP="004853DB">
            <w:pPr>
              <w:pStyle w:val="SingleTxtG"/>
              <w:spacing w:before="20" w:after="20" w:line="240" w:lineRule="auto"/>
              <w:ind w:left="0" w:right="2"/>
              <w:jc w:val="center"/>
              <w:rPr>
                <w:sz w:val="18"/>
                <w:szCs w:val="18"/>
              </w:rPr>
            </w:pPr>
            <w:r w:rsidRPr="00FC12FE">
              <w:rPr>
                <w:sz w:val="18"/>
                <w:szCs w:val="18"/>
              </w:rPr>
              <w:t>P323</w:t>
            </w:r>
          </w:p>
        </w:tc>
        <w:tc>
          <w:tcPr>
            <w:tcW w:w="1701" w:type="dxa"/>
            <w:vMerge w:val="restart"/>
            <w:tcBorders>
              <w:left w:val="single" w:sz="4" w:space="0" w:color="auto"/>
            </w:tcBorders>
          </w:tcPr>
          <w:p w14:paraId="178895FD" w14:textId="77777777" w:rsidR="003D2F02" w:rsidRPr="00FC12FE" w:rsidRDefault="003D2F02" w:rsidP="004853DB">
            <w:pPr>
              <w:pStyle w:val="SingleTxtG"/>
              <w:spacing w:before="20" w:after="20" w:line="240" w:lineRule="auto"/>
              <w:ind w:left="0" w:right="0"/>
              <w:jc w:val="left"/>
              <w:rPr>
                <w:b/>
                <w:bCs/>
                <w:sz w:val="18"/>
                <w:szCs w:val="18"/>
              </w:rPr>
            </w:pPr>
            <w:r w:rsidRPr="00FC12FE">
              <w:rPr>
                <w:rStyle w:val="StyleBold"/>
                <w:sz w:val="18"/>
                <w:szCs w:val="18"/>
              </w:rPr>
              <w:t xml:space="preserve">Specific treatment (see </w:t>
            </w:r>
            <w:r w:rsidRPr="00FC12FE">
              <w:rPr>
                <w:b/>
                <w:bCs/>
                <w:sz w:val="18"/>
                <w:szCs w:val="18"/>
              </w:rPr>
              <w:t>information on the safety data sheet).</w:t>
            </w:r>
          </w:p>
        </w:tc>
        <w:tc>
          <w:tcPr>
            <w:tcW w:w="2127" w:type="dxa"/>
          </w:tcPr>
          <w:p w14:paraId="6DEECD85" w14:textId="4484B11A" w:rsidR="003D2F02" w:rsidRPr="0072637D" w:rsidRDefault="003D2F02" w:rsidP="004853DB">
            <w:pPr>
              <w:pStyle w:val="SingleTxtG"/>
              <w:spacing w:before="20" w:after="20" w:line="240" w:lineRule="auto"/>
              <w:ind w:left="0" w:right="0"/>
              <w:jc w:val="left"/>
              <w:rPr>
                <w:b/>
                <w:bCs/>
                <w:sz w:val="18"/>
                <w:szCs w:val="18"/>
              </w:rPr>
            </w:pPr>
            <w:r w:rsidRPr="0072637D">
              <w:rPr>
                <w:sz w:val="18"/>
                <w:szCs w:val="18"/>
              </w:rPr>
              <w:t xml:space="preserve">Acute toxicity, oral </w:t>
            </w:r>
            <w:r w:rsidR="00165D2E">
              <w:rPr>
                <w:sz w:val="18"/>
                <w:szCs w:val="18"/>
              </w:rPr>
              <w:br/>
            </w:r>
            <w:r w:rsidRPr="0072637D">
              <w:rPr>
                <w:sz w:val="18"/>
                <w:szCs w:val="18"/>
              </w:rPr>
              <w:t>(chapter 3.1)</w:t>
            </w:r>
          </w:p>
        </w:tc>
        <w:tc>
          <w:tcPr>
            <w:tcW w:w="1134" w:type="dxa"/>
          </w:tcPr>
          <w:p w14:paraId="7D4F5382" w14:textId="77777777" w:rsidR="003D2F02" w:rsidRPr="0072637D" w:rsidRDefault="003D2F02" w:rsidP="004853DB">
            <w:pPr>
              <w:pStyle w:val="SingleTxtG"/>
              <w:spacing w:before="20" w:after="20" w:line="240" w:lineRule="auto"/>
              <w:ind w:left="0" w:right="5"/>
              <w:jc w:val="center"/>
              <w:rPr>
                <w:sz w:val="18"/>
                <w:szCs w:val="18"/>
              </w:rPr>
            </w:pPr>
            <w:r w:rsidRPr="0072637D">
              <w:rPr>
                <w:sz w:val="18"/>
                <w:szCs w:val="18"/>
              </w:rPr>
              <w:t>4</w:t>
            </w:r>
          </w:p>
        </w:tc>
        <w:tc>
          <w:tcPr>
            <w:tcW w:w="1842" w:type="dxa"/>
            <w:vMerge w:val="restart"/>
          </w:tcPr>
          <w:p w14:paraId="6743AD84" w14:textId="77777777" w:rsidR="003D2F02" w:rsidRPr="00FC12FE" w:rsidRDefault="003D2F02" w:rsidP="004853DB">
            <w:pPr>
              <w:keepLines/>
              <w:tabs>
                <w:tab w:val="left" w:pos="178"/>
              </w:tabs>
              <w:spacing w:before="20" w:after="20" w:line="240" w:lineRule="auto"/>
              <w:rPr>
                <w:sz w:val="18"/>
                <w:szCs w:val="18"/>
              </w:rPr>
            </w:pPr>
            <w:r w:rsidRPr="00FC12FE">
              <w:rPr>
                <w:rStyle w:val="StyleItalic"/>
                <w:rFonts w:cstheme="minorBidi"/>
                <w:i w:val="0"/>
                <w:iCs w:val="0"/>
                <w:sz w:val="18"/>
                <w:szCs w:val="18"/>
              </w:rPr>
              <w:t>Manufacturer/supplier to reference on the safety data sheet detailed instructions</w:t>
            </w:r>
            <w:r>
              <w:rPr>
                <w:rStyle w:val="StyleItalic"/>
                <w:rFonts w:cstheme="minorBidi"/>
                <w:i w:val="0"/>
                <w:iCs w:val="0"/>
                <w:sz w:val="18"/>
                <w:szCs w:val="18"/>
              </w:rPr>
              <w:t>,</w:t>
            </w:r>
            <w:r w:rsidRPr="00FC12FE">
              <w:rPr>
                <w:rStyle w:val="StyleItalic"/>
                <w:rFonts w:cstheme="minorBidi"/>
                <w:i w:val="0"/>
                <w:iCs w:val="0"/>
                <w:sz w:val="18"/>
                <w:szCs w:val="18"/>
              </w:rPr>
              <w:t xml:space="preserve"> </w:t>
            </w:r>
            <w:r>
              <w:rPr>
                <w:rStyle w:val="StyleItalic"/>
                <w:rFonts w:cstheme="minorBidi"/>
                <w:i w:val="0"/>
                <w:iCs w:val="0"/>
                <w:sz w:val="18"/>
                <w:szCs w:val="18"/>
              </w:rPr>
              <w:t>including</w:t>
            </w:r>
            <w:r w:rsidRPr="00FC12FE">
              <w:rPr>
                <w:rStyle w:val="StyleItalic"/>
                <w:rFonts w:cstheme="minorBidi"/>
                <w:i w:val="0"/>
                <w:iCs w:val="0"/>
                <w:sz w:val="18"/>
                <w:szCs w:val="18"/>
              </w:rPr>
              <w:t xml:space="preserve"> any training requirements</w:t>
            </w:r>
            <w:r>
              <w:rPr>
                <w:rStyle w:val="StyleItalic"/>
                <w:rFonts w:cstheme="minorBidi"/>
                <w:i w:val="0"/>
                <w:iCs w:val="0"/>
                <w:sz w:val="18"/>
                <w:szCs w:val="18"/>
              </w:rPr>
              <w:t>,</w:t>
            </w:r>
            <w:r w:rsidRPr="00FC12FE">
              <w:rPr>
                <w:rStyle w:val="StyleItalic"/>
                <w:rFonts w:cstheme="minorBidi"/>
                <w:i w:val="0"/>
                <w:iCs w:val="0"/>
                <w:sz w:val="18"/>
                <w:szCs w:val="18"/>
              </w:rPr>
              <w:t xml:space="preserve"> to administer an antidote or other specific</w:t>
            </w:r>
            <w:r w:rsidRPr="00FC12FE">
              <w:rPr>
                <w:rStyle w:val="StyleItalic"/>
                <w:rFonts w:cstheme="minorBidi"/>
                <w:sz w:val="18"/>
                <w:szCs w:val="18"/>
              </w:rPr>
              <w:t xml:space="preserve"> </w:t>
            </w:r>
            <w:r w:rsidRPr="00FC12FE">
              <w:rPr>
                <w:rStyle w:val="StyleItalic"/>
                <w:rFonts w:cstheme="minorBidi"/>
                <w:i w:val="0"/>
                <w:iCs w:val="0"/>
                <w:sz w:val="18"/>
                <w:szCs w:val="18"/>
              </w:rPr>
              <w:t>treatment.</w:t>
            </w:r>
            <w:r w:rsidRPr="00FC12FE">
              <w:rPr>
                <w:rStyle w:val="StyleItalic"/>
                <w:rFonts w:cstheme="minorBidi"/>
                <w:i w:val="0"/>
                <w:iCs w:val="0"/>
                <w:sz w:val="18"/>
                <w:szCs w:val="18"/>
              </w:rPr>
              <w:br/>
            </w:r>
            <w:proofErr w:type="gramStart"/>
            <w:r w:rsidRPr="00FC12FE">
              <w:rPr>
                <w:rStyle w:val="StyleItalic"/>
                <w:rFonts w:cstheme="minorBidi"/>
                <w:sz w:val="18"/>
                <w:szCs w:val="18"/>
              </w:rPr>
              <w:t>-  may</w:t>
            </w:r>
            <w:proofErr w:type="gramEnd"/>
            <w:r w:rsidRPr="00FC12FE">
              <w:rPr>
                <w:rStyle w:val="StyleItalic"/>
                <w:rFonts w:cstheme="minorBidi"/>
                <w:sz w:val="18"/>
                <w:szCs w:val="18"/>
              </w:rPr>
              <w:t xml:space="preserve"> be omitted if P321 or P322 is given on the label.</w:t>
            </w:r>
          </w:p>
        </w:tc>
      </w:tr>
      <w:tr w:rsidR="003D2F02" w:rsidRPr="00656AE8" w14:paraId="6A0D7B67" w14:textId="77777777" w:rsidTr="00165D2E">
        <w:tc>
          <w:tcPr>
            <w:tcW w:w="562" w:type="dxa"/>
            <w:vMerge/>
            <w:tcBorders>
              <w:right w:val="single" w:sz="4" w:space="0" w:color="auto"/>
            </w:tcBorders>
          </w:tcPr>
          <w:p w14:paraId="6FA462ED" w14:textId="77777777" w:rsidR="003D2F02" w:rsidRPr="00656AE8" w:rsidRDefault="003D2F02" w:rsidP="004853DB">
            <w:pPr>
              <w:pStyle w:val="SingleTxtG"/>
              <w:spacing w:before="20" w:after="20" w:line="240" w:lineRule="auto"/>
              <w:ind w:left="0" w:right="2"/>
              <w:jc w:val="left"/>
              <w:rPr>
                <w:b/>
                <w:bCs/>
                <w:sz w:val="16"/>
                <w:szCs w:val="16"/>
              </w:rPr>
            </w:pPr>
          </w:p>
        </w:tc>
        <w:tc>
          <w:tcPr>
            <w:tcW w:w="1701" w:type="dxa"/>
            <w:vMerge/>
            <w:tcBorders>
              <w:left w:val="single" w:sz="4" w:space="0" w:color="auto"/>
            </w:tcBorders>
          </w:tcPr>
          <w:p w14:paraId="10741FA7" w14:textId="77777777" w:rsidR="003D2F02" w:rsidRPr="00656AE8" w:rsidRDefault="003D2F02" w:rsidP="004853DB">
            <w:pPr>
              <w:pStyle w:val="SingleTxtG"/>
              <w:spacing w:before="20" w:after="20" w:line="240" w:lineRule="auto"/>
              <w:ind w:left="0" w:right="0"/>
              <w:jc w:val="left"/>
              <w:rPr>
                <w:b/>
                <w:bCs/>
                <w:sz w:val="16"/>
                <w:szCs w:val="16"/>
              </w:rPr>
            </w:pPr>
          </w:p>
        </w:tc>
        <w:tc>
          <w:tcPr>
            <w:tcW w:w="2127" w:type="dxa"/>
          </w:tcPr>
          <w:p w14:paraId="51EEFF64" w14:textId="77777777" w:rsidR="003D2F02" w:rsidRPr="0072637D" w:rsidRDefault="003D2F02" w:rsidP="004853DB">
            <w:pPr>
              <w:pStyle w:val="SingleTxtG"/>
              <w:spacing w:before="20" w:after="20" w:line="240" w:lineRule="auto"/>
              <w:ind w:left="0" w:right="0"/>
              <w:jc w:val="left"/>
              <w:rPr>
                <w:sz w:val="18"/>
                <w:szCs w:val="18"/>
              </w:rPr>
            </w:pPr>
            <w:r w:rsidRPr="0072637D">
              <w:rPr>
                <w:sz w:val="18"/>
                <w:szCs w:val="18"/>
              </w:rPr>
              <w:t xml:space="preserve">Acute toxicity, dermal </w:t>
            </w:r>
            <w:r w:rsidRPr="0072637D">
              <w:rPr>
                <w:sz w:val="18"/>
                <w:szCs w:val="18"/>
              </w:rPr>
              <w:br/>
              <w:t>(chapter 3.1)</w:t>
            </w:r>
          </w:p>
        </w:tc>
        <w:tc>
          <w:tcPr>
            <w:tcW w:w="1134" w:type="dxa"/>
          </w:tcPr>
          <w:p w14:paraId="58C8823B" w14:textId="77777777" w:rsidR="003D2F02" w:rsidRPr="0072637D" w:rsidRDefault="003D2F02" w:rsidP="004853DB">
            <w:pPr>
              <w:pStyle w:val="SingleTxtG"/>
              <w:spacing w:before="20" w:after="20" w:line="240" w:lineRule="auto"/>
              <w:ind w:left="0" w:right="5"/>
              <w:jc w:val="center"/>
              <w:rPr>
                <w:sz w:val="18"/>
                <w:szCs w:val="18"/>
              </w:rPr>
            </w:pPr>
            <w:r w:rsidRPr="0072637D">
              <w:rPr>
                <w:sz w:val="18"/>
                <w:szCs w:val="18"/>
              </w:rPr>
              <w:t>4</w:t>
            </w:r>
          </w:p>
        </w:tc>
        <w:tc>
          <w:tcPr>
            <w:tcW w:w="1842" w:type="dxa"/>
            <w:vMerge/>
          </w:tcPr>
          <w:p w14:paraId="1F3908A6" w14:textId="77777777" w:rsidR="003D2F02" w:rsidRPr="00AC2DAB" w:rsidRDefault="003D2F02" w:rsidP="004853DB">
            <w:pPr>
              <w:keepLines/>
              <w:tabs>
                <w:tab w:val="left" w:pos="178"/>
              </w:tabs>
              <w:spacing w:before="20" w:after="20" w:line="240" w:lineRule="auto"/>
              <w:ind w:left="40"/>
              <w:rPr>
                <w:rStyle w:val="StyleItalic"/>
                <w:rFonts w:eastAsia="SimSun" w:cstheme="minorBidi"/>
                <w:b/>
                <w:bCs/>
                <w:color w:val="0070C0"/>
                <w:sz w:val="16"/>
                <w:szCs w:val="16"/>
                <w:lang w:val="en-GB" w:eastAsia="zh-CN"/>
              </w:rPr>
            </w:pPr>
          </w:p>
        </w:tc>
      </w:tr>
      <w:tr w:rsidR="003D2F02" w:rsidRPr="00656AE8" w14:paraId="4336DE01" w14:textId="77777777" w:rsidTr="00165D2E">
        <w:tc>
          <w:tcPr>
            <w:tcW w:w="562" w:type="dxa"/>
            <w:vMerge/>
            <w:tcBorders>
              <w:right w:val="single" w:sz="4" w:space="0" w:color="auto"/>
            </w:tcBorders>
          </w:tcPr>
          <w:p w14:paraId="224419FA" w14:textId="77777777" w:rsidR="003D2F02" w:rsidRPr="00AC2DAB" w:rsidRDefault="003D2F02" w:rsidP="004853DB">
            <w:pPr>
              <w:pStyle w:val="SingleTxtG"/>
              <w:spacing w:before="20" w:after="20" w:line="240" w:lineRule="auto"/>
              <w:ind w:left="0"/>
              <w:rPr>
                <w:sz w:val="16"/>
                <w:szCs w:val="16"/>
              </w:rPr>
            </w:pPr>
          </w:p>
        </w:tc>
        <w:tc>
          <w:tcPr>
            <w:tcW w:w="1701" w:type="dxa"/>
            <w:vMerge/>
            <w:tcBorders>
              <w:left w:val="single" w:sz="4" w:space="0" w:color="auto"/>
            </w:tcBorders>
          </w:tcPr>
          <w:p w14:paraId="29A55374" w14:textId="77777777" w:rsidR="003D2F02" w:rsidRPr="00AC2DAB" w:rsidRDefault="003D2F02" w:rsidP="004853DB">
            <w:pPr>
              <w:pStyle w:val="SingleTxtG"/>
              <w:spacing w:before="20" w:after="20" w:line="240" w:lineRule="auto"/>
              <w:ind w:left="0"/>
              <w:rPr>
                <w:sz w:val="16"/>
                <w:szCs w:val="16"/>
              </w:rPr>
            </w:pPr>
          </w:p>
        </w:tc>
        <w:tc>
          <w:tcPr>
            <w:tcW w:w="2127" w:type="dxa"/>
          </w:tcPr>
          <w:p w14:paraId="467F557E" w14:textId="77777777" w:rsidR="003D2F02" w:rsidRPr="0072637D" w:rsidRDefault="003D2F02" w:rsidP="004853DB">
            <w:pPr>
              <w:pStyle w:val="SingleTxtG"/>
              <w:spacing w:before="20" w:after="20" w:line="240" w:lineRule="auto"/>
              <w:ind w:left="0" w:right="142"/>
              <w:jc w:val="left"/>
              <w:rPr>
                <w:sz w:val="18"/>
                <w:szCs w:val="18"/>
              </w:rPr>
            </w:pPr>
            <w:r w:rsidRPr="0072637D">
              <w:rPr>
                <w:sz w:val="18"/>
                <w:szCs w:val="18"/>
              </w:rPr>
              <w:t>Acute toxicity, inhalation (</w:t>
            </w:r>
            <w:r w:rsidRPr="0072637D">
              <w:rPr>
                <w:rFonts w:eastAsia="Times New Roman"/>
                <w:sz w:val="18"/>
                <w:szCs w:val="18"/>
                <w:lang w:val="en-GB"/>
              </w:rPr>
              <w:t>chapter</w:t>
            </w:r>
            <w:r w:rsidRPr="0072637D">
              <w:rPr>
                <w:sz w:val="18"/>
                <w:szCs w:val="18"/>
              </w:rPr>
              <w:t xml:space="preserve"> 3.1)</w:t>
            </w:r>
          </w:p>
        </w:tc>
        <w:tc>
          <w:tcPr>
            <w:tcW w:w="1134" w:type="dxa"/>
          </w:tcPr>
          <w:p w14:paraId="1DFFA023" w14:textId="77777777" w:rsidR="003D2F02" w:rsidRPr="0072637D" w:rsidRDefault="003D2F02" w:rsidP="004853DB">
            <w:pPr>
              <w:pStyle w:val="SingleTxtG"/>
              <w:spacing w:before="20" w:after="20" w:line="240" w:lineRule="auto"/>
              <w:ind w:left="0" w:right="5"/>
              <w:jc w:val="center"/>
              <w:rPr>
                <w:sz w:val="18"/>
                <w:szCs w:val="18"/>
              </w:rPr>
            </w:pPr>
            <w:r w:rsidRPr="0072637D">
              <w:rPr>
                <w:sz w:val="18"/>
                <w:szCs w:val="18"/>
              </w:rPr>
              <w:t>4</w:t>
            </w:r>
          </w:p>
        </w:tc>
        <w:tc>
          <w:tcPr>
            <w:tcW w:w="1842" w:type="dxa"/>
            <w:vMerge/>
          </w:tcPr>
          <w:p w14:paraId="72AF1EA0" w14:textId="77777777" w:rsidR="003D2F02" w:rsidRPr="00AC2DAB" w:rsidRDefault="003D2F02" w:rsidP="004853DB">
            <w:pPr>
              <w:pStyle w:val="SingleTxtG"/>
              <w:spacing w:before="20" w:after="20" w:line="240" w:lineRule="auto"/>
              <w:ind w:left="0"/>
              <w:rPr>
                <w:sz w:val="16"/>
                <w:szCs w:val="16"/>
              </w:rPr>
            </w:pPr>
          </w:p>
        </w:tc>
      </w:tr>
      <w:tr w:rsidR="003D2F02" w:rsidRPr="00656AE8" w14:paraId="6693EBA9" w14:textId="77777777" w:rsidTr="00165D2E">
        <w:tc>
          <w:tcPr>
            <w:tcW w:w="562" w:type="dxa"/>
            <w:vMerge/>
            <w:tcBorders>
              <w:right w:val="single" w:sz="4" w:space="0" w:color="auto"/>
            </w:tcBorders>
          </w:tcPr>
          <w:p w14:paraId="2AEFAC33" w14:textId="77777777" w:rsidR="003D2F02" w:rsidRPr="00AC2DAB" w:rsidRDefault="003D2F02" w:rsidP="004853DB">
            <w:pPr>
              <w:pStyle w:val="SingleTxtG"/>
              <w:spacing w:before="20" w:after="20" w:line="240" w:lineRule="auto"/>
              <w:ind w:left="0"/>
              <w:rPr>
                <w:sz w:val="16"/>
                <w:szCs w:val="16"/>
              </w:rPr>
            </w:pPr>
          </w:p>
        </w:tc>
        <w:tc>
          <w:tcPr>
            <w:tcW w:w="1701" w:type="dxa"/>
            <w:vMerge/>
            <w:tcBorders>
              <w:left w:val="single" w:sz="4" w:space="0" w:color="auto"/>
            </w:tcBorders>
          </w:tcPr>
          <w:p w14:paraId="47ADE037" w14:textId="77777777" w:rsidR="003D2F02" w:rsidRPr="00AC2DAB" w:rsidRDefault="003D2F02" w:rsidP="004853DB">
            <w:pPr>
              <w:pStyle w:val="SingleTxtG"/>
              <w:spacing w:before="20" w:after="20" w:line="240" w:lineRule="auto"/>
              <w:ind w:left="0"/>
              <w:rPr>
                <w:sz w:val="16"/>
                <w:szCs w:val="16"/>
              </w:rPr>
            </w:pPr>
          </w:p>
        </w:tc>
        <w:tc>
          <w:tcPr>
            <w:tcW w:w="2127" w:type="dxa"/>
          </w:tcPr>
          <w:p w14:paraId="747F86F4" w14:textId="251CEB2F" w:rsidR="003D2F02" w:rsidRPr="0072637D" w:rsidRDefault="003D2F02" w:rsidP="004853DB">
            <w:pPr>
              <w:pStyle w:val="SingleTxtG"/>
              <w:spacing w:before="20" w:after="20" w:line="240" w:lineRule="auto"/>
              <w:ind w:left="0" w:right="142"/>
              <w:jc w:val="left"/>
              <w:rPr>
                <w:sz w:val="18"/>
                <w:szCs w:val="18"/>
              </w:rPr>
            </w:pPr>
            <w:r w:rsidRPr="0072637D">
              <w:rPr>
                <w:sz w:val="18"/>
                <w:szCs w:val="18"/>
              </w:rPr>
              <w:t xml:space="preserve">Skin corrosion </w:t>
            </w:r>
            <w:r w:rsidR="00165D2E">
              <w:rPr>
                <w:sz w:val="18"/>
                <w:szCs w:val="18"/>
              </w:rPr>
              <w:br/>
            </w:r>
            <w:r w:rsidRPr="0072637D">
              <w:rPr>
                <w:sz w:val="18"/>
                <w:szCs w:val="18"/>
              </w:rPr>
              <w:t>(chapter 3.2)</w:t>
            </w:r>
          </w:p>
        </w:tc>
        <w:tc>
          <w:tcPr>
            <w:tcW w:w="1134" w:type="dxa"/>
          </w:tcPr>
          <w:p w14:paraId="5B692AD6" w14:textId="77777777" w:rsidR="003D2F02" w:rsidRPr="0072637D" w:rsidRDefault="003D2F02" w:rsidP="004853DB">
            <w:pPr>
              <w:pStyle w:val="SingleTxtG"/>
              <w:spacing w:before="20" w:after="20" w:line="240" w:lineRule="auto"/>
              <w:ind w:left="0" w:right="5"/>
              <w:jc w:val="center"/>
              <w:rPr>
                <w:sz w:val="18"/>
                <w:szCs w:val="18"/>
              </w:rPr>
            </w:pPr>
            <w:r w:rsidRPr="0072637D">
              <w:rPr>
                <w:sz w:val="18"/>
                <w:szCs w:val="18"/>
              </w:rPr>
              <w:t>1, 1A, 1B, 1C</w:t>
            </w:r>
          </w:p>
        </w:tc>
        <w:tc>
          <w:tcPr>
            <w:tcW w:w="1842" w:type="dxa"/>
            <w:vMerge/>
          </w:tcPr>
          <w:p w14:paraId="6C9D38AB" w14:textId="77777777" w:rsidR="003D2F02" w:rsidRPr="00AC2DAB" w:rsidRDefault="003D2F02" w:rsidP="004853DB">
            <w:pPr>
              <w:pStyle w:val="SingleTxtG"/>
              <w:spacing w:before="20" w:after="20" w:line="240" w:lineRule="auto"/>
              <w:ind w:left="0"/>
              <w:rPr>
                <w:sz w:val="16"/>
                <w:szCs w:val="16"/>
              </w:rPr>
            </w:pPr>
          </w:p>
        </w:tc>
      </w:tr>
      <w:tr w:rsidR="003D2F02" w:rsidRPr="00656AE8" w14:paraId="6142640F" w14:textId="77777777" w:rsidTr="00165D2E">
        <w:tc>
          <w:tcPr>
            <w:tcW w:w="562" w:type="dxa"/>
            <w:vMerge/>
            <w:tcBorders>
              <w:right w:val="single" w:sz="4" w:space="0" w:color="auto"/>
            </w:tcBorders>
          </w:tcPr>
          <w:p w14:paraId="53C48FD4" w14:textId="77777777" w:rsidR="003D2F02" w:rsidRPr="00AC2DAB" w:rsidRDefault="003D2F02" w:rsidP="004853DB">
            <w:pPr>
              <w:pStyle w:val="SingleTxtG"/>
              <w:spacing w:before="20" w:after="20" w:line="240" w:lineRule="auto"/>
              <w:ind w:left="0"/>
              <w:rPr>
                <w:sz w:val="16"/>
                <w:szCs w:val="16"/>
              </w:rPr>
            </w:pPr>
          </w:p>
        </w:tc>
        <w:tc>
          <w:tcPr>
            <w:tcW w:w="1701" w:type="dxa"/>
            <w:vMerge/>
            <w:tcBorders>
              <w:left w:val="single" w:sz="4" w:space="0" w:color="auto"/>
            </w:tcBorders>
          </w:tcPr>
          <w:p w14:paraId="36CEA543" w14:textId="77777777" w:rsidR="003D2F02" w:rsidRPr="00AC2DAB" w:rsidRDefault="003D2F02" w:rsidP="004853DB">
            <w:pPr>
              <w:pStyle w:val="SingleTxtG"/>
              <w:spacing w:before="20" w:after="20" w:line="240" w:lineRule="auto"/>
              <w:ind w:left="0"/>
              <w:rPr>
                <w:sz w:val="16"/>
                <w:szCs w:val="16"/>
              </w:rPr>
            </w:pPr>
          </w:p>
        </w:tc>
        <w:tc>
          <w:tcPr>
            <w:tcW w:w="2127" w:type="dxa"/>
          </w:tcPr>
          <w:p w14:paraId="30A6CEBC" w14:textId="77777777" w:rsidR="003D2F02" w:rsidRPr="0072637D" w:rsidRDefault="003D2F02" w:rsidP="004853DB">
            <w:pPr>
              <w:pStyle w:val="SingleTxtG"/>
              <w:spacing w:before="20" w:after="20" w:line="240" w:lineRule="auto"/>
              <w:ind w:left="0" w:right="142"/>
              <w:jc w:val="left"/>
              <w:rPr>
                <w:sz w:val="18"/>
                <w:szCs w:val="18"/>
              </w:rPr>
            </w:pPr>
            <w:r w:rsidRPr="0072637D">
              <w:rPr>
                <w:sz w:val="18"/>
                <w:szCs w:val="18"/>
              </w:rPr>
              <w:t>Skin irritation (chapter 3.2)</w:t>
            </w:r>
          </w:p>
        </w:tc>
        <w:tc>
          <w:tcPr>
            <w:tcW w:w="1134" w:type="dxa"/>
          </w:tcPr>
          <w:p w14:paraId="0A55E282" w14:textId="77777777" w:rsidR="003D2F02" w:rsidRPr="0072637D" w:rsidRDefault="003D2F02" w:rsidP="004853DB">
            <w:pPr>
              <w:pStyle w:val="SingleTxtG"/>
              <w:spacing w:before="20" w:after="20" w:line="240" w:lineRule="auto"/>
              <w:ind w:left="0" w:right="5"/>
              <w:jc w:val="center"/>
              <w:rPr>
                <w:sz w:val="18"/>
                <w:szCs w:val="18"/>
              </w:rPr>
            </w:pPr>
            <w:r w:rsidRPr="0072637D">
              <w:rPr>
                <w:sz w:val="18"/>
                <w:szCs w:val="18"/>
              </w:rPr>
              <w:t>2</w:t>
            </w:r>
          </w:p>
        </w:tc>
        <w:tc>
          <w:tcPr>
            <w:tcW w:w="1842" w:type="dxa"/>
            <w:vMerge/>
          </w:tcPr>
          <w:p w14:paraId="1BDF5166" w14:textId="77777777" w:rsidR="003D2F02" w:rsidRPr="00AC2DAB" w:rsidRDefault="003D2F02" w:rsidP="004853DB">
            <w:pPr>
              <w:pStyle w:val="SingleTxtG"/>
              <w:spacing w:before="20" w:after="20" w:line="240" w:lineRule="auto"/>
              <w:ind w:left="0"/>
              <w:rPr>
                <w:sz w:val="16"/>
                <w:szCs w:val="16"/>
              </w:rPr>
            </w:pPr>
          </w:p>
        </w:tc>
      </w:tr>
      <w:tr w:rsidR="003D2F02" w:rsidRPr="00656AE8" w14:paraId="3BCB0B41" w14:textId="77777777" w:rsidTr="00165D2E">
        <w:tc>
          <w:tcPr>
            <w:tcW w:w="562" w:type="dxa"/>
            <w:vMerge/>
            <w:tcBorders>
              <w:right w:val="single" w:sz="4" w:space="0" w:color="auto"/>
            </w:tcBorders>
          </w:tcPr>
          <w:p w14:paraId="4B058185" w14:textId="77777777" w:rsidR="003D2F02" w:rsidRPr="00AC2DAB" w:rsidRDefault="003D2F02" w:rsidP="004853DB">
            <w:pPr>
              <w:pStyle w:val="SingleTxtG"/>
              <w:spacing w:before="20" w:after="20" w:line="240" w:lineRule="auto"/>
              <w:ind w:left="0"/>
              <w:rPr>
                <w:sz w:val="16"/>
                <w:szCs w:val="16"/>
              </w:rPr>
            </w:pPr>
          </w:p>
        </w:tc>
        <w:tc>
          <w:tcPr>
            <w:tcW w:w="1701" w:type="dxa"/>
            <w:vMerge/>
            <w:tcBorders>
              <w:left w:val="single" w:sz="4" w:space="0" w:color="auto"/>
            </w:tcBorders>
          </w:tcPr>
          <w:p w14:paraId="2D469EA3" w14:textId="77777777" w:rsidR="003D2F02" w:rsidRPr="00AC2DAB" w:rsidRDefault="003D2F02" w:rsidP="004853DB">
            <w:pPr>
              <w:pStyle w:val="SingleTxtG"/>
              <w:spacing w:before="20" w:after="20" w:line="240" w:lineRule="auto"/>
              <w:ind w:left="0"/>
              <w:rPr>
                <w:sz w:val="16"/>
                <w:szCs w:val="16"/>
              </w:rPr>
            </w:pPr>
          </w:p>
        </w:tc>
        <w:tc>
          <w:tcPr>
            <w:tcW w:w="2127" w:type="dxa"/>
          </w:tcPr>
          <w:p w14:paraId="0940AC75" w14:textId="77777777" w:rsidR="003D2F02" w:rsidRPr="0072637D" w:rsidRDefault="003D2F02" w:rsidP="004853DB">
            <w:pPr>
              <w:pStyle w:val="SingleTxtG"/>
              <w:spacing w:before="20" w:after="20" w:line="240" w:lineRule="auto"/>
              <w:ind w:left="0" w:right="142"/>
              <w:jc w:val="left"/>
              <w:rPr>
                <w:sz w:val="18"/>
                <w:szCs w:val="18"/>
              </w:rPr>
            </w:pPr>
            <w:r w:rsidRPr="0072637D">
              <w:rPr>
                <w:sz w:val="18"/>
                <w:szCs w:val="18"/>
              </w:rPr>
              <w:t xml:space="preserve">Skin sensitization </w:t>
            </w:r>
            <w:r w:rsidRPr="0072637D">
              <w:rPr>
                <w:sz w:val="18"/>
                <w:szCs w:val="18"/>
              </w:rPr>
              <w:br/>
              <w:t>(chapter 3.4)</w:t>
            </w:r>
          </w:p>
        </w:tc>
        <w:tc>
          <w:tcPr>
            <w:tcW w:w="1134" w:type="dxa"/>
          </w:tcPr>
          <w:p w14:paraId="1124C4CC" w14:textId="77777777" w:rsidR="003D2F02" w:rsidRPr="0072637D" w:rsidRDefault="003D2F02" w:rsidP="004853DB">
            <w:pPr>
              <w:pStyle w:val="SingleTxtG"/>
              <w:spacing w:before="20" w:after="20" w:line="240" w:lineRule="auto"/>
              <w:ind w:left="0" w:right="5"/>
              <w:jc w:val="center"/>
              <w:rPr>
                <w:sz w:val="18"/>
                <w:szCs w:val="18"/>
              </w:rPr>
            </w:pPr>
            <w:r w:rsidRPr="0072637D">
              <w:rPr>
                <w:sz w:val="18"/>
                <w:szCs w:val="18"/>
              </w:rPr>
              <w:t>1, 1A, 1B</w:t>
            </w:r>
          </w:p>
        </w:tc>
        <w:tc>
          <w:tcPr>
            <w:tcW w:w="1842" w:type="dxa"/>
            <w:vMerge/>
          </w:tcPr>
          <w:p w14:paraId="4A9E73BE" w14:textId="77777777" w:rsidR="003D2F02" w:rsidRPr="00AC2DAB" w:rsidRDefault="003D2F02" w:rsidP="004853DB">
            <w:pPr>
              <w:pStyle w:val="SingleTxtG"/>
              <w:spacing w:before="20" w:after="20" w:line="240" w:lineRule="auto"/>
              <w:ind w:left="0"/>
              <w:rPr>
                <w:sz w:val="16"/>
                <w:szCs w:val="16"/>
              </w:rPr>
            </w:pPr>
          </w:p>
        </w:tc>
      </w:tr>
      <w:tr w:rsidR="003D2F02" w:rsidRPr="00656AE8" w14:paraId="59476130" w14:textId="77777777" w:rsidTr="00165D2E">
        <w:tc>
          <w:tcPr>
            <w:tcW w:w="562" w:type="dxa"/>
            <w:vMerge/>
            <w:tcBorders>
              <w:right w:val="single" w:sz="4" w:space="0" w:color="auto"/>
            </w:tcBorders>
          </w:tcPr>
          <w:p w14:paraId="777B7E2C" w14:textId="77777777" w:rsidR="003D2F02" w:rsidRPr="00AC2DAB" w:rsidRDefault="003D2F02" w:rsidP="004853DB">
            <w:pPr>
              <w:pStyle w:val="SingleTxtG"/>
              <w:spacing w:before="20" w:after="20" w:line="240" w:lineRule="auto"/>
              <w:ind w:left="0"/>
              <w:rPr>
                <w:sz w:val="16"/>
                <w:szCs w:val="16"/>
              </w:rPr>
            </w:pPr>
          </w:p>
        </w:tc>
        <w:tc>
          <w:tcPr>
            <w:tcW w:w="1701" w:type="dxa"/>
            <w:vMerge/>
            <w:tcBorders>
              <w:left w:val="single" w:sz="4" w:space="0" w:color="auto"/>
            </w:tcBorders>
          </w:tcPr>
          <w:p w14:paraId="57A45BB7" w14:textId="77777777" w:rsidR="003D2F02" w:rsidRPr="00AC2DAB" w:rsidRDefault="003D2F02" w:rsidP="004853DB">
            <w:pPr>
              <w:pStyle w:val="SingleTxtG"/>
              <w:spacing w:before="20" w:after="20" w:line="240" w:lineRule="auto"/>
              <w:ind w:left="0"/>
              <w:rPr>
                <w:sz w:val="16"/>
                <w:szCs w:val="16"/>
              </w:rPr>
            </w:pPr>
          </w:p>
        </w:tc>
        <w:tc>
          <w:tcPr>
            <w:tcW w:w="2127" w:type="dxa"/>
          </w:tcPr>
          <w:p w14:paraId="575F4D87" w14:textId="77777777" w:rsidR="003D2F02" w:rsidRPr="0072637D" w:rsidRDefault="003D2F02" w:rsidP="004853DB">
            <w:pPr>
              <w:pStyle w:val="SingleTxtG"/>
              <w:spacing w:before="20" w:after="20" w:line="240" w:lineRule="auto"/>
              <w:ind w:left="0" w:right="142"/>
              <w:jc w:val="left"/>
              <w:rPr>
                <w:sz w:val="18"/>
                <w:szCs w:val="18"/>
              </w:rPr>
            </w:pPr>
            <w:r w:rsidRPr="0072637D">
              <w:rPr>
                <w:sz w:val="18"/>
                <w:szCs w:val="18"/>
              </w:rPr>
              <w:t>Specific target organ toxicity, single exposure (chapter 3.8)</w:t>
            </w:r>
          </w:p>
        </w:tc>
        <w:tc>
          <w:tcPr>
            <w:tcW w:w="1134" w:type="dxa"/>
          </w:tcPr>
          <w:p w14:paraId="7E2E09E8" w14:textId="77777777" w:rsidR="003D2F02" w:rsidRPr="0072637D" w:rsidRDefault="003D2F02" w:rsidP="004853DB">
            <w:pPr>
              <w:pStyle w:val="SingleTxtG"/>
              <w:spacing w:before="20" w:after="20" w:line="240" w:lineRule="auto"/>
              <w:ind w:left="0" w:right="5"/>
              <w:jc w:val="center"/>
              <w:rPr>
                <w:sz w:val="18"/>
                <w:szCs w:val="18"/>
              </w:rPr>
            </w:pPr>
            <w:r w:rsidRPr="0072637D">
              <w:rPr>
                <w:sz w:val="18"/>
                <w:szCs w:val="18"/>
              </w:rPr>
              <w:t>1</w:t>
            </w:r>
          </w:p>
        </w:tc>
        <w:tc>
          <w:tcPr>
            <w:tcW w:w="1842" w:type="dxa"/>
            <w:vMerge/>
          </w:tcPr>
          <w:p w14:paraId="473F0FA1" w14:textId="77777777" w:rsidR="003D2F02" w:rsidRPr="00AC2DAB" w:rsidRDefault="003D2F02" w:rsidP="004853DB">
            <w:pPr>
              <w:pStyle w:val="SingleTxtG"/>
              <w:spacing w:before="20" w:after="20" w:line="240" w:lineRule="auto"/>
              <w:ind w:left="0"/>
              <w:rPr>
                <w:sz w:val="16"/>
                <w:szCs w:val="16"/>
              </w:rPr>
            </w:pPr>
          </w:p>
        </w:tc>
      </w:tr>
    </w:tbl>
    <w:p w14:paraId="22685624" w14:textId="7FECF74B" w:rsidR="003D2F02" w:rsidRPr="00E41954" w:rsidRDefault="003D2F02" w:rsidP="003D2F02">
      <w:pPr>
        <w:pStyle w:val="H23G"/>
        <w:rPr>
          <w:b w:val="0"/>
        </w:rPr>
      </w:pPr>
      <w:r>
        <w:tab/>
      </w:r>
      <w:r>
        <w:tab/>
      </w:r>
      <w:r>
        <w:tab/>
      </w:r>
      <w:r w:rsidRPr="00E41954">
        <w:t xml:space="preserve">P340, column </w:t>
      </w:r>
      <w:r w:rsidR="00A960A9">
        <w:t>(</w:t>
      </w:r>
      <w:r w:rsidRPr="00E41954">
        <w:t>4</w:t>
      </w:r>
      <w:r w:rsidR="00A960A9">
        <w:t>)</w:t>
      </w:r>
    </w:p>
    <w:p w14:paraId="17BD658B" w14:textId="77777777" w:rsidR="003D2F02" w:rsidRDefault="003D2F02" w:rsidP="003D2F02">
      <w:pPr>
        <w:pStyle w:val="SingleTxtG"/>
      </w:pPr>
      <w:r>
        <w:t>48.</w:t>
      </w:r>
      <w:r>
        <w:tab/>
        <w:t>For “A</w:t>
      </w:r>
      <w:r w:rsidRPr="005B1C46">
        <w:t>cute toxicity</w:t>
      </w:r>
      <w:r>
        <w:t>,</w:t>
      </w:r>
      <w:r w:rsidRPr="005B1C46">
        <w:t xml:space="preserve"> </w:t>
      </w:r>
      <w:r>
        <w:t xml:space="preserve">inhalation (chapter 3.1)”, insert “, 5” </w:t>
      </w:r>
      <w:r w:rsidRPr="005B1C46">
        <w:t>after “</w:t>
      </w:r>
      <w:r>
        <w:t>1, 2, 3, 4</w:t>
      </w:r>
      <w:r w:rsidRPr="005B1C46">
        <w:t>”.</w:t>
      </w:r>
    </w:p>
    <w:p w14:paraId="57ED3D64" w14:textId="452DD8EC" w:rsidR="003D2F02" w:rsidRPr="00E41954" w:rsidRDefault="003D2F02" w:rsidP="003D2F02">
      <w:pPr>
        <w:pStyle w:val="H23G"/>
        <w:ind w:hanging="283"/>
        <w:rPr>
          <w:b w:val="0"/>
        </w:rPr>
      </w:pPr>
      <w:r>
        <w:tab/>
      </w:r>
      <w:r w:rsidRPr="00E41954">
        <w:t>P3</w:t>
      </w:r>
      <w:r>
        <w:t>52</w:t>
      </w:r>
      <w:r w:rsidRPr="00E41954">
        <w:t xml:space="preserve">, column </w:t>
      </w:r>
      <w:r w:rsidR="00A960A9">
        <w:t>(</w:t>
      </w:r>
      <w:r w:rsidRPr="00E41954">
        <w:t>4</w:t>
      </w:r>
      <w:r w:rsidR="00A960A9">
        <w:t>)</w:t>
      </w:r>
    </w:p>
    <w:p w14:paraId="43591280" w14:textId="77777777" w:rsidR="003D2F02" w:rsidRDefault="003D2F02" w:rsidP="003D2F02">
      <w:pPr>
        <w:pStyle w:val="SingleTxtG"/>
      </w:pPr>
      <w:r>
        <w:t>49.</w:t>
      </w:r>
      <w:r>
        <w:tab/>
        <w:t>For “A</w:t>
      </w:r>
      <w:r w:rsidRPr="005B1C46">
        <w:t>cute toxicity</w:t>
      </w:r>
      <w:r>
        <w:t>,</w:t>
      </w:r>
      <w:r w:rsidRPr="005B1C46">
        <w:t xml:space="preserve"> </w:t>
      </w:r>
      <w:r>
        <w:t xml:space="preserve">dermal (chapter 3.1)”, insert “, 5” </w:t>
      </w:r>
      <w:r w:rsidRPr="005B1C46">
        <w:t>after “</w:t>
      </w:r>
      <w:r>
        <w:t>1, 2, 3, 4</w:t>
      </w:r>
      <w:r w:rsidRPr="005B1C46">
        <w:t>”.</w:t>
      </w:r>
    </w:p>
    <w:p w14:paraId="4B2784ED" w14:textId="5DDE22E7" w:rsidR="003D2F02" w:rsidRPr="00E01DF8" w:rsidRDefault="003D2F02" w:rsidP="003D2F02">
      <w:pPr>
        <w:pStyle w:val="H23G"/>
      </w:pPr>
      <w:r>
        <w:lastRenderedPageBreak/>
        <w:tab/>
      </w:r>
      <w:r>
        <w:tab/>
      </w:r>
      <w:r w:rsidRPr="00E01DF8">
        <w:t>P30</w:t>
      </w:r>
      <w:r>
        <w:t>2</w:t>
      </w:r>
      <w:r w:rsidRPr="00E01DF8">
        <w:t>+P317</w:t>
      </w:r>
      <w:r>
        <w:t xml:space="preserve">, column </w:t>
      </w:r>
      <w:r w:rsidR="00A960A9">
        <w:t>(</w:t>
      </w:r>
      <w:r>
        <w:t>2</w:t>
      </w:r>
      <w:r w:rsidR="00A960A9">
        <w:t>)</w:t>
      </w:r>
    </w:p>
    <w:p w14:paraId="46235C6D" w14:textId="2EF3A899" w:rsidR="003D2F02" w:rsidRDefault="003D2F02" w:rsidP="003D2F02">
      <w:pPr>
        <w:pStyle w:val="SingleTxtG"/>
        <w:ind w:left="1701" w:hanging="567"/>
      </w:pPr>
      <w:r>
        <w:t>50.</w:t>
      </w:r>
      <w:r>
        <w:tab/>
        <w:t>Replace current text with “</w:t>
      </w:r>
      <w:r w:rsidRPr="003D6A09">
        <w:rPr>
          <w:i/>
          <w:iCs/>
        </w:rPr>
        <w:t>[Deleted]</w:t>
      </w:r>
      <w:r>
        <w:t xml:space="preserve">” and delete the text under columns </w:t>
      </w:r>
      <w:r w:rsidR="0086794E">
        <w:t>(</w:t>
      </w:r>
      <w:r>
        <w:t>3</w:t>
      </w:r>
      <w:r w:rsidR="0086794E">
        <w:t>)</w:t>
      </w:r>
      <w:r>
        <w:t xml:space="preserve"> and </w:t>
      </w:r>
      <w:r w:rsidR="0086794E">
        <w:t>(</w:t>
      </w:r>
      <w:r>
        <w:t>4</w:t>
      </w:r>
      <w:r w:rsidR="0086794E">
        <w:t>)</w:t>
      </w:r>
      <w:r>
        <w:t xml:space="preserve">. </w:t>
      </w:r>
    </w:p>
    <w:p w14:paraId="559DA3C1" w14:textId="4717F783" w:rsidR="003D2F02" w:rsidRPr="00E01DF8" w:rsidRDefault="003D2F02" w:rsidP="003D2F02">
      <w:pPr>
        <w:pStyle w:val="H23G"/>
      </w:pPr>
      <w:r>
        <w:tab/>
      </w:r>
      <w:r>
        <w:tab/>
      </w:r>
      <w:r w:rsidRPr="00E01DF8">
        <w:t>P30</w:t>
      </w:r>
      <w:r>
        <w:t>2</w:t>
      </w:r>
      <w:r w:rsidRPr="00E01DF8">
        <w:t>+P3</w:t>
      </w:r>
      <w:r>
        <w:t>52</w:t>
      </w:r>
      <w:r w:rsidRPr="00E41954">
        <w:t xml:space="preserve">, column </w:t>
      </w:r>
      <w:r w:rsidR="00A960A9">
        <w:t>(</w:t>
      </w:r>
      <w:r w:rsidRPr="00E41954">
        <w:t>4</w:t>
      </w:r>
      <w:r w:rsidR="00A960A9">
        <w:t>)</w:t>
      </w:r>
    </w:p>
    <w:p w14:paraId="1B9FFB02" w14:textId="77777777" w:rsidR="003D2F02" w:rsidRDefault="003D2F02" w:rsidP="003D2F02">
      <w:pPr>
        <w:pStyle w:val="SingleTxtG"/>
        <w:ind w:left="1701" w:hanging="567"/>
      </w:pPr>
      <w:r>
        <w:t>51.</w:t>
      </w:r>
      <w:r>
        <w:tab/>
      </w:r>
      <w:r w:rsidRPr="00766D3F">
        <w:t xml:space="preserve"> </w:t>
      </w:r>
      <w:r>
        <w:t>For “A</w:t>
      </w:r>
      <w:r w:rsidRPr="005B1C46">
        <w:t>cute toxicity</w:t>
      </w:r>
      <w:r>
        <w:t>,</w:t>
      </w:r>
      <w:r w:rsidRPr="005B1C46">
        <w:t xml:space="preserve"> </w:t>
      </w:r>
      <w:r>
        <w:t xml:space="preserve">dermal (chapter 3.1)”, insert “, 5” </w:t>
      </w:r>
      <w:r w:rsidRPr="005B1C46">
        <w:t>after “</w:t>
      </w:r>
      <w:r>
        <w:t>1, 2, 3, 4</w:t>
      </w:r>
      <w:r w:rsidRPr="005B1C46">
        <w:t>”.</w:t>
      </w:r>
    </w:p>
    <w:p w14:paraId="636D31AC" w14:textId="7ABE2AB2" w:rsidR="003D2F02" w:rsidRPr="00E01DF8" w:rsidRDefault="003D2F02" w:rsidP="003D2F02">
      <w:pPr>
        <w:pStyle w:val="H23G"/>
      </w:pPr>
      <w:r>
        <w:tab/>
      </w:r>
      <w:r>
        <w:tab/>
      </w:r>
      <w:r w:rsidRPr="00E01DF8">
        <w:t>P304+P317</w:t>
      </w:r>
      <w:r>
        <w:t xml:space="preserve">, column </w:t>
      </w:r>
      <w:r w:rsidR="00A960A9">
        <w:t>(</w:t>
      </w:r>
      <w:r>
        <w:t>2</w:t>
      </w:r>
      <w:r w:rsidR="00A960A9">
        <w:t>)</w:t>
      </w:r>
    </w:p>
    <w:p w14:paraId="6F178B4B" w14:textId="064F64F7" w:rsidR="003D2F02" w:rsidRDefault="003D2F02" w:rsidP="003D2F02">
      <w:pPr>
        <w:pStyle w:val="SingleTxtG"/>
        <w:ind w:left="1701" w:hanging="567"/>
      </w:pPr>
      <w:r>
        <w:t>52.</w:t>
      </w:r>
      <w:r>
        <w:tab/>
        <w:t>Replace current text with “</w:t>
      </w:r>
      <w:r w:rsidRPr="003D6A09">
        <w:rPr>
          <w:i/>
          <w:iCs/>
        </w:rPr>
        <w:t>[Deleted]</w:t>
      </w:r>
      <w:r>
        <w:t xml:space="preserve">” and delete the text under columns </w:t>
      </w:r>
      <w:r w:rsidR="00216B7C">
        <w:t>(</w:t>
      </w:r>
      <w:r>
        <w:t>3</w:t>
      </w:r>
      <w:r w:rsidR="00216B7C">
        <w:t>)</w:t>
      </w:r>
      <w:r>
        <w:t xml:space="preserve"> and </w:t>
      </w:r>
      <w:r w:rsidR="00216B7C">
        <w:t>(</w:t>
      </w:r>
      <w:r>
        <w:t>4</w:t>
      </w:r>
      <w:r w:rsidR="00216B7C">
        <w:t>)</w:t>
      </w:r>
      <w:r>
        <w:t xml:space="preserve">. </w:t>
      </w:r>
    </w:p>
    <w:p w14:paraId="7547A717" w14:textId="036C15B2" w:rsidR="003D2F02" w:rsidRPr="00E01DF8" w:rsidRDefault="003D2F02" w:rsidP="003D2F02">
      <w:pPr>
        <w:pStyle w:val="H23G"/>
      </w:pPr>
      <w:r>
        <w:tab/>
      </w:r>
      <w:r>
        <w:tab/>
      </w:r>
      <w:r w:rsidRPr="00E01DF8">
        <w:t>P304+P340</w:t>
      </w:r>
      <w:r w:rsidRPr="00E41954">
        <w:t xml:space="preserve">, column </w:t>
      </w:r>
      <w:r w:rsidR="00216B7C">
        <w:t>(</w:t>
      </w:r>
      <w:r w:rsidRPr="00E41954">
        <w:t>4</w:t>
      </w:r>
      <w:r w:rsidR="00216B7C">
        <w:t>)</w:t>
      </w:r>
    </w:p>
    <w:p w14:paraId="5AD71F00" w14:textId="5A980AEE" w:rsidR="003E0432" w:rsidRPr="00417676" w:rsidRDefault="003D2F02" w:rsidP="00636FC8">
      <w:pPr>
        <w:ind w:left="1134"/>
      </w:pPr>
      <w:r w:rsidRPr="00417676">
        <w:t>53.</w:t>
      </w:r>
      <w:r w:rsidRPr="00417676">
        <w:tab/>
        <w:t xml:space="preserve"> For “Acute toxicity, inhalation (chapter 3.1)”, insert “, 5” after “1, 2, 3, 4”.</w:t>
      </w:r>
    </w:p>
    <w:p w14:paraId="3FC5F44A" w14:textId="4D51EBFD" w:rsidR="00A727F9" w:rsidRPr="00636FC8" w:rsidRDefault="00A727F9" w:rsidP="00636FC8">
      <w:pPr>
        <w:spacing w:before="240" w:after="240"/>
        <w:ind w:left="1134"/>
        <w:rPr>
          <w:b/>
          <w:bCs/>
          <w:sz w:val="24"/>
          <w:szCs w:val="24"/>
        </w:rPr>
      </w:pPr>
      <w:r w:rsidRPr="00636FC8">
        <w:rPr>
          <w:b/>
          <w:bCs/>
          <w:sz w:val="24"/>
          <w:szCs w:val="24"/>
        </w:rPr>
        <w:t>Table A3.2.5</w:t>
      </w:r>
    </w:p>
    <w:p w14:paraId="28399300" w14:textId="77777777" w:rsidR="00A727F9" w:rsidRDefault="00A727F9" w:rsidP="00A727F9">
      <w:pPr>
        <w:pStyle w:val="H23G"/>
      </w:pPr>
      <w:r>
        <w:tab/>
      </w:r>
      <w:r>
        <w:tab/>
        <w:t>P501</w:t>
      </w:r>
    </w:p>
    <w:p w14:paraId="43C931DA" w14:textId="77777777" w:rsidR="00A727F9" w:rsidRDefault="00A727F9" w:rsidP="00A727F9">
      <w:pPr>
        <w:pStyle w:val="SingleTxtG"/>
        <w:ind w:right="992"/>
      </w:pPr>
      <w:r>
        <w:t>54.</w:t>
      </w:r>
      <w:r>
        <w:tab/>
        <w:t>In column 4, for “A</w:t>
      </w:r>
      <w:r w:rsidRPr="005B1C46">
        <w:t>cute toxicity</w:t>
      </w:r>
      <w:r>
        <w:t>,</w:t>
      </w:r>
      <w:r w:rsidRPr="005B1C46">
        <w:t xml:space="preserve"> </w:t>
      </w:r>
      <w:r>
        <w:t>inhalation (chapter 3.1)”</w:t>
      </w:r>
      <w:r w:rsidRPr="005B1C46">
        <w:t>,</w:t>
      </w:r>
      <w:r>
        <w:t xml:space="preserve"> </w:t>
      </w:r>
      <w:r w:rsidRPr="005B1C46">
        <w:t>insert</w:t>
      </w:r>
      <w:r>
        <w:t xml:space="preserve"> </w:t>
      </w:r>
      <w:r w:rsidRPr="005B1C46">
        <w:t>“</w:t>
      </w:r>
      <w:r>
        <w:t>, 4</w:t>
      </w:r>
      <w:r w:rsidRPr="005B1C46">
        <w:t>” after: “1, 2</w:t>
      </w:r>
      <w:r>
        <w:t>, 3</w:t>
      </w:r>
      <w:r w:rsidRPr="005B1C46">
        <w:t>”.</w:t>
      </w:r>
    </w:p>
    <w:p w14:paraId="272E451C" w14:textId="77777777" w:rsidR="003D2F02" w:rsidRPr="00E41954" w:rsidRDefault="003D2F02" w:rsidP="0005535D">
      <w:pPr>
        <w:pStyle w:val="H1G"/>
      </w:pPr>
      <w:r>
        <w:tab/>
        <w:t>IV.</w:t>
      </w:r>
      <w:r>
        <w:tab/>
      </w:r>
      <w:r w:rsidRPr="00E41954">
        <w:t xml:space="preserve">Proposed amendments to the matrix tables in annex 3, </w:t>
      </w:r>
      <w:r>
        <w:t>s</w:t>
      </w:r>
      <w:r w:rsidRPr="00E41954">
        <w:t>ection 3</w:t>
      </w:r>
    </w:p>
    <w:p w14:paraId="351DFBBE" w14:textId="77777777" w:rsidR="003D2F02" w:rsidRDefault="003D2F02" w:rsidP="004E6E2F">
      <w:pPr>
        <w:pStyle w:val="H23G"/>
        <w:jc w:val="both"/>
      </w:pPr>
      <w:r w:rsidRPr="00911976">
        <w:tab/>
      </w:r>
      <w:r w:rsidRPr="00911976">
        <w:tab/>
      </w:r>
      <w:r w:rsidRPr="007E6030">
        <w:t>Table for “Acute toxicity, oral</w:t>
      </w:r>
      <w:r w:rsidRPr="007E6030" w:rsidDel="007E6725">
        <w:rPr>
          <w:rStyle w:val="StyleBold"/>
          <w:rFonts w:asciiTheme="majorBidi" w:hAnsiTheme="majorBidi" w:cstheme="majorBidi"/>
          <w:bCs w:val="0"/>
        </w:rPr>
        <w:t xml:space="preserve"> </w:t>
      </w:r>
      <w:r w:rsidRPr="007E6030">
        <w:t>(chapter 3.1)” hazard categories 1, 2, 3</w:t>
      </w:r>
      <w:r w:rsidRPr="00A00142">
        <w:t xml:space="preserve"> </w:t>
      </w:r>
    </w:p>
    <w:p w14:paraId="5A4F872E" w14:textId="77133623" w:rsidR="003D2F02" w:rsidRDefault="00EA0182" w:rsidP="004E6E2F">
      <w:pPr>
        <w:pStyle w:val="SingleTxtG"/>
        <w:ind w:left="1701" w:hanging="567"/>
        <w:rPr>
          <w:rFonts w:asciiTheme="majorBidi" w:hAnsiTheme="majorBidi" w:cstheme="majorBidi"/>
        </w:rPr>
      </w:pPr>
      <w:r>
        <w:rPr>
          <w:rFonts w:asciiTheme="majorBidi" w:hAnsiTheme="majorBidi" w:cstheme="majorBidi"/>
        </w:rPr>
        <w:t>5</w:t>
      </w:r>
      <w:r w:rsidR="006F0CD5">
        <w:rPr>
          <w:rFonts w:asciiTheme="majorBidi" w:hAnsiTheme="majorBidi" w:cstheme="majorBidi"/>
        </w:rPr>
        <w:t>5</w:t>
      </w:r>
      <w:r w:rsidR="003D2F02">
        <w:rPr>
          <w:rFonts w:asciiTheme="majorBidi" w:hAnsiTheme="majorBidi" w:cstheme="majorBidi"/>
        </w:rPr>
        <w:t>.</w:t>
      </w:r>
      <w:r w:rsidR="003D2F02">
        <w:rPr>
          <w:rFonts w:asciiTheme="majorBidi" w:hAnsiTheme="majorBidi" w:cstheme="majorBidi"/>
        </w:rPr>
        <w:tab/>
      </w:r>
      <w:r w:rsidR="003D2F02">
        <w:rPr>
          <w:rFonts w:asciiTheme="majorBidi" w:hAnsiTheme="majorBidi" w:cstheme="majorBidi"/>
          <w:bCs/>
        </w:rPr>
        <w:t>C</w:t>
      </w:r>
      <w:r w:rsidR="003D2F02" w:rsidRPr="00A00142">
        <w:rPr>
          <w:rFonts w:asciiTheme="majorBidi" w:hAnsiTheme="majorBidi" w:cstheme="majorBidi"/>
          <w:bCs/>
        </w:rPr>
        <w:t xml:space="preserve">olumn “Response”, </w:t>
      </w:r>
      <w:r w:rsidR="003D2F02">
        <w:rPr>
          <w:rFonts w:asciiTheme="majorBidi" w:hAnsiTheme="majorBidi" w:cstheme="majorBidi"/>
          <w:bCs/>
        </w:rPr>
        <w:t xml:space="preserve">delete the P321 </w:t>
      </w:r>
      <w:r w:rsidR="003D2F02" w:rsidRPr="00EB1507">
        <w:rPr>
          <w:rFonts w:asciiTheme="majorBidi" w:hAnsiTheme="majorBidi" w:cstheme="majorBidi"/>
          <w:bCs/>
        </w:rPr>
        <w:t>entry</w:t>
      </w:r>
      <w:r w:rsidR="003D2F02">
        <w:rPr>
          <w:rFonts w:asciiTheme="majorBidi" w:hAnsiTheme="majorBidi" w:cstheme="majorBidi"/>
          <w:bCs/>
        </w:rPr>
        <w:t>,</w:t>
      </w:r>
      <w:r w:rsidR="003D2F02" w:rsidRPr="00EB1507">
        <w:rPr>
          <w:rFonts w:asciiTheme="majorBidi" w:hAnsiTheme="majorBidi" w:cstheme="majorBidi"/>
          <w:bCs/>
        </w:rPr>
        <w:t xml:space="preserve"> </w:t>
      </w:r>
      <w:r w:rsidR="003D2F02">
        <w:rPr>
          <w:rFonts w:asciiTheme="majorBidi" w:hAnsiTheme="majorBidi" w:cstheme="majorBidi"/>
          <w:bCs/>
        </w:rPr>
        <w:t>and insert</w:t>
      </w:r>
      <w:r w:rsidR="003D2F02" w:rsidRPr="00EB1507">
        <w:rPr>
          <w:rFonts w:asciiTheme="majorBidi" w:hAnsiTheme="majorBidi" w:cstheme="majorBidi"/>
          <w:bCs/>
        </w:rPr>
        <w:t xml:space="preserve"> </w:t>
      </w:r>
      <w:r w:rsidR="00815545">
        <w:rPr>
          <w:rFonts w:asciiTheme="majorBidi" w:hAnsiTheme="majorBidi" w:cstheme="majorBidi"/>
          <w:bCs/>
        </w:rPr>
        <w:t xml:space="preserve">the </w:t>
      </w:r>
      <w:r w:rsidR="00024E4A">
        <w:rPr>
          <w:rFonts w:asciiTheme="majorBidi" w:hAnsiTheme="majorBidi" w:cstheme="majorBidi"/>
          <w:bCs/>
        </w:rPr>
        <w:t xml:space="preserve">following </w:t>
      </w:r>
      <w:r w:rsidR="003D2F02" w:rsidRPr="00EB1507">
        <w:rPr>
          <w:rFonts w:asciiTheme="majorBidi" w:hAnsiTheme="majorBidi" w:cstheme="majorBidi"/>
          <w:bCs/>
        </w:rPr>
        <w:t>P320 and P322</w:t>
      </w:r>
      <w:r w:rsidR="003D2F02">
        <w:rPr>
          <w:rFonts w:asciiTheme="majorBidi" w:hAnsiTheme="majorBidi" w:cstheme="majorBidi"/>
          <w:bCs/>
        </w:rPr>
        <w:t xml:space="preserve"> entries</w:t>
      </w:r>
      <w:r w:rsidR="003D2F02" w:rsidRPr="00EB1507">
        <w:rPr>
          <w:rFonts w:asciiTheme="majorBidi" w:hAnsiTheme="majorBidi" w:cstheme="majorBidi"/>
          <w:bCs/>
        </w:rPr>
        <w:t xml:space="preserve"> (current entries for</w:t>
      </w:r>
      <w:r w:rsidR="003D2F02">
        <w:rPr>
          <w:rFonts w:asciiTheme="majorBidi" w:hAnsiTheme="majorBidi" w:cstheme="majorBidi"/>
          <w:bCs/>
        </w:rPr>
        <w:t xml:space="preserve"> </w:t>
      </w:r>
      <w:r w:rsidR="003D2F02" w:rsidRPr="00A00142">
        <w:rPr>
          <w:rFonts w:asciiTheme="majorBidi" w:hAnsiTheme="majorBidi" w:cstheme="majorBidi"/>
          <w:bCs/>
        </w:rPr>
        <w:t>P301+P316</w:t>
      </w:r>
      <w:r w:rsidR="003D2F02">
        <w:rPr>
          <w:rFonts w:asciiTheme="majorBidi" w:hAnsiTheme="majorBidi" w:cstheme="majorBidi"/>
          <w:bCs/>
        </w:rPr>
        <w:t xml:space="preserve"> and P330 remain unchanged)</w:t>
      </w:r>
      <w:r w:rsidR="003D2F02" w:rsidRPr="00A00142">
        <w:rPr>
          <w:rFonts w:asciiTheme="majorBidi" w:hAnsiTheme="majorBidi" w:cstheme="majorBidi"/>
        </w:rPr>
        <w:t>:</w:t>
      </w:r>
    </w:p>
    <w:p w14:paraId="3801E3C7" w14:textId="77777777" w:rsidR="003D2F02" w:rsidRPr="00A00142" w:rsidRDefault="003D2F02" w:rsidP="004E6E2F">
      <w:pPr>
        <w:pStyle w:val="BalloonText"/>
        <w:spacing w:before="20" w:after="60"/>
        <w:ind w:left="1701" w:right="1134"/>
        <w:jc w:val="both"/>
        <w:rPr>
          <w:rFonts w:asciiTheme="majorBidi" w:hAnsiTheme="majorBidi" w:cstheme="majorBidi"/>
          <w:bCs/>
          <w:snapToGrid w:val="0"/>
          <w:sz w:val="20"/>
          <w:szCs w:val="20"/>
        </w:rPr>
      </w:pPr>
      <w:r w:rsidRPr="00A00142">
        <w:rPr>
          <w:rFonts w:asciiTheme="majorBidi" w:hAnsiTheme="majorBidi" w:cstheme="majorBidi"/>
          <w:sz w:val="20"/>
          <w:szCs w:val="20"/>
        </w:rPr>
        <w:t>“</w:t>
      </w:r>
      <w:r w:rsidRPr="00A00142">
        <w:rPr>
          <w:rFonts w:asciiTheme="majorBidi" w:hAnsiTheme="majorBidi" w:cstheme="majorBidi"/>
          <w:bCs/>
          <w:snapToGrid w:val="0"/>
          <w:sz w:val="20"/>
          <w:szCs w:val="20"/>
        </w:rPr>
        <w:t>P320</w:t>
      </w:r>
    </w:p>
    <w:p w14:paraId="3B8C0AA2" w14:textId="77777777" w:rsidR="003D2F02" w:rsidRPr="00853534" w:rsidRDefault="003D2F02" w:rsidP="004E6E2F">
      <w:pPr>
        <w:pStyle w:val="BalloonText"/>
        <w:tabs>
          <w:tab w:val="left" w:pos="0"/>
          <w:tab w:val="left" w:pos="156"/>
        </w:tabs>
        <w:spacing w:after="60"/>
        <w:ind w:left="1701" w:right="1134"/>
        <w:jc w:val="both"/>
        <w:rPr>
          <w:rFonts w:asciiTheme="majorBidi" w:hAnsiTheme="majorBidi" w:cstheme="majorBidi"/>
          <w:b/>
          <w:sz w:val="20"/>
          <w:szCs w:val="20"/>
        </w:rPr>
      </w:pPr>
      <w:r w:rsidRPr="00EB1507">
        <w:rPr>
          <w:rFonts w:asciiTheme="majorBidi" w:hAnsiTheme="majorBidi" w:cstheme="majorBidi"/>
          <w:b/>
          <w:sz w:val="20"/>
          <w:szCs w:val="20"/>
        </w:rPr>
        <w:t>Specific treatment is urgent (see information on this label and safety data sheet).</w:t>
      </w:r>
    </w:p>
    <w:p w14:paraId="1138FA53" w14:textId="018E74EC" w:rsidR="003D2F02" w:rsidRPr="00EB1507" w:rsidRDefault="003D2F02" w:rsidP="004E6E2F">
      <w:pPr>
        <w:spacing w:before="60" w:after="120"/>
        <w:ind w:left="1701" w:right="1134"/>
        <w:jc w:val="both"/>
        <w:rPr>
          <w:rStyle w:val="StyleItalic"/>
          <w:rFonts w:asciiTheme="majorBidi" w:hAnsiTheme="majorBidi" w:cstheme="majorBidi"/>
        </w:rPr>
      </w:pPr>
      <w:r w:rsidRPr="00753116">
        <w:rPr>
          <w:rStyle w:val="StyleItalic"/>
        </w:rPr>
        <w:t>- if immediate measures that can be easily applied, such as the administration of antidote or other specific treatment, are required.</w:t>
      </w:r>
      <w:r w:rsidR="0005535D">
        <w:rPr>
          <w:rStyle w:val="StyleItalic"/>
        </w:rPr>
        <w:t xml:space="preserve"> T</w:t>
      </w:r>
      <w:r w:rsidRPr="00EB1507">
        <w:rPr>
          <w:rStyle w:val="StyleItalic"/>
        </w:rPr>
        <w:t xml:space="preserve">hese measures must be specified on the label and safety data sheet, recognizing additional detailed </w:t>
      </w:r>
      <w:r w:rsidRPr="00EB1507">
        <w:rPr>
          <w:rStyle w:val="StyleItalic"/>
          <w:rFonts w:cstheme="minorBidi"/>
        </w:rPr>
        <w:t xml:space="preserve">instructions, </w:t>
      </w:r>
      <w:r>
        <w:rPr>
          <w:rStyle w:val="StyleItalic"/>
          <w:rFonts w:cstheme="minorBidi"/>
        </w:rPr>
        <w:t>including</w:t>
      </w:r>
      <w:r w:rsidRPr="00EB1507">
        <w:rPr>
          <w:rStyle w:val="StyleItalic"/>
          <w:rFonts w:cstheme="minorBidi"/>
        </w:rPr>
        <w:t xml:space="preserve"> any training requirements, </w:t>
      </w:r>
      <w:r w:rsidRPr="00EB1507">
        <w:rPr>
          <w:rStyle w:val="StyleItalic"/>
        </w:rPr>
        <w:t>should be provided on the safety data sheet, if appropriate.</w:t>
      </w:r>
    </w:p>
    <w:p w14:paraId="51E808F5" w14:textId="77777777" w:rsidR="003D2F02" w:rsidRPr="00EB1507" w:rsidRDefault="003D2F02" w:rsidP="004E6E2F">
      <w:pPr>
        <w:pStyle w:val="BalloonText"/>
        <w:tabs>
          <w:tab w:val="left" w:pos="0"/>
          <w:tab w:val="left" w:pos="156"/>
        </w:tabs>
        <w:spacing w:after="60"/>
        <w:ind w:left="1701" w:right="1134"/>
        <w:jc w:val="both"/>
        <w:rPr>
          <w:rFonts w:asciiTheme="majorBidi" w:hAnsiTheme="majorBidi" w:cstheme="majorBidi"/>
          <w:snapToGrid w:val="0"/>
          <w:sz w:val="20"/>
          <w:szCs w:val="20"/>
        </w:rPr>
      </w:pPr>
      <w:r w:rsidRPr="00EB1507">
        <w:rPr>
          <w:rFonts w:asciiTheme="majorBidi" w:hAnsiTheme="majorBidi" w:cstheme="majorBidi"/>
          <w:snapToGrid w:val="0"/>
          <w:sz w:val="20"/>
          <w:szCs w:val="20"/>
        </w:rPr>
        <w:t>P322</w:t>
      </w:r>
    </w:p>
    <w:p w14:paraId="4DAC91CB" w14:textId="77777777" w:rsidR="003D2F02" w:rsidRPr="00EB1507" w:rsidRDefault="003D2F02" w:rsidP="004E6E2F">
      <w:pPr>
        <w:pStyle w:val="BalloonText"/>
        <w:tabs>
          <w:tab w:val="left" w:pos="0"/>
          <w:tab w:val="left" w:pos="156"/>
        </w:tabs>
        <w:spacing w:after="60"/>
        <w:ind w:left="1701" w:right="1134"/>
        <w:jc w:val="both"/>
        <w:rPr>
          <w:rFonts w:asciiTheme="majorBidi" w:hAnsiTheme="majorBidi" w:cstheme="majorBidi"/>
          <w:snapToGrid w:val="0"/>
          <w:sz w:val="20"/>
          <w:szCs w:val="20"/>
        </w:rPr>
      </w:pPr>
      <w:r w:rsidRPr="00EB1507">
        <w:rPr>
          <w:rFonts w:asciiTheme="majorBidi" w:hAnsiTheme="majorBidi" w:cstheme="majorBidi"/>
          <w:b/>
          <w:bCs/>
          <w:sz w:val="20"/>
          <w:szCs w:val="20"/>
        </w:rPr>
        <w:t>Specific treatment is urgent (see information on the safety data sheet).</w:t>
      </w:r>
    </w:p>
    <w:p w14:paraId="7061FD13" w14:textId="3070AC2A" w:rsidR="003D2F02" w:rsidRPr="00EB1507" w:rsidRDefault="003D2F02" w:rsidP="004E6E2F">
      <w:pPr>
        <w:keepLines/>
        <w:tabs>
          <w:tab w:val="left" w:pos="178"/>
        </w:tabs>
        <w:spacing w:after="60" w:line="240" w:lineRule="auto"/>
        <w:ind w:left="1701" w:right="1134"/>
        <w:jc w:val="both"/>
        <w:rPr>
          <w:rStyle w:val="StyleItalic"/>
          <w:rFonts w:asciiTheme="majorBidi" w:hAnsiTheme="majorBidi" w:cstheme="majorBidi"/>
          <w:i w:val="0"/>
          <w:iCs w:val="0"/>
          <w:sz w:val="16"/>
          <w:szCs w:val="16"/>
        </w:rPr>
      </w:pPr>
      <w:r w:rsidRPr="00EB1507">
        <w:rPr>
          <w:rStyle w:val="StyleItalic"/>
          <w:rFonts w:asciiTheme="majorBidi" w:hAnsiTheme="majorBidi" w:cstheme="majorBidi"/>
          <w:i w:val="0"/>
          <w:iCs w:val="0"/>
        </w:rPr>
        <w:t>Manufacturer/supplier to reference on the safety data sheet detailed instructions</w:t>
      </w:r>
      <w:r>
        <w:rPr>
          <w:rStyle w:val="StyleItalic"/>
          <w:rFonts w:asciiTheme="majorBidi" w:hAnsiTheme="majorBidi" w:cstheme="majorBidi"/>
          <w:i w:val="0"/>
          <w:iCs w:val="0"/>
        </w:rPr>
        <w:t>,</w:t>
      </w:r>
      <w:r w:rsidRPr="00EB1507">
        <w:rPr>
          <w:rStyle w:val="StyleItalic"/>
          <w:rFonts w:asciiTheme="majorBidi" w:hAnsiTheme="majorBidi" w:cstheme="majorBidi"/>
          <w:i w:val="0"/>
          <w:iCs w:val="0"/>
        </w:rPr>
        <w:t xml:space="preserve"> </w:t>
      </w:r>
      <w:r>
        <w:rPr>
          <w:rStyle w:val="StyleItalic"/>
          <w:rFonts w:asciiTheme="majorBidi" w:hAnsiTheme="majorBidi" w:cstheme="majorBidi"/>
          <w:i w:val="0"/>
          <w:iCs w:val="0"/>
        </w:rPr>
        <w:t>including</w:t>
      </w:r>
      <w:r w:rsidRPr="00EB1507">
        <w:rPr>
          <w:rStyle w:val="StyleItalic"/>
          <w:rFonts w:asciiTheme="majorBidi" w:hAnsiTheme="majorBidi" w:cstheme="majorBidi"/>
          <w:i w:val="0"/>
          <w:iCs w:val="0"/>
        </w:rPr>
        <w:t xml:space="preserve"> any training requirements</w:t>
      </w:r>
      <w:r>
        <w:rPr>
          <w:rStyle w:val="StyleItalic"/>
          <w:rFonts w:asciiTheme="majorBidi" w:hAnsiTheme="majorBidi" w:cstheme="majorBidi"/>
          <w:i w:val="0"/>
          <w:iCs w:val="0"/>
        </w:rPr>
        <w:t>,</w:t>
      </w:r>
      <w:r w:rsidRPr="00EB1507">
        <w:rPr>
          <w:rStyle w:val="StyleItalic"/>
          <w:rFonts w:asciiTheme="majorBidi" w:hAnsiTheme="majorBidi" w:cstheme="majorBidi"/>
          <w:i w:val="0"/>
          <w:iCs w:val="0"/>
        </w:rPr>
        <w:t xml:space="preserve"> to administer an antidote or provide other specific treatment.</w:t>
      </w:r>
    </w:p>
    <w:p w14:paraId="7A36A40E" w14:textId="77777777" w:rsidR="003D2F02" w:rsidRPr="00050E72" w:rsidRDefault="003D2F02" w:rsidP="004E6E2F">
      <w:pPr>
        <w:pStyle w:val="BalloonText"/>
        <w:tabs>
          <w:tab w:val="left" w:pos="0"/>
          <w:tab w:val="left" w:pos="156"/>
        </w:tabs>
        <w:spacing w:before="20" w:after="160"/>
        <w:ind w:left="1701" w:right="1134"/>
        <w:jc w:val="both"/>
        <w:rPr>
          <w:rFonts w:asciiTheme="majorBidi" w:hAnsiTheme="majorBidi" w:cstheme="majorBidi"/>
          <w:sz w:val="20"/>
          <w:szCs w:val="20"/>
        </w:rPr>
      </w:pPr>
      <w:r w:rsidRPr="00EB1507">
        <w:rPr>
          <w:rStyle w:val="StyleItalic"/>
          <w:rFonts w:asciiTheme="majorBidi" w:hAnsiTheme="majorBidi" w:cstheme="majorBidi"/>
          <w:sz w:val="20"/>
          <w:szCs w:val="20"/>
        </w:rPr>
        <w:t>- may be omitted if P320 is given on the label.”</w:t>
      </w:r>
    </w:p>
    <w:p w14:paraId="1D40AB7E" w14:textId="77777777" w:rsidR="003D2F02" w:rsidRPr="00911976" w:rsidRDefault="003D2F02" w:rsidP="004E6E2F">
      <w:pPr>
        <w:pStyle w:val="H23G"/>
        <w:jc w:val="both"/>
      </w:pPr>
      <w:r w:rsidRPr="00911976">
        <w:tab/>
      </w:r>
      <w:r w:rsidRPr="00911976">
        <w:tab/>
        <w:t>Table for “Acute toxicity, oral</w:t>
      </w:r>
      <w:r w:rsidRPr="00911976" w:rsidDel="007E6725">
        <w:t xml:space="preserve"> </w:t>
      </w:r>
      <w:r w:rsidRPr="00911976">
        <w:t>(chapter 3.1)” hazard category 4</w:t>
      </w:r>
    </w:p>
    <w:p w14:paraId="54FFC4BC" w14:textId="7C76BCD6" w:rsidR="003D2F02" w:rsidRPr="00A00142" w:rsidRDefault="00EA0182" w:rsidP="004E6E2F">
      <w:pPr>
        <w:pStyle w:val="SingleTxtG"/>
        <w:ind w:left="1701" w:hanging="567"/>
        <w:rPr>
          <w:rFonts w:asciiTheme="majorBidi" w:hAnsiTheme="majorBidi" w:cstheme="majorBidi"/>
        </w:rPr>
      </w:pPr>
      <w:r>
        <w:rPr>
          <w:rFonts w:asciiTheme="majorBidi" w:hAnsiTheme="majorBidi" w:cstheme="majorBidi"/>
        </w:rPr>
        <w:t>5</w:t>
      </w:r>
      <w:r w:rsidR="006F0CD5">
        <w:rPr>
          <w:rFonts w:asciiTheme="majorBidi" w:hAnsiTheme="majorBidi" w:cstheme="majorBidi"/>
        </w:rPr>
        <w:t>6</w:t>
      </w:r>
      <w:r w:rsidR="003D2F02" w:rsidRPr="00E2737F">
        <w:rPr>
          <w:rFonts w:asciiTheme="majorBidi" w:hAnsiTheme="majorBidi" w:cstheme="majorBidi"/>
        </w:rPr>
        <w:t>.</w:t>
      </w:r>
      <w:r w:rsidR="003D2F02" w:rsidRPr="00A00142">
        <w:rPr>
          <w:rFonts w:asciiTheme="majorBidi" w:hAnsiTheme="majorBidi" w:cstheme="majorBidi"/>
        </w:rPr>
        <w:tab/>
      </w:r>
      <w:r w:rsidR="003D2F02">
        <w:rPr>
          <w:rFonts w:asciiTheme="majorBidi" w:hAnsiTheme="majorBidi" w:cstheme="majorBidi"/>
          <w:bCs/>
        </w:rPr>
        <w:t>C</w:t>
      </w:r>
      <w:r w:rsidR="003D2F02" w:rsidRPr="00A00142">
        <w:rPr>
          <w:rFonts w:asciiTheme="majorBidi" w:hAnsiTheme="majorBidi" w:cstheme="majorBidi"/>
          <w:bCs/>
        </w:rPr>
        <w:t xml:space="preserve">olumn “Response”, </w:t>
      </w:r>
      <w:r w:rsidR="003D2F02" w:rsidRPr="00B550CF">
        <w:rPr>
          <w:rFonts w:asciiTheme="majorBidi" w:hAnsiTheme="majorBidi" w:cstheme="majorBidi"/>
          <w:bCs/>
        </w:rPr>
        <w:t xml:space="preserve">insert </w:t>
      </w:r>
      <w:r w:rsidR="00EF1CED">
        <w:rPr>
          <w:rFonts w:asciiTheme="majorBidi" w:hAnsiTheme="majorBidi" w:cstheme="majorBidi"/>
          <w:bCs/>
        </w:rPr>
        <w:t>the</w:t>
      </w:r>
      <w:r w:rsidR="00EF1CED" w:rsidRPr="00EB1507">
        <w:rPr>
          <w:rFonts w:asciiTheme="majorBidi" w:hAnsiTheme="majorBidi" w:cstheme="majorBidi"/>
          <w:bCs/>
        </w:rPr>
        <w:t xml:space="preserve"> </w:t>
      </w:r>
      <w:r w:rsidR="00024E4A">
        <w:rPr>
          <w:rFonts w:asciiTheme="majorBidi" w:hAnsiTheme="majorBidi" w:cstheme="majorBidi"/>
          <w:bCs/>
        </w:rPr>
        <w:t xml:space="preserve">following </w:t>
      </w:r>
      <w:r w:rsidR="003D2F02" w:rsidRPr="00B550CF">
        <w:rPr>
          <w:rFonts w:asciiTheme="majorBidi" w:hAnsiTheme="majorBidi" w:cstheme="majorBidi"/>
          <w:bCs/>
        </w:rPr>
        <w:t>P321 and P323</w:t>
      </w:r>
      <w:r w:rsidR="003D2F02">
        <w:rPr>
          <w:rFonts w:asciiTheme="majorBidi" w:hAnsiTheme="majorBidi" w:cstheme="majorBidi"/>
          <w:bCs/>
        </w:rPr>
        <w:t xml:space="preserve"> entries (current entries for </w:t>
      </w:r>
      <w:r w:rsidR="003D2F02" w:rsidRPr="00A00142">
        <w:rPr>
          <w:rFonts w:asciiTheme="majorBidi" w:hAnsiTheme="majorBidi" w:cstheme="majorBidi"/>
          <w:bCs/>
        </w:rPr>
        <w:t>P301+P31</w:t>
      </w:r>
      <w:r w:rsidR="003D2F02">
        <w:rPr>
          <w:rFonts w:asciiTheme="majorBidi" w:hAnsiTheme="majorBidi" w:cstheme="majorBidi"/>
          <w:bCs/>
        </w:rPr>
        <w:t>7 and P330 remain unchanged)</w:t>
      </w:r>
      <w:r w:rsidR="003D2F02" w:rsidRPr="00A00142">
        <w:rPr>
          <w:rFonts w:asciiTheme="majorBidi" w:hAnsiTheme="majorBidi" w:cstheme="majorBidi"/>
        </w:rPr>
        <w:t>:</w:t>
      </w:r>
    </w:p>
    <w:p w14:paraId="732B3078" w14:textId="77777777" w:rsidR="003D2F02" w:rsidRDefault="003D2F02" w:rsidP="004E6E2F">
      <w:pPr>
        <w:pStyle w:val="BalloonText"/>
        <w:spacing w:before="20" w:after="60"/>
        <w:ind w:left="1701" w:right="1134"/>
        <w:jc w:val="both"/>
        <w:rPr>
          <w:rFonts w:asciiTheme="majorBidi" w:hAnsiTheme="majorBidi" w:cstheme="majorBidi"/>
          <w:bCs/>
          <w:sz w:val="20"/>
          <w:szCs w:val="20"/>
        </w:rPr>
      </w:pPr>
      <w:r w:rsidRPr="00A00142">
        <w:rPr>
          <w:rFonts w:asciiTheme="majorBidi" w:hAnsiTheme="majorBidi" w:cstheme="majorBidi"/>
          <w:sz w:val="20"/>
          <w:szCs w:val="20"/>
        </w:rPr>
        <w:t>“</w:t>
      </w:r>
      <w:r w:rsidRPr="00A00142">
        <w:rPr>
          <w:rFonts w:asciiTheme="majorBidi" w:hAnsiTheme="majorBidi" w:cstheme="majorBidi"/>
          <w:bCs/>
          <w:sz w:val="20"/>
          <w:szCs w:val="20"/>
        </w:rPr>
        <w:t>P321</w:t>
      </w:r>
    </w:p>
    <w:p w14:paraId="5AEF5312" w14:textId="77777777" w:rsidR="003D2F02" w:rsidRPr="00B550CF" w:rsidRDefault="003D2F02" w:rsidP="004E6E2F">
      <w:pPr>
        <w:pStyle w:val="BalloonText"/>
        <w:spacing w:before="20" w:after="60"/>
        <w:ind w:left="1701" w:right="1134"/>
        <w:jc w:val="both"/>
        <w:rPr>
          <w:rFonts w:asciiTheme="majorBidi" w:hAnsiTheme="majorBidi" w:cstheme="majorBidi"/>
          <w:bCs/>
          <w:sz w:val="20"/>
          <w:szCs w:val="20"/>
        </w:rPr>
      </w:pPr>
      <w:r w:rsidRPr="00B550CF">
        <w:rPr>
          <w:rStyle w:val="StyleBold"/>
          <w:rFonts w:asciiTheme="majorBidi" w:hAnsiTheme="majorBidi" w:cstheme="majorBidi"/>
          <w:sz w:val="20"/>
          <w:szCs w:val="20"/>
        </w:rPr>
        <w:t xml:space="preserve">Specific treatment (see </w:t>
      </w:r>
      <w:r w:rsidRPr="00B550CF">
        <w:rPr>
          <w:rFonts w:asciiTheme="majorBidi" w:hAnsiTheme="majorBidi" w:cstheme="majorBidi"/>
          <w:b/>
          <w:sz w:val="20"/>
          <w:szCs w:val="20"/>
        </w:rPr>
        <w:t xml:space="preserve">information </w:t>
      </w:r>
      <w:r w:rsidRPr="00B550CF">
        <w:rPr>
          <w:rStyle w:val="StyleBold"/>
          <w:rFonts w:asciiTheme="majorBidi" w:hAnsiTheme="majorBidi" w:cstheme="majorBidi"/>
          <w:sz w:val="20"/>
          <w:szCs w:val="20"/>
        </w:rPr>
        <w:t>on this label</w:t>
      </w:r>
      <w:r w:rsidRPr="00B550CF">
        <w:rPr>
          <w:rFonts w:asciiTheme="majorBidi" w:hAnsiTheme="majorBidi" w:cstheme="majorBidi"/>
          <w:b/>
          <w:sz w:val="20"/>
          <w:szCs w:val="20"/>
        </w:rPr>
        <w:t xml:space="preserve"> and safety data sheet</w:t>
      </w:r>
      <w:r w:rsidRPr="00B550CF">
        <w:rPr>
          <w:rStyle w:val="StyleBold"/>
          <w:rFonts w:asciiTheme="majorBidi" w:hAnsiTheme="majorBidi" w:cstheme="majorBidi"/>
          <w:sz w:val="20"/>
          <w:szCs w:val="20"/>
        </w:rPr>
        <w:t>).</w:t>
      </w:r>
    </w:p>
    <w:p w14:paraId="40D82BFF" w14:textId="6F7535F5" w:rsidR="003D2F02" w:rsidRDefault="003D2F02" w:rsidP="004E6E2F">
      <w:pPr>
        <w:spacing w:after="80"/>
        <w:ind w:left="1701" w:right="1134"/>
        <w:jc w:val="both"/>
        <w:rPr>
          <w:rStyle w:val="StyleItalic"/>
        </w:rPr>
      </w:pPr>
      <w:r w:rsidRPr="00B550CF">
        <w:rPr>
          <w:rStyle w:val="StyleItalic"/>
        </w:rPr>
        <w:t>- if immediate measures that can be easily applied, such as the administration of antidote or other specific treatment, are required.</w:t>
      </w:r>
      <w:r w:rsidR="00684599">
        <w:rPr>
          <w:rStyle w:val="StyleItalic"/>
        </w:rPr>
        <w:t xml:space="preserve"> T</w:t>
      </w:r>
      <w:r w:rsidRPr="00B550CF">
        <w:rPr>
          <w:rStyle w:val="StyleItalic"/>
        </w:rPr>
        <w:t>hese measures must be specified on the label and safety data sheet, recognizing additional detail</w:t>
      </w:r>
      <w:r w:rsidRPr="00B550CF">
        <w:rPr>
          <w:rStyle w:val="StyleItalic"/>
          <w:rFonts w:asciiTheme="majorBidi" w:hAnsiTheme="majorBidi" w:cstheme="majorBidi"/>
        </w:rPr>
        <w:t>ed instructions, including any training requirements,</w:t>
      </w:r>
      <w:r w:rsidRPr="00B550CF">
        <w:rPr>
          <w:rStyle w:val="StyleItalic"/>
        </w:rPr>
        <w:t xml:space="preserve"> should be provided on the safety data sheet, if appropriate.</w:t>
      </w:r>
    </w:p>
    <w:p w14:paraId="401CBD90" w14:textId="77777777" w:rsidR="003D2F02" w:rsidRPr="00050E72" w:rsidRDefault="003D2F02" w:rsidP="004E6E2F">
      <w:pPr>
        <w:pStyle w:val="BalloonText"/>
        <w:tabs>
          <w:tab w:val="left" w:pos="0"/>
          <w:tab w:val="left" w:pos="156"/>
        </w:tabs>
        <w:spacing w:before="20" w:after="160"/>
        <w:ind w:left="1701" w:right="1134"/>
        <w:jc w:val="both"/>
        <w:rPr>
          <w:rFonts w:asciiTheme="majorBidi" w:hAnsiTheme="majorBidi" w:cstheme="majorBidi"/>
          <w:sz w:val="20"/>
          <w:szCs w:val="20"/>
        </w:rPr>
      </w:pPr>
      <w:r w:rsidRPr="00EB1507">
        <w:rPr>
          <w:rStyle w:val="StyleItalic"/>
          <w:rFonts w:asciiTheme="majorBidi" w:hAnsiTheme="majorBidi" w:cstheme="majorBidi"/>
          <w:sz w:val="20"/>
          <w:szCs w:val="20"/>
        </w:rPr>
        <w:t>- may be omitted if P320 is given on the label.</w:t>
      </w:r>
    </w:p>
    <w:p w14:paraId="29A114AE" w14:textId="77777777" w:rsidR="003D2F02" w:rsidRPr="00B550CF" w:rsidRDefault="003D2F02" w:rsidP="004E6E2F">
      <w:pPr>
        <w:pStyle w:val="BalloonText"/>
        <w:spacing w:before="20"/>
        <w:ind w:left="1701"/>
        <w:jc w:val="both"/>
        <w:rPr>
          <w:rStyle w:val="StyleBold"/>
          <w:rFonts w:asciiTheme="majorBidi" w:hAnsiTheme="majorBidi" w:cstheme="majorBidi"/>
          <w:sz w:val="20"/>
          <w:szCs w:val="20"/>
        </w:rPr>
      </w:pPr>
      <w:r w:rsidRPr="00B550CF">
        <w:rPr>
          <w:rStyle w:val="StyleBold"/>
          <w:rFonts w:asciiTheme="majorBidi" w:hAnsiTheme="majorBidi" w:cstheme="majorBidi"/>
          <w:b w:val="0"/>
          <w:bCs w:val="0"/>
          <w:sz w:val="20"/>
          <w:szCs w:val="20"/>
        </w:rPr>
        <w:t>P323</w:t>
      </w:r>
    </w:p>
    <w:p w14:paraId="23A3291C" w14:textId="77777777" w:rsidR="003D2F02" w:rsidRPr="00B550CF" w:rsidRDefault="003D2F02" w:rsidP="004E6E2F">
      <w:pPr>
        <w:pStyle w:val="BalloonText"/>
        <w:spacing w:before="20"/>
        <w:ind w:left="1701"/>
        <w:jc w:val="both"/>
        <w:rPr>
          <w:rFonts w:asciiTheme="majorBidi" w:hAnsiTheme="majorBidi" w:cstheme="majorBidi"/>
          <w:b/>
          <w:bCs/>
          <w:sz w:val="20"/>
          <w:szCs w:val="20"/>
        </w:rPr>
      </w:pPr>
      <w:r w:rsidRPr="00B550CF">
        <w:rPr>
          <w:rStyle w:val="StyleBold"/>
          <w:rFonts w:asciiTheme="majorBidi" w:hAnsiTheme="majorBidi" w:cstheme="majorBidi"/>
          <w:sz w:val="20"/>
          <w:szCs w:val="20"/>
        </w:rPr>
        <w:t xml:space="preserve">Specific treatment (see </w:t>
      </w:r>
      <w:r w:rsidRPr="00B550CF">
        <w:rPr>
          <w:rFonts w:asciiTheme="majorBidi" w:hAnsiTheme="majorBidi" w:cstheme="majorBidi"/>
          <w:b/>
          <w:bCs/>
          <w:sz w:val="20"/>
          <w:szCs w:val="20"/>
        </w:rPr>
        <w:t>information on the safety data sheet).</w:t>
      </w:r>
    </w:p>
    <w:p w14:paraId="456CDF1A" w14:textId="77777777" w:rsidR="003D2F02" w:rsidRPr="00916551" w:rsidRDefault="003D2F02" w:rsidP="004E6E2F">
      <w:pPr>
        <w:pStyle w:val="BalloonText"/>
        <w:spacing w:before="20" w:after="80"/>
        <w:ind w:left="1701" w:right="1134"/>
        <w:jc w:val="both"/>
        <w:rPr>
          <w:rFonts w:asciiTheme="majorBidi" w:hAnsiTheme="majorBidi" w:cstheme="majorBidi"/>
          <w:bCs/>
          <w:sz w:val="20"/>
          <w:szCs w:val="20"/>
        </w:rPr>
      </w:pPr>
      <w:r w:rsidRPr="00B550CF">
        <w:rPr>
          <w:rStyle w:val="StyleItalic"/>
          <w:rFonts w:asciiTheme="majorBidi" w:hAnsiTheme="majorBidi" w:cstheme="majorBidi"/>
          <w:i w:val="0"/>
          <w:iCs w:val="0"/>
          <w:sz w:val="20"/>
          <w:szCs w:val="20"/>
        </w:rPr>
        <w:t>Manufacturer/supplier to reference on the safety data sheet detailed instructions</w:t>
      </w:r>
      <w:r>
        <w:rPr>
          <w:rStyle w:val="StyleItalic"/>
          <w:rFonts w:asciiTheme="majorBidi" w:hAnsiTheme="majorBidi" w:cstheme="majorBidi"/>
          <w:i w:val="0"/>
          <w:iCs w:val="0"/>
          <w:sz w:val="20"/>
          <w:szCs w:val="20"/>
        </w:rPr>
        <w:t>,</w:t>
      </w:r>
      <w:r w:rsidRPr="00B550CF">
        <w:rPr>
          <w:rStyle w:val="StyleItalic"/>
          <w:rFonts w:asciiTheme="majorBidi" w:hAnsiTheme="majorBidi" w:cstheme="majorBidi"/>
          <w:i w:val="0"/>
          <w:iCs w:val="0"/>
          <w:sz w:val="20"/>
          <w:szCs w:val="20"/>
        </w:rPr>
        <w:t xml:space="preserve"> </w:t>
      </w:r>
      <w:r>
        <w:rPr>
          <w:rStyle w:val="StyleItalic"/>
          <w:rFonts w:asciiTheme="majorBidi" w:hAnsiTheme="majorBidi" w:cstheme="majorBidi"/>
          <w:i w:val="0"/>
          <w:iCs w:val="0"/>
          <w:sz w:val="20"/>
          <w:szCs w:val="20"/>
        </w:rPr>
        <w:t>including</w:t>
      </w:r>
      <w:r w:rsidRPr="00B550CF">
        <w:rPr>
          <w:rStyle w:val="StyleItalic"/>
          <w:rFonts w:asciiTheme="majorBidi" w:hAnsiTheme="majorBidi" w:cstheme="majorBidi"/>
          <w:i w:val="0"/>
          <w:iCs w:val="0"/>
          <w:sz w:val="20"/>
          <w:szCs w:val="20"/>
        </w:rPr>
        <w:t xml:space="preserve"> any training requirements</w:t>
      </w:r>
      <w:r>
        <w:rPr>
          <w:rStyle w:val="StyleItalic"/>
          <w:rFonts w:asciiTheme="majorBidi" w:hAnsiTheme="majorBidi" w:cstheme="majorBidi"/>
          <w:i w:val="0"/>
          <w:iCs w:val="0"/>
          <w:sz w:val="20"/>
          <w:szCs w:val="20"/>
        </w:rPr>
        <w:t>,</w:t>
      </w:r>
      <w:r w:rsidRPr="00B550CF">
        <w:rPr>
          <w:rStyle w:val="StyleItalic"/>
          <w:rFonts w:asciiTheme="majorBidi" w:hAnsiTheme="majorBidi" w:cstheme="majorBidi"/>
          <w:i w:val="0"/>
          <w:iCs w:val="0"/>
          <w:sz w:val="20"/>
          <w:szCs w:val="20"/>
        </w:rPr>
        <w:t xml:space="preserve"> to administer an antidote or other specific</w:t>
      </w:r>
      <w:r w:rsidRPr="00B550CF">
        <w:rPr>
          <w:rStyle w:val="StyleItalic"/>
          <w:rFonts w:asciiTheme="majorBidi" w:hAnsiTheme="majorBidi" w:cstheme="majorBidi"/>
          <w:sz w:val="20"/>
          <w:szCs w:val="20"/>
        </w:rPr>
        <w:t xml:space="preserve"> </w:t>
      </w:r>
      <w:r w:rsidRPr="00B550CF">
        <w:rPr>
          <w:rStyle w:val="StyleItalic"/>
          <w:rFonts w:asciiTheme="majorBidi" w:hAnsiTheme="majorBidi" w:cstheme="majorBidi"/>
          <w:i w:val="0"/>
          <w:iCs w:val="0"/>
          <w:sz w:val="20"/>
          <w:szCs w:val="20"/>
        </w:rPr>
        <w:lastRenderedPageBreak/>
        <w:t>treatment.</w:t>
      </w:r>
      <w:r w:rsidRPr="00B550CF">
        <w:rPr>
          <w:rStyle w:val="StyleItalic"/>
          <w:rFonts w:asciiTheme="majorBidi" w:hAnsiTheme="majorBidi" w:cstheme="majorBidi"/>
          <w:i w:val="0"/>
          <w:iCs w:val="0"/>
          <w:sz w:val="20"/>
          <w:szCs w:val="20"/>
        </w:rPr>
        <w:br/>
      </w:r>
      <w:proofErr w:type="gramStart"/>
      <w:r w:rsidRPr="00B550CF">
        <w:rPr>
          <w:rStyle w:val="StyleItalic"/>
          <w:rFonts w:asciiTheme="majorBidi" w:hAnsiTheme="majorBidi" w:cstheme="majorBidi"/>
          <w:sz w:val="20"/>
          <w:szCs w:val="20"/>
        </w:rPr>
        <w:t>-  may</w:t>
      </w:r>
      <w:proofErr w:type="gramEnd"/>
      <w:r w:rsidRPr="00B550CF">
        <w:rPr>
          <w:rStyle w:val="StyleItalic"/>
          <w:rFonts w:asciiTheme="majorBidi" w:hAnsiTheme="majorBidi" w:cstheme="majorBidi"/>
          <w:sz w:val="20"/>
          <w:szCs w:val="20"/>
        </w:rPr>
        <w:t xml:space="preserve"> be omitted if P321 or P322 is given on the label.”</w:t>
      </w:r>
    </w:p>
    <w:p w14:paraId="5CF9F5B2" w14:textId="77777777" w:rsidR="003D2F02" w:rsidRPr="00911976" w:rsidRDefault="003D2F02" w:rsidP="00C65CB9">
      <w:pPr>
        <w:pStyle w:val="H23G"/>
        <w:keepNext w:val="0"/>
        <w:keepLines w:val="0"/>
        <w:ind w:firstLine="0"/>
      </w:pPr>
      <w:r w:rsidRPr="00911976">
        <w:t>Table</w:t>
      </w:r>
      <w:r>
        <w:t>s</w:t>
      </w:r>
      <w:r w:rsidRPr="00911976">
        <w:t xml:space="preserve"> for “Acute toxicity, dermal</w:t>
      </w:r>
      <w:r w:rsidRPr="00911976" w:rsidDel="007E6725">
        <w:t xml:space="preserve"> </w:t>
      </w:r>
      <w:r w:rsidRPr="00911976">
        <w:t>(chapter 3.1)” hazard categories 1, 2</w:t>
      </w:r>
      <w:r>
        <w:t xml:space="preserve"> and 3</w:t>
      </w:r>
    </w:p>
    <w:p w14:paraId="7C53A5EC" w14:textId="39113AF7" w:rsidR="003D2F02" w:rsidRDefault="00EA0182" w:rsidP="003D2F02">
      <w:pPr>
        <w:pStyle w:val="SingleTxtG"/>
        <w:rPr>
          <w:rFonts w:asciiTheme="majorBidi" w:hAnsiTheme="majorBidi" w:cstheme="majorBidi"/>
        </w:rPr>
      </w:pPr>
      <w:r>
        <w:t>5</w:t>
      </w:r>
      <w:r w:rsidR="006F0CD5">
        <w:t>7</w:t>
      </w:r>
      <w:r w:rsidR="003D2F02" w:rsidRPr="00E2737F">
        <w:t>.</w:t>
      </w:r>
      <w:r w:rsidR="003D2F02" w:rsidRPr="00911976">
        <w:tab/>
        <w:t>Delete the current table for category 3</w:t>
      </w:r>
      <w:r w:rsidR="00AB3D1C">
        <w:t xml:space="preserve">. In the current table for categories 1 and 2, insert </w:t>
      </w:r>
      <w:r w:rsidR="00AF5CED">
        <w:t>a</w:t>
      </w:r>
      <w:r w:rsidR="00AB3D1C">
        <w:t xml:space="preserve"> </w:t>
      </w:r>
      <w:r w:rsidR="00AF5CED">
        <w:t>row for category 3 under the existing row</w:t>
      </w:r>
      <w:r w:rsidR="005B4866">
        <w:t xml:space="preserve"> </w:t>
      </w:r>
      <w:r w:rsidR="00AF5CED">
        <w:t>for category 2 as follows</w:t>
      </w:r>
      <w:r w:rsidR="003D2F02" w:rsidRPr="00911976">
        <w:t>:</w:t>
      </w:r>
    </w:p>
    <w:tbl>
      <w:tblPr>
        <w:tblW w:w="7371"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
        <w:gridCol w:w="1595"/>
        <w:gridCol w:w="1134"/>
        <w:gridCol w:w="992"/>
        <w:gridCol w:w="709"/>
        <w:gridCol w:w="1984"/>
      </w:tblGrid>
      <w:tr w:rsidR="003D2F02" w:rsidRPr="006F03B3" w14:paraId="76FDEA4C" w14:textId="77777777" w:rsidTr="00165D2E">
        <w:tc>
          <w:tcPr>
            <w:tcW w:w="957" w:type="dxa"/>
            <w:tcBorders>
              <w:top w:val="nil"/>
              <w:left w:val="nil"/>
              <w:bottom w:val="nil"/>
              <w:right w:val="nil"/>
            </w:tcBorders>
          </w:tcPr>
          <w:p w14:paraId="6A8AFDF7" w14:textId="77777777" w:rsidR="003D2F02" w:rsidRPr="006F03B3" w:rsidRDefault="003D2F02" w:rsidP="004853DB">
            <w:pPr>
              <w:spacing w:before="40" w:after="40"/>
              <w:rPr>
                <w:b/>
                <w:bCs/>
                <w:sz w:val="16"/>
                <w:szCs w:val="16"/>
              </w:rPr>
            </w:pPr>
            <w:r w:rsidRPr="006F03B3">
              <w:rPr>
                <w:b/>
                <w:bCs/>
                <w:sz w:val="16"/>
                <w:szCs w:val="16"/>
              </w:rPr>
              <w:t>Hazard category</w:t>
            </w:r>
          </w:p>
        </w:tc>
        <w:tc>
          <w:tcPr>
            <w:tcW w:w="1595" w:type="dxa"/>
            <w:tcBorders>
              <w:top w:val="nil"/>
              <w:left w:val="nil"/>
              <w:bottom w:val="nil"/>
              <w:right w:val="nil"/>
            </w:tcBorders>
          </w:tcPr>
          <w:p w14:paraId="713DD5ED" w14:textId="77777777" w:rsidR="003D2F02" w:rsidRPr="006F03B3" w:rsidRDefault="003D2F02" w:rsidP="004853DB">
            <w:pPr>
              <w:spacing w:before="40" w:after="40"/>
              <w:rPr>
                <w:b/>
                <w:bCs/>
                <w:sz w:val="16"/>
                <w:szCs w:val="16"/>
              </w:rPr>
            </w:pPr>
            <w:r w:rsidRPr="006F03B3">
              <w:rPr>
                <w:b/>
                <w:bCs/>
                <w:sz w:val="16"/>
                <w:szCs w:val="16"/>
              </w:rPr>
              <w:t>Symbol</w:t>
            </w:r>
          </w:p>
        </w:tc>
        <w:tc>
          <w:tcPr>
            <w:tcW w:w="1134" w:type="dxa"/>
            <w:vMerge w:val="restart"/>
            <w:tcBorders>
              <w:top w:val="nil"/>
              <w:left w:val="nil"/>
              <w:right w:val="nil"/>
            </w:tcBorders>
          </w:tcPr>
          <w:p w14:paraId="6C44E632" w14:textId="77777777" w:rsidR="003D2F02" w:rsidRPr="006F03B3" w:rsidRDefault="003D2F02" w:rsidP="004853DB">
            <w:pPr>
              <w:spacing w:before="40" w:after="40"/>
              <w:rPr>
                <w:b/>
                <w:bCs/>
                <w:sz w:val="16"/>
                <w:szCs w:val="16"/>
              </w:rPr>
            </w:pPr>
            <w:r w:rsidRPr="006F03B3">
              <w:rPr>
                <w:noProof/>
                <w:sz w:val="16"/>
                <w:szCs w:val="16"/>
              </w:rPr>
              <w:drawing>
                <wp:anchor distT="0" distB="0" distL="114300" distR="114300" simplePos="0" relativeHeight="251659264" behindDoc="0" locked="0" layoutInCell="1" allowOverlap="1" wp14:anchorId="6FDF0B2E" wp14:editId="5C274691">
                  <wp:simplePos x="0" y="0"/>
                  <wp:positionH relativeFrom="column">
                    <wp:posOffset>76200</wp:posOffset>
                  </wp:positionH>
                  <wp:positionV relativeFrom="paragraph">
                    <wp:posOffset>56515</wp:posOffset>
                  </wp:positionV>
                  <wp:extent cx="559435" cy="614045"/>
                  <wp:effectExtent l="0" t="0" r="0" b="0"/>
                  <wp:wrapNone/>
                  <wp:docPr id="197" name="Picture 19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9435" cy="614045"/>
                          </a:xfrm>
                          <a:prstGeom prst="rect">
                            <a:avLst/>
                          </a:prstGeom>
                          <a:noFill/>
                          <a:ln>
                            <a:noFill/>
                          </a:ln>
                        </pic:spPr>
                      </pic:pic>
                    </a:graphicData>
                  </a:graphic>
                </wp:anchor>
              </w:drawing>
            </w:r>
          </w:p>
        </w:tc>
        <w:tc>
          <w:tcPr>
            <w:tcW w:w="992" w:type="dxa"/>
            <w:tcBorders>
              <w:top w:val="nil"/>
              <w:left w:val="nil"/>
              <w:bottom w:val="nil"/>
              <w:right w:val="nil"/>
            </w:tcBorders>
          </w:tcPr>
          <w:p w14:paraId="2A400B2B" w14:textId="77777777" w:rsidR="003D2F02" w:rsidRPr="006F03B3" w:rsidRDefault="003D2F02" w:rsidP="004853DB">
            <w:pPr>
              <w:spacing w:before="40" w:after="40"/>
              <w:rPr>
                <w:b/>
                <w:bCs/>
                <w:sz w:val="16"/>
                <w:szCs w:val="16"/>
              </w:rPr>
            </w:pPr>
            <w:r w:rsidRPr="006F03B3">
              <w:rPr>
                <w:b/>
                <w:bCs/>
                <w:sz w:val="16"/>
                <w:szCs w:val="16"/>
              </w:rPr>
              <w:t>Signal word</w:t>
            </w:r>
          </w:p>
        </w:tc>
        <w:tc>
          <w:tcPr>
            <w:tcW w:w="2693" w:type="dxa"/>
            <w:gridSpan w:val="2"/>
            <w:tcBorders>
              <w:top w:val="nil"/>
              <w:left w:val="nil"/>
              <w:bottom w:val="nil"/>
              <w:right w:val="nil"/>
            </w:tcBorders>
          </w:tcPr>
          <w:p w14:paraId="75F945F6" w14:textId="77777777" w:rsidR="003D2F02" w:rsidRPr="006F03B3" w:rsidRDefault="003D2F02" w:rsidP="004853DB">
            <w:pPr>
              <w:spacing w:before="40" w:after="40"/>
              <w:ind w:right="252"/>
              <w:rPr>
                <w:b/>
                <w:bCs/>
                <w:sz w:val="16"/>
                <w:szCs w:val="16"/>
              </w:rPr>
            </w:pPr>
            <w:r w:rsidRPr="006F03B3">
              <w:rPr>
                <w:b/>
                <w:bCs/>
                <w:sz w:val="16"/>
                <w:szCs w:val="16"/>
              </w:rPr>
              <w:t>Hazard statement</w:t>
            </w:r>
          </w:p>
        </w:tc>
      </w:tr>
      <w:tr w:rsidR="003D2F02" w:rsidRPr="006F03B3" w14:paraId="55DDE7E9" w14:textId="77777777" w:rsidTr="00165D2E">
        <w:tc>
          <w:tcPr>
            <w:tcW w:w="957" w:type="dxa"/>
            <w:tcBorders>
              <w:top w:val="nil"/>
              <w:left w:val="nil"/>
              <w:bottom w:val="nil"/>
              <w:right w:val="nil"/>
            </w:tcBorders>
          </w:tcPr>
          <w:p w14:paraId="020F49D2" w14:textId="77777777" w:rsidR="003D2F02" w:rsidRPr="006F03B3" w:rsidRDefault="003D2F02" w:rsidP="004853DB">
            <w:pPr>
              <w:spacing w:before="40" w:after="40"/>
              <w:rPr>
                <w:sz w:val="16"/>
                <w:szCs w:val="16"/>
              </w:rPr>
            </w:pPr>
            <w:r>
              <w:rPr>
                <w:sz w:val="16"/>
                <w:szCs w:val="16"/>
              </w:rPr>
              <w:t>3</w:t>
            </w:r>
          </w:p>
        </w:tc>
        <w:tc>
          <w:tcPr>
            <w:tcW w:w="1595" w:type="dxa"/>
            <w:tcBorders>
              <w:top w:val="nil"/>
              <w:left w:val="nil"/>
              <w:bottom w:val="nil"/>
              <w:right w:val="nil"/>
            </w:tcBorders>
          </w:tcPr>
          <w:p w14:paraId="1F8F9E2F" w14:textId="77777777" w:rsidR="003D2F02" w:rsidRPr="006F03B3" w:rsidRDefault="003D2F02" w:rsidP="004853DB">
            <w:pPr>
              <w:spacing w:before="40" w:after="40"/>
              <w:rPr>
                <w:sz w:val="16"/>
                <w:szCs w:val="16"/>
              </w:rPr>
            </w:pPr>
            <w:r w:rsidRPr="006F03B3">
              <w:rPr>
                <w:sz w:val="16"/>
                <w:szCs w:val="16"/>
              </w:rPr>
              <w:t>Skull and crossbones</w:t>
            </w:r>
          </w:p>
        </w:tc>
        <w:tc>
          <w:tcPr>
            <w:tcW w:w="1134" w:type="dxa"/>
            <w:vMerge/>
            <w:tcBorders>
              <w:left w:val="nil"/>
              <w:bottom w:val="nil"/>
              <w:right w:val="nil"/>
            </w:tcBorders>
            <w:vAlign w:val="center"/>
          </w:tcPr>
          <w:p w14:paraId="63B440F3" w14:textId="77777777" w:rsidR="003D2F02" w:rsidRPr="006F03B3" w:rsidRDefault="003D2F02" w:rsidP="004853DB">
            <w:pPr>
              <w:spacing w:before="40" w:after="40"/>
              <w:jc w:val="center"/>
              <w:rPr>
                <w:sz w:val="16"/>
                <w:szCs w:val="16"/>
              </w:rPr>
            </w:pPr>
          </w:p>
        </w:tc>
        <w:tc>
          <w:tcPr>
            <w:tcW w:w="992" w:type="dxa"/>
            <w:tcBorders>
              <w:top w:val="nil"/>
              <w:left w:val="nil"/>
              <w:bottom w:val="nil"/>
              <w:right w:val="nil"/>
            </w:tcBorders>
          </w:tcPr>
          <w:p w14:paraId="152C8CE3" w14:textId="77777777" w:rsidR="003D2F02" w:rsidRPr="006F03B3" w:rsidRDefault="003D2F02" w:rsidP="004853DB">
            <w:pPr>
              <w:spacing w:before="40" w:after="40"/>
              <w:rPr>
                <w:sz w:val="16"/>
                <w:szCs w:val="16"/>
              </w:rPr>
            </w:pPr>
            <w:r>
              <w:rPr>
                <w:sz w:val="16"/>
                <w:szCs w:val="16"/>
              </w:rPr>
              <w:t>Danger</w:t>
            </w:r>
          </w:p>
        </w:tc>
        <w:tc>
          <w:tcPr>
            <w:tcW w:w="709" w:type="dxa"/>
            <w:tcBorders>
              <w:top w:val="nil"/>
              <w:left w:val="nil"/>
              <w:bottom w:val="nil"/>
              <w:right w:val="nil"/>
            </w:tcBorders>
          </w:tcPr>
          <w:p w14:paraId="69259570" w14:textId="77777777" w:rsidR="003D2F02" w:rsidRPr="006F03B3" w:rsidRDefault="003D2F02" w:rsidP="004853DB">
            <w:pPr>
              <w:spacing w:before="30" w:after="30"/>
              <w:rPr>
                <w:sz w:val="16"/>
                <w:szCs w:val="16"/>
              </w:rPr>
            </w:pPr>
            <w:r>
              <w:rPr>
                <w:sz w:val="16"/>
                <w:szCs w:val="16"/>
              </w:rPr>
              <w:t>H331</w:t>
            </w:r>
          </w:p>
        </w:tc>
        <w:tc>
          <w:tcPr>
            <w:tcW w:w="1984" w:type="dxa"/>
            <w:tcBorders>
              <w:top w:val="nil"/>
              <w:left w:val="nil"/>
              <w:bottom w:val="nil"/>
              <w:right w:val="nil"/>
            </w:tcBorders>
          </w:tcPr>
          <w:p w14:paraId="61E2D3A2" w14:textId="77777777" w:rsidR="003D2F02" w:rsidRPr="006F03B3" w:rsidRDefault="003D2F02" w:rsidP="004853DB">
            <w:pPr>
              <w:spacing w:before="40" w:after="40"/>
              <w:rPr>
                <w:sz w:val="16"/>
                <w:szCs w:val="16"/>
              </w:rPr>
            </w:pPr>
            <w:r>
              <w:rPr>
                <w:sz w:val="16"/>
                <w:szCs w:val="16"/>
              </w:rPr>
              <w:t>Toxic in contact with skin</w:t>
            </w:r>
          </w:p>
        </w:tc>
      </w:tr>
    </w:tbl>
    <w:p w14:paraId="14B8B838" w14:textId="77777777" w:rsidR="000047E0" w:rsidRDefault="000047E0"/>
    <w:p w14:paraId="2DC9B1F8" w14:textId="418E6044" w:rsidR="00024E4A" w:rsidRDefault="006B0BC9" w:rsidP="00DA54FC">
      <w:pPr>
        <w:ind w:left="1701" w:right="1134" w:hanging="1701"/>
        <w:rPr>
          <w:rFonts w:asciiTheme="majorBidi" w:hAnsiTheme="majorBidi" w:cstheme="majorBidi"/>
        </w:rPr>
      </w:pPr>
      <w:r>
        <w:tab/>
      </w:r>
      <w:r>
        <w:tab/>
      </w:r>
      <w:r w:rsidR="007C512D">
        <w:t>C</w:t>
      </w:r>
      <w:r>
        <w:t xml:space="preserve">olumn </w:t>
      </w:r>
      <w:r w:rsidR="007C512D">
        <w:t xml:space="preserve">“Response”, </w:t>
      </w:r>
      <w:r w:rsidR="00024E4A">
        <w:rPr>
          <w:rFonts w:asciiTheme="majorBidi" w:hAnsiTheme="majorBidi" w:cstheme="majorBidi"/>
          <w:bCs/>
        </w:rPr>
        <w:t xml:space="preserve">delete the P321 </w:t>
      </w:r>
      <w:r w:rsidR="00024E4A" w:rsidRPr="00EB1507">
        <w:rPr>
          <w:rFonts w:asciiTheme="majorBidi" w:hAnsiTheme="majorBidi" w:cstheme="majorBidi"/>
          <w:bCs/>
        </w:rPr>
        <w:t>entry</w:t>
      </w:r>
      <w:r w:rsidR="00024E4A">
        <w:rPr>
          <w:rFonts w:asciiTheme="majorBidi" w:hAnsiTheme="majorBidi" w:cstheme="majorBidi"/>
          <w:bCs/>
        </w:rPr>
        <w:t>,</w:t>
      </w:r>
      <w:r w:rsidR="00024E4A" w:rsidRPr="00EB1507">
        <w:rPr>
          <w:rFonts w:asciiTheme="majorBidi" w:hAnsiTheme="majorBidi" w:cstheme="majorBidi"/>
          <w:bCs/>
        </w:rPr>
        <w:t xml:space="preserve"> </w:t>
      </w:r>
      <w:r w:rsidR="00024E4A">
        <w:rPr>
          <w:rFonts w:asciiTheme="majorBidi" w:hAnsiTheme="majorBidi" w:cstheme="majorBidi"/>
          <w:bCs/>
        </w:rPr>
        <w:t>and insert</w:t>
      </w:r>
      <w:r w:rsidR="00024E4A" w:rsidRPr="00EB1507">
        <w:rPr>
          <w:rFonts w:asciiTheme="majorBidi" w:hAnsiTheme="majorBidi" w:cstheme="majorBidi"/>
          <w:bCs/>
        </w:rPr>
        <w:t xml:space="preserve"> </w:t>
      </w:r>
      <w:r w:rsidR="00024E4A">
        <w:rPr>
          <w:rFonts w:asciiTheme="majorBidi" w:hAnsiTheme="majorBidi" w:cstheme="majorBidi"/>
          <w:bCs/>
        </w:rPr>
        <w:t xml:space="preserve">the following </w:t>
      </w:r>
      <w:r w:rsidR="00024E4A" w:rsidRPr="00EB1507">
        <w:rPr>
          <w:rFonts w:asciiTheme="majorBidi" w:hAnsiTheme="majorBidi" w:cstheme="majorBidi"/>
          <w:bCs/>
        </w:rPr>
        <w:t>P320 and P322</w:t>
      </w:r>
      <w:r w:rsidR="00024E4A">
        <w:rPr>
          <w:rFonts w:asciiTheme="majorBidi" w:hAnsiTheme="majorBidi" w:cstheme="majorBidi"/>
          <w:bCs/>
        </w:rPr>
        <w:t xml:space="preserve"> entries</w:t>
      </w:r>
      <w:r w:rsidR="00024E4A" w:rsidRPr="00EB1507">
        <w:rPr>
          <w:rFonts w:asciiTheme="majorBidi" w:hAnsiTheme="majorBidi" w:cstheme="majorBidi"/>
          <w:bCs/>
        </w:rPr>
        <w:t xml:space="preserve"> (current entries for</w:t>
      </w:r>
      <w:r w:rsidR="00024E4A">
        <w:rPr>
          <w:rFonts w:asciiTheme="majorBidi" w:hAnsiTheme="majorBidi" w:cstheme="majorBidi"/>
          <w:bCs/>
        </w:rPr>
        <w:t xml:space="preserve"> </w:t>
      </w:r>
      <w:r w:rsidR="00024E4A" w:rsidRPr="00A00142">
        <w:rPr>
          <w:rFonts w:asciiTheme="majorBidi" w:hAnsiTheme="majorBidi" w:cstheme="majorBidi"/>
          <w:bCs/>
        </w:rPr>
        <w:t>P30</w:t>
      </w:r>
      <w:r w:rsidR="00304FD3">
        <w:rPr>
          <w:rFonts w:asciiTheme="majorBidi" w:hAnsiTheme="majorBidi" w:cstheme="majorBidi"/>
          <w:bCs/>
        </w:rPr>
        <w:t>2</w:t>
      </w:r>
      <w:r w:rsidR="00024E4A" w:rsidRPr="00A00142">
        <w:rPr>
          <w:rFonts w:asciiTheme="majorBidi" w:hAnsiTheme="majorBidi" w:cstheme="majorBidi"/>
          <w:bCs/>
        </w:rPr>
        <w:t>+P</w:t>
      </w:r>
      <w:r w:rsidR="00304FD3">
        <w:rPr>
          <w:rFonts w:asciiTheme="majorBidi" w:hAnsiTheme="majorBidi" w:cstheme="majorBidi"/>
          <w:bCs/>
        </w:rPr>
        <w:t>352</w:t>
      </w:r>
      <w:r w:rsidR="00D513DB">
        <w:rPr>
          <w:rFonts w:asciiTheme="majorBidi" w:hAnsiTheme="majorBidi" w:cstheme="majorBidi"/>
          <w:bCs/>
        </w:rPr>
        <w:t xml:space="preserve">, </w:t>
      </w:r>
      <w:r w:rsidR="00024E4A">
        <w:rPr>
          <w:rFonts w:asciiTheme="majorBidi" w:hAnsiTheme="majorBidi" w:cstheme="majorBidi"/>
          <w:bCs/>
        </w:rPr>
        <w:t>P3</w:t>
      </w:r>
      <w:r w:rsidR="00D513DB">
        <w:rPr>
          <w:rFonts w:asciiTheme="majorBidi" w:hAnsiTheme="majorBidi" w:cstheme="majorBidi"/>
          <w:bCs/>
        </w:rPr>
        <w:t>16 and P361+P</w:t>
      </w:r>
      <w:proofErr w:type="gramStart"/>
      <w:r w:rsidR="00D513DB">
        <w:rPr>
          <w:rFonts w:asciiTheme="majorBidi" w:hAnsiTheme="majorBidi" w:cstheme="majorBidi"/>
          <w:bCs/>
        </w:rPr>
        <w:t xml:space="preserve">364 </w:t>
      </w:r>
      <w:r w:rsidR="00024E4A">
        <w:rPr>
          <w:rFonts w:asciiTheme="majorBidi" w:hAnsiTheme="majorBidi" w:cstheme="majorBidi"/>
          <w:bCs/>
        </w:rPr>
        <w:t xml:space="preserve"> remain</w:t>
      </w:r>
      <w:proofErr w:type="gramEnd"/>
      <w:r w:rsidR="00024E4A">
        <w:rPr>
          <w:rFonts w:asciiTheme="majorBidi" w:hAnsiTheme="majorBidi" w:cstheme="majorBidi"/>
          <w:bCs/>
        </w:rPr>
        <w:t xml:space="preserve"> unchanged)</w:t>
      </w:r>
      <w:r w:rsidR="00024E4A" w:rsidRPr="00A00142">
        <w:rPr>
          <w:rFonts w:asciiTheme="majorBidi" w:hAnsiTheme="majorBidi" w:cstheme="majorBidi"/>
        </w:rPr>
        <w:t>:</w:t>
      </w:r>
    </w:p>
    <w:p w14:paraId="2DBD34D6" w14:textId="77777777" w:rsidR="00024E4A" w:rsidRPr="00A00142" w:rsidRDefault="00024E4A" w:rsidP="00024E4A">
      <w:pPr>
        <w:pStyle w:val="BalloonText"/>
        <w:spacing w:before="20" w:after="60"/>
        <w:ind w:left="1701" w:right="1134"/>
        <w:rPr>
          <w:rFonts w:asciiTheme="majorBidi" w:hAnsiTheme="majorBidi" w:cstheme="majorBidi"/>
          <w:bCs/>
          <w:snapToGrid w:val="0"/>
          <w:sz w:val="20"/>
          <w:szCs w:val="20"/>
        </w:rPr>
      </w:pPr>
      <w:r w:rsidRPr="00A00142">
        <w:rPr>
          <w:rFonts w:asciiTheme="majorBidi" w:hAnsiTheme="majorBidi" w:cstheme="majorBidi"/>
          <w:sz w:val="20"/>
          <w:szCs w:val="20"/>
        </w:rPr>
        <w:t>“</w:t>
      </w:r>
      <w:r w:rsidRPr="00A00142">
        <w:rPr>
          <w:rFonts w:asciiTheme="majorBidi" w:hAnsiTheme="majorBidi" w:cstheme="majorBidi"/>
          <w:bCs/>
          <w:snapToGrid w:val="0"/>
          <w:sz w:val="20"/>
          <w:szCs w:val="20"/>
        </w:rPr>
        <w:t>P320</w:t>
      </w:r>
    </w:p>
    <w:p w14:paraId="4EA0C2FE" w14:textId="77777777" w:rsidR="00024E4A" w:rsidRPr="00853534" w:rsidRDefault="00024E4A" w:rsidP="00024E4A">
      <w:pPr>
        <w:pStyle w:val="BalloonText"/>
        <w:tabs>
          <w:tab w:val="left" w:pos="0"/>
          <w:tab w:val="left" w:pos="156"/>
        </w:tabs>
        <w:spacing w:after="60"/>
        <w:ind w:left="1701" w:right="1134"/>
        <w:jc w:val="both"/>
        <w:rPr>
          <w:rFonts w:asciiTheme="majorBidi" w:hAnsiTheme="majorBidi" w:cstheme="majorBidi"/>
          <w:b/>
          <w:sz w:val="20"/>
          <w:szCs w:val="20"/>
        </w:rPr>
      </w:pPr>
      <w:r w:rsidRPr="00EB1507">
        <w:rPr>
          <w:rFonts w:asciiTheme="majorBidi" w:hAnsiTheme="majorBidi" w:cstheme="majorBidi"/>
          <w:b/>
          <w:sz w:val="20"/>
          <w:szCs w:val="20"/>
        </w:rPr>
        <w:t>Specific treatment is urgent (see information on this label and safety data sheet).</w:t>
      </w:r>
    </w:p>
    <w:p w14:paraId="364E0C3B" w14:textId="27DE0B79" w:rsidR="00024E4A" w:rsidRPr="00EB1507" w:rsidRDefault="00024E4A" w:rsidP="00165D2E">
      <w:pPr>
        <w:spacing w:before="60" w:after="120"/>
        <w:ind w:left="1701" w:right="1134"/>
        <w:jc w:val="both"/>
        <w:rPr>
          <w:rStyle w:val="StyleItalic"/>
          <w:rFonts w:asciiTheme="majorBidi" w:hAnsiTheme="majorBidi" w:cstheme="majorBidi"/>
        </w:rPr>
      </w:pPr>
      <w:r w:rsidRPr="00753116">
        <w:rPr>
          <w:rStyle w:val="StyleItalic"/>
        </w:rPr>
        <w:t>- if immediate measures that can be easily applied, such as the administration of antidote or other specific treatment, are required.</w:t>
      </w:r>
      <w:r w:rsidR="00BE392B">
        <w:rPr>
          <w:rStyle w:val="StyleItalic"/>
        </w:rPr>
        <w:t xml:space="preserve"> T</w:t>
      </w:r>
      <w:r w:rsidRPr="00EB1507">
        <w:rPr>
          <w:rStyle w:val="StyleItalic"/>
        </w:rPr>
        <w:t xml:space="preserve">hese measures must be specified on the label and safety data sheet, recognizing additional detailed </w:t>
      </w:r>
      <w:r w:rsidRPr="00EB1507">
        <w:rPr>
          <w:rStyle w:val="StyleItalic"/>
          <w:rFonts w:cstheme="minorBidi"/>
        </w:rPr>
        <w:t xml:space="preserve">instructions, </w:t>
      </w:r>
      <w:r>
        <w:rPr>
          <w:rStyle w:val="StyleItalic"/>
          <w:rFonts w:cstheme="minorBidi"/>
        </w:rPr>
        <w:t>including</w:t>
      </w:r>
      <w:r w:rsidRPr="00EB1507">
        <w:rPr>
          <w:rStyle w:val="StyleItalic"/>
          <w:rFonts w:cstheme="minorBidi"/>
        </w:rPr>
        <w:t xml:space="preserve"> any training requirements, </w:t>
      </w:r>
      <w:r w:rsidRPr="00EB1507">
        <w:rPr>
          <w:rStyle w:val="StyleItalic"/>
        </w:rPr>
        <w:t>should be provided on the safety data sheet, if appropriate.</w:t>
      </w:r>
    </w:p>
    <w:p w14:paraId="6B380F71" w14:textId="77777777" w:rsidR="00024E4A" w:rsidRPr="00EB1507" w:rsidRDefault="00024E4A" w:rsidP="00024E4A">
      <w:pPr>
        <w:pStyle w:val="BalloonText"/>
        <w:tabs>
          <w:tab w:val="left" w:pos="0"/>
          <w:tab w:val="left" w:pos="156"/>
        </w:tabs>
        <w:spacing w:after="60"/>
        <w:ind w:left="1701" w:right="1134"/>
        <w:jc w:val="both"/>
        <w:rPr>
          <w:rFonts w:asciiTheme="majorBidi" w:hAnsiTheme="majorBidi" w:cstheme="majorBidi"/>
          <w:snapToGrid w:val="0"/>
          <w:sz w:val="20"/>
          <w:szCs w:val="20"/>
        </w:rPr>
      </w:pPr>
      <w:r w:rsidRPr="00EB1507">
        <w:rPr>
          <w:rFonts w:asciiTheme="majorBidi" w:hAnsiTheme="majorBidi" w:cstheme="majorBidi"/>
          <w:snapToGrid w:val="0"/>
          <w:sz w:val="20"/>
          <w:szCs w:val="20"/>
        </w:rPr>
        <w:t>P322</w:t>
      </w:r>
    </w:p>
    <w:p w14:paraId="60B56459" w14:textId="77777777" w:rsidR="00024E4A" w:rsidRPr="00EB1507" w:rsidRDefault="00024E4A" w:rsidP="00024E4A">
      <w:pPr>
        <w:pStyle w:val="BalloonText"/>
        <w:tabs>
          <w:tab w:val="left" w:pos="0"/>
          <w:tab w:val="left" w:pos="156"/>
        </w:tabs>
        <w:spacing w:after="60"/>
        <w:ind w:left="1701" w:right="1134"/>
        <w:jc w:val="both"/>
        <w:rPr>
          <w:rFonts w:asciiTheme="majorBidi" w:hAnsiTheme="majorBidi" w:cstheme="majorBidi"/>
          <w:snapToGrid w:val="0"/>
          <w:sz w:val="20"/>
          <w:szCs w:val="20"/>
        </w:rPr>
      </w:pPr>
      <w:r w:rsidRPr="00EB1507">
        <w:rPr>
          <w:rFonts w:asciiTheme="majorBidi" w:hAnsiTheme="majorBidi" w:cstheme="majorBidi"/>
          <w:b/>
          <w:bCs/>
          <w:sz w:val="20"/>
          <w:szCs w:val="20"/>
        </w:rPr>
        <w:t>Specific treatment is urgent (see information on the safety data sheet).</w:t>
      </w:r>
    </w:p>
    <w:p w14:paraId="29D7A5BE" w14:textId="77777777" w:rsidR="00024E4A" w:rsidRPr="00EB1507" w:rsidRDefault="00024E4A" w:rsidP="00024E4A">
      <w:pPr>
        <w:keepLines/>
        <w:tabs>
          <w:tab w:val="left" w:pos="178"/>
        </w:tabs>
        <w:spacing w:after="60" w:line="240" w:lineRule="auto"/>
        <w:ind w:left="1701" w:right="1134"/>
        <w:jc w:val="both"/>
        <w:rPr>
          <w:rStyle w:val="StyleItalic"/>
          <w:rFonts w:asciiTheme="majorBidi" w:hAnsiTheme="majorBidi" w:cstheme="majorBidi"/>
          <w:i w:val="0"/>
          <w:iCs w:val="0"/>
          <w:sz w:val="16"/>
          <w:szCs w:val="16"/>
        </w:rPr>
      </w:pPr>
      <w:r w:rsidRPr="00EB1507">
        <w:rPr>
          <w:rStyle w:val="StyleItalic"/>
          <w:rFonts w:asciiTheme="majorBidi" w:hAnsiTheme="majorBidi" w:cstheme="majorBidi"/>
          <w:i w:val="0"/>
          <w:iCs w:val="0"/>
        </w:rPr>
        <w:t>Manufacturer/supplier to reference on the safety data sheet detailed instructions</w:t>
      </w:r>
      <w:r>
        <w:rPr>
          <w:rStyle w:val="StyleItalic"/>
          <w:rFonts w:asciiTheme="majorBidi" w:hAnsiTheme="majorBidi" w:cstheme="majorBidi"/>
          <w:i w:val="0"/>
          <w:iCs w:val="0"/>
        </w:rPr>
        <w:t>,</w:t>
      </w:r>
      <w:r w:rsidRPr="00EB1507">
        <w:rPr>
          <w:rStyle w:val="StyleItalic"/>
          <w:rFonts w:asciiTheme="majorBidi" w:hAnsiTheme="majorBidi" w:cstheme="majorBidi"/>
          <w:i w:val="0"/>
          <w:iCs w:val="0"/>
        </w:rPr>
        <w:t xml:space="preserve"> </w:t>
      </w:r>
      <w:r>
        <w:rPr>
          <w:rStyle w:val="StyleItalic"/>
          <w:rFonts w:asciiTheme="majorBidi" w:hAnsiTheme="majorBidi" w:cstheme="majorBidi"/>
          <w:i w:val="0"/>
          <w:iCs w:val="0"/>
        </w:rPr>
        <w:t>including</w:t>
      </w:r>
      <w:r w:rsidRPr="00EB1507">
        <w:rPr>
          <w:rStyle w:val="StyleItalic"/>
          <w:rFonts w:asciiTheme="majorBidi" w:hAnsiTheme="majorBidi" w:cstheme="majorBidi"/>
          <w:i w:val="0"/>
          <w:iCs w:val="0"/>
        </w:rPr>
        <w:t xml:space="preserve"> any training requirements</w:t>
      </w:r>
      <w:r>
        <w:rPr>
          <w:rStyle w:val="StyleItalic"/>
          <w:rFonts w:asciiTheme="majorBidi" w:hAnsiTheme="majorBidi" w:cstheme="majorBidi"/>
          <w:i w:val="0"/>
          <w:iCs w:val="0"/>
        </w:rPr>
        <w:t>,</w:t>
      </w:r>
      <w:r w:rsidRPr="00EB1507">
        <w:rPr>
          <w:rStyle w:val="StyleItalic"/>
          <w:rFonts w:asciiTheme="majorBidi" w:hAnsiTheme="majorBidi" w:cstheme="majorBidi"/>
          <w:i w:val="0"/>
          <w:iCs w:val="0"/>
        </w:rPr>
        <w:t xml:space="preserve"> to administer an antidote or provide other specific treatment.</w:t>
      </w:r>
    </w:p>
    <w:p w14:paraId="50FE23B8" w14:textId="77777777" w:rsidR="00024E4A" w:rsidRPr="00050E72" w:rsidRDefault="00024E4A" w:rsidP="00024E4A">
      <w:pPr>
        <w:pStyle w:val="BalloonText"/>
        <w:tabs>
          <w:tab w:val="left" w:pos="0"/>
          <w:tab w:val="left" w:pos="156"/>
        </w:tabs>
        <w:spacing w:before="20" w:after="160"/>
        <w:ind w:left="1701" w:right="1134"/>
        <w:jc w:val="both"/>
        <w:rPr>
          <w:rFonts w:asciiTheme="majorBidi" w:hAnsiTheme="majorBidi" w:cstheme="majorBidi"/>
          <w:sz w:val="20"/>
          <w:szCs w:val="20"/>
        </w:rPr>
      </w:pPr>
      <w:r w:rsidRPr="00EB1507">
        <w:rPr>
          <w:rStyle w:val="StyleItalic"/>
          <w:rFonts w:asciiTheme="majorBidi" w:hAnsiTheme="majorBidi" w:cstheme="majorBidi"/>
          <w:sz w:val="20"/>
          <w:szCs w:val="20"/>
        </w:rPr>
        <w:t>- may be omitted if P320 is given on the label.”</w:t>
      </w:r>
    </w:p>
    <w:p w14:paraId="1BCEF720" w14:textId="77777777" w:rsidR="003D2F02" w:rsidRPr="00911976" w:rsidRDefault="003D2F02" w:rsidP="003D2F02">
      <w:pPr>
        <w:pStyle w:val="H23G"/>
      </w:pPr>
      <w:r>
        <w:tab/>
      </w:r>
      <w:r>
        <w:tab/>
      </w:r>
      <w:r w:rsidRPr="00911976">
        <w:t>Table for “Acute toxicity, dermal</w:t>
      </w:r>
      <w:r w:rsidRPr="00911976" w:rsidDel="007E6725">
        <w:t xml:space="preserve"> </w:t>
      </w:r>
      <w:r w:rsidRPr="00911976">
        <w:t>(chapter 3.1)” hazard category 4</w:t>
      </w:r>
    </w:p>
    <w:p w14:paraId="6DEB427D" w14:textId="0A61262D" w:rsidR="003D2F02" w:rsidRPr="00911976" w:rsidRDefault="00EA0182" w:rsidP="003D2F02">
      <w:pPr>
        <w:pStyle w:val="SingleTxtG"/>
      </w:pPr>
      <w:r>
        <w:t>5</w:t>
      </w:r>
      <w:r w:rsidR="006F0CD5">
        <w:t>8</w:t>
      </w:r>
      <w:r w:rsidR="003D2F02" w:rsidRPr="00E2737F">
        <w:t>.</w:t>
      </w:r>
      <w:r w:rsidR="003D2F02" w:rsidRPr="00911976">
        <w:tab/>
        <w:t xml:space="preserve">Column “Response”, </w:t>
      </w:r>
      <w:proofErr w:type="gramStart"/>
      <w:r w:rsidR="003D2F02">
        <w:t xml:space="preserve">replace </w:t>
      </w:r>
      <w:r w:rsidR="00C849AA">
        <w:t xml:space="preserve"> </w:t>
      </w:r>
      <w:r w:rsidR="003D2F02" w:rsidRPr="00911976">
        <w:t>P</w:t>
      </w:r>
      <w:proofErr w:type="gramEnd"/>
      <w:r w:rsidR="003D2F02" w:rsidRPr="00911976">
        <w:t xml:space="preserve">321 </w:t>
      </w:r>
      <w:r w:rsidR="003D2F02" w:rsidRPr="00EB1507">
        <w:rPr>
          <w:rFonts w:asciiTheme="majorBidi" w:hAnsiTheme="majorBidi" w:cstheme="majorBidi"/>
          <w:bCs/>
        </w:rPr>
        <w:t>and</w:t>
      </w:r>
      <w:r w:rsidR="003D2F02">
        <w:rPr>
          <w:rFonts w:asciiTheme="majorBidi" w:hAnsiTheme="majorBidi" w:cstheme="majorBidi"/>
          <w:bCs/>
        </w:rPr>
        <w:t xml:space="preserve"> insert the</w:t>
      </w:r>
      <w:r w:rsidR="003D2F02" w:rsidRPr="00EB1507">
        <w:rPr>
          <w:rFonts w:asciiTheme="majorBidi" w:hAnsiTheme="majorBidi" w:cstheme="majorBidi"/>
          <w:bCs/>
        </w:rPr>
        <w:t xml:space="preserve"> </w:t>
      </w:r>
      <w:r w:rsidR="003D2F02">
        <w:rPr>
          <w:rFonts w:asciiTheme="majorBidi" w:hAnsiTheme="majorBidi" w:cstheme="majorBidi"/>
          <w:bCs/>
        </w:rPr>
        <w:t xml:space="preserve">new </w:t>
      </w:r>
      <w:r w:rsidR="003D2F02" w:rsidRPr="00EB1507">
        <w:rPr>
          <w:rFonts w:asciiTheme="majorBidi" w:hAnsiTheme="majorBidi" w:cstheme="majorBidi"/>
          <w:bCs/>
        </w:rPr>
        <w:t>P32</w:t>
      </w:r>
      <w:r w:rsidR="003D2F02">
        <w:rPr>
          <w:rFonts w:asciiTheme="majorBidi" w:hAnsiTheme="majorBidi" w:cstheme="majorBidi"/>
          <w:bCs/>
        </w:rPr>
        <w:t>3</w:t>
      </w:r>
      <w:r w:rsidR="007E0071">
        <w:rPr>
          <w:rFonts w:asciiTheme="majorBidi" w:hAnsiTheme="majorBidi" w:cstheme="majorBidi"/>
          <w:bCs/>
        </w:rPr>
        <w:t xml:space="preserve"> entry</w:t>
      </w:r>
      <w:r w:rsidR="003D2F02">
        <w:rPr>
          <w:rFonts w:asciiTheme="majorBidi" w:hAnsiTheme="majorBidi" w:cstheme="majorBidi"/>
          <w:bCs/>
        </w:rPr>
        <w:t>,</w:t>
      </w:r>
      <w:r w:rsidR="003D2F02" w:rsidRPr="00EB1507">
        <w:rPr>
          <w:rFonts w:asciiTheme="majorBidi" w:hAnsiTheme="majorBidi" w:cstheme="majorBidi"/>
          <w:bCs/>
        </w:rPr>
        <w:t xml:space="preserve"> </w:t>
      </w:r>
      <w:r w:rsidR="003D2F02" w:rsidRPr="00911976">
        <w:t>to read as follows (current P302+P352, P317 and P362+P364 remain unchanged):</w:t>
      </w:r>
    </w:p>
    <w:p w14:paraId="7562BAA1" w14:textId="77777777" w:rsidR="003D2F02" w:rsidRDefault="003D2F02" w:rsidP="003D2F02">
      <w:pPr>
        <w:pStyle w:val="BalloonText"/>
        <w:spacing w:before="20" w:after="60"/>
        <w:ind w:left="1701" w:right="1134"/>
        <w:rPr>
          <w:rFonts w:asciiTheme="majorBidi" w:hAnsiTheme="majorBidi" w:cstheme="majorBidi"/>
          <w:bCs/>
          <w:sz w:val="20"/>
          <w:szCs w:val="20"/>
        </w:rPr>
      </w:pPr>
      <w:r w:rsidRPr="005B16CC">
        <w:rPr>
          <w:rFonts w:asciiTheme="majorBidi" w:hAnsiTheme="majorBidi" w:cstheme="majorBidi"/>
          <w:bCs/>
          <w:sz w:val="20"/>
          <w:szCs w:val="20"/>
        </w:rPr>
        <w:t>“P321</w:t>
      </w:r>
    </w:p>
    <w:p w14:paraId="352B4530" w14:textId="77777777" w:rsidR="00C07A4A" w:rsidRDefault="003D2F02" w:rsidP="00165D2E">
      <w:pPr>
        <w:spacing w:after="80"/>
        <w:ind w:left="1843" w:right="1134"/>
        <w:jc w:val="both"/>
        <w:rPr>
          <w:rStyle w:val="StyleBold"/>
          <w:rFonts w:asciiTheme="majorBidi" w:hAnsiTheme="majorBidi" w:cstheme="majorBidi"/>
        </w:rPr>
      </w:pPr>
      <w:r w:rsidRPr="005B16CC">
        <w:rPr>
          <w:rStyle w:val="StyleBold"/>
          <w:rFonts w:asciiTheme="majorBidi" w:hAnsiTheme="majorBidi" w:cstheme="majorBidi"/>
        </w:rPr>
        <w:t xml:space="preserve">Specific treatment (see </w:t>
      </w:r>
      <w:r w:rsidRPr="005B16CC">
        <w:rPr>
          <w:rFonts w:asciiTheme="majorBidi" w:hAnsiTheme="majorBidi" w:cstheme="majorBidi"/>
          <w:b/>
        </w:rPr>
        <w:t xml:space="preserve">information </w:t>
      </w:r>
      <w:r w:rsidRPr="005B16CC">
        <w:rPr>
          <w:rStyle w:val="StyleBold"/>
          <w:rFonts w:asciiTheme="majorBidi" w:hAnsiTheme="majorBidi" w:cstheme="majorBidi"/>
        </w:rPr>
        <w:t xml:space="preserve">on this </w:t>
      </w:r>
      <w:r w:rsidRPr="00797D7A">
        <w:rPr>
          <w:rStyle w:val="StyleBold"/>
          <w:rFonts w:asciiTheme="majorBidi" w:hAnsiTheme="majorBidi" w:cstheme="majorBidi"/>
        </w:rPr>
        <w:t>label and safety data sheet).</w:t>
      </w:r>
    </w:p>
    <w:p w14:paraId="4E0084A2" w14:textId="044A65AD" w:rsidR="003D2F02" w:rsidRDefault="003D2F02" w:rsidP="00165D2E">
      <w:pPr>
        <w:spacing w:after="80"/>
        <w:ind w:left="1843" w:right="1134"/>
        <w:jc w:val="both"/>
        <w:rPr>
          <w:rStyle w:val="StyleItalic"/>
        </w:rPr>
      </w:pPr>
      <w:r w:rsidRPr="00797D7A">
        <w:rPr>
          <w:rStyle w:val="StyleItalic"/>
        </w:rPr>
        <w:t>- if immediate measures that can be easily applied, such as the administration of antidote or other specific treatment, are required.</w:t>
      </w:r>
      <w:r w:rsidR="00FC798A">
        <w:rPr>
          <w:rStyle w:val="StyleItalic"/>
        </w:rPr>
        <w:t xml:space="preserve"> T</w:t>
      </w:r>
      <w:r w:rsidRPr="00797D7A">
        <w:rPr>
          <w:rStyle w:val="StyleItalic"/>
        </w:rPr>
        <w:t xml:space="preserve">hese measures must be specified on the label and safety data sheet, recognizing additional detailed </w:t>
      </w:r>
      <w:r w:rsidRPr="00797D7A">
        <w:rPr>
          <w:rStyle w:val="StyleItalic"/>
          <w:rFonts w:cstheme="minorBidi"/>
        </w:rPr>
        <w:t xml:space="preserve">instructions, </w:t>
      </w:r>
      <w:r>
        <w:rPr>
          <w:rStyle w:val="StyleItalic"/>
          <w:rFonts w:cstheme="minorBidi"/>
        </w:rPr>
        <w:t>including</w:t>
      </w:r>
      <w:r w:rsidRPr="00797D7A">
        <w:rPr>
          <w:rStyle w:val="StyleItalic"/>
          <w:rFonts w:cstheme="minorBidi"/>
        </w:rPr>
        <w:t xml:space="preserve"> any training requirements,</w:t>
      </w:r>
      <w:r w:rsidRPr="00797D7A">
        <w:rPr>
          <w:rStyle w:val="StyleItalic"/>
        </w:rPr>
        <w:t xml:space="preserve"> should be provided on the safety data sheet, if appropriate.</w:t>
      </w:r>
    </w:p>
    <w:p w14:paraId="04ED20E8" w14:textId="77777777" w:rsidR="003D2F02" w:rsidRPr="00F03399" w:rsidRDefault="003D2F02" w:rsidP="003D2F02">
      <w:pPr>
        <w:pStyle w:val="BalloonText"/>
        <w:tabs>
          <w:tab w:val="left" w:pos="0"/>
          <w:tab w:val="left" w:pos="221"/>
        </w:tabs>
        <w:spacing w:before="20" w:after="160"/>
        <w:ind w:left="1701" w:right="1134"/>
        <w:rPr>
          <w:rStyle w:val="StyleItalic"/>
          <w:sz w:val="20"/>
          <w:szCs w:val="20"/>
        </w:rPr>
      </w:pPr>
      <w:r w:rsidRPr="00F03399">
        <w:rPr>
          <w:rStyle w:val="StyleItalic"/>
          <w:rFonts w:asciiTheme="majorBidi" w:hAnsiTheme="majorBidi" w:cstheme="majorBidi"/>
          <w:sz w:val="20"/>
          <w:szCs w:val="20"/>
        </w:rPr>
        <w:t>- may be omitted if P320 is given on the label</w:t>
      </w:r>
      <w:r w:rsidRPr="00F03399">
        <w:rPr>
          <w:rFonts w:ascii="Times New Roman" w:hAnsi="Times New Roman" w:cs="Times New Roman"/>
          <w:i/>
          <w:iCs/>
          <w:sz w:val="20"/>
          <w:szCs w:val="20"/>
        </w:rPr>
        <w:t>.</w:t>
      </w:r>
    </w:p>
    <w:p w14:paraId="181426E5" w14:textId="77777777" w:rsidR="003D2F02" w:rsidRPr="00797D7A" w:rsidRDefault="003D2F02" w:rsidP="003D2F02">
      <w:pPr>
        <w:pStyle w:val="BalloonText"/>
        <w:spacing w:after="60"/>
        <w:ind w:left="1701" w:right="1134"/>
        <w:rPr>
          <w:rFonts w:asciiTheme="majorBidi" w:hAnsiTheme="majorBidi" w:cstheme="majorBidi"/>
          <w:bCs/>
          <w:sz w:val="20"/>
          <w:szCs w:val="20"/>
        </w:rPr>
      </w:pPr>
      <w:r w:rsidRPr="00797D7A">
        <w:rPr>
          <w:rFonts w:asciiTheme="majorBidi" w:hAnsiTheme="majorBidi" w:cstheme="majorBidi"/>
          <w:bCs/>
          <w:sz w:val="20"/>
          <w:szCs w:val="20"/>
        </w:rPr>
        <w:t>P323</w:t>
      </w:r>
    </w:p>
    <w:p w14:paraId="5824E506" w14:textId="77777777" w:rsidR="003D2F02" w:rsidRPr="00797D7A" w:rsidRDefault="003D2F02" w:rsidP="003D2F02">
      <w:pPr>
        <w:pStyle w:val="BalloonText"/>
        <w:spacing w:after="60"/>
        <w:ind w:left="1701" w:right="1134"/>
        <w:rPr>
          <w:rFonts w:asciiTheme="majorBidi" w:hAnsiTheme="majorBidi" w:cstheme="majorBidi"/>
          <w:b/>
          <w:bCs/>
          <w:sz w:val="20"/>
          <w:szCs w:val="20"/>
        </w:rPr>
      </w:pPr>
      <w:r w:rsidRPr="00797D7A">
        <w:rPr>
          <w:rStyle w:val="StyleBold"/>
          <w:rFonts w:asciiTheme="majorBidi" w:hAnsiTheme="majorBidi" w:cstheme="majorBidi"/>
          <w:sz w:val="20"/>
          <w:szCs w:val="20"/>
        </w:rPr>
        <w:t xml:space="preserve">Specific treatment (see </w:t>
      </w:r>
      <w:r w:rsidRPr="00797D7A">
        <w:rPr>
          <w:rFonts w:asciiTheme="majorBidi" w:hAnsiTheme="majorBidi" w:cstheme="majorBidi"/>
          <w:b/>
          <w:bCs/>
          <w:sz w:val="20"/>
          <w:szCs w:val="20"/>
        </w:rPr>
        <w:t>information on the safety data sheet).</w:t>
      </w:r>
    </w:p>
    <w:p w14:paraId="1A72FC1C" w14:textId="77777777" w:rsidR="003D2F02" w:rsidRPr="00797D7A" w:rsidRDefault="003D2F02" w:rsidP="00165D2E">
      <w:pPr>
        <w:pStyle w:val="BalloonText"/>
        <w:spacing w:after="60"/>
        <w:ind w:left="1701" w:right="1134"/>
        <w:jc w:val="both"/>
        <w:rPr>
          <w:rStyle w:val="StyleItalic"/>
          <w:rFonts w:asciiTheme="majorBidi" w:hAnsiTheme="majorBidi" w:cstheme="majorBidi"/>
          <w:i w:val="0"/>
          <w:iCs w:val="0"/>
          <w:sz w:val="20"/>
          <w:szCs w:val="20"/>
        </w:rPr>
      </w:pPr>
      <w:r w:rsidRPr="00797D7A">
        <w:rPr>
          <w:rStyle w:val="StyleItalic"/>
          <w:rFonts w:asciiTheme="majorBidi" w:hAnsiTheme="majorBidi" w:cstheme="majorBidi"/>
          <w:i w:val="0"/>
          <w:iCs w:val="0"/>
          <w:sz w:val="20"/>
          <w:szCs w:val="20"/>
        </w:rPr>
        <w:t>Manufacturer/supplier to reference on the safety data sheet detailed instructions</w:t>
      </w:r>
      <w:r>
        <w:rPr>
          <w:rStyle w:val="StyleItalic"/>
          <w:rFonts w:asciiTheme="majorBidi" w:hAnsiTheme="majorBidi" w:cstheme="majorBidi"/>
          <w:i w:val="0"/>
          <w:iCs w:val="0"/>
          <w:sz w:val="20"/>
          <w:szCs w:val="20"/>
        </w:rPr>
        <w:t>,</w:t>
      </w:r>
      <w:r w:rsidRPr="00797D7A">
        <w:rPr>
          <w:rStyle w:val="StyleItalic"/>
          <w:rFonts w:asciiTheme="majorBidi" w:hAnsiTheme="majorBidi" w:cstheme="majorBidi"/>
          <w:i w:val="0"/>
          <w:iCs w:val="0"/>
          <w:sz w:val="20"/>
          <w:szCs w:val="20"/>
        </w:rPr>
        <w:t xml:space="preserve"> </w:t>
      </w:r>
      <w:r>
        <w:rPr>
          <w:rStyle w:val="StyleItalic"/>
          <w:rFonts w:asciiTheme="majorBidi" w:hAnsiTheme="majorBidi" w:cstheme="majorBidi"/>
          <w:i w:val="0"/>
          <w:iCs w:val="0"/>
          <w:sz w:val="20"/>
          <w:szCs w:val="20"/>
        </w:rPr>
        <w:t>including</w:t>
      </w:r>
      <w:r w:rsidRPr="00797D7A">
        <w:rPr>
          <w:rStyle w:val="StyleItalic"/>
          <w:rFonts w:asciiTheme="majorBidi" w:hAnsiTheme="majorBidi" w:cstheme="majorBidi"/>
          <w:i w:val="0"/>
          <w:iCs w:val="0"/>
          <w:sz w:val="20"/>
          <w:szCs w:val="20"/>
        </w:rPr>
        <w:t xml:space="preserve"> any training requirements</w:t>
      </w:r>
      <w:r>
        <w:rPr>
          <w:rStyle w:val="StyleItalic"/>
          <w:rFonts w:asciiTheme="majorBidi" w:hAnsiTheme="majorBidi" w:cstheme="majorBidi"/>
          <w:i w:val="0"/>
          <w:iCs w:val="0"/>
          <w:sz w:val="20"/>
          <w:szCs w:val="20"/>
        </w:rPr>
        <w:t>,</w:t>
      </w:r>
      <w:r w:rsidRPr="00797D7A">
        <w:rPr>
          <w:rStyle w:val="StyleItalic"/>
          <w:rFonts w:asciiTheme="majorBidi" w:hAnsiTheme="majorBidi" w:cstheme="majorBidi"/>
          <w:i w:val="0"/>
          <w:iCs w:val="0"/>
          <w:sz w:val="20"/>
          <w:szCs w:val="20"/>
        </w:rPr>
        <w:t xml:space="preserve"> to administer an antidote or </w:t>
      </w:r>
      <w:r w:rsidRPr="00797D7A">
        <w:rPr>
          <w:rStyle w:val="StyleItalic"/>
          <w:rFonts w:cstheme="minorBidi"/>
          <w:i w:val="0"/>
          <w:iCs w:val="0"/>
          <w:sz w:val="20"/>
          <w:szCs w:val="20"/>
        </w:rPr>
        <w:t>other specific treatment</w:t>
      </w:r>
      <w:r w:rsidRPr="00797D7A">
        <w:rPr>
          <w:rStyle w:val="StyleItalic"/>
          <w:rFonts w:asciiTheme="majorBidi" w:hAnsiTheme="majorBidi" w:cstheme="majorBidi"/>
          <w:i w:val="0"/>
          <w:iCs w:val="0"/>
          <w:sz w:val="20"/>
          <w:szCs w:val="20"/>
        </w:rPr>
        <w:t>.</w:t>
      </w:r>
    </w:p>
    <w:p w14:paraId="483E8B59" w14:textId="77777777" w:rsidR="003D2F02" w:rsidRPr="00173FE4" w:rsidRDefault="003D2F02" w:rsidP="003D2F02">
      <w:pPr>
        <w:pStyle w:val="BalloonText"/>
        <w:spacing w:after="120"/>
        <w:ind w:left="1701" w:right="1134"/>
        <w:rPr>
          <w:rFonts w:asciiTheme="majorBidi" w:hAnsiTheme="majorBidi" w:cstheme="majorBidi"/>
        </w:rPr>
      </w:pPr>
      <w:r w:rsidRPr="00797D7A">
        <w:rPr>
          <w:rStyle w:val="StyleItalic"/>
          <w:rFonts w:asciiTheme="majorBidi" w:hAnsiTheme="majorBidi" w:cstheme="majorBidi"/>
          <w:sz w:val="20"/>
          <w:szCs w:val="20"/>
        </w:rPr>
        <w:t>- may be omitted if P321 or P322 is given on the label”.</w:t>
      </w:r>
    </w:p>
    <w:p w14:paraId="2274B29F" w14:textId="77777777" w:rsidR="003D2F02" w:rsidRDefault="003D2F02" w:rsidP="003D2F02">
      <w:pPr>
        <w:pStyle w:val="H23G"/>
      </w:pPr>
      <w:r>
        <w:tab/>
      </w:r>
      <w:r>
        <w:tab/>
      </w:r>
      <w:r>
        <w:tab/>
      </w:r>
      <w:r w:rsidRPr="00911976">
        <w:t>Table for “Acute toxicity, dermal</w:t>
      </w:r>
      <w:r w:rsidRPr="00911976" w:rsidDel="007E6725">
        <w:t xml:space="preserve"> </w:t>
      </w:r>
      <w:r w:rsidRPr="00911976">
        <w:t xml:space="preserve">(chapter 3.1)” hazard category </w:t>
      </w:r>
      <w:r>
        <w:t>5</w:t>
      </w:r>
    </w:p>
    <w:p w14:paraId="71F536B4" w14:textId="14AD99B7" w:rsidR="003D2F02" w:rsidRPr="00911976" w:rsidRDefault="00EA0182" w:rsidP="003D2F02">
      <w:pPr>
        <w:pStyle w:val="SingleTxtG"/>
      </w:pPr>
      <w:r>
        <w:rPr>
          <w:bCs/>
        </w:rPr>
        <w:t>5</w:t>
      </w:r>
      <w:r w:rsidR="006F0CD5">
        <w:rPr>
          <w:bCs/>
        </w:rPr>
        <w:t>9</w:t>
      </w:r>
      <w:r w:rsidR="003D2F02" w:rsidRPr="00F56DA7">
        <w:rPr>
          <w:bCs/>
        </w:rPr>
        <w:t>.</w:t>
      </w:r>
      <w:r w:rsidR="003D2F02">
        <w:rPr>
          <w:b/>
          <w:bCs/>
        </w:rPr>
        <w:tab/>
      </w:r>
      <w:r w:rsidR="003D2F02" w:rsidRPr="00911976">
        <w:t xml:space="preserve">Column “Response”, </w:t>
      </w:r>
      <w:r w:rsidR="00075302">
        <w:t>amend to read</w:t>
      </w:r>
      <w:r w:rsidR="003D2F02" w:rsidRPr="00911976">
        <w:t>:</w:t>
      </w:r>
    </w:p>
    <w:p w14:paraId="67409964" w14:textId="3EE758B4" w:rsidR="003D2F02" w:rsidRPr="00093D0E" w:rsidRDefault="003D2F02" w:rsidP="003D2F02">
      <w:pPr>
        <w:pStyle w:val="BalloonText"/>
        <w:spacing w:before="120" w:after="120"/>
        <w:ind w:left="1701" w:right="1134"/>
        <w:rPr>
          <w:rFonts w:ascii="Times New Roman" w:hAnsi="Times New Roman" w:cs="Times New Roman"/>
          <w:b/>
          <w:sz w:val="20"/>
          <w:szCs w:val="20"/>
        </w:rPr>
      </w:pPr>
      <w:r w:rsidRPr="00093D0E">
        <w:rPr>
          <w:rFonts w:ascii="Times New Roman" w:hAnsi="Times New Roman" w:cs="Times New Roman"/>
          <w:bCs/>
          <w:sz w:val="20"/>
          <w:szCs w:val="20"/>
        </w:rPr>
        <w:t>“P317</w:t>
      </w:r>
      <w:r w:rsidRPr="00093D0E">
        <w:rPr>
          <w:rFonts w:ascii="Times New Roman" w:hAnsi="Times New Roman" w:cs="Times New Roman"/>
          <w:b/>
          <w:sz w:val="20"/>
          <w:szCs w:val="20"/>
        </w:rPr>
        <w:br/>
        <w:t>Get medical help.</w:t>
      </w:r>
    </w:p>
    <w:p w14:paraId="18C388E7" w14:textId="77777777" w:rsidR="00C07A4A" w:rsidRDefault="003D2F02" w:rsidP="00C07A4A">
      <w:pPr>
        <w:pStyle w:val="BalloonText"/>
        <w:spacing w:before="20"/>
        <w:ind w:left="1701" w:right="1134"/>
        <w:jc w:val="both"/>
        <w:rPr>
          <w:rFonts w:ascii="Times New Roman" w:hAnsi="Times New Roman" w:cs="Times New Roman"/>
          <w:b/>
          <w:sz w:val="20"/>
          <w:szCs w:val="20"/>
        </w:rPr>
      </w:pPr>
      <w:r w:rsidRPr="00093D0E">
        <w:rPr>
          <w:rFonts w:ascii="Times New Roman" w:hAnsi="Times New Roman" w:cs="Times New Roman"/>
          <w:bCs/>
          <w:sz w:val="20"/>
          <w:szCs w:val="20"/>
        </w:rPr>
        <w:t>P302+P352</w:t>
      </w:r>
      <w:r w:rsidRPr="00093D0E">
        <w:rPr>
          <w:rFonts w:ascii="Times New Roman" w:hAnsi="Times New Roman" w:cs="Times New Roman"/>
          <w:b/>
          <w:sz w:val="20"/>
          <w:szCs w:val="20"/>
        </w:rPr>
        <w:br/>
        <w:t>IF ON SKIN: Wash with plenty of water/</w:t>
      </w:r>
      <w:r>
        <w:rPr>
          <w:rFonts w:ascii="Times New Roman" w:hAnsi="Times New Roman" w:cs="Times New Roman"/>
          <w:b/>
          <w:sz w:val="20"/>
          <w:szCs w:val="20"/>
        </w:rPr>
        <w:t>…</w:t>
      </w:r>
    </w:p>
    <w:p w14:paraId="344970DD" w14:textId="1C558B09" w:rsidR="003D2F02" w:rsidRPr="00093D0E" w:rsidRDefault="003D2F02" w:rsidP="00C07A4A">
      <w:pPr>
        <w:pStyle w:val="BalloonText"/>
        <w:spacing w:after="160"/>
        <w:ind w:left="1701" w:right="1134"/>
        <w:jc w:val="both"/>
        <w:rPr>
          <w:rFonts w:ascii="Times New Roman" w:hAnsi="Times New Roman" w:cs="Times New Roman"/>
          <w:sz w:val="20"/>
          <w:szCs w:val="20"/>
        </w:rPr>
      </w:pPr>
      <w:r w:rsidRPr="00093D0E">
        <w:rPr>
          <w:rFonts w:ascii="Times New Roman" w:hAnsi="Times New Roman" w:cs="Times New Roman"/>
          <w:sz w:val="20"/>
          <w:szCs w:val="20"/>
        </w:rPr>
        <w:lastRenderedPageBreak/>
        <w:t>…Manufacturer/supplier or the competent authority may specify a cleansing agent if appropriate, or may recommend an alternative agent in exceptional cases if water is clearly inappropriate.”</w:t>
      </w:r>
    </w:p>
    <w:p w14:paraId="007B9878" w14:textId="77777777" w:rsidR="003D2F02" w:rsidRPr="00911976" w:rsidRDefault="003D2F02" w:rsidP="003D2F02">
      <w:pPr>
        <w:pStyle w:val="H23G"/>
        <w:ind w:firstLine="0"/>
      </w:pPr>
      <w:r w:rsidRPr="00911976">
        <w:t>Table</w:t>
      </w:r>
      <w:r>
        <w:t>s</w:t>
      </w:r>
      <w:r w:rsidRPr="00911976">
        <w:t xml:space="preserve"> for “Acute toxicity, inhalation</w:t>
      </w:r>
      <w:r w:rsidRPr="00911976" w:rsidDel="007E6725">
        <w:t xml:space="preserve"> </w:t>
      </w:r>
      <w:r w:rsidRPr="00911976">
        <w:t>(chapter 3.1)” hazard categories 1, 2,</w:t>
      </w:r>
      <w:r>
        <w:t xml:space="preserve"> 3</w:t>
      </w:r>
    </w:p>
    <w:p w14:paraId="2094E054" w14:textId="11E82D6B" w:rsidR="003D2F02" w:rsidRPr="00911976" w:rsidRDefault="006F0CD5" w:rsidP="003D2F02">
      <w:pPr>
        <w:pStyle w:val="SingleTxtG"/>
      </w:pPr>
      <w:r>
        <w:t>60</w:t>
      </w:r>
      <w:r w:rsidR="003D2F02" w:rsidRPr="00911976">
        <w:t>.</w:t>
      </w:r>
      <w:r w:rsidR="003D2F02" w:rsidRPr="00911976">
        <w:tab/>
        <w:t>Delete the current table for category 3</w:t>
      </w:r>
      <w:r w:rsidR="006B0631">
        <w:t>. In the current table for categories 1 and 2, insert a row for category 3 under the existing row for category 2 as follows</w:t>
      </w:r>
      <w:r w:rsidR="009F4CF1">
        <w:t>:</w:t>
      </w:r>
    </w:p>
    <w:tbl>
      <w:tblPr>
        <w:tblW w:w="7513"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65"/>
        <w:gridCol w:w="1629"/>
        <w:gridCol w:w="1452"/>
        <w:gridCol w:w="744"/>
        <w:gridCol w:w="960"/>
        <w:gridCol w:w="1663"/>
      </w:tblGrid>
      <w:tr w:rsidR="003D2F02" w:rsidRPr="006F03B3" w14:paraId="4CFAB2A9" w14:textId="77777777" w:rsidTr="00165D2E">
        <w:tc>
          <w:tcPr>
            <w:tcW w:w="1065" w:type="dxa"/>
            <w:tcBorders>
              <w:top w:val="nil"/>
              <w:left w:val="nil"/>
              <w:bottom w:val="nil"/>
              <w:right w:val="nil"/>
            </w:tcBorders>
          </w:tcPr>
          <w:p w14:paraId="08C9F95E" w14:textId="77777777" w:rsidR="003D2F02" w:rsidRPr="006F03B3" w:rsidRDefault="003D2F02" w:rsidP="004853DB">
            <w:pPr>
              <w:spacing w:before="40" w:after="40"/>
              <w:rPr>
                <w:b/>
                <w:bCs/>
                <w:sz w:val="16"/>
                <w:szCs w:val="16"/>
              </w:rPr>
            </w:pPr>
            <w:r w:rsidRPr="006F03B3">
              <w:rPr>
                <w:b/>
                <w:bCs/>
                <w:sz w:val="16"/>
                <w:szCs w:val="16"/>
              </w:rPr>
              <w:t>Hazard category</w:t>
            </w:r>
          </w:p>
        </w:tc>
        <w:tc>
          <w:tcPr>
            <w:tcW w:w="1629" w:type="dxa"/>
            <w:tcBorders>
              <w:top w:val="nil"/>
              <w:left w:val="nil"/>
              <w:bottom w:val="nil"/>
              <w:right w:val="nil"/>
            </w:tcBorders>
          </w:tcPr>
          <w:p w14:paraId="47703A6E" w14:textId="0A06622C" w:rsidR="003D2F02" w:rsidRPr="006F03B3" w:rsidRDefault="003D2F02" w:rsidP="004853DB">
            <w:pPr>
              <w:spacing w:before="40" w:after="40"/>
              <w:rPr>
                <w:b/>
                <w:bCs/>
                <w:sz w:val="16"/>
                <w:szCs w:val="16"/>
              </w:rPr>
            </w:pPr>
            <w:r w:rsidRPr="006F03B3">
              <w:rPr>
                <w:b/>
                <w:bCs/>
                <w:sz w:val="16"/>
                <w:szCs w:val="16"/>
              </w:rPr>
              <w:t>Symbol</w:t>
            </w:r>
          </w:p>
        </w:tc>
        <w:tc>
          <w:tcPr>
            <w:tcW w:w="1452" w:type="dxa"/>
            <w:vMerge w:val="restart"/>
            <w:tcBorders>
              <w:top w:val="nil"/>
              <w:left w:val="nil"/>
              <w:right w:val="nil"/>
            </w:tcBorders>
          </w:tcPr>
          <w:p w14:paraId="377E590A" w14:textId="31F0ED2E" w:rsidR="003D2F02" w:rsidRPr="006F03B3" w:rsidRDefault="00165D2E" w:rsidP="004853DB">
            <w:pPr>
              <w:spacing w:before="40" w:after="40"/>
              <w:rPr>
                <w:b/>
                <w:bCs/>
                <w:sz w:val="16"/>
                <w:szCs w:val="16"/>
              </w:rPr>
            </w:pPr>
            <w:r w:rsidRPr="006F03B3">
              <w:rPr>
                <w:noProof/>
                <w:sz w:val="16"/>
                <w:szCs w:val="16"/>
              </w:rPr>
              <w:drawing>
                <wp:anchor distT="0" distB="0" distL="114300" distR="114300" simplePos="0" relativeHeight="251660288" behindDoc="1" locked="0" layoutInCell="1" allowOverlap="1" wp14:anchorId="16EB8E86" wp14:editId="68F9F2B8">
                  <wp:simplePos x="0" y="0"/>
                  <wp:positionH relativeFrom="column">
                    <wp:posOffset>58</wp:posOffset>
                  </wp:positionH>
                  <wp:positionV relativeFrom="paragraph">
                    <wp:posOffset>4330</wp:posOffset>
                  </wp:positionV>
                  <wp:extent cx="559435" cy="614045"/>
                  <wp:effectExtent l="0" t="0" r="0" b="0"/>
                  <wp:wrapTight wrapText="bothSides">
                    <wp:wrapPolygon edited="0">
                      <wp:start x="0" y="0"/>
                      <wp:lineTo x="0" y="20774"/>
                      <wp:lineTo x="20595" y="20774"/>
                      <wp:lineTo x="20595" y="0"/>
                      <wp:lineTo x="0" y="0"/>
                    </wp:wrapPolygon>
                  </wp:wrapTight>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9435" cy="614045"/>
                          </a:xfrm>
                          <a:prstGeom prst="rect">
                            <a:avLst/>
                          </a:prstGeom>
                          <a:noFill/>
                          <a:ln>
                            <a:noFill/>
                          </a:ln>
                        </pic:spPr>
                      </pic:pic>
                    </a:graphicData>
                  </a:graphic>
                </wp:anchor>
              </w:drawing>
            </w:r>
          </w:p>
        </w:tc>
        <w:tc>
          <w:tcPr>
            <w:tcW w:w="744" w:type="dxa"/>
            <w:tcBorders>
              <w:top w:val="nil"/>
              <w:left w:val="nil"/>
              <w:bottom w:val="nil"/>
              <w:right w:val="nil"/>
            </w:tcBorders>
          </w:tcPr>
          <w:p w14:paraId="052AAEA0" w14:textId="77777777" w:rsidR="003D2F02" w:rsidRPr="006F03B3" w:rsidRDefault="003D2F02" w:rsidP="004853DB">
            <w:pPr>
              <w:spacing w:before="40" w:after="40"/>
              <w:rPr>
                <w:b/>
                <w:bCs/>
                <w:sz w:val="16"/>
                <w:szCs w:val="16"/>
              </w:rPr>
            </w:pPr>
            <w:r w:rsidRPr="006F03B3">
              <w:rPr>
                <w:b/>
                <w:bCs/>
                <w:sz w:val="16"/>
                <w:szCs w:val="16"/>
              </w:rPr>
              <w:t>Signal word</w:t>
            </w:r>
          </w:p>
        </w:tc>
        <w:tc>
          <w:tcPr>
            <w:tcW w:w="2623" w:type="dxa"/>
            <w:gridSpan w:val="2"/>
            <w:tcBorders>
              <w:top w:val="nil"/>
              <w:left w:val="nil"/>
              <w:bottom w:val="nil"/>
              <w:right w:val="nil"/>
            </w:tcBorders>
          </w:tcPr>
          <w:p w14:paraId="5179E95F" w14:textId="77777777" w:rsidR="003D2F02" w:rsidRPr="006F03B3" w:rsidRDefault="003D2F02" w:rsidP="004853DB">
            <w:pPr>
              <w:spacing w:before="40" w:after="40"/>
              <w:ind w:right="252"/>
              <w:rPr>
                <w:b/>
                <w:bCs/>
                <w:sz w:val="16"/>
                <w:szCs w:val="16"/>
              </w:rPr>
            </w:pPr>
            <w:r w:rsidRPr="006F03B3">
              <w:rPr>
                <w:b/>
                <w:bCs/>
                <w:sz w:val="16"/>
                <w:szCs w:val="16"/>
              </w:rPr>
              <w:t>Hazard statement</w:t>
            </w:r>
          </w:p>
        </w:tc>
      </w:tr>
      <w:tr w:rsidR="003D2F02" w:rsidRPr="006F03B3" w14:paraId="7E95CE04" w14:textId="77777777" w:rsidTr="00165D2E">
        <w:tc>
          <w:tcPr>
            <w:tcW w:w="1065" w:type="dxa"/>
            <w:tcBorders>
              <w:top w:val="nil"/>
              <w:left w:val="nil"/>
              <w:bottom w:val="nil"/>
              <w:right w:val="nil"/>
            </w:tcBorders>
          </w:tcPr>
          <w:p w14:paraId="7C9B4FF0" w14:textId="77777777" w:rsidR="003D2F02" w:rsidRPr="006F03B3" w:rsidRDefault="003D2F02" w:rsidP="004853DB">
            <w:pPr>
              <w:spacing w:before="40" w:after="40"/>
              <w:rPr>
                <w:sz w:val="16"/>
                <w:szCs w:val="16"/>
              </w:rPr>
            </w:pPr>
            <w:r>
              <w:rPr>
                <w:sz w:val="16"/>
                <w:szCs w:val="16"/>
              </w:rPr>
              <w:t>3</w:t>
            </w:r>
          </w:p>
        </w:tc>
        <w:tc>
          <w:tcPr>
            <w:tcW w:w="1629" w:type="dxa"/>
            <w:tcBorders>
              <w:top w:val="nil"/>
              <w:left w:val="nil"/>
              <w:bottom w:val="nil"/>
              <w:right w:val="nil"/>
            </w:tcBorders>
          </w:tcPr>
          <w:p w14:paraId="6D56AB10" w14:textId="77777777" w:rsidR="003D2F02" w:rsidRPr="006F03B3" w:rsidRDefault="003D2F02" w:rsidP="004853DB">
            <w:pPr>
              <w:spacing w:before="40" w:after="40"/>
              <w:rPr>
                <w:sz w:val="16"/>
                <w:szCs w:val="16"/>
              </w:rPr>
            </w:pPr>
            <w:r w:rsidRPr="006F03B3">
              <w:rPr>
                <w:sz w:val="16"/>
                <w:szCs w:val="16"/>
              </w:rPr>
              <w:t>Skull and crossbones</w:t>
            </w:r>
          </w:p>
        </w:tc>
        <w:tc>
          <w:tcPr>
            <w:tcW w:w="1452" w:type="dxa"/>
            <w:vMerge/>
            <w:tcBorders>
              <w:left w:val="nil"/>
              <w:bottom w:val="nil"/>
              <w:right w:val="nil"/>
            </w:tcBorders>
            <w:vAlign w:val="center"/>
          </w:tcPr>
          <w:p w14:paraId="30ED6ED6" w14:textId="77777777" w:rsidR="003D2F02" w:rsidRPr="006F03B3" w:rsidRDefault="003D2F02" w:rsidP="004853DB">
            <w:pPr>
              <w:spacing w:before="40" w:after="40"/>
              <w:jc w:val="center"/>
              <w:rPr>
                <w:sz w:val="16"/>
                <w:szCs w:val="16"/>
              </w:rPr>
            </w:pPr>
          </w:p>
        </w:tc>
        <w:tc>
          <w:tcPr>
            <w:tcW w:w="744" w:type="dxa"/>
            <w:tcBorders>
              <w:top w:val="nil"/>
              <w:left w:val="nil"/>
              <w:bottom w:val="nil"/>
              <w:right w:val="nil"/>
            </w:tcBorders>
          </w:tcPr>
          <w:p w14:paraId="1FC1E27C" w14:textId="77777777" w:rsidR="003D2F02" w:rsidRPr="006F03B3" w:rsidRDefault="003D2F02" w:rsidP="004853DB">
            <w:pPr>
              <w:spacing w:before="40" w:after="40"/>
              <w:rPr>
                <w:sz w:val="16"/>
                <w:szCs w:val="16"/>
              </w:rPr>
            </w:pPr>
            <w:r>
              <w:rPr>
                <w:sz w:val="16"/>
                <w:szCs w:val="16"/>
              </w:rPr>
              <w:t>Danger</w:t>
            </w:r>
          </w:p>
        </w:tc>
        <w:tc>
          <w:tcPr>
            <w:tcW w:w="960" w:type="dxa"/>
            <w:tcBorders>
              <w:top w:val="nil"/>
              <w:left w:val="nil"/>
              <w:bottom w:val="nil"/>
              <w:right w:val="nil"/>
            </w:tcBorders>
          </w:tcPr>
          <w:p w14:paraId="6C1A613F" w14:textId="77777777" w:rsidR="003D2F02" w:rsidRPr="006F03B3" w:rsidRDefault="003D2F02" w:rsidP="004853DB">
            <w:pPr>
              <w:spacing w:before="30" w:after="30"/>
              <w:rPr>
                <w:sz w:val="16"/>
                <w:szCs w:val="16"/>
              </w:rPr>
            </w:pPr>
            <w:r>
              <w:rPr>
                <w:sz w:val="16"/>
                <w:szCs w:val="16"/>
              </w:rPr>
              <w:t>H331</w:t>
            </w:r>
          </w:p>
        </w:tc>
        <w:tc>
          <w:tcPr>
            <w:tcW w:w="1663" w:type="dxa"/>
            <w:tcBorders>
              <w:top w:val="nil"/>
              <w:left w:val="nil"/>
              <w:bottom w:val="nil"/>
              <w:right w:val="nil"/>
            </w:tcBorders>
          </w:tcPr>
          <w:p w14:paraId="4B11A28D" w14:textId="77777777" w:rsidR="003D2F02" w:rsidRPr="006F03B3" w:rsidRDefault="003D2F02" w:rsidP="004853DB">
            <w:pPr>
              <w:spacing w:before="40" w:after="40"/>
              <w:rPr>
                <w:sz w:val="16"/>
                <w:szCs w:val="16"/>
              </w:rPr>
            </w:pPr>
            <w:r>
              <w:rPr>
                <w:sz w:val="16"/>
                <w:szCs w:val="16"/>
              </w:rPr>
              <w:t>Toxic if inhaled</w:t>
            </w:r>
          </w:p>
        </w:tc>
      </w:tr>
    </w:tbl>
    <w:p w14:paraId="757CBBB7" w14:textId="77777777" w:rsidR="004E6E2F" w:rsidRDefault="002B5CBD" w:rsidP="004E6E2F">
      <w:pPr>
        <w:ind w:left="1701" w:right="1134" w:hanging="1701"/>
        <w:jc w:val="both"/>
      </w:pPr>
      <w:r>
        <w:tab/>
      </w:r>
    </w:p>
    <w:p w14:paraId="0102EA7F" w14:textId="48AB7A39" w:rsidR="002B5CBD" w:rsidRDefault="002B5CBD" w:rsidP="004E6E2F">
      <w:pPr>
        <w:ind w:left="1701" w:right="1134"/>
        <w:jc w:val="both"/>
        <w:rPr>
          <w:rFonts w:asciiTheme="majorBidi" w:hAnsiTheme="majorBidi" w:cstheme="majorBidi"/>
        </w:rPr>
      </w:pPr>
      <w:r>
        <w:t xml:space="preserve">Column “Response”, </w:t>
      </w:r>
      <w:r>
        <w:rPr>
          <w:rFonts w:asciiTheme="majorBidi" w:hAnsiTheme="majorBidi" w:cstheme="majorBidi"/>
          <w:bCs/>
        </w:rPr>
        <w:t xml:space="preserve">delete the P321 </w:t>
      </w:r>
      <w:r w:rsidRPr="00EB1507">
        <w:rPr>
          <w:rFonts w:asciiTheme="majorBidi" w:hAnsiTheme="majorBidi" w:cstheme="majorBidi"/>
          <w:bCs/>
        </w:rPr>
        <w:t>entry</w:t>
      </w:r>
      <w:r>
        <w:rPr>
          <w:rFonts w:asciiTheme="majorBidi" w:hAnsiTheme="majorBidi" w:cstheme="majorBidi"/>
          <w:bCs/>
        </w:rPr>
        <w:t>,</w:t>
      </w:r>
      <w:r w:rsidRPr="00EB1507">
        <w:rPr>
          <w:rFonts w:asciiTheme="majorBidi" w:hAnsiTheme="majorBidi" w:cstheme="majorBidi"/>
          <w:bCs/>
        </w:rPr>
        <w:t xml:space="preserve"> </w:t>
      </w:r>
      <w:r w:rsidR="00720F38">
        <w:rPr>
          <w:rFonts w:asciiTheme="majorBidi" w:hAnsiTheme="majorBidi" w:cstheme="majorBidi"/>
          <w:bCs/>
        </w:rPr>
        <w:t xml:space="preserve">amend </w:t>
      </w:r>
      <w:r w:rsidRPr="00EB1507">
        <w:rPr>
          <w:rFonts w:asciiTheme="majorBidi" w:hAnsiTheme="majorBidi" w:cstheme="majorBidi"/>
          <w:bCs/>
        </w:rPr>
        <w:t xml:space="preserve">P320 and </w:t>
      </w:r>
      <w:r w:rsidR="00720F38">
        <w:rPr>
          <w:rFonts w:asciiTheme="majorBidi" w:hAnsiTheme="majorBidi" w:cstheme="majorBidi"/>
          <w:bCs/>
        </w:rPr>
        <w:t xml:space="preserve">insert a new </w:t>
      </w:r>
      <w:r w:rsidRPr="00EB1507">
        <w:rPr>
          <w:rFonts w:asciiTheme="majorBidi" w:hAnsiTheme="majorBidi" w:cstheme="majorBidi"/>
          <w:bCs/>
        </w:rPr>
        <w:t>P322</w:t>
      </w:r>
      <w:r>
        <w:rPr>
          <w:rFonts w:asciiTheme="majorBidi" w:hAnsiTheme="majorBidi" w:cstheme="majorBidi"/>
          <w:bCs/>
        </w:rPr>
        <w:t xml:space="preserve"> entr</w:t>
      </w:r>
      <w:r w:rsidR="00720F38">
        <w:rPr>
          <w:rFonts w:asciiTheme="majorBidi" w:hAnsiTheme="majorBidi" w:cstheme="majorBidi"/>
          <w:bCs/>
        </w:rPr>
        <w:t>y</w:t>
      </w:r>
      <w:r w:rsidR="00101B62">
        <w:rPr>
          <w:rFonts w:asciiTheme="majorBidi" w:hAnsiTheme="majorBidi" w:cstheme="majorBidi"/>
          <w:bCs/>
        </w:rPr>
        <w:t xml:space="preserve"> as follows</w:t>
      </w:r>
      <w:r w:rsidRPr="00EB1507">
        <w:rPr>
          <w:rFonts w:asciiTheme="majorBidi" w:hAnsiTheme="majorBidi" w:cstheme="majorBidi"/>
          <w:bCs/>
        </w:rPr>
        <w:t xml:space="preserve"> (current entries for</w:t>
      </w:r>
      <w:r>
        <w:rPr>
          <w:rFonts w:asciiTheme="majorBidi" w:hAnsiTheme="majorBidi" w:cstheme="majorBidi"/>
          <w:bCs/>
        </w:rPr>
        <w:t xml:space="preserve"> </w:t>
      </w:r>
      <w:r w:rsidRPr="00A00142">
        <w:rPr>
          <w:rFonts w:asciiTheme="majorBidi" w:hAnsiTheme="majorBidi" w:cstheme="majorBidi"/>
          <w:bCs/>
        </w:rPr>
        <w:t>P30</w:t>
      </w:r>
      <w:r w:rsidR="00101B62">
        <w:rPr>
          <w:rFonts w:asciiTheme="majorBidi" w:hAnsiTheme="majorBidi" w:cstheme="majorBidi"/>
          <w:bCs/>
        </w:rPr>
        <w:t>4</w:t>
      </w:r>
      <w:r w:rsidRPr="00A00142">
        <w:rPr>
          <w:rFonts w:asciiTheme="majorBidi" w:hAnsiTheme="majorBidi" w:cstheme="majorBidi"/>
          <w:bCs/>
        </w:rPr>
        <w:t>+P</w:t>
      </w:r>
      <w:r>
        <w:rPr>
          <w:rFonts w:asciiTheme="majorBidi" w:hAnsiTheme="majorBidi" w:cstheme="majorBidi"/>
          <w:bCs/>
        </w:rPr>
        <w:t>3</w:t>
      </w:r>
      <w:r w:rsidR="00101B62">
        <w:rPr>
          <w:rFonts w:asciiTheme="majorBidi" w:hAnsiTheme="majorBidi" w:cstheme="majorBidi"/>
          <w:bCs/>
        </w:rPr>
        <w:t>40</w:t>
      </w:r>
      <w:r w:rsidR="00CA04F8">
        <w:rPr>
          <w:rFonts w:asciiTheme="majorBidi" w:hAnsiTheme="majorBidi" w:cstheme="majorBidi"/>
          <w:bCs/>
        </w:rPr>
        <w:t xml:space="preserve"> and </w:t>
      </w:r>
      <w:r>
        <w:rPr>
          <w:rFonts w:asciiTheme="majorBidi" w:hAnsiTheme="majorBidi" w:cstheme="majorBidi"/>
          <w:bCs/>
        </w:rPr>
        <w:t>P316 remain unchanged)</w:t>
      </w:r>
      <w:r w:rsidRPr="00A00142">
        <w:rPr>
          <w:rFonts w:asciiTheme="majorBidi" w:hAnsiTheme="majorBidi" w:cstheme="majorBidi"/>
        </w:rPr>
        <w:t>:</w:t>
      </w:r>
    </w:p>
    <w:p w14:paraId="4FFC3D71" w14:textId="215A35B7" w:rsidR="00DA2317" w:rsidRPr="00DA2317" w:rsidRDefault="00DA2317" w:rsidP="004E6E2F">
      <w:pPr>
        <w:spacing w:before="240"/>
        <w:ind w:left="1701"/>
        <w:jc w:val="both"/>
        <w:rPr>
          <w:rFonts w:asciiTheme="majorBidi" w:hAnsiTheme="majorBidi" w:cstheme="majorBidi"/>
        </w:rPr>
      </w:pPr>
      <w:r>
        <w:rPr>
          <w:rFonts w:asciiTheme="majorBidi" w:hAnsiTheme="majorBidi" w:cstheme="majorBidi"/>
        </w:rPr>
        <w:t>“</w:t>
      </w:r>
      <w:r w:rsidRPr="00DA2317">
        <w:rPr>
          <w:rFonts w:asciiTheme="majorBidi" w:hAnsiTheme="majorBidi" w:cstheme="majorBidi"/>
        </w:rPr>
        <w:t>P320</w:t>
      </w:r>
    </w:p>
    <w:p w14:paraId="1ACDFBC8" w14:textId="77777777" w:rsidR="00DA2317" w:rsidRPr="00D67D10" w:rsidRDefault="00DA2317" w:rsidP="004E6E2F">
      <w:pPr>
        <w:spacing w:after="120" w:line="240" w:lineRule="auto"/>
        <w:ind w:left="1701"/>
        <w:jc w:val="both"/>
        <w:rPr>
          <w:rFonts w:asciiTheme="majorBidi" w:hAnsiTheme="majorBidi" w:cstheme="majorBidi"/>
          <w:b/>
          <w:bCs/>
        </w:rPr>
      </w:pPr>
      <w:r w:rsidRPr="00D67D10">
        <w:rPr>
          <w:rFonts w:asciiTheme="majorBidi" w:hAnsiTheme="majorBidi" w:cstheme="majorBidi"/>
          <w:b/>
          <w:bCs/>
        </w:rPr>
        <w:t>Specific treatment is urgent (see information on this label and safety data sheet).</w:t>
      </w:r>
    </w:p>
    <w:p w14:paraId="36876675" w14:textId="2B66790D" w:rsidR="00DA2317" w:rsidRPr="00D67D10" w:rsidRDefault="00DA2317" w:rsidP="004E6E2F">
      <w:pPr>
        <w:spacing w:after="120" w:line="240" w:lineRule="auto"/>
        <w:ind w:left="1701" w:right="1134"/>
        <w:jc w:val="both"/>
        <w:rPr>
          <w:rFonts w:asciiTheme="majorBidi" w:hAnsiTheme="majorBidi" w:cstheme="majorBidi"/>
          <w:i/>
          <w:iCs/>
        </w:rPr>
      </w:pPr>
      <w:r w:rsidRPr="00D67D10">
        <w:rPr>
          <w:rFonts w:asciiTheme="majorBidi" w:hAnsiTheme="majorBidi" w:cstheme="majorBidi"/>
          <w:i/>
          <w:iCs/>
        </w:rPr>
        <w:t>- if immediate measures that can be easily applied, such as the administration of antidote or other specific treatment, are required.</w:t>
      </w:r>
      <w:r w:rsidR="00D67D10">
        <w:rPr>
          <w:rFonts w:asciiTheme="majorBidi" w:hAnsiTheme="majorBidi" w:cstheme="majorBidi"/>
          <w:i/>
          <w:iCs/>
        </w:rPr>
        <w:t xml:space="preserve"> T</w:t>
      </w:r>
      <w:r w:rsidRPr="00D67D10">
        <w:rPr>
          <w:rFonts w:asciiTheme="majorBidi" w:hAnsiTheme="majorBidi" w:cstheme="majorBidi"/>
          <w:i/>
          <w:iCs/>
        </w:rPr>
        <w:t>hese measures must be specified on the label and safety data sheet, recognizing additional detailed instructions, including any training requirements, should be provided on the safety data sheet, if appropriate.</w:t>
      </w:r>
    </w:p>
    <w:p w14:paraId="03726FE6" w14:textId="77777777" w:rsidR="00DA2317" w:rsidRPr="00DA2317" w:rsidRDefault="00DA2317" w:rsidP="004E6E2F">
      <w:pPr>
        <w:ind w:left="1701"/>
        <w:jc w:val="both"/>
        <w:rPr>
          <w:rFonts w:asciiTheme="majorBidi" w:hAnsiTheme="majorBidi" w:cstheme="majorBidi"/>
        </w:rPr>
      </w:pPr>
      <w:r w:rsidRPr="00DA2317">
        <w:rPr>
          <w:rFonts w:asciiTheme="majorBidi" w:hAnsiTheme="majorBidi" w:cstheme="majorBidi"/>
        </w:rPr>
        <w:t>P322</w:t>
      </w:r>
    </w:p>
    <w:p w14:paraId="583B726A" w14:textId="77777777" w:rsidR="00DA2317" w:rsidRPr="00D67D10" w:rsidRDefault="00DA2317" w:rsidP="004E6E2F">
      <w:pPr>
        <w:ind w:left="1701"/>
        <w:jc w:val="both"/>
        <w:rPr>
          <w:rFonts w:asciiTheme="majorBidi" w:hAnsiTheme="majorBidi" w:cstheme="majorBidi"/>
          <w:b/>
          <w:bCs/>
        </w:rPr>
      </w:pPr>
      <w:r w:rsidRPr="00D67D10">
        <w:rPr>
          <w:rFonts w:asciiTheme="majorBidi" w:hAnsiTheme="majorBidi" w:cstheme="majorBidi"/>
          <w:b/>
          <w:bCs/>
        </w:rPr>
        <w:t>Specific treatment is urgent (see information on the safety data sheet).</w:t>
      </w:r>
    </w:p>
    <w:p w14:paraId="0498983B" w14:textId="77777777" w:rsidR="00DA2317" w:rsidRDefault="00DA2317" w:rsidP="004E6E2F">
      <w:pPr>
        <w:spacing w:after="120" w:line="240" w:lineRule="auto"/>
        <w:ind w:left="1701" w:right="1134"/>
        <w:jc w:val="both"/>
        <w:rPr>
          <w:rFonts w:asciiTheme="majorBidi" w:hAnsiTheme="majorBidi" w:cstheme="majorBidi"/>
        </w:rPr>
      </w:pPr>
      <w:r w:rsidRPr="00DA2317">
        <w:rPr>
          <w:rFonts w:asciiTheme="majorBidi" w:hAnsiTheme="majorBidi" w:cstheme="majorBidi"/>
        </w:rPr>
        <w:t>Manufacturer/supplier to reference on the safety data sheet detailed instructions, including any training requirements, to administer an antidote or other specific treatment.</w:t>
      </w:r>
    </w:p>
    <w:p w14:paraId="5C88CC90" w14:textId="7D3BD874" w:rsidR="002B5CBD" w:rsidRDefault="00DA2317" w:rsidP="004E6E2F">
      <w:pPr>
        <w:spacing w:after="120" w:line="240" w:lineRule="auto"/>
        <w:ind w:left="1701"/>
        <w:jc w:val="both"/>
      </w:pPr>
      <w:r w:rsidRPr="00D67D10">
        <w:rPr>
          <w:rFonts w:asciiTheme="majorBidi" w:hAnsiTheme="majorBidi" w:cstheme="majorBidi"/>
          <w:i/>
          <w:iCs/>
        </w:rPr>
        <w:t>- may be omitted if P320 is given on the label.</w:t>
      </w:r>
      <w:r>
        <w:rPr>
          <w:rFonts w:asciiTheme="majorBidi" w:hAnsiTheme="majorBidi" w:cstheme="majorBidi"/>
          <w:i/>
          <w:iCs/>
        </w:rPr>
        <w:t>”</w:t>
      </w:r>
    </w:p>
    <w:p w14:paraId="539044BD" w14:textId="77777777" w:rsidR="003D2F02" w:rsidRPr="00911976" w:rsidRDefault="003D2F02" w:rsidP="004E6E2F">
      <w:pPr>
        <w:pStyle w:val="H23G"/>
        <w:jc w:val="both"/>
      </w:pPr>
      <w:r>
        <w:tab/>
      </w:r>
      <w:r>
        <w:tab/>
      </w:r>
      <w:r w:rsidRPr="00911976">
        <w:t>Table for “Acute toxicity, inhalation</w:t>
      </w:r>
      <w:r w:rsidRPr="00911976" w:rsidDel="007E6725">
        <w:t xml:space="preserve"> </w:t>
      </w:r>
      <w:r w:rsidRPr="00911976">
        <w:t xml:space="preserve">(chapter 3.1)” hazard category 4 </w:t>
      </w:r>
    </w:p>
    <w:p w14:paraId="60A9DB07" w14:textId="184F259C" w:rsidR="003D2F02" w:rsidRDefault="00EA0182" w:rsidP="004E6E2F">
      <w:pPr>
        <w:pStyle w:val="SingleTxtG"/>
        <w:ind w:left="1701" w:hanging="567"/>
      </w:pPr>
      <w:r>
        <w:t>6</w:t>
      </w:r>
      <w:r w:rsidR="006F0CD5">
        <w:t>1</w:t>
      </w:r>
      <w:r w:rsidR="003D2F02" w:rsidRPr="00E2737F">
        <w:t>.</w:t>
      </w:r>
      <w:r w:rsidR="003D2F02" w:rsidRPr="00911976">
        <w:tab/>
      </w:r>
      <w:r w:rsidR="003D2F02" w:rsidRPr="00B83755">
        <w:t>Column “Prevention”, for the P261 entry replace “</w:t>
      </w:r>
      <w:r w:rsidR="003D2F02" w:rsidRPr="00B83755">
        <w:rPr>
          <w:color w:val="000000"/>
        </w:rPr>
        <w:t>…. to specify applicable conditions</w:t>
      </w:r>
      <w:r w:rsidR="003D2F02" w:rsidRPr="00B83755">
        <w:rPr>
          <w:color w:val="FF0000"/>
        </w:rPr>
        <w:t>.</w:t>
      </w:r>
      <w:r w:rsidR="003D2F02" w:rsidRPr="00B83755">
        <w:rPr>
          <w:bCs/>
        </w:rPr>
        <w:t>” with “…</w:t>
      </w:r>
      <w:r w:rsidR="003D2F02" w:rsidRPr="00B83755">
        <w:rPr>
          <w:color w:val="000000"/>
        </w:rPr>
        <w:t xml:space="preserve"> to specify applicable physical state(s)</w:t>
      </w:r>
      <w:r w:rsidR="003D2F02" w:rsidRPr="00B83755">
        <w:rPr>
          <w:color w:val="FF0000"/>
        </w:rPr>
        <w:t>.</w:t>
      </w:r>
      <w:r w:rsidR="003D2F02" w:rsidRPr="00B83755">
        <w:rPr>
          <w:bCs/>
        </w:rPr>
        <w:t>”</w:t>
      </w:r>
      <w:r w:rsidR="003D2F02">
        <w:rPr>
          <w:bCs/>
        </w:rPr>
        <w:t xml:space="preserve"> (</w:t>
      </w:r>
      <w:proofErr w:type="gramStart"/>
      <w:r w:rsidR="003D2F02">
        <w:rPr>
          <w:bCs/>
        </w:rPr>
        <w:t>current</w:t>
      </w:r>
      <w:proofErr w:type="gramEnd"/>
      <w:r w:rsidR="003D2F02">
        <w:rPr>
          <w:bCs/>
        </w:rPr>
        <w:t xml:space="preserve"> entry P271 remains unchanged)</w:t>
      </w:r>
      <w:r w:rsidR="003D2F02" w:rsidRPr="00B83755">
        <w:rPr>
          <w:bCs/>
        </w:rPr>
        <w:t>.</w:t>
      </w:r>
    </w:p>
    <w:p w14:paraId="6F44899C" w14:textId="77777777" w:rsidR="003D2F02" w:rsidRPr="00911976" w:rsidRDefault="003D2F02" w:rsidP="004E6E2F">
      <w:pPr>
        <w:pStyle w:val="SingleTxtG"/>
        <w:ind w:left="1701"/>
      </w:pPr>
      <w:r>
        <w:rPr>
          <w:rFonts w:asciiTheme="majorBidi" w:hAnsiTheme="majorBidi" w:cstheme="majorBidi"/>
          <w:bCs/>
        </w:rPr>
        <w:t>C</w:t>
      </w:r>
      <w:r w:rsidRPr="00A00142">
        <w:rPr>
          <w:rFonts w:asciiTheme="majorBidi" w:hAnsiTheme="majorBidi" w:cstheme="majorBidi"/>
          <w:bCs/>
        </w:rPr>
        <w:t xml:space="preserve">olumn “Response”, </w:t>
      </w:r>
      <w:r w:rsidRPr="00F03399">
        <w:t xml:space="preserve">insert new P321 and P323 </w:t>
      </w:r>
      <w:r>
        <w:t xml:space="preserve">entries </w:t>
      </w:r>
      <w:r w:rsidRPr="00F03399">
        <w:t>to read</w:t>
      </w:r>
      <w:r>
        <w:t xml:space="preserve"> as follows </w:t>
      </w:r>
      <w:r w:rsidRPr="00911976">
        <w:t>(current entries for P304+P340 and P317 remain unchanged):</w:t>
      </w:r>
    </w:p>
    <w:p w14:paraId="33601F5B" w14:textId="77777777" w:rsidR="003D2F02" w:rsidRPr="00A00142" w:rsidRDefault="003D2F02" w:rsidP="004E6E2F">
      <w:pPr>
        <w:pStyle w:val="BalloonText"/>
        <w:spacing w:before="20" w:after="60"/>
        <w:ind w:left="1701"/>
        <w:jc w:val="both"/>
        <w:rPr>
          <w:rFonts w:asciiTheme="majorBidi" w:hAnsiTheme="majorBidi" w:cstheme="majorBidi"/>
          <w:bCs/>
          <w:sz w:val="20"/>
          <w:szCs w:val="20"/>
        </w:rPr>
      </w:pPr>
      <w:r>
        <w:rPr>
          <w:rFonts w:asciiTheme="majorBidi" w:hAnsiTheme="majorBidi" w:cstheme="majorBidi"/>
          <w:bCs/>
          <w:sz w:val="20"/>
          <w:szCs w:val="20"/>
        </w:rPr>
        <w:t>“</w:t>
      </w:r>
      <w:r w:rsidRPr="00A00142">
        <w:rPr>
          <w:rFonts w:asciiTheme="majorBidi" w:hAnsiTheme="majorBidi" w:cstheme="majorBidi"/>
          <w:bCs/>
          <w:sz w:val="20"/>
          <w:szCs w:val="20"/>
        </w:rPr>
        <w:t>P321</w:t>
      </w:r>
    </w:p>
    <w:p w14:paraId="099FBF4D" w14:textId="77777777" w:rsidR="003D2F02" w:rsidRPr="000811A9" w:rsidRDefault="003D2F02" w:rsidP="004E6E2F">
      <w:pPr>
        <w:pStyle w:val="BalloonText"/>
        <w:spacing w:before="20" w:after="60"/>
        <w:ind w:left="1701"/>
        <w:jc w:val="both"/>
        <w:rPr>
          <w:rFonts w:asciiTheme="majorBidi" w:hAnsiTheme="majorBidi" w:cstheme="majorBidi"/>
          <w:bCs/>
          <w:sz w:val="20"/>
          <w:szCs w:val="20"/>
        </w:rPr>
      </w:pPr>
      <w:r w:rsidRPr="000811A9">
        <w:rPr>
          <w:rStyle w:val="StyleBold"/>
          <w:rFonts w:asciiTheme="majorBidi" w:hAnsiTheme="majorBidi" w:cstheme="majorBidi"/>
          <w:sz w:val="20"/>
          <w:szCs w:val="20"/>
        </w:rPr>
        <w:t xml:space="preserve">Specific treatment (see </w:t>
      </w:r>
      <w:r w:rsidRPr="000811A9">
        <w:rPr>
          <w:rFonts w:asciiTheme="majorBidi" w:hAnsiTheme="majorBidi" w:cstheme="majorBidi"/>
          <w:b/>
          <w:sz w:val="20"/>
          <w:szCs w:val="20"/>
        </w:rPr>
        <w:t xml:space="preserve">information </w:t>
      </w:r>
      <w:r w:rsidRPr="000811A9">
        <w:rPr>
          <w:rStyle w:val="StyleBold"/>
          <w:rFonts w:asciiTheme="majorBidi" w:hAnsiTheme="majorBidi" w:cstheme="majorBidi"/>
          <w:sz w:val="20"/>
          <w:szCs w:val="20"/>
        </w:rPr>
        <w:t>on this label and safety data sheet).</w:t>
      </w:r>
    </w:p>
    <w:p w14:paraId="0D55B756" w14:textId="2C7027DC" w:rsidR="003D2F02" w:rsidRPr="00A33E91" w:rsidRDefault="003D2F02" w:rsidP="004E6E2F">
      <w:pPr>
        <w:spacing w:after="80"/>
        <w:ind w:left="1701" w:right="1134"/>
        <w:jc w:val="both"/>
        <w:rPr>
          <w:rStyle w:val="StyleItalic"/>
        </w:rPr>
      </w:pPr>
      <w:r w:rsidRPr="00A33E91">
        <w:rPr>
          <w:rStyle w:val="StyleItalic"/>
        </w:rPr>
        <w:t>- if immediate measures that can be easily applied, such as the administration of antidote or other specific treatment, are required.</w:t>
      </w:r>
      <w:r w:rsidR="001E4459">
        <w:rPr>
          <w:rStyle w:val="StyleItalic"/>
        </w:rPr>
        <w:t xml:space="preserve"> T</w:t>
      </w:r>
      <w:r w:rsidRPr="00A33E91">
        <w:rPr>
          <w:rStyle w:val="StyleItalic"/>
        </w:rPr>
        <w:t xml:space="preserve">hese measures must be specified on the label and safety data sheet, recognizing additional detailed </w:t>
      </w:r>
      <w:r w:rsidRPr="00A33E91">
        <w:rPr>
          <w:rStyle w:val="StyleItalic"/>
          <w:rFonts w:cstheme="minorBidi"/>
        </w:rPr>
        <w:t>instructions, including any training requirements,</w:t>
      </w:r>
      <w:r w:rsidRPr="00A33E91">
        <w:rPr>
          <w:rStyle w:val="StyleItalic"/>
        </w:rPr>
        <w:t xml:space="preserve"> should be provided on the safety data sheet, if appropriate.</w:t>
      </w:r>
    </w:p>
    <w:p w14:paraId="2C672979" w14:textId="77777777" w:rsidR="003D2F02" w:rsidRPr="00D82129" w:rsidRDefault="003D2F02" w:rsidP="004E6E2F">
      <w:pPr>
        <w:pStyle w:val="BalloonText"/>
        <w:tabs>
          <w:tab w:val="left" w:pos="0"/>
          <w:tab w:val="left" w:pos="221"/>
        </w:tabs>
        <w:spacing w:before="20" w:after="160"/>
        <w:ind w:left="1701" w:right="1134"/>
        <w:jc w:val="both"/>
        <w:rPr>
          <w:rStyle w:val="StyleItalic"/>
          <w:sz w:val="20"/>
          <w:szCs w:val="20"/>
        </w:rPr>
      </w:pPr>
      <w:r w:rsidRPr="00D82129">
        <w:rPr>
          <w:rStyle w:val="StyleItalic"/>
          <w:rFonts w:asciiTheme="majorBidi" w:hAnsiTheme="majorBidi" w:cstheme="majorBidi"/>
          <w:sz w:val="20"/>
          <w:szCs w:val="20"/>
        </w:rPr>
        <w:t>- may be omitted if P320 is given on the label</w:t>
      </w:r>
      <w:r w:rsidRPr="00D82129">
        <w:rPr>
          <w:rFonts w:ascii="Times New Roman" w:hAnsi="Times New Roman" w:cs="Times New Roman"/>
          <w:i/>
          <w:iCs/>
          <w:sz w:val="20"/>
          <w:szCs w:val="20"/>
        </w:rPr>
        <w:t>.</w:t>
      </w:r>
    </w:p>
    <w:p w14:paraId="0CAEC886" w14:textId="77777777" w:rsidR="003D2F02" w:rsidRPr="000811A9" w:rsidRDefault="003D2F02" w:rsidP="004E6E2F">
      <w:pPr>
        <w:pStyle w:val="BalloonText"/>
        <w:spacing w:after="60"/>
        <w:ind w:left="1701" w:right="1134"/>
        <w:jc w:val="both"/>
        <w:rPr>
          <w:rFonts w:asciiTheme="majorBidi" w:hAnsiTheme="majorBidi" w:cstheme="majorBidi"/>
          <w:bCs/>
          <w:sz w:val="20"/>
          <w:szCs w:val="20"/>
        </w:rPr>
      </w:pPr>
      <w:r w:rsidRPr="000811A9">
        <w:rPr>
          <w:rFonts w:asciiTheme="majorBidi" w:hAnsiTheme="majorBidi" w:cstheme="majorBidi"/>
          <w:bCs/>
          <w:sz w:val="20"/>
          <w:szCs w:val="20"/>
        </w:rPr>
        <w:t>P323</w:t>
      </w:r>
    </w:p>
    <w:p w14:paraId="284F6DAF" w14:textId="77777777" w:rsidR="003D2F02" w:rsidRPr="000811A9" w:rsidRDefault="003D2F02" w:rsidP="004E6E2F">
      <w:pPr>
        <w:pStyle w:val="BalloonText"/>
        <w:spacing w:after="60"/>
        <w:ind w:left="1701" w:right="1134"/>
        <w:jc w:val="both"/>
        <w:rPr>
          <w:rFonts w:asciiTheme="majorBidi" w:hAnsiTheme="majorBidi" w:cstheme="majorBidi"/>
          <w:b/>
          <w:sz w:val="20"/>
          <w:szCs w:val="20"/>
        </w:rPr>
      </w:pPr>
      <w:r w:rsidRPr="000811A9">
        <w:rPr>
          <w:rStyle w:val="StyleBold"/>
          <w:rFonts w:asciiTheme="majorBidi" w:hAnsiTheme="majorBidi" w:cstheme="majorBidi"/>
          <w:sz w:val="20"/>
          <w:szCs w:val="20"/>
        </w:rPr>
        <w:t xml:space="preserve">Specific treatment (see </w:t>
      </w:r>
      <w:r w:rsidRPr="000811A9">
        <w:rPr>
          <w:rFonts w:asciiTheme="majorBidi" w:hAnsiTheme="majorBidi" w:cstheme="majorBidi"/>
          <w:b/>
          <w:bCs/>
          <w:sz w:val="20"/>
          <w:szCs w:val="20"/>
        </w:rPr>
        <w:t>information on the safety data sheet)</w:t>
      </w:r>
      <w:r w:rsidRPr="00FC3CF2">
        <w:rPr>
          <w:rFonts w:asciiTheme="majorBidi" w:hAnsiTheme="majorBidi" w:cstheme="majorBidi"/>
          <w:b/>
          <w:sz w:val="20"/>
          <w:szCs w:val="20"/>
        </w:rPr>
        <w:t>.</w:t>
      </w:r>
    </w:p>
    <w:p w14:paraId="0A2FA479" w14:textId="77777777" w:rsidR="003D2F02" w:rsidRPr="000811A9" w:rsidRDefault="003D2F02" w:rsidP="004E6E2F">
      <w:pPr>
        <w:keepLines/>
        <w:tabs>
          <w:tab w:val="left" w:pos="178"/>
        </w:tabs>
        <w:spacing w:after="60"/>
        <w:ind w:left="1701" w:right="1134"/>
        <w:jc w:val="both"/>
        <w:rPr>
          <w:rStyle w:val="StyleItalic"/>
          <w:rFonts w:asciiTheme="majorBidi" w:hAnsiTheme="majorBidi" w:cstheme="majorBidi"/>
          <w:i w:val="0"/>
          <w:iCs w:val="0"/>
          <w:sz w:val="16"/>
          <w:szCs w:val="16"/>
        </w:rPr>
      </w:pPr>
      <w:r w:rsidRPr="000811A9">
        <w:rPr>
          <w:rStyle w:val="StyleItalic"/>
          <w:rFonts w:asciiTheme="majorBidi" w:hAnsiTheme="majorBidi" w:cstheme="majorBidi"/>
          <w:i w:val="0"/>
          <w:iCs w:val="0"/>
        </w:rPr>
        <w:t>Manufacturer/supplier to reference on the safety data sheet detailed instructions</w:t>
      </w:r>
      <w:r>
        <w:rPr>
          <w:rStyle w:val="StyleItalic"/>
          <w:rFonts w:asciiTheme="majorBidi" w:hAnsiTheme="majorBidi" w:cstheme="majorBidi"/>
          <w:i w:val="0"/>
          <w:iCs w:val="0"/>
        </w:rPr>
        <w:t>,</w:t>
      </w:r>
      <w:r w:rsidRPr="000811A9">
        <w:rPr>
          <w:rStyle w:val="StyleItalic"/>
          <w:rFonts w:asciiTheme="majorBidi" w:hAnsiTheme="majorBidi" w:cstheme="majorBidi"/>
          <w:i w:val="0"/>
          <w:iCs w:val="0"/>
        </w:rPr>
        <w:t xml:space="preserve"> </w:t>
      </w:r>
      <w:r>
        <w:rPr>
          <w:rStyle w:val="StyleItalic"/>
          <w:rFonts w:asciiTheme="majorBidi" w:hAnsiTheme="majorBidi" w:cstheme="majorBidi"/>
          <w:i w:val="0"/>
          <w:iCs w:val="0"/>
        </w:rPr>
        <w:t>including</w:t>
      </w:r>
      <w:r w:rsidRPr="000811A9">
        <w:rPr>
          <w:rStyle w:val="StyleItalic"/>
          <w:rFonts w:asciiTheme="majorBidi" w:hAnsiTheme="majorBidi" w:cstheme="majorBidi"/>
          <w:i w:val="0"/>
          <w:iCs w:val="0"/>
        </w:rPr>
        <w:t xml:space="preserve"> any training requirements</w:t>
      </w:r>
      <w:r>
        <w:rPr>
          <w:rStyle w:val="StyleItalic"/>
          <w:rFonts w:asciiTheme="majorBidi" w:hAnsiTheme="majorBidi" w:cstheme="majorBidi"/>
          <w:i w:val="0"/>
          <w:iCs w:val="0"/>
        </w:rPr>
        <w:t>,</w:t>
      </w:r>
      <w:r w:rsidRPr="000811A9">
        <w:rPr>
          <w:rStyle w:val="StyleItalic"/>
          <w:rFonts w:asciiTheme="majorBidi" w:hAnsiTheme="majorBidi" w:cstheme="majorBidi"/>
          <w:i w:val="0"/>
          <w:iCs w:val="0"/>
        </w:rPr>
        <w:t xml:space="preserve"> to administer an antidote or </w:t>
      </w:r>
      <w:r w:rsidRPr="000811A9">
        <w:rPr>
          <w:rStyle w:val="StyleItalic"/>
          <w:rFonts w:cstheme="minorBidi"/>
          <w:i w:val="0"/>
          <w:iCs w:val="0"/>
        </w:rPr>
        <w:t>other specific treatment</w:t>
      </w:r>
      <w:r w:rsidRPr="000811A9">
        <w:rPr>
          <w:rStyle w:val="StyleItalic"/>
          <w:rFonts w:asciiTheme="majorBidi" w:hAnsiTheme="majorBidi" w:cstheme="majorBidi"/>
          <w:i w:val="0"/>
          <w:iCs w:val="0"/>
        </w:rPr>
        <w:t xml:space="preserve">.   </w:t>
      </w:r>
    </w:p>
    <w:p w14:paraId="60C57DE3" w14:textId="77777777" w:rsidR="003D2F02" w:rsidRPr="00911976" w:rsidRDefault="003D2F02" w:rsidP="004E6E2F">
      <w:pPr>
        <w:pStyle w:val="SingleTxtG"/>
        <w:ind w:left="1701"/>
        <w:rPr>
          <w:rFonts w:asciiTheme="majorBidi" w:hAnsiTheme="majorBidi" w:cstheme="majorBidi"/>
          <w:iCs/>
        </w:rPr>
      </w:pPr>
      <w:r w:rsidRPr="000811A9">
        <w:rPr>
          <w:rStyle w:val="StyleItalic"/>
          <w:rFonts w:asciiTheme="majorBidi" w:hAnsiTheme="majorBidi" w:cstheme="majorBidi"/>
        </w:rPr>
        <w:t>- may be omitted if P321 or P322 is given on the label.”</w:t>
      </w:r>
    </w:p>
    <w:p w14:paraId="137B55B1" w14:textId="34CAC823" w:rsidR="003D2F02" w:rsidRPr="00A00142" w:rsidRDefault="00EA0182" w:rsidP="004E6E2F">
      <w:pPr>
        <w:pStyle w:val="SingleTxtG"/>
        <w:keepNext/>
        <w:keepLines/>
        <w:tabs>
          <w:tab w:val="left" w:pos="1276"/>
        </w:tabs>
        <w:ind w:left="1701" w:hanging="567"/>
        <w:rPr>
          <w:rFonts w:asciiTheme="majorBidi" w:hAnsiTheme="majorBidi" w:cstheme="majorBidi"/>
        </w:rPr>
      </w:pPr>
      <w:r>
        <w:rPr>
          <w:rFonts w:asciiTheme="majorBidi" w:hAnsiTheme="majorBidi" w:cstheme="majorBidi"/>
        </w:rPr>
        <w:lastRenderedPageBreak/>
        <w:t>6</w:t>
      </w:r>
      <w:r w:rsidR="006F0CD5">
        <w:rPr>
          <w:rFonts w:asciiTheme="majorBidi" w:hAnsiTheme="majorBidi" w:cstheme="majorBidi"/>
        </w:rPr>
        <w:t>2</w:t>
      </w:r>
      <w:r w:rsidR="003D2F02" w:rsidRPr="00E2737F">
        <w:rPr>
          <w:rFonts w:asciiTheme="majorBidi" w:hAnsiTheme="majorBidi" w:cstheme="majorBidi"/>
        </w:rPr>
        <w:t>.</w:t>
      </w:r>
      <w:r w:rsidR="003D2F02" w:rsidRPr="00A00142">
        <w:rPr>
          <w:rFonts w:asciiTheme="majorBidi" w:hAnsiTheme="majorBidi" w:cstheme="majorBidi"/>
        </w:rPr>
        <w:tab/>
      </w:r>
      <w:r w:rsidR="003D2F02">
        <w:rPr>
          <w:rFonts w:asciiTheme="majorBidi" w:hAnsiTheme="majorBidi" w:cstheme="majorBidi"/>
        </w:rPr>
        <w:t>C</w:t>
      </w:r>
      <w:r w:rsidR="003D2F02" w:rsidRPr="00A00142">
        <w:rPr>
          <w:rFonts w:asciiTheme="majorBidi" w:hAnsiTheme="majorBidi" w:cstheme="majorBidi"/>
          <w:bCs/>
        </w:rPr>
        <w:t>olumn “Disposal”, insert</w:t>
      </w:r>
      <w:r w:rsidR="003D2F02">
        <w:rPr>
          <w:rFonts w:asciiTheme="majorBidi" w:hAnsiTheme="majorBidi" w:cstheme="majorBidi"/>
        </w:rPr>
        <w:t xml:space="preserve"> a new entry for P501, </w:t>
      </w:r>
      <w:r w:rsidR="003D2F02" w:rsidRPr="00F03399">
        <w:t>to read</w:t>
      </w:r>
      <w:r w:rsidR="003D2F02">
        <w:t xml:space="preserve"> as follows</w:t>
      </w:r>
      <w:r w:rsidR="003D2F02">
        <w:rPr>
          <w:rFonts w:asciiTheme="majorBidi" w:hAnsiTheme="majorBidi" w:cstheme="majorBidi"/>
        </w:rPr>
        <w:t>:</w:t>
      </w:r>
    </w:p>
    <w:p w14:paraId="7D93342C" w14:textId="77777777" w:rsidR="003D2F02" w:rsidRDefault="003D2F02" w:rsidP="004E6E2F">
      <w:pPr>
        <w:keepNext/>
        <w:keepLines/>
        <w:spacing w:before="20" w:after="60"/>
        <w:ind w:left="1701" w:right="1134"/>
        <w:jc w:val="both"/>
        <w:rPr>
          <w:rFonts w:asciiTheme="majorBidi" w:hAnsiTheme="majorBidi" w:cstheme="majorBidi"/>
          <w:bCs/>
        </w:rPr>
      </w:pPr>
      <w:r w:rsidRPr="00A00142">
        <w:rPr>
          <w:rFonts w:asciiTheme="majorBidi" w:hAnsiTheme="majorBidi" w:cstheme="majorBidi"/>
          <w:bCs/>
        </w:rPr>
        <w:t>“P501</w:t>
      </w:r>
    </w:p>
    <w:p w14:paraId="13458A20" w14:textId="77777777" w:rsidR="003D2F02" w:rsidRPr="00D82129" w:rsidRDefault="003D2F02" w:rsidP="004E6E2F">
      <w:pPr>
        <w:keepNext/>
        <w:keepLines/>
        <w:spacing w:before="20" w:after="60"/>
        <w:ind w:left="1701" w:right="1134"/>
        <w:jc w:val="both"/>
        <w:rPr>
          <w:rFonts w:asciiTheme="majorBidi" w:hAnsiTheme="majorBidi" w:cstheme="majorBidi"/>
        </w:rPr>
      </w:pPr>
      <w:r w:rsidRPr="00D82129">
        <w:rPr>
          <w:rFonts w:asciiTheme="majorBidi" w:hAnsiTheme="majorBidi" w:cstheme="majorBidi"/>
          <w:b/>
        </w:rPr>
        <w:t>Dispose of contents/container to...</w:t>
      </w:r>
      <w:r w:rsidRPr="00D82129">
        <w:rPr>
          <w:rFonts w:asciiTheme="majorBidi" w:hAnsiTheme="majorBidi" w:cstheme="majorBidi"/>
        </w:rPr>
        <w:t xml:space="preserve"> </w:t>
      </w:r>
    </w:p>
    <w:p w14:paraId="10D26F52" w14:textId="77777777" w:rsidR="00C07A4A" w:rsidRDefault="003D2F02" w:rsidP="004E6E2F">
      <w:pPr>
        <w:keepNext/>
        <w:keepLines/>
        <w:spacing w:before="20" w:after="60"/>
        <w:ind w:left="1701" w:right="1134"/>
        <w:jc w:val="both"/>
      </w:pPr>
      <w:r w:rsidRPr="00A33E91">
        <w:t>... in accordance with local/regional/national/international regulations (to be specified).</w:t>
      </w:r>
    </w:p>
    <w:p w14:paraId="6DD0B721" w14:textId="1CAF6C17" w:rsidR="003D2F02" w:rsidRPr="00D82129" w:rsidRDefault="003D2F02" w:rsidP="004E6E2F">
      <w:pPr>
        <w:keepNext/>
        <w:keepLines/>
        <w:spacing w:before="20" w:after="60"/>
        <w:ind w:left="1701" w:right="1134"/>
        <w:jc w:val="both"/>
        <w:rPr>
          <w:rFonts w:asciiTheme="majorBidi" w:hAnsiTheme="majorBidi" w:cstheme="majorBidi"/>
        </w:rPr>
      </w:pPr>
      <w:r w:rsidRPr="00A33E91">
        <w:t>Manufacturer/supplier or the competent authority to specify whether disposal requirements apply to contents, container or both</w:t>
      </w:r>
      <w:r w:rsidRPr="00D82129">
        <w:rPr>
          <w:rFonts w:asciiTheme="majorBidi" w:hAnsiTheme="majorBidi" w:cstheme="majorBidi"/>
        </w:rPr>
        <w:t>.”</w:t>
      </w:r>
    </w:p>
    <w:p w14:paraId="7B0E4E18" w14:textId="77777777" w:rsidR="003D2F02" w:rsidRPr="00911976" w:rsidRDefault="003D2F02" w:rsidP="004E6E2F">
      <w:pPr>
        <w:pStyle w:val="H23G"/>
        <w:jc w:val="both"/>
      </w:pPr>
      <w:r>
        <w:tab/>
      </w:r>
      <w:r>
        <w:tab/>
      </w:r>
      <w:r w:rsidRPr="00911976">
        <w:t>Table for Acute toxicity, inhalation</w:t>
      </w:r>
      <w:r w:rsidRPr="00911976" w:rsidDel="007E6725">
        <w:t xml:space="preserve"> </w:t>
      </w:r>
      <w:r w:rsidRPr="00911976">
        <w:t>(chapter 3.1)” hazard category 5</w:t>
      </w:r>
    </w:p>
    <w:p w14:paraId="6ED6D824" w14:textId="1EA11266" w:rsidR="003D2F02" w:rsidRPr="00A00142" w:rsidRDefault="00EA0182" w:rsidP="004E6E2F">
      <w:pPr>
        <w:pStyle w:val="SingleTxtG"/>
        <w:ind w:left="1701" w:hanging="567"/>
        <w:rPr>
          <w:rFonts w:asciiTheme="majorBidi" w:hAnsiTheme="majorBidi" w:cstheme="majorBidi"/>
        </w:rPr>
      </w:pPr>
      <w:r>
        <w:rPr>
          <w:rFonts w:asciiTheme="majorBidi" w:hAnsiTheme="majorBidi" w:cstheme="majorBidi"/>
        </w:rPr>
        <w:t>6</w:t>
      </w:r>
      <w:r w:rsidR="006F0CD5">
        <w:rPr>
          <w:rFonts w:asciiTheme="majorBidi" w:hAnsiTheme="majorBidi" w:cstheme="majorBidi"/>
        </w:rPr>
        <w:t>3</w:t>
      </w:r>
      <w:r w:rsidR="003D2F02" w:rsidRPr="00E2737F">
        <w:rPr>
          <w:rFonts w:asciiTheme="majorBidi" w:hAnsiTheme="majorBidi" w:cstheme="majorBidi"/>
        </w:rPr>
        <w:t>.</w:t>
      </w:r>
      <w:r w:rsidR="003D2F02" w:rsidRPr="00A00142">
        <w:rPr>
          <w:rFonts w:asciiTheme="majorBidi" w:hAnsiTheme="majorBidi" w:cstheme="majorBidi"/>
        </w:rPr>
        <w:tab/>
      </w:r>
      <w:r w:rsidR="003D2F02">
        <w:rPr>
          <w:rFonts w:asciiTheme="majorBidi" w:hAnsiTheme="majorBidi" w:cstheme="majorBidi"/>
        </w:rPr>
        <w:t>C</w:t>
      </w:r>
      <w:r w:rsidR="003D2F02" w:rsidRPr="00A00142">
        <w:rPr>
          <w:rFonts w:asciiTheme="majorBidi" w:hAnsiTheme="majorBidi" w:cstheme="majorBidi"/>
          <w:bCs/>
        </w:rPr>
        <w:t xml:space="preserve">olumn “Response”, </w:t>
      </w:r>
      <w:r w:rsidR="00BB7F38">
        <w:rPr>
          <w:rFonts w:asciiTheme="majorBidi" w:hAnsiTheme="majorBidi" w:cstheme="majorBidi"/>
          <w:bCs/>
        </w:rPr>
        <w:t>amend to read</w:t>
      </w:r>
      <w:r w:rsidR="003D2F02" w:rsidRPr="00A00142">
        <w:rPr>
          <w:rFonts w:asciiTheme="majorBidi" w:hAnsiTheme="majorBidi" w:cstheme="majorBidi"/>
        </w:rPr>
        <w:t>:</w:t>
      </w:r>
    </w:p>
    <w:p w14:paraId="432ECCCC" w14:textId="77777777" w:rsidR="003D2F02" w:rsidRDefault="003D2F02" w:rsidP="004E6E2F">
      <w:pPr>
        <w:pStyle w:val="BalloonText"/>
        <w:spacing w:before="20" w:after="60"/>
        <w:ind w:left="1701"/>
        <w:jc w:val="both"/>
        <w:rPr>
          <w:rFonts w:asciiTheme="majorBidi" w:hAnsiTheme="majorBidi" w:cstheme="majorBidi"/>
          <w:bCs/>
          <w:sz w:val="20"/>
          <w:szCs w:val="20"/>
        </w:rPr>
      </w:pPr>
      <w:r w:rsidRPr="00A00142">
        <w:rPr>
          <w:rFonts w:asciiTheme="majorBidi" w:hAnsiTheme="majorBidi" w:cstheme="majorBidi"/>
          <w:bCs/>
          <w:sz w:val="20"/>
          <w:szCs w:val="20"/>
        </w:rPr>
        <w:t>“P317</w:t>
      </w:r>
    </w:p>
    <w:p w14:paraId="7573815A" w14:textId="77777777" w:rsidR="003D2F02" w:rsidRPr="00A00142" w:rsidRDefault="003D2F02" w:rsidP="004E6E2F">
      <w:pPr>
        <w:pStyle w:val="BalloonText"/>
        <w:spacing w:before="20" w:after="120"/>
        <w:ind w:left="1701"/>
        <w:jc w:val="both"/>
        <w:rPr>
          <w:rFonts w:asciiTheme="majorBidi" w:hAnsiTheme="majorBidi" w:cstheme="majorBidi"/>
          <w:b/>
          <w:sz w:val="20"/>
          <w:szCs w:val="20"/>
        </w:rPr>
      </w:pPr>
      <w:r w:rsidRPr="00A00142">
        <w:rPr>
          <w:rFonts w:asciiTheme="majorBidi" w:hAnsiTheme="majorBidi" w:cstheme="majorBidi"/>
          <w:b/>
          <w:sz w:val="20"/>
          <w:szCs w:val="20"/>
        </w:rPr>
        <w:t>Get medical help.</w:t>
      </w:r>
    </w:p>
    <w:p w14:paraId="6B365254" w14:textId="769E806C" w:rsidR="003D2F02" w:rsidRDefault="003D2F02" w:rsidP="004E6E2F">
      <w:pPr>
        <w:pStyle w:val="BalloonText"/>
        <w:spacing w:before="20" w:after="60"/>
        <w:ind w:left="1701"/>
        <w:jc w:val="both"/>
        <w:rPr>
          <w:rFonts w:asciiTheme="majorBidi" w:hAnsiTheme="majorBidi" w:cstheme="majorBidi"/>
          <w:bCs/>
          <w:sz w:val="20"/>
          <w:szCs w:val="20"/>
        </w:rPr>
      </w:pPr>
      <w:r w:rsidRPr="00A00142">
        <w:rPr>
          <w:rFonts w:asciiTheme="majorBidi" w:hAnsiTheme="majorBidi" w:cstheme="majorBidi"/>
          <w:bCs/>
          <w:sz w:val="20"/>
          <w:szCs w:val="20"/>
        </w:rPr>
        <w:t>P304+P340</w:t>
      </w:r>
    </w:p>
    <w:p w14:paraId="1E014B71" w14:textId="77777777" w:rsidR="003D2F02" w:rsidRPr="00A00142" w:rsidRDefault="003D2F02" w:rsidP="004E6E2F">
      <w:pPr>
        <w:pStyle w:val="BalloonText"/>
        <w:spacing w:before="20" w:after="120"/>
        <w:ind w:left="1701"/>
        <w:jc w:val="both"/>
        <w:rPr>
          <w:rFonts w:asciiTheme="majorBidi" w:hAnsiTheme="majorBidi" w:cstheme="majorBidi"/>
          <w:b/>
          <w:sz w:val="20"/>
          <w:szCs w:val="20"/>
        </w:rPr>
      </w:pPr>
      <w:r w:rsidRPr="00A00142">
        <w:rPr>
          <w:rFonts w:asciiTheme="majorBidi" w:hAnsiTheme="majorBidi" w:cstheme="majorBidi"/>
          <w:b/>
          <w:sz w:val="20"/>
          <w:szCs w:val="20"/>
        </w:rPr>
        <w:t>IF INHALED: Remove person to fresh air and keep comfortable for breathing.</w:t>
      </w:r>
      <w:r>
        <w:rPr>
          <w:rFonts w:asciiTheme="majorBidi" w:hAnsiTheme="majorBidi" w:cstheme="majorBidi"/>
          <w:b/>
          <w:sz w:val="20"/>
          <w:szCs w:val="20"/>
        </w:rPr>
        <w:t>”</w:t>
      </w:r>
    </w:p>
    <w:p w14:paraId="32B7E952" w14:textId="77777777" w:rsidR="003D2F02" w:rsidRPr="00911976" w:rsidRDefault="003D2F02" w:rsidP="004E6E2F">
      <w:pPr>
        <w:pStyle w:val="H23G"/>
        <w:jc w:val="both"/>
      </w:pPr>
      <w:r>
        <w:tab/>
      </w:r>
      <w:r>
        <w:tab/>
        <w:t>T</w:t>
      </w:r>
      <w:r w:rsidRPr="00A00142">
        <w:t xml:space="preserve">able for “Skin </w:t>
      </w:r>
      <w:r>
        <w:t>c</w:t>
      </w:r>
      <w:r w:rsidRPr="00A00142">
        <w:t>orrosion/irritation</w:t>
      </w:r>
      <w:r w:rsidRPr="00911976" w:rsidDel="007E6725">
        <w:t xml:space="preserve"> </w:t>
      </w:r>
      <w:r w:rsidRPr="00A00142">
        <w:t xml:space="preserve">(chapter 3.2)” hazard categories </w:t>
      </w:r>
      <w:r w:rsidRPr="00911976">
        <w:t>1, 1A, 1B, 1C</w:t>
      </w:r>
    </w:p>
    <w:p w14:paraId="547EBC44" w14:textId="6EA0A953" w:rsidR="003D2F02" w:rsidRPr="00911976" w:rsidRDefault="00EA0182" w:rsidP="004E6E2F">
      <w:pPr>
        <w:pStyle w:val="SingleTxtG"/>
      </w:pPr>
      <w:r>
        <w:t>6</w:t>
      </w:r>
      <w:r w:rsidR="006F0CD5">
        <w:t>4</w:t>
      </w:r>
      <w:r w:rsidR="003D2F02" w:rsidRPr="00E2737F">
        <w:t>.</w:t>
      </w:r>
      <w:r w:rsidR="003D2F02" w:rsidRPr="00E36445">
        <w:tab/>
        <w:t>C</w:t>
      </w:r>
      <w:r w:rsidR="003D2F02" w:rsidRPr="00911976">
        <w:t xml:space="preserve">olumn “Response”, </w:t>
      </w:r>
      <w:r w:rsidR="003D2F02">
        <w:t>replace</w:t>
      </w:r>
      <w:r w:rsidR="003D2F02" w:rsidRPr="00911976">
        <w:t xml:space="preserve"> </w:t>
      </w:r>
      <w:r w:rsidR="003D2F02" w:rsidRPr="00422F9A">
        <w:t>P321 and insert a new P323</w:t>
      </w:r>
      <w:r w:rsidR="003D2F02">
        <w:t xml:space="preserve"> entry</w:t>
      </w:r>
      <w:r w:rsidR="003D2F02" w:rsidRPr="00422F9A">
        <w:t>, to read as follows (current entries for P301+P330+P331, P302+P361+P354, P363, P304+P340, P316 and P305+P354+P338 remain unchanged):</w:t>
      </w:r>
    </w:p>
    <w:p w14:paraId="1D094F80" w14:textId="77777777" w:rsidR="003D2F02" w:rsidRPr="00A00142" w:rsidRDefault="003D2F02" w:rsidP="004E6E2F">
      <w:pPr>
        <w:pStyle w:val="BalloonText"/>
        <w:spacing w:before="20" w:after="60"/>
        <w:ind w:left="1701"/>
        <w:jc w:val="both"/>
        <w:rPr>
          <w:rFonts w:asciiTheme="majorBidi" w:hAnsiTheme="majorBidi" w:cstheme="majorBidi"/>
          <w:bCs/>
          <w:sz w:val="20"/>
          <w:szCs w:val="20"/>
        </w:rPr>
      </w:pPr>
      <w:r>
        <w:rPr>
          <w:rFonts w:asciiTheme="majorBidi" w:hAnsiTheme="majorBidi" w:cstheme="majorBidi"/>
          <w:bCs/>
          <w:sz w:val="20"/>
          <w:szCs w:val="20"/>
        </w:rPr>
        <w:t>“</w:t>
      </w:r>
      <w:r w:rsidRPr="00A00142">
        <w:rPr>
          <w:rFonts w:asciiTheme="majorBidi" w:hAnsiTheme="majorBidi" w:cstheme="majorBidi"/>
          <w:bCs/>
          <w:sz w:val="20"/>
          <w:szCs w:val="20"/>
        </w:rPr>
        <w:t>P321</w:t>
      </w:r>
    </w:p>
    <w:p w14:paraId="093BB054" w14:textId="77777777" w:rsidR="003D2F02" w:rsidRPr="00A00142" w:rsidRDefault="003D2F02" w:rsidP="004E6E2F">
      <w:pPr>
        <w:pStyle w:val="BalloonText"/>
        <w:spacing w:before="20" w:after="60"/>
        <w:ind w:left="1701"/>
        <w:jc w:val="both"/>
        <w:rPr>
          <w:rFonts w:asciiTheme="majorBidi" w:hAnsiTheme="majorBidi" w:cstheme="majorBidi"/>
          <w:bCs/>
          <w:sz w:val="20"/>
          <w:szCs w:val="20"/>
        </w:rPr>
      </w:pPr>
      <w:r w:rsidRPr="00A00142">
        <w:rPr>
          <w:rStyle w:val="StyleBold"/>
          <w:rFonts w:asciiTheme="majorBidi" w:hAnsiTheme="majorBidi" w:cstheme="majorBidi"/>
          <w:sz w:val="20"/>
          <w:szCs w:val="20"/>
        </w:rPr>
        <w:t xml:space="preserve">Specific treatment (see </w:t>
      </w:r>
      <w:r w:rsidRPr="00A00142">
        <w:rPr>
          <w:rFonts w:asciiTheme="majorBidi" w:hAnsiTheme="majorBidi" w:cstheme="majorBidi"/>
          <w:b/>
          <w:sz w:val="20"/>
          <w:szCs w:val="20"/>
        </w:rPr>
        <w:t xml:space="preserve">information </w:t>
      </w:r>
      <w:r w:rsidRPr="00A00142">
        <w:rPr>
          <w:rStyle w:val="StyleBold"/>
          <w:rFonts w:asciiTheme="majorBidi" w:hAnsiTheme="majorBidi" w:cstheme="majorBidi"/>
          <w:sz w:val="20"/>
          <w:szCs w:val="20"/>
        </w:rPr>
        <w:t xml:space="preserve">on this </w:t>
      </w:r>
      <w:r w:rsidRPr="00F03399">
        <w:rPr>
          <w:rStyle w:val="StyleBold"/>
          <w:rFonts w:asciiTheme="majorBidi" w:hAnsiTheme="majorBidi" w:cstheme="majorBidi"/>
          <w:sz w:val="20"/>
          <w:szCs w:val="20"/>
        </w:rPr>
        <w:t>label and safety data sheet).</w:t>
      </w:r>
    </w:p>
    <w:p w14:paraId="55841141" w14:textId="309EFBA3" w:rsidR="003D2F02" w:rsidRPr="00B36D95" w:rsidRDefault="003D2F02" w:rsidP="004E6E2F">
      <w:pPr>
        <w:spacing w:after="80"/>
        <w:ind w:left="1701" w:right="1134"/>
        <w:jc w:val="both"/>
        <w:rPr>
          <w:rStyle w:val="StyleItalic"/>
        </w:rPr>
      </w:pPr>
      <w:r w:rsidRPr="00B36D95">
        <w:rPr>
          <w:rStyle w:val="StyleItalic"/>
        </w:rPr>
        <w:t>- if immediate measures that can be easily applied, such as the administration of antidote or other specific treatment, are required.</w:t>
      </w:r>
      <w:r w:rsidR="00DB0630">
        <w:rPr>
          <w:rStyle w:val="StyleItalic"/>
        </w:rPr>
        <w:t xml:space="preserve"> T</w:t>
      </w:r>
      <w:r w:rsidRPr="00B36D95">
        <w:rPr>
          <w:rStyle w:val="StyleItalic"/>
        </w:rPr>
        <w:t xml:space="preserve">hese measures must be specified on the label and safety data sheet, recognizing additional detailed </w:t>
      </w:r>
      <w:r w:rsidRPr="00B36D95">
        <w:rPr>
          <w:rStyle w:val="StyleItalic"/>
          <w:rFonts w:cstheme="minorBidi"/>
        </w:rPr>
        <w:t>instructions, including any training requirements,</w:t>
      </w:r>
      <w:r w:rsidRPr="00B36D95">
        <w:rPr>
          <w:rStyle w:val="StyleItalic"/>
        </w:rPr>
        <w:t xml:space="preserve"> should be provided on the safety data sheet, if appropriate.</w:t>
      </w:r>
    </w:p>
    <w:p w14:paraId="4696CE7E" w14:textId="77777777" w:rsidR="003D2F02" w:rsidRPr="00A06604" w:rsidRDefault="003D2F02" w:rsidP="004E6E2F">
      <w:pPr>
        <w:pStyle w:val="BalloonText"/>
        <w:tabs>
          <w:tab w:val="left" w:pos="0"/>
          <w:tab w:val="left" w:pos="221"/>
        </w:tabs>
        <w:spacing w:before="20" w:after="160"/>
        <w:ind w:left="1701" w:right="1134"/>
        <w:jc w:val="both"/>
        <w:rPr>
          <w:rStyle w:val="StyleItalic"/>
          <w:sz w:val="20"/>
          <w:szCs w:val="20"/>
        </w:rPr>
      </w:pPr>
      <w:r w:rsidRPr="00A06604">
        <w:rPr>
          <w:rStyle w:val="StyleItalic"/>
          <w:rFonts w:asciiTheme="majorBidi" w:hAnsiTheme="majorBidi" w:cstheme="majorBidi"/>
          <w:sz w:val="20"/>
          <w:szCs w:val="20"/>
        </w:rPr>
        <w:t>- may be omitted if P320 is given on the label</w:t>
      </w:r>
      <w:r w:rsidRPr="00A06604">
        <w:rPr>
          <w:rFonts w:ascii="Times New Roman" w:hAnsi="Times New Roman" w:cs="Times New Roman"/>
          <w:i/>
          <w:iCs/>
          <w:sz w:val="20"/>
          <w:szCs w:val="20"/>
        </w:rPr>
        <w:t>.</w:t>
      </w:r>
    </w:p>
    <w:p w14:paraId="227C967C" w14:textId="77777777" w:rsidR="003D2F02" w:rsidRPr="00F03399" w:rsidRDefault="003D2F02" w:rsidP="004E6E2F">
      <w:pPr>
        <w:pStyle w:val="BalloonText"/>
        <w:spacing w:after="60"/>
        <w:ind w:left="1701" w:right="1134"/>
        <w:jc w:val="both"/>
        <w:rPr>
          <w:rFonts w:asciiTheme="majorBidi" w:hAnsiTheme="majorBidi" w:cstheme="majorBidi"/>
          <w:bCs/>
          <w:sz w:val="20"/>
          <w:szCs w:val="20"/>
        </w:rPr>
      </w:pPr>
      <w:r w:rsidRPr="00F03399">
        <w:rPr>
          <w:rFonts w:asciiTheme="majorBidi" w:hAnsiTheme="majorBidi" w:cstheme="majorBidi"/>
          <w:bCs/>
          <w:sz w:val="20"/>
          <w:szCs w:val="20"/>
        </w:rPr>
        <w:t>P323</w:t>
      </w:r>
    </w:p>
    <w:p w14:paraId="20A5DD4E" w14:textId="77777777" w:rsidR="003D2F02" w:rsidRPr="00F03399" w:rsidRDefault="003D2F02" w:rsidP="004E6E2F">
      <w:pPr>
        <w:pStyle w:val="BalloonText"/>
        <w:spacing w:after="60"/>
        <w:ind w:left="1701" w:right="1134"/>
        <w:jc w:val="both"/>
        <w:rPr>
          <w:rFonts w:asciiTheme="majorBidi" w:hAnsiTheme="majorBidi" w:cstheme="majorBidi"/>
          <w:b/>
          <w:sz w:val="20"/>
          <w:szCs w:val="20"/>
        </w:rPr>
      </w:pPr>
      <w:r w:rsidRPr="00F03399">
        <w:rPr>
          <w:rStyle w:val="StyleBold"/>
          <w:rFonts w:asciiTheme="majorBidi" w:hAnsiTheme="majorBidi" w:cstheme="majorBidi"/>
          <w:sz w:val="20"/>
          <w:szCs w:val="20"/>
        </w:rPr>
        <w:t xml:space="preserve">Specific treatment (see </w:t>
      </w:r>
      <w:r w:rsidRPr="00F03399">
        <w:rPr>
          <w:rFonts w:asciiTheme="majorBidi" w:hAnsiTheme="majorBidi" w:cstheme="majorBidi"/>
          <w:b/>
          <w:bCs/>
          <w:sz w:val="20"/>
          <w:szCs w:val="20"/>
        </w:rPr>
        <w:t>information on the safety data sheet).</w:t>
      </w:r>
    </w:p>
    <w:p w14:paraId="1627AD0A" w14:textId="77777777" w:rsidR="003D2F02" w:rsidRPr="00F03399" w:rsidRDefault="003D2F02" w:rsidP="004E6E2F">
      <w:pPr>
        <w:keepLines/>
        <w:tabs>
          <w:tab w:val="left" w:pos="178"/>
        </w:tabs>
        <w:spacing w:after="60"/>
        <w:ind w:left="1701" w:right="1134"/>
        <w:jc w:val="both"/>
        <w:rPr>
          <w:rStyle w:val="StyleItalic"/>
          <w:rFonts w:asciiTheme="majorBidi" w:hAnsiTheme="majorBidi" w:cstheme="majorBidi"/>
          <w:i w:val="0"/>
          <w:iCs w:val="0"/>
          <w:sz w:val="16"/>
          <w:szCs w:val="16"/>
        </w:rPr>
      </w:pPr>
      <w:r w:rsidRPr="00F03399">
        <w:rPr>
          <w:rStyle w:val="StyleItalic"/>
          <w:rFonts w:asciiTheme="majorBidi" w:hAnsiTheme="majorBidi" w:cstheme="majorBidi"/>
          <w:i w:val="0"/>
          <w:iCs w:val="0"/>
        </w:rPr>
        <w:t>Manufacturer/supplier to reference on the safety data sheet detailed instructions</w:t>
      </w:r>
      <w:r>
        <w:rPr>
          <w:rStyle w:val="StyleItalic"/>
          <w:rFonts w:asciiTheme="majorBidi" w:hAnsiTheme="majorBidi" w:cstheme="majorBidi"/>
          <w:i w:val="0"/>
          <w:iCs w:val="0"/>
        </w:rPr>
        <w:t>,</w:t>
      </w:r>
      <w:r w:rsidRPr="00F03399">
        <w:rPr>
          <w:rStyle w:val="StyleItalic"/>
          <w:rFonts w:asciiTheme="majorBidi" w:hAnsiTheme="majorBidi" w:cstheme="majorBidi"/>
          <w:i w:val="0"/>
          <w:iCs w:val="0"/>
        </w:rPr>
        <w:t xml:space="preserve"> </w:t>
      </w:r>
      <w:r>
        <w:rPr>
          <w:rStyle w:val="StyleItalic"/>
          <w:rFonts w:asciiTheme="majorBidi" w:hAnsiTheme="majorBidi" w:cstheme="majorBidi"/>
          <w:i w:val="0"/>
          <w:iCs w:val="0"/>
        </w:rPr>
        <w:t>including</w:t>
      </w:r>
      <w:r w:rsidRPr="00F03399">
        <w:rPr>
          <w:rStyle w:val="StyleItalic"/>
          <w:rFonts w:asciiTheme="majorBidi" w:hAnsiTheme="majorBidi" w:cstheme="majorBidi"/>
          <w:i w:val="0"/>
          <w:iCs w:val="0"/>
        </w:rPr>
        <w:t xml:space="preserve"> any training requirements</w:t>
      </w:r>
      <w:r>
        <w:rPr>
          <w:rStyle w:val="StyleItalic"/>
          <w:rFonts w:asciiTheme="majorBidi" w:hAnsiTheme="majorBidi" w:cstheme="majorBidi"/>
          <w:i w:val="0"/>
          <w:iCs w:val="0"/>
        </w:rPr>
        <w:t>,</w:t>
      </w:r>
      <w:r w:rsidRPr="00F03399">
        <w:rPr>
          <w:rStyle w:val="StyleItalic"/>
          <w:rFonts w:asciiTheme="majorBidi" w:hAnsiTheme="majorBidi" w:cstheme="majorBidi"/>
          <w:i w:val="0"/>
          <w:iCs w:val="0"/>
        </w:rPr>
        <w:t xml:space="preserve"> to administer an antidote or </w:t>
      </w:r>
      <w:r w:rsidRPr="00F03399">
        <w:rPr>
          <w:rStyle w:val="StyleItalic"/>
          <w:rFonts w:cstheme="minorBidi"/>
          <w:i w:val="0"/>
          <w:iCs w:val="0"/>
        </w:rPr>
        <w:t>other specific treatment</w:t>
      </w:r>
      <w:r w:rsidRPr="00F03399">
        <w:rPr>
          <w:rStyle w:val="StyleItalic"/>
          <w:rFonts w:asciiTheme="majorBidi" w:hAnsiTheme="majorBidi" w:cstheme="majorBidi"/>
          <w:i w:val="0"/>
          <w:iCs w:val="0"/>
        </w:rPr>
        <w:t xml:space="preserve">.   </w:t>
      </w:r>
    </w:p>
    <w:p w14:paraId="0B2618DA" w14:textId="77777777" w:rsidR="003D2F02" w:rsidRPr="00911976" w:rsidRDefault="003D2F02" w:rsidP="004E6E2F">
      <w:pPr>
        <w:pStyle w:val="SingleTxtG"/>
        <w:ind w:left="1701"/>
        <w:rPr>
          <w:rFonts w:asciiTheme="majorBidi" w:hAnsiTheme="majorBidi" w:cstheme="majorBidi"/>
          <w:iCs/>
        </w:rPr>
      </w:pPr>
      <w:r w:rsidRPr="00F03399">
        <w:rPr>
          <w:rStyle w:val="StyleItalic"/>
          <w:rFonts w:asciiTheme="majorBidi" w:hAnsiTheme="majorBidi" w:cstheme="majorBidi"/>
        </w:rPr>
        <w:t xml:space="preserve">- may be omitted if P321 </w:t>
      </w:r>
      <w:r>
        <w:rPr>
          <w:rStyle w:val="StyleItalic"/>
          <w:rFonts w:asciiTheme="majorBidi" w:hAnsiTheme="majorBidi" w:cstheme="majorBidi"/>
        </w:rPr>
        <w:t xml:space="preserve">or P322 </w:t>
      </w:r>
      <w:r w:rsidRPr="00F03399">
        <w:rPr>
          <w:rStyle w:val="StyleItalic"/>
          <w:rFonts w:asciiTheme="majorBidi" w:hAnsiTheme="majorBidi" w:cstheme="majorBidi"/>
        </w:rPr>
        <w:t>is given on the label.”</w:t>
      </w:r>
    </w:p>
    <w:p w14:paraId="4F9409DC" w14:textId="77777777" w:rsidR="003D2F02" w:rsidRPr="00A00142" w:rsidRDefault="003D2F02" w:rsidP="004E6E2F">
      <w:pPr>
        <w:pStyle w:val="H23G"/>
        <w:jc w:val="both"/>
        <w:rPr>
          <w:rFonts w:asciiTheme="majorBidi" w:hAnsiTheme="majorBidi" w:cstheme="majorBidi"/>
        </w:rPr>
      </w:pPr>
      <w:r>
        <w:tab/>
      </w:r>
      <w:r>
        <w:tab/>
        <w:t>T</w:t>
      </w:r>
      <w:r w:rsidRPr="00A00142">
        <w:t xml:space="preserve">able for “Skin </w:t>
      </w:r>
      <w:r>
        <w:t>c</w:t>
      </w:r>
      <w:r w:rsidRPr="00A00142">
        <w:t>orrosion/irritation</w:t>
      </w:r>
      <w:r w:rsidRPr="00911976" w:rsidDel="007E6725">
        <w:t xml:space="preserve"> </w:t>
      </w:r>
      <w:r w:rsidRPr="00A00142">
        <w:t xml:space="preserve">(chapter 3.2)” hazard category </w:t>
      </w:r>
      <w:r w:rsidRPr="00911976">
        <w:t>2</w:t>
      </w:r>
    </w:p>
    <w:p w14:paraId="7D4B0C44" w14:textId="649C80B8" w:rsidR="003D2F02" w:rsidRPr="00770680" w:rsidRDefault="00EA0182" w:rsidP="004E6E2F">
      <w:pPr>
        <w:pStyle w:val="SingleTxtG"/>
      </w:pPr>
      <w:r>
        <w:t>6</w:t>
      </w:r>
      <w:r w:rsidR="006F0CD5">
        <w:t>5</w:t>
      </w:r>
      <w:r w:rsidR="003D2F02" w:rsidRPr="00770680">
        <w:t>.</w:t>
      </w:r>
      <w:r w:rsidR="003D2F02" w:rsidRPr="00770680">
        <w:tab/>
        <w:t>C</w:t>
      </w:r>
      <w:r w:rsidR="003D2F02" w:rsidRPr="00911976">
        <w:t>olumn “Response”</w:t>
      </w:r>
      <w:r w:rsidR="003D2F02">
        <w:t>,</w:t>
      </w:r>
      <w:r w:rsidR="003D2F02" w:rsidRPr="00911976">
        <w:t xml:space="preserve"> </w:t>
      </w:r>
      <w:r w:rsidR="00E51312">
        <w:t>amend</w:t>
      </w:r>
      <w:r w:rsidR="00E51312" w:rsidRPr="00911976">
        <w:t xml:space="preserve"> </w:t>
      </w:r>
      <w:r w:rsidR="003D2F02" w:rsidRPr="00911976">
        <w:t>P321</w:t>
      </w:r>
      <w:r w:rsidR="003D2F02">
        <w:t xml:space="preserve"> </w:t>
      </w:r>
      <w:r w:rsidR="003D2F02" w:rsidRPr="00911976">
        <w:t xml:space="preserve">and insert a new P323 </w:t>
      </w:r>
      <w:r w:rsidR="003D2F02">
        <w:t xml:space="preserve">entry </w:t>
      </w:r>
      <w:r w:rsidR="003D2F02" w:rsidRPr="00911976">
        <w:t xml:space="preserve">to read as follows (current </w:t>
      </w:r>
      <w:r w:rsidR="003D2F02">
        <w:t>entries</w:t>
      </w:r>
      <w:r w:rsidR="003D2F02" w:rsidRPr="00911976">
        <w:t xml:space="preserve"> P302+P352, P332+P317 and P362+P364 remain unchanged)</w:t>
      </w:r>
      <w:r w:rsidR="003D2F02" w:rsidRPr="00770680">
        <w:t>:</w:t>
      </w:r>
    </w:p>
    <w:p w14:paraId="43229A9E" w14:textId="77777777" w:rsidR="003D2F02" w:rsidRDefault="003D2F02" w:rsidP="004E6E2F">
      <w:pPr>
        <w:pStyle w:val="BalloonText"/>
        <w:spacing w:before="20" w:after="60"/>
        <w:ind w:left="1701" w:right="1134"/>
        <w:jc w:val="both"/>
        <w:rPr>
          <w:rFonts w:ascii="Times New Roman" w:hAnsi="Times New Roman" w:cs="Times New Roman"/>
          <w:sz w:val="20"/>
          <w:szCs w:val="20"/>
        </w:rPr>
      </w:pPr>
      <w:r>
        <w:rPr>
          <w:rFonts w:ascii="Times New Roman" w:hAnsi="Times New Roman" w:cs="Times New Roman"/>
          <w:sz w:val="20"/>
          <w:szCs w:val="20"/>
        </w:rPr>
        <w:t>“</w:t>
      </w:r>
      <w:r w:rsidRPr="00A00142">
        <w:rPr>
          <w:rFonts w:ascii="Times New Roman" w:hAnsi="Times New Roman" w:cs="Times New Roman"/>
          <w:sz w:val="20"/>
          <w:szCs w:val="20"/>
        </w:rPr>
        <w:t>P321</w:t>
      </w:r>
    </w:p>
    <w:p w14:paraId="21927A70" w14:textId="77777777" w:rsidR="003D2F02" w:rsidRPr="00A06604" w:rsidRDefault="003D2F02" w:rsidP="004E6E2F">
      <w:pPr>
        <w:pStyle w:val="BalloonText"/>
        <w:spacing w:before="20" w:after="60"/>
        <w:ind w:left="1701" w:right="1134"/>
        <w:jc w:val="both"/>
        <w:rPr>
          <w:rFonts w:asciiTheme="majorBidi" w:hAnsiTheme="majorBidi" w:cstheme="majorBidi"/>
          <w:bCs/>
          <w:sz w:val="20"/>
          <w:szCs w:val="20"/>
        </w:rPr>
      </w:pPr>
      <w:r w:rsidRPr="00A06604">
        <w:rPr>
          <w:rStyle w:val="StyleBold"/>
          <w:rFonts w:asciiTheme="majorBidi" w:hAnsiTheme="majorBidi" w:cstheme="majorBidi"/>
          <w:sz w:val="20"/>
          <w:szCs w:val="20"/>
        </w:rPr>
        <w:t xml:space="preserve">Specific treatment (see </w:t>
      </w:r>
      <w:r w:rsidRPr="00A06604">
        <w:rPr>
          <w:rFonts w:asciiTheme="majorBidi" w:hAnsiTheme="majorBidi" w:cstheme="majorBidi"/>
          <w:b/>
          <w:sz w:val="20"/>
          <w:szCs w:val="20"/>
        </w:rPr>
        <w:t xml:space="preserve">information </w:t>
      </w:r>
      <w:r w:rsidRPr="00A06604">
        <w:rPr>
          <w:rStyle w:val="StyleBold"/>
          <w:rFonts w:asciiTheme="majorBidi" w:hAnsiTheme="majorBidi" w:cstheme="majorBidi"/>
          <w:sz w:val="20"/>
          <w:szCs w:val="20"/>
        </w:rPr>
        <w:t>on this label and safety data sheet).</w:t>
      </w:r>
    </w:p>
    <w:p w14:paraId="5F416504" w14:textId="47D2E338" w:rsidR="003D2F02" w:rsidRPr="00B36D95" w:rsidRDefault="003D2F02" w:rsidP="004E6E2F">
      <w:pPr>
        <w:spacing w:after="80"/>
        <w:ind w:left="1701" w:right="1134"/>
        <w:jc w:val="both"/>
        <w:rPr>
          <w:rStyle w:val="StyleItalic"/>
        </w:rPr>
      </w:pPr>
      <w:r w:rsidRPr="00B36D95">
        <w:rPr>
          <w:rStyle w:val="StyleItalic"/>
        </w:rPr>
        <w:t>- if immediate measures that can be easily applied, such as the administration of antidote or other specific treatment, are required.</w:t>
      </w:r>
      <w:r w:rsidR="00181542">
        <w:rPr>
          <w:rStyle w:val="StyleItalic"/>
        </w:rPr>
        <w:t xml:space="preserve"> T</w:t>
      </w:r>
      <w:r w:rsidRPr="00B36D95">
        <w:rPr>
          <w:rStyle w:val="StyleItalic"/>
        </w:rPr>
        <w:t xml:space="preserve">hese measures must be specified on the label and safety data sheet, recognizing additional detailed </w:t>
      </w:r>
      <w:r w:rsidRPr="00B36D95">
        <w:rPr>
          <w:rStyle w:val="StyleItalic"/>
          <w:rFonts w:cstheme="minorBidi"/>
        </w:rPr>
        <w:t>instructions, including any training requirements,</w:t>
      </w:r>
      <w:r w:rsidRPr="00B36D95">
        <w:rPr>
          <w:rStyle w:val="StyleItalic"/>
        </w:rPr>
        <w:t xml:space="preserve"> should be provided on the safety data sheet, if appropriate.</w:t>
      </w:r>
    </w:p>
    <w:p w14:paraId="6ACD4509" w14:textId="77777777" w:rsidR="003D2F02" w:rsidRPr="00B36D95" w:rsidRDefault="003D2F02" w:rsidP="004E6E2F">
      <w:pPr>
        <w:pStyle w:val="BalloonText"/>
        <w:tabs>
          <w:tab w:val="left" w:pos="0"/>
          <w:tab w:val="left" w:pos="221"/>
        </w:tabs>
        <w:spacing w:before="20" w:after="160"/>
        <w:ind w:left="1701" w:right="1134"/>
        <w:jc w:val="both"/>
        <w:rPr>
          <w:rStyle w:val="StyleItalic"/>
          <w:sz w:val="20"/>
          <w:szCs w:val="20"/>
        </w:rPr>
      </w:pPr>
      <w:r w:rsidRPr="00B36D95">
        <w:rPr>
          <w:rStyle w:val="StyleItalic"/>
          <w:rFonts w:asciiTheme="majorBidi" w:hAnsiTheme="majorBidi" w:cstheme="majorBidi"/>
          <w:sz w:val="20"/>
          <w:szCs w:val="20"/>
        </w:rPr>
        <w:t>- may be omitted if P320 is given on the label</w:t>
      </w:r>
      <w:r w:rsidRPr="00B36D95">
        <w:rPr>
          <w:rFonts w:ascii="Times New Roman" w:hAnsi="Times New Roman" w:cs="Times New Roman"/>
          <w:i/>
          <w:iCs/>
          <w:sz w:val="20"/>
          <w:szCs w:val="20"/>
        </w:rPr>
        <w:t>.</w:t>
      </w:r>
    </w:p>
    <w:p w14:paraId="5FDE4A67" w14:textId="77777777" w:rsidR="003D2F02" w:rsidRPr="00F255D2" w:rsidRDefault="003D2F02" w:rsidP="004E6E2F">
      <w:pPr>
        <w:pStyle w:val="BalloonText"/>
        <w:spacing w:after="60"/>
        <w:ind w:left="1701" w:right="1134"/>
        <w:jc w:val="both"/>
        <w:rPr>
          <w:rFonts w:asciiTheme="majorBidi" w:hAnsiTheme="majorBidi" w:cstheme="majorBidi"/>
          <w:bCs/>
          <w:sz w:val="20"/>
          <w:szCs w:val="20"/>
        </w:rPr>
      </w:pPr>
      <w:r w:rsidRPr="00F255D2">
        <w:rPr>
          <w:rFonts w:asciiTheme="majorBidi" w:hAnsiTheme="majorBidi" w:cstheme="majorBidi"/>
          <w:bCs/>
          <w:sz w:val="20"/>
          <w:szCs w:val="20"/>
        </w:rPr>
        <w:t>P323</w:t>
      </w:r>
    </w:p>
    <w:p w14:paraId="6DD92D0E" w14:textId="77777777" w:rsidR="003D2F02" w:rsidRPr="00F255D2" w:rsidRDefault="003D2F02" w:rsidP="004E6E2F">
      <w:pPr>
        <w:pStyle w:val="BalloonText"/>
        <w:spacing w:after="60"/>
        <w:ind w:left="1701" w:right="1134"/>
        <w:jc w:val="both"/>
        <w:rPr>
          <w:rFonts w:asciiTheme="majorBidi" w:hAnsiTheme="majorBidi" w:cstheme="majorBidi"/>
          <w:b/>
          <w:sz w:val="20"/>
          <w:szCs w:val="20"/>
        </w:rPr>
      </w:pPr>
      <w:r w:rsidRPr="00F255D2">
        <w:rPr>
          <w:rStyle w:val="StyleBold"/>
          <w:rFonts w:asciiTheme="majorBidi" w:hAnsiTheme="majorBidi" w:cstheme="majorBidi"/>
          <w:sz w:val="20"/>
          <w:szCs w:val="20"/>
        </w:rPr>
        <w:t xml:space="preserve">Specific treatment (see </w:t>
      </w:r>
      <w:r w:rsidRPr="00F255D2">
        <w:rPr>
          <w:rFonts w:asciiTheme="majorBidi" w:hAnsiTheme="majorBidi" w:cstheme="majorBidi"/>
          <w:b/>
          <w:bCs/>
          <w:sz w:val="20"/>
          <w:szCs w:val="20"/>
        </w:rPr>
        <w:t>information on the safety data sheet).</w:t>
      </w:r>
    </w:p>
    <w:p w14:paraId="3FA2518C" w14:textId="77777777" w:rsidR="003D2F02" w:rsidRPr="00F255D2" w:rsidRDefault="003D2F02" w:rsidP="004E6E2F">
      <w:pPr>
        <w:keepLines/>
        <w:tabs>
          <w:tab w:val="left" w:pos="178"/>
        </w:tabs>
        <w:spacing w:after="60"/>
        <w:ind w:left="1701" w:right="1134"/>
        <w:jc w:val="both"/>
        <w:rPr>
          <w:rStyle w:val="StyleItalic"/>
          <w:rFonts w:cstheme="minorBidi"/>
          <w:i w:val="0"/>
          <w:iCs w:val="0"/>
          <w:sz w:val="16"/>
          <w:szCs w:val="16"/>
        </w:rPr>
      </w:pPr>
      <w:r w:rsidRPr="00F255D2">
        <w:rPr>
          <w:rStyle w:val="StyleItalic"/>
          <w:rFonts w:asciiTheme="majorBidi" w:hAnsiTheme="majorBidi" w:cstheme="majorBidi"/>
          <w:i w:val="0"/>
          <w:iCs w:val="0"/>
        </w:rPr>
        <w:t>Manufacturer</w:t>
      </w:r>
      <w:r w:rsidRPr="00F255D2">
        <w:rPr>
          <w:rStyle w:val="StyleItalic"/>
          <w:rFonts w:cstheme="minorBidi"/>
          <w:i w:val="0"/>
          <w:iCs w:val="0"/>
        </w:rPr>
        <w:t>/supplier to reference on the safety data sheet detailed instructions</w:t>
      </w:r>
      <w:r>
        <w:rPr>
          <w:rStyle w:val="StyleItalic"/>
          <w:rFonts w:cstheme="minorBidi"/>
          <w:i w:val="0"/>
          <w:iCs w:val="0"/>
        </w:rPr>
        <w:t>,</w:t>
      </w:r>
      <w:r w:rsidRPr="00F255D2">
        <w:rPr>
          <w:rStyle w:val="StyleItalic"/>
          <w:rFonts w:cstheme="minorBidi"/>
          <w:i w:val="0"/>
          <w:iCs w:val="0"/>
        </w:rPr>
        <w:t xml:space="preserve"> </w:t>
      </w:r>
      <w:r>
        <w:rPr>
          <w:rStyle w:val="StyleItalic"/>
          <w:rFonts w:cstheme="minorBidi"/>
          <w:i w:val="0"/>
          <w:iCs w:val="0"/>
        </w:rPr>
        <w:t>including</w:t>
      </w:r>
      <w:r w:rsidRPr="00F255D2">
        <w:rPr>
          <w:rStyle w:val="StyleItalic"/>
          <w:rFonts w:cstheme="minorBidi"/>
          <w:i w:val="0"/>
          <w:iCs w:val="0"/>
        </w:rPr>
        <w:t xml:space="preserve"> any training requirements</w:t>
      </w:r>
      <w:r>
        <w:rPr>
          <w:rStyle w:val="StyleItalic"/>
          <w:rFonts w:cstheme="minorBidi"/>
          <w:i w:val="0"/>
          <w:iCs w:val="0"/>
        </w:rPr>
        <w:t>,</w:t>
      </w:r>
      <w:r w:rsidRPr="00F255D2">
        <w:rPr>
          <w:rStyle w:val="StyleItalic"/>
          <w:rFonts w:cstheme="minorBidi"/>
          <w:i w:val="0"/>
          <w:iCs w:val="0"/>
        </w:rPr>
        <w:t xml:space="preserve"> to administer an antidote or other specific treatment.   </w:t>
      </w:r>
    </w:p>
    <w:p w14:paraId="511F2B38" w14:textId="77777777" w:rsidR="003D2F02" w:rsidRPr="00F255D2" w:rsidRDefault="003D2F02" w:rsidP="004E6E2F">
      <w:pPr>
        <w:pStyle w:val="BalloonText"/>
        <w:tabs>
          <w:tab w:val="left" w:pos="0"/>
          <w:tab w:val="left" w:pos="221"/>
        </w:tabs>
        <w:spacing w:before="20" w:after="160"/>
        <w:ind w:left="1701" w:right="1134"/>
        <w:jc w:val="both"/>
        <w:rPr>
          <w:rFonts w:ascii="Times New Roman" w:hAnsi="Times New Roman" w:cs="Times New Roman"/>
          <w:bCs/>
          <w:sz w:val="20"/>
          <w:szCs w:val="20"/>
        </w:rPr>
      </w:pPr>
      <w:r w:rsidRPr="00F255D2">
        <w:rPr>
          <w:rStyle w:val="StyleItalic"/>
          <w:rFonts w:cstheme="minorBidi"/>
          <w:sz w:val="20"/>
          <w:szCs w:val="20"/>
        </w:rPr>
        <w:lastRenderedPageBreak/>
        <w:t>- may be omitted if P321 or P322 is given on the label.”.</w:t>
      </w:r>
    </w:p>
    <w:p w14:paraId="33C9E87F" w14:textId="2314067E" w:rsidR="003D2F02" w:rsidRPr="00A00142" w:rsidRDefault="003D2F02" w:rsidP="004E6E2F">
      <w:pPr>
        <w:pStyle w:val="H23G"/>
        <w:jc w:val="both"/>
      </w:pPr>
      <w:r>
        <w:tab/>
      </w:r>
      <w:r>
        <w:tab/>
      </w:r>
      <w:r w:rsidRPr="00B83755">
        <w:t>Table for “Skin sensitization</w:t>
      </w:r>
      <w:r w:rsidRPr="00911976" w:rsidDel="007E6725">
        <w:t xml:space="preserve"> </w:t>
      </w:r>
      <w:r w:rsidRPr="00A00142">
        <w:t xml:space="preserve">(chapter 3.4)” hazard </w:t>
      </w:r>
      <w:r w:rsidRPr="00911976">
        <w:t>categories 1, 1A, 1B</w:t>
      </w:r>
    </w:p>
    <w:p w14:paraId="63E93237" w14:textId="12C59B72" w:rsidR="003D2F02" w:rsidRPr="00B83755" w:rsidRDefault="00EA0182" w:rsidP="004E6E2F">
      <w:pPr>
        <w:pStyle w:val="SingleTxtG"/>
        <w:ind w:left="1701" w:hanging="567"/>
      </w:pPr>
      <w:r>
        <w:t>6</w:t>
      </w:r>
      <w:r w:rsidR="006F0CD5">
        <w:t>6</w:t>
      </w:r>
      <w:r w:rsidR="003D2F02" w:rsidRPr="00A00142">
        <w:t>.</w:t>
      </w:r>
      <w:r w:rsidR="003D2F02" w:rsidRPr="00A00142">
        <w:tab/>
      </w:r>
      <w:r w:rsidR="003D2F02" w:rsidRPr="00B83755">
        <w:t>Column “Prevention”, for the P261 entry replace “</w:t>
      </w:r>
      <w:r w:rsidR="003D2F02" w:rsidRPr="00B83755">
        <w:rPr>
          <w:color w:val="000000"/>
        </w:rPr>
        <w:t>…. to specify applicable conditions</w:t>
      </w:r>
      <w:r w:rsidR="003D2F02" w:rsidRPr="00B83755">
        <w:rPr>
          <w:color w:val="FF0000"/>
        </w:rPr>
        <w:t>.</w:t>
      </w:r>
      <w:r w:rsidR="003D2F02" w:rsidRPr="00B83755">
        <w:rPr>
          <w:bCs/>
        </w:rPr>
        <w:t>” with “…</w:t>
      </w:r>
      <w:r w:rsidR="003D2F02" w:rsidRPr="00B83755">
        <w:rPr>
          <w:color w:val="000000"/>
        </w:rPr>
        <w:t xml:space="preserve"> to specify applicable physical state(s)</w:t>
      </w:r>
      <w:r w:rsidR="003D2F02" w:rsidRPr="00B83755">
        <w:rPr>
          <w:color w:val="FF0000"/>
        </w:rPr>
        <w:t>.</w:t>
      </w:r>
      <w:r w:rsidR="003D2F02" w:rsidRPr="00B83755">
        <w:rPr>
          <w:bCs/>
        </w:rPr>
        <w:t>”</w:t>
      </w:r>
      <w:r w:rsidR="003D2F02">
        <w:rPr>
          <w:bCs/>
        </w:rPr>
        <w:t xml:space="preserve"> (</w:t>
      </w:r>
      <w:proofErr w:type="gramStart"/>
      <w:r w:rsidR="003D2F02">
        <w:rPr>
          <w:bCs/>
        </w:rPr>
        <w:t>current</w:t>
      </w:r>
      <w:proofErr w:type="gramEnd"/>
      <w:r w:rsidR="003D2F02">
        <w:rPr>
          <w:bCs/>
        </w:rPr>
        <w:t xml:space="preserve"> entries P272 and P280 remain unchanged)</w:t>
      </w:r>
      <w:r w:rsidR="003D2F02" w:rsidRPr="00B83755">
        <w:rPr>
          <w:bCs/>
        </w:rPr>
        <w:t>.</w:t>
      </w:r>
    </w:p>
    <w:p w14:paraId="04385F45" w14:textId="0E77A55B" w:rsidR="003D2F02" w:rsidRPr="00A00142" w:rsidRDefault="003D2F02" w:rsidP="004E6E2F">
      <w:pPr>
        <w:pStyle w:val="SingleTxtG"/>
        <w:ind w:left="1701"/>
      </w:pPr>
      <w:r>
        <w:t>C</w:t>
      </w:r>
      <w:r w:rsidRPr="00A00142">
        <w:rPr>
          <w:bCs/>
        </w:rPr>
        <w:t>olumn “Response</w:t>
      </w:r>
      <w:r w:rsidRPr="00AB2C33">
        <w:rPr>
          <w:bCs/>
        </w:rPr>
        <w:t xml:space="preserve">”, </w:t>
      </w:r>
      <w:r w:rsidR="009A479E">
        <w:t>amend</w:t>
      </w:r>
      <w:r w:rsidRPr="00AB2C33">
        <w:t xml:space="preserve"> P321 </w:t>
      </w:r>
      <w:r w:rsidRPr="00AB2C33">
        <w:rPr>
          <w:bCs/>
        </w:rPr>
        <w:t>and insert a new P323 entry to read</w:t>
      </w:r>
      <w:r>
        <w:rPr>
          <w:bCs/>
        </w:rPr>
        <w:t xml:space="preserve"> as follows (current entries </w:t>
      </w:r>
      <w:r w:rsidRPr="00911976">
        <w:rPr>
          <w:bCs/>
        </w:rPr>
        <w:t xml:space="preserve">P302+P352, P333+P317 and </w:t>
      </w:r>
      <w:r w:rsidRPr="00911976">
        <w:rPr>
          <w:bCs/>
          <w:color w:val="000000"/>
        </w:rPr>
        <w:t>P362+P364</w:t>
      </w:r>
      <w:r>
        <w:rPr>
          <w:bCs/>
        </w:rPr>
        <w:t xml:space="preserve"> remain unchanged)</w:t>
      </w:r>
      <w:r w:rsidRPr="00A00142">
        <w:t>:</w:t>
      </w:r>
    </w:p>
    <w:p w14:paraId="01AB9424" w14:textId="77777777" w:rsidR="003D2F02" w:rsidRDefault="003D2F02" w:rsidP="004E6E2F">
      <w:pPr>
        <w:pStyle w:val="BalloonText"/>
        <w:keepNext/>
        <w:keepLines/>
        <w:spacing w:before="20" w:after="60"/>
        <w:ind w:left="1701" w:right="1134"/>
        <w:jc w:val="both"/>
        <w:rPr>
          <w:rFonts w:ascii="Times New Roman" w:hAnsi="Times New Roman" w:cs="Times New Roman"/>
          <w:bCs/>
          <w:sz w:val="20"/>
          <w:szCs w:val="20"/>
        </w:rPr>
      </w:pPr>
      <w:r w:rsidRPr="00A00142">
        <w:rPr>
          <w:rFonts w:ascii="Times New Roman" w:hAnsi="Times New Roman" w:cs="Times New Roman"/>
          <w:bCs/>
          <w:sz w:val="20"/>
          <w:szCs w:val="20"/>
        </w:rPr>
        <w:t>“P321</w:t>
      </w:r>
    </w:p>
    <w:p w14:paraId="2E5ED3CA" w14:textId="77777777" w:rsidR="003D2F02" w:rsidRPr="00F255D2" w:rsidRDefault="003D2F02" w:rsidP="004E6E2F">
      <w:pPr>
        <w:pStyle w:val="BalloonText"/>
        <w:spacing w:before="20" w:after="60"/>
        <w:ind w:left="1701" w:right="1134"/>
        <w:jc w:val="both"/>
        <w:rPr>
          <w:rFonts w:asciiTheme="majorBidi" w:hAnsiTheme="majorBidi" w:cstheme="majorBidi"/>
          <w:bCs/>
          <w:sz w:val="20"/>
          <w:szCs w:val="20"/>
        </w:rPr>
      </w:pPr>
      <w:r w:rsidRPr="00A00142">
        <w:rPr>
          <w:rStyle w:val="StyleBold"/>
          <w:rFonts w:asciiTheme="majorBidi" w:hAnsiTheme="majorBidi" w:cstheme="majorBidi"/>
          <w:sz w:val="20"/>
          <w:szCs w:val="20"/>
        </w:rPr>
        <w:t xml:space="preserve">Specific treatment (see </w:t>
      </w:r>
      <w:r w:rsidRPr="00A00142">
        <w:rPr>
          <w:rFonts w:asciiTheme="majorBidi" w:hAnsiTheme="majorBidi" w:cstheme="majorBidi"/>
          <w:b/>
          <w:sz w:val="20"/>
          <w:szCs w:val="20"/>
        </w:rPr>
        <w:t xml:space="preserve">information </w:t>
      </w:r>
      <w:r w:rsidRPr="00A00142">
        <w:rPr>
          <w:rStyle w:val="StyleBold"/>
          <w:rFonts w:asciiTheme="majorBidi" w:hAnsiTheme="majorBidi" w:cstheme="majorBidi"/>
          <w:sz w:val="20"/>
          <w:szCs w:val="20"/>
        </w:rPr>
        <w:t xml:space="preserve">on this </w:t>
      </w:r>
      <w:r w:rsidRPr="00F255D2">
        <w:rPr>
          <w:rStyle w:val="StyleBold"/>
          <w:rFonts w:asciiTheme="majorBidi" w:hAnsiTheme="majorBidi" w:cstheme="majorBidi"/>
          <w:sz w:val="20"/>
          <w:szCs w:val="20"/>
        </w:rPr>
        <w:t>label and safety data sheet).</w:t>
      </w:r>
    </w:p>
    <w:p w14:paraId="34E8402A" w14:textId="1F9CFA1C" w:rsidR="003D2F02" w:rsidRPr="00B36D95" w:rsidRDefault="003D2F02" w:rsidP="004E6E2F">
      <w:pPr>
        <w:spacing w:after="80"/>
        <w:ind w:left="1701" w:right="1134"/>
        <w:jc w:val="both"/>
        <w:rPr>
          <w:rStyle w:val="StyleItalic"/>
        </w:rPr>
      </w:pPr>
      <w:r w:rsidRPr="00B36D95">
        <w:rPr>
          <w:rStyle w:val="StyleItalic"/>
        </w:rPr>
        <w:t>- if immediate measures that can be easily applied, such as the administration of antidote or other specific treatment, are required.</w:t>
      </w:r>
      <w:r w:rsidR="00141AB0">
        <w:rPr>
          <w:rStyle w:val="StyleItalic"/>
        </w:rPr>
        <w:t xml:space="preserve"> T</w:t>
      </w:r>
      <w:r w:rsidRPr="00B36D95">
        <w:rPr>
          <w:rStyle w:val="StyleItalic"/>
        </w:rPr>
        <w:t xml:space="preserve">hese measures must be specified on the label and safety data sheet, recognizing additional detailed </w:t>
      </w:r>
      <w:r w:rsidRPr="00B36D95">
        <w:rPr>
          <w:rStyle w:val="StyleItalic"/>
          <w:rFonts w:cstheme="minorBidi"/>
        </w:rPr>
        <w:t>instructions, including any training requirements,</w:t>
      </w:r>
      <w:r w:rsidRPr="00B36D95">
        <w:rPr>
          <w:rStyle w:val="StyleItalic"/>
        </w:rPr>
        <w:t xml:space="preserve"> should be provided on the safety data sheet, if appropriate.</w:t>
      </w:r>
    </w:p>
    <w:p w14:paraId="4CF24AF2" w14:textId="77777777" w:rsidR="003D2F02" w:rsidRPr="00B36D95" w:rsidRDefault="003D2F02" w:rsidP="004E6E2F">
      <w:pPr>
        <w:pStyle w:val="BalloonText"/>
        <w:tabs>
          <w:tab w:val="left" w:pos="0"/>
          <w:tab w:val="left" w:pos="221"/>
        </w:tabs>
        <w:spacing w:before="20" w:after="160"/>
        <w:ind w:left="1701" w:right="1134"/>
        <w:jc w:val="both"/>
        <w:rPr>
          <w:rStyle w:val="StyleItalic"/>
          <w:sz w:val="20"/>
          <w:szCs w:val="20"/>
        </w:rPr>
      </w:pPr>
      <w:r w:rsidRPr="00B36D95">
        <w:rPr>
          <w:rStyle w:val="StyleItalic"/>
          <w:rFonts w:asciiTheme="majorBidi" w:hAnsiTheme="majorBidi" w:cstheme="majorBidi"/>
          <w:sz w:val="20"/>
          <w:szCs w:val="20"/>
        </w:rPr>
        <w:t>- may be omitted if P320 is given on the label</w:t>
      </w:r>
      <w:r w:rsidRPr="00B36D95">
        <w:rPr>
          <w:rFonts w:ascii="Times New Roman" w:hAnsi="Times New Roman" w:cs="Times New Roman"/>
          <w:i/>
          <w:iCs/>
          <w:sz w:val="20"/>
          <w:szCs w:val="20"/>
        </w:rPr>
        <w:t>.</w:t>
      </w:r>
    </w:p>
    <w:p w14:paraId="06320EE4" w14:textId="77777777" w:rsidR="003D2F02" w:rsidRPr="00F255D2" w:rsidRDefault="003D2F02" w:rsidP="004E6E2F">
      <w:pPr>
        <w:pStyle w:val="BalloonText"/>
        <w:spacing w:after="60"/>
        <w:ind w:left="1701" w:right="1134"/>
        <w:jc w:val="both"/>
        <w:rPr>
          <w:rFonts w:asciiTheme="majorBidi" w:hAnsiTheme="majorBidi" w:cstheme="majorBidi"/>
          <w:bCs/>
          <w:sz w:val="20"/>
          <w:szCs w:val="20"/>
        </w:rPr>
      </w:pPr>
      <w:r w:rsidRPr="00F255D2">
        <w:rPr>
          <w:rFonts w:asciiTheme="majorBidi" w:hAnsiTheme="majorBidi" w:cstheme="majorBidi"/>
          <w:bCs/>
          <w:sz w:val="20"/>
          <w:szCs w:val="20"/>
        </w:rPr>
        <w:t>P323</w:t>
      </w:r>
    </w:p>
    <w:p w14:paraId="497206A9" w14:textId="77777777" w:rsidR="003D2F02" w:rsidRPr="00F255D2" w:rsidRDefault="003D2F02" w:rsidP="004E6E2F">
      <w:pPr>
        <w:pStyle w:val="BalloonText"/>
        <w:spacing w:after="60"/>
        <w:ind w:left="1701" w:right="1134"/>
        <w:jc w:val="both"/>
        <w:rPr>
          <w:rFonts w:asciiTheme="majorBidi" w:hAnsiTheme="majorBidi" w:cstheme="majorBidi"/>
          <w:b/>
          <w:sz w:val="20"/>
          <w:szCs w:val="20"/>
        </w:rPr>
      </w:pPr>
      <w:r w:rsidRPr="00F255D2">
        <w:rPr>
          <w:rStyle w:val="StyleBold"/>
          <w:rFonts w:asciiTheme="majorBidi" w:hAnsiTheme="majorBidi" w:cstheme="majorBidi"/>
          <w:sz w:val="20"/>
          <w:szCs w:val="20"/>
        </w:rPr>
        <w:t xml:space="preserve">Specific treatment (see </w:t>
      </w:r>
      <w:r w:rsidRPr="00F255D2">
        <w:rPr>
          <w:rFonts w:asciiTheme="majorBidi" w:hAnsiTheme="majorBidi" w:cstheme="majorBidi"/>
          <w:b/>
          <w:bCs/>
          <w:sz w:val="20"/>
          <w:szCs w:val="20"/>
        </w:rPr>
        <w:t>information on the safety data sheet).</w:t>
      </w:r>
    </w:p>
    <w:p w14:paraId="36766653" w14:textId="77777777" w:rsidR="003D2F02" w:rsidRPr="00F255D2" w:rsidRDefault="003D2F02" w:rsidP="004E6E2F">
      <w:pPr>
        <w:keepLines/>
        <w:tabs>
          <w:tab w:val="left" w:pos="178"/>
        </w:tabs>
        <w:spacing w:after="60"/>
        <w:ind w:left="1701" w:right="1134"/>
        <w:jc w:val="both"/>
        <w:rPr>
          <w:rStyle w:val="StyleItalic"/>
          <w:rFonts w:cstheme="minorBidi"/>
          <w:i w:val="0"/>
          <w:iCs w:val="0"/>
          <w:sz w:val="16"/>
          <w:szCs w:val="16"/>
        </w:rPr>
      </w:pPr>
      <w:r w:rsidRPr="00F255D2">
        <w:rPr>
          <w:rStyle w:val="StyleItalic"/>
          <w:rFonts w:asciiTheme="majorBidi" w:hAnsiTheme="majorBidi" w:cstheme="majorBidi"/>
          <w:i w:val="0"/>
          <w:iCs w:val="0"/>
        </w:rPr>
        <w:t>Manufacturer</w:t>
      </w:r>
      <w:r w:rsidRPr="00F255D2">
        <w:rPr>
          <w:rStyle w:val="StyleItalic"/>
          <w:rFonts w:cstheme="minorBidi"/>
          <w:i w:val="0"/>
          <w:iCs w:val="0"/>
        </w:rPr>
        <w:t>/supplier to reference on the safety data sheet detailed instructions</w:t>
      </w:r>
      <w:r>
        <w:rPr>
          <w:rStyle w:val="StyleItalic"/>
          <w:rFonts w:cstheme="minorBidi"/>
          <w:i w:val="0"/>
          <w:iCs w:val="0"/>
        </w:rPr>
        <w:t>,</w:t>
      </w:r>
      <w:r w:rsidRPr="00F255D2">
        <w:rPr>
          <w:rStyle w:val="StyleItalic"/>
          <w:rFonts w:cstheme="minorBidi"/>
          <w:i w:val="0"/>
          <w:iCs w:val="0"/>
        </w:rPr>
        <w:t xml:space="preserve"> </w:t>
      </w:r>
      <w:r>
        <w:rPr>
          <w:rStyle w:val="StyleItalic"/>
          <w:rFonts w:cstheme="minorBidi"/>
          <w:i w:val="0"/>
          <w:iCs w:val="0"/>
        </w:rPr>
        <w:t>including</w:t>
      </w:r>
      <w:r w:rsidRPr="00F255D2">
        <w:rPr>
          <w:rStyle w:val="StyleItalic"/>
          <w:rFonts w:cstheme="minorBidi"/>
          <w:i w:val="0"/>
          <w:iCs w:val="0"/>
        </w:rPr>
        <w:t xml:space="preserve"> any training requirements</w:t>
      </w:r>
      <w:r>
        <w:rPr>
          <w:rStyle w:val="StyleItalic"/>
          <w:rFonts w:cstheme="minorBidi"/>
          <w:i w:val="0"/>
          <w:iCs w:val="0"/>
        </w:rPr>
        <w:t>,</w:t>
      </w:r>
      <w:r w:rsidRPr="00F255D2">
        <w:rPr>
          <w:rStyle w:val="StyleItalic"/>
          <w:rFonts w:cstheme="minorBidi"/>
          <w:i w:val="0"/>
          <w:iCs w:val="0"/>
        </w:rPr>
        <w:t xml:space="preserve"> to administer an antidote or other specific treatment.   </w:t>
      </w:r>
    </w:p>
    <w:p w14:paraId="77404B53" w14:textId="77777777" w:rsidR="003D2F02" w:rsidRPr="00A00142" w:rsidRDefault="003D2F02" w:rsidP="004E6E2F">
      <w:pPr>
        <w:pStyle w:val="BalloonText"/>
        <w:tabs>
          <w:tab w:val="left" w:pos="0"/>
          <w:tab w:val="left" w:pos="221"/>
        </w:tabs>
        <w:spacing w:before="20" w:after="160"/>
        <w:ind w:left="1701" w:right="1134"/>
        <w:jc w:val="both"/>
        <w:rPr>
          <w:rFonts w:ascii="Times New Roman" w:hAnsi="Times New Roman" w:cs="Times New Roman"/>
          <w:bCs/>
          <w:sz w:val="20"/>
          <w:szCs w:val="20"/>
        </w:rPr>
      </w:pPr>
      <w:r w:rsidRPr="00F255D2">
        <w:rPr>
          <w:rStyle w:val="StyleItalic"/>
          <w:rFonts w:cstheme="minorBidi"/>
          <w:sz w:val="20"/>
          <w:szCs w:val="20"/>
        </w:rPr>
        <w:t>- may be omitted if P321 or P322 is given on the label.”.</w:t>
      </w:r>
    </w:p>
    <w:p w14:paraId="7896B2CC" w14:textId="77777777" w:rsidR="003D2F02" w:rsidRPr="007A1B44" w:rsidRDefault="003D2F02" w:rsidP="004E6E2F">
      <w:pPr>
        <w:pStyle w:val="H23G"/>
        <w:jc w:val="both"/>
      </w:pPr>
      <w:r>
        <w:tab/>
      </w:r>
      <w:r>
        <w:tab/>
      </w:r>
      <w:r w:rsidRPr="007A1B44">
        <w:t>Table for “Specific target organ toxicity (single exposure)</w:t>
      </w:r>
      <w:r w:rsidRPr="007A1B44" w:rsidDel="007E6725">
        <w:t xml:space="preserve"> </w:t>
      </w:r>
      <w:r w:rsidRPr="007A1B44">
        <w:t>(chapter 3.8)” hazard category 1</w:t>
      </w:r>
    </w:p>
    <w:p w14:paraId="485641DB" w14:textId="00469D3E" w:rsidR="003D2F02" w:rsidRPr="007A1B44" w:rsidRDefault="00EA0182" w:rsidP="004E6E2F">
      <w:pPr>
        <w:pStyle w:val="SingleTxtG"/>
      </w:pPr>
      <w:r w:rsidRPr="007A1B44">
        <w:t>6</w:t>
      </w:r>
      <w:r w:rsidR="006F0CD5">
        <w:t>7</w:t>
      </w:r>
      <w:r w:rsidR="003D2F02" w:rsidRPr="007A1B44">
        <w:t>.</w:t>
      </w:r>
      <w:r w:rsidR="003D2F02" w:rsidRPr="007A1B44">
        <w:tab/>
        <w:t xml:space="preserve">Column “Response”, </w:t>
      </w:r>
      <w:r w:rsidR="001D1688">
        <w:t>amend</w:t>
      </w:r>
      <w:r w:rsidR="003D2F02" w:rsidRPr="007A1B44">
        <w:t xml:space="preserve"> P321 and insert a new P323 entry, to read as follows (current entry for P308+P316 remains unchanged):</w:t>
      </w:r>
    </w:p>
    <w:p w14:paraId="3029513E" w14:textId="77777777" w:rsidR="003D2F02" w:rsidRDefault="003D2F02" w:rsidP="004E6E2F">
      <w:pPr>
        <w:pStyle w:val="BalloonText"/>
        <w:keepNext/>
        <w:keepLines/>
        <w:spacing w:before="20" w:after="60"/>
        <w:ind w:left="1701" w:right="1134"/>
        <w:jc w:val="both"/>
        <w:rPr>
          <w:rFonts w:ascii="Times New Roman" w:hAnsi="Times New Roman" w:cs="Times New Roman"/>
          <w:bCs/>
          <w:sz w:val="20"/>
          <w:szCs w:val="20"/>
        </w:rPr>
      </w:pPr>
      <w:r w:rsidRPr="007A1B44">
        <w:rPr>
          <w:rFonts w:ascii="Times New Roman" w:hAnsi="Times New Roman" w:cs="Times New Roman"/>
          <w:bCs/>
          <w:sz w:val="20"/>
          <w:szCs w:val="20"/>
        </w:rPr>
        <w:t>“P321</w:t>
      </w:r>
    </w:p>
    <w:p w14:paraId="3C1E7377" w14:textId="77777777" w:rsidR="003D2F02" w:rsidRPr="00A06604" w:rsidRDefault="003D2F02" w:rsidP="004E6E2F">
      <w:pPr>
        <w:pStyle w:val="BalloonText"/>
        <w:spacing w:before="20" w:after="60"/>
        <w:ind w:left="1701" w:right="1134"/>
        <w:jc w:val="both"/>
        <w:rPr>
          <w:rFonts w:asciiTheme="majorBidi" w:hAnsiTheme="majorBidi" w:cstheme="majorBidi"/>
          <w:bCs/>
          <w:sz w:val="20"/>
          <w:szCs w:val="20"/>
        </w:rPr>
      </w:pPr>
      <w:r w:rsidRPr="00A06604">
        <w:rPr>
          <w:rStyle w:val="StyleBold"/>
          <w:rFonts w:asciiTheme="majorBidi" w:hAnsiTheme="majorBidi" w:cstheme="majorBidi"/>
          <w:sz w:val="20"/>
          <w:szCs w:val="20"/>
        </w:rPr>
        <w:t xml:space="preserve">Specific treatment (see </w:t>
      </w:r>
      <w:r w:rsidRPr="00A06604">
        <w:rPr>
          <w:rFonts w:asciiTheme="majorBidi" w:hAnsiTheme="majorBidi" w:cstheme="majorBidi"/>
          <w:b/>
          <w:sz w:val="20"/>
          <w:szCs w:val="20"/>
        </w:rPr>
        <w:t xml:space="preserve">information </w:t>
      </w:r>
      <w:r w:rsidRPr="00A06604">
        <w:rPr>
          <w:rStyle w:val="StyleBold"/>
          <w:rFonts w:asciiTheme="majorBidi" w:hAnsiTheme="majorBidi" w:cstheme="majorBidi"/>
          <w:sz w:val="20"/>
          <w:szCs w:val="20"/>
        </w:rPr>
        <w:t>on this label and safety data sheet).</w:t>
      </w:r>
    </w:p>
    <w:p w14:paraId="00CA4D86" w14:textId="37FFEED4" w:rsidR="003D2F02" w:rsidRPr="00B36D95" w:rsidRDefault="003D2F02" w:rsidP="004E6E2F">
      <w:pPr>
        <w:spacing w:after="80"/>
        <w:ind w:left="1701" w:right="1134"/>
        <w:jc w:val="both"/>
        <w:rPr>
          <w:rStyle w:val="StyleItalic"/>
        </w:rPr>
      </w:pPr>
      <w:r w:rsidRPr="00B36D95">
        <w:rPr>
          <w:rStyle w:val="StyleItalic"/>
        </w:rPr>
        <w:t>- if immediate measures that can be easily applied, such as the administration of antidote or other specific treatment, are required.</w:t>
      </w:r>
      <w:r w:rsidR="0014172F">
        <w:rPr>
          <w:rStyle w:val="StyleItalic"/>
        </w:rPr>
        <w:t xml:space="preserve"> T</w:t>
      </w:r>
      <w:r w:rsidRPr="00B36D95">
        <w:rPr>
          <w:rStyle w:val="StyleItalic"/>
        </w:rPr>
        <w:t xml:space="preserve">hese measures must be specified on the label and safety data sheet, recognizing additional detailed </w:t>
      </w:r>
      <w:r w:rsidRPr="00B36D95">
        <w:rPr>
          <w:rStyle w:val="StyleItalic"/>
          <w:rFonts w:cstheme="minorBidi"/>
        </w:rPr>
        <w:t>instructions, including any training requirements,</w:t>
      </w:r>
      <w:r w:rsidRPr="00B36D95">
        <w:rPr>
          <w:rStyle w:val="StyleItalic"/>
        </w:rPr>
        <w:t xml:space="preserve"> should be provided on the safety data sheet, if appropriate.</w:t>
      </w:r>
    </w:p>
    <w:p w14:paraId="6C0CB9A9" w14:textId="77777777" w:rsidR="003D2F02" w:rsidRPr="00B36D95" w:rsidRDefault="003D2F02" w:rsidP="004E6E2F">
      <w:pPr>
        <w:pStyle w:val="BalloonText"/>
        <w:tabs>
          <w:tab w:val="left" w:pos="0"/>
          <w:tab w:val="left" w:pos="221"/>
        </w:tabs>
        <w:spacing w:before="20" w:after="160"/>
        <w:ind w:left="1701" w:right="1134"/>
        <w:jc w:val="both"/>
        <w:rPr>
          <w:rStyle w:val="StyleItalic"/>
          <w:sz w:val="20"/>
          <w:szCs w:val="20"/>
        </w:rPr>
      </w:pPr>
      <w:r w:rsidRPr="00B36D95">
        <w:rPr>
          <w:rStyle w:val="StyleItalic"/>
          <w:rFonts w:asciiTheme="majorBidi" w:hAnsiTheme="majorBidi" w:cstheme="majorBidi"/>
          <w:sz w:val="20"/>
          <w:szCs w:val="20"/>
        </w:rPr>
        <w:t>- may be omitted if P320 is given on the label</w:t>
      </w:r>
      <w:r w:rsidRPr="00B36D95">
        <w:rPr>
          <w:rFonts w:ascii="Times New Roman" w:hAnsi="Times New Roman" w:cs="Times New Roman"/>
          <w:i/>
          <w:iCs/>
          <w:sz w:val="20"/>
          <w:szCs w:val="20"/>
        </w:rPr>
        <w:t>.</w:t>
      </w:r>
    </w:p>
    <w:p w14:paraId="3F3B7A23" w14:textId="77777777" w:rsidR="003D2F02" w:rsidRPr="001F1AFC" w:rsidRDefault="003D2F02" w:rsidP="004E6E2F">
      <w:pPr>
        <w:pStyle w:val="BalloonText"/>
        <w:spacing w:after="60"/>
        <w:ind w:left="1701" w:right="1134"/>
        <w:jc w:val="both"/>
        <w:rPr>
          <w:rFonts w:asciiTheme="majorBidi" w:hAnsiTheme="majorBidi" w:cstheme="majorBidi"/>
          <w:bCs/>
          <w:sz w:val="20"/>
          <w:szCs w:val="20"/>
        </w:rPr>
      </w:pPr>
      <w:r w:rsidRPr="001F1AFC">
        <w:rPr>
          <w:rFonts w:asciiTheme="majorBidi" w:hAnsiTheme="majorBidi" w:cstheme="majorBidi"/>
          <w:bCs/>
          <w:sz w:val="20"/>
          <w:szCs w:val="20"/>
        </w:rPr>
        <w:t>P323</w:t>
      </w:r>
    </w:p>
    <w:p w14:paraId="67C96BC0" w14:textId="77777777" w:rsidR="003D2F02" w:rsidRPr="001F1AFC" w:rsidRDefault="003D2F02" w:rsidP="004E6E2F">
      <w:pPr>
        <w:pStyle w:val="BalloonText"/>
        <w:spacing w:after="60"/>
        <w:ind w:left="1701" w:right="1134"/>
        <w:jc w:val="both"/>
        <w:rPr>
          <w:rFonts w:asciiTheme="majorBidi" w:hAnsiTheme="majorBidi" w:cstheme="majorBidi"/>
          <w:b/>
          <w:sz w:val="20"/>
          <w:szCs w:val="20"/>
        </w:rPr>
      </w:pPr>
      <w:r w:rsidRPr="001F1AFC">
        <w:rPr>
          <w:rStyle w:val="StyleBold"/>
          <w:rFonts w:asciiTheme="majorBidi" w:hAnsiTheme="majorBidi" w:cstheme="majorBidi"/>
          <w:sz w:val="20"/>
          <w:szCs w:val="20"/>
        </w:rPr>
        <w:t xml:space="preserve">Specific treatment (see </w:t>
      </w:r>
      <w:r w:rsidRPr="001F1AFC">
        <w:rPr>
          <w:rFonts w:asciiTheme="majorBidi" w:hAnsiTheme="majorBidi" w:cstheme="majorBidi"/>
          <w:b/>
          <w:bCs/>
          <w:sz w:val="20"/>
          <w:szCs w:val="20"/>
        </w:rPr>
        <w:t>information on the safety data sheet).</w:t>
      </w:r>
    </w:p>
    <w:p w14:paraId="35379931" w14:textId="77777777" w:rsidR="003D2F02" w:rsidRPr="001F1AFC" w:rsidRDefault="003D2F02" w:rsidP="004E6E2F">
      <w:pPr>
        <w:keepLines/>
        <w:tabs>
          <w:tab w:val="left" w:pos="178"/>
        </w:tabs>
        <w:spacing w:after="60"/>
        <w:ind w:left="1701" w:right="1134"/>
        <w:jc w:val="both"/>
        <w:rPr>
          <w:rStyle w:val="StyleItalic"/>
          <w:rFonts w:cstheme="minorBidi"/>
          <w:i w:val="0"/>
          <w:iCs w:val="0"/>
          <w:sz w:val="16"/>
          <w:szCs w:val="16"/>
        </w:rPr>
      </w:pPr>
      <w:r w:rsidRPr="001F1AFC">
        <w:rPr>
          <w:rStyle w:val="StyleItalic"/>
          <w:rFonts w:asciiTheme="majorBidi" w:hAnsiTheme="majorBidi" w:cstheme="majorBidi"/>
          <w:i w:val="0"/>
          <w:iCs w:val="0"/>
        </w:rPr>
        <w:t>Manufacturer</w:t>
      </w:r>
      <w:r w:rsidRPr="001F1AFC">
        <w:rPr>
          <w:rStyle w:val="StyleItalic"/>
          <w:rFonts w:cstheme="minorBidi"/>
          <w:i w:val="0"/>
          <w:iCs w:val="0"/>
        </w:rPr>
        <w:t>/supplier to reference on the safety data sheet detailed instructions</w:t>
      </w:r>
      <w:r>
        <w:rPr>
          <w:rStyle w:val="StyleItalic"/>
          <w:rFonts w:cstheme="minorBidi"/>
          <w:i w:val="0"/>
          <w:iCs w:val="0"/>
        </w:rPr>
        <w:t>,</w:t>
      </w:r>
      <w:r w:rsidRPr="001F1AFC">
        <w:rPr>
          <w:rStyle w:val="StyleItalic"/>
          <w:rFonts w:cstheme="minorBidi"/>
          <w:i w:val="0"/>
          <w:iCs w:val="0"/>
        </w:rPr>
        <w:t xml:space="preserve"> </w:t>
      </w:r>
      <w:r>
        <w:rPr>
          <w:rStyle w:val="StyleItalic"/>
          <w:rFonts w:cstheme="minorBidi"/>
          <w:i w:val="0"/>
          <w:iCs w:val="0"/>
        </w:rPr>
        <w:t>including</w:t>
      </w:r>
      <w:r w:rsidRPr="001F1AFC">
        <w:rPr>
          <w:rStyle w:val="StyleItalic"/>
          <w:rFonts w:cstheme="minorBidi"/>
          <w:i w:val="0"/>
          <w:iCs w:val="0"/>
        </w:rPr>
        <w:t xml:space="preserve"> any training requirements</w:t>
      </w:r>
      <w:r>
        <w:rPr>
          <w:rStyle w:val="StyleItalic"/>
          <w:rFonts w:cstheme="minorBidi"/>
          <w:i w:val="0"/>
          <w:iCs w:val="0"/>
        </w:rPr>
        <w:t>,</w:t>
      </w:r>
      <w:r w:rsidRPr="001F1AFC">
        <w:rPr>
          <w:rStyle w:val="StyleItalic"/>
          <w:rFonts w:cstheme="minorBidi"/>
          <w:i w:val="0"/>
          <w:iCs w:val="0"/>
        </w:rPr>
        <w:t xml:space="preserve"> to administer an antidote or other specific treatment.   </w:t>
      </w:r>
    </w:p>
    <w:p w14:paraId="30FCAA9E" w14:textId="77777777" w:rsidR="003D2F02" w:rsidRPr="00A00142" w:rsidRDefault="003D2F02" w:rsidP="004E6E2F">
      <w:pPr>
        <w:pStyle w:val="BalloonText"/>
        <w:tabs>
          <w:tab w:val="left" w:pos="0"/>
          <w:tab w:val="left" w:pos="221"/>
        </w:tabs>
        <w:spacing w:before="20" w:after="160"/>
        <w:ind w:left="1701" w:right="1134"/>
        <w:jc w:val="both"/>
        <w:rPr>
          <w:rFonts w:ascii="Times New Roman" w:hAnsi="Times New Roman" w:cs="Times New Roman"/>
          <w:bCs/>
          <w:sz w:val="20"/>
          <w:szCs w:val="20"/>
        </w:rPr>
      </w:pPr>
      <w:r w:rsidRPr="001F1AFC">
        <w:rPr>
          <w:rStyle w:val="StyleItalic"/>
          <w:rFonts w:cstheme="minorBidi"/>
          <w:sz w:val="20"/>
          <w:szCs w:val="20"/>
        </w:rPr>
        <w:t>- may be omitted if P321 or P322 is given on the label.”.</w:t>
      </w:r>
    </w:p>
    <w:p w14:paraId="682A439E" w14:textId="77777777" w:rsidR="003D2F02" w:rsidRPr="00911976" w:rsidRDefault="003D2F02" w:rsidP="004E6E2F">
      <w:pPr>
        <w:pStyle w:val="H23G"/>
        <w:ind w:firstLine="0"/>
        <w:jc w:val="both"/>
      </w:pPr>
      <w:r>
        <w:t>T</w:t>
      </w:r>
      <w:r w:rsidRPr="00A00142">
        <w:t>able for “Specific target organ toxicity (single exposure)</w:t>
      </w:r>
      <w:r w:rsidRPr="00911976" w:rsidDel="007E6725">
        <w:t xml:space="preserve"> </w:t>
      </w:r>
      <w:r w:rsidRPr="00A00142">
        <w:t xml:space="preserve">(chapter 3.8)” hazard </w:t>
      </w:r>
      <w:r w:rsidRPr="00911976">
        <w:t xml:space="preserve">category </w:t>
      </w:r>
      <w:r>
        <w:t>2</w:t>
      </w:r>
    </w:p>
    <w:p w14:paraId="3870E488" w14:textId="2CA2E492" w:rsidR="003D2F02" w:rsidRPr="00E36445" w:rsidRDefault="00EA0182" w:rsidP="004E6E2F">
      <w:pPr>
        <w:pStyle w:val="SingleTxtG"/>
      </w:pPr>
      <w:r>
        <w:t>6</w:t>
      </w:r>
      <w:r w:rsidR="006F0CD5">
        <w:t>8</w:t>
      </w:r>
      <w:r w:rsidR="003D2F02">
        <w:t>.</w:t>
      </w:r>
      <w:r w:rsidR="003D2F02">
        <w:tab/>
      </w:r>
      <w:r w:rsidR="003D2F02" w:rsidRPr="00CA408D">
        <w:t>Column “</w:t>
      </w:r>
      <w:r w:rsidR="003D2F02">
        <w:t>Prevention</w:t>
      </w:r>
      <w:r w:rsidR="003D2F02" w:rsidRPr="00CA408D">
        <w:t xml:space="preserve">”, </w:t>
      </w:r>
      <w:r w:rsidR="003D2F02">
        <w:t xml:space="preserve">delete the </w:t>
      </w:r>
      <w:r w:rsidR="003D2F02" w:rsidRPr="00CA408D">
        <w:t>P</w:t>
      </w:r>
      <w:r w:rsidR="003D2F02">
        <w:t>260</w:t>
      </w:r>
      <w:r w:rsidR="003D2F02" w:rsidRPr="00CA408D">
        <w:t xml:space="preserve"> </w:t>
      </w:r>
      <w:r w:rsidR="003D2F02">
        <w:t xml:space="preserve">entry </w:t>
      </w:r>
      <w:r w:rsidR="003D2F02" w:rsidRPr="00CA408D">
        <w:t>and insert a P</w:t>
      </w:r>
      <w:r w:rsidR="003D2F02">
        <w:t>261</w:t>
      </w:r>
      <w:r w:rsidR="003D2F02" w:rsidRPr="00CA408D">
        <w:t xml:space="preserve"> </w:t>
      </w:r>
      <w:r w:rsidR="003D2F02">
        <w:t xml:space="preserve">entry </w:t>
      </w:r>
      <w:r w:rsidR="003D2F02" w:rsidRPr="00CA408D">
        <w:t>to read as follows (current entr</w:t>
      </w:r>
      <w:r w:rsidR="002513FD">
        <w:t>ies</w:t>
      </w:r>
      <w:r w:rsidR="003D2F02" w:rsidRPr="00CA408D">
        <w:t xml:space="preserve"> for P</w:t>
      </w:r>
      <w:r w:rsidR="003D2F02">
        <w:t>264 and P270</w:t>
      </w:r>
      <w:r w:rsidR="003D2F02" w:rsidRPr="00CA408D">
        <w:t xml:space="preserve"> remain unchanged)</w:t>
      </w:r>
      <w:r w:rsidR="003D2F02" w:rsidRPr="00E36445">
        <w:t>:</w:t>
      </w:r>
    </w:p>
    <w:p w14:paraId="5DFC10F8" w14:textId="77777777" w:rsidR="003D2F02" w:rsidRPr="00EC05DB" w:rsidRDefault="003D2F02" w:rsidP="00C07A4A">
      <w:pPr>
        <w:pStyle w:val="BalloonText"/>
        <w:spacing w:before="20" w:after="60"/>
        <w:ind w:left="1701"/>
        <w:rPr>
          <w:rFonts w:ascii="Times New Roman" w:hAnsi="Times New Roman" w:cs="Times New Roman"/>
          <w:bCs/>
          <w:sz w:val="20"/>
          <w:szCs w:val="20"/>
        </w:rPr>
      </w:pPr>
      <w:r w:rsidRPr="00EC05DB">
        <w:rPr>
          <w:rFonts w:ascii="Times New Roman" w:hAnsi="Times New Roman" w:cs="Times New Roman"/>
          <w:bCs/>
          <w:sz w:val="20"/>
          <w:szCs w:val="20"/>
        </w:rPr>
        <w:t>“P261</w:t>
      </w:r>
    </w:p>
    <w:p w14:paraId="2A23D296" w14:textId="77777777" w:rsidR="003D2F02" w:rsidRPr="00A06604" w:rsidRDefault="003D2F02" w:rsidP="00C07A4A">
      <w:pPr>
        <w:pStyle w:val="BalloonText"/>
        <w:spacing w:before="20" w:after="60"/>
        <w:ind w:left="1701"/>
        <w:rPr>
          <w:rFonts w:ascii="Times New Roman" w:hAnsi="Times New Roman" w:cs="Times New Roman"/>
          <w:b/>
          <w:sz w:val="20"/>
          <w:szCs w:val="20"/>
        </w:rPr>
      </w:pPr>
      <w:r w:rsidRPr="00A06604">
        <w:rPr>
          <w:rFonts w:ascii="Times New Roman" w:hAnsi="Times New Roman" w:cs="Times New Roman"/>
          <w:b/>
          <w:sz w:val="20"/>
          <w:szCs w:val="20"/>
        </w:rPr>
        <w:t xml:space="preserve">Avoid breathing dust/fume/gas/mist/ vapours/spray. </w:t>
      </w:r>
    </w:p>
    <w:p w14:paraId="3B528BD3" w14:textId="77777777" w:rsidR="003D2F02" w:rsidRPr="00A06604" w:rsidRDefault="003D2F02" w:rsidP="00C07A4A">
      <w:pPr>
        <w:pStyle w:val="BalloonText"/>
        <w:spacing w:before="20" w:after="80"/>
        <w:ind w:left="1701"/>
        <w:rPr>
          <w:rFonts w:ascii="Times New Roman" w:hAnsi="Times New Roman" w:cs="Times New Roman"/>
          <w:bCs/>
          <w:i/>
          <w:iCs/>
          <w:sz w:val="20"/>
          <w:szCs w:val="20"/>
        </w:rPr>
      </w:pPr>
      <w:r w:rsidRPr="00A06604">
        <w:rPr>
          <w:rFonts w:ascii="Times New Roman" w:hAnsi="Times New Roman" w:cs="Times New Roman"/>
          <w:bCs/>
          <w:i/>
          <w:iCs/>
          <w:sz w:val="20"/>
          <w:szCs w:val="20"/>
        </w:rPr>
        <w:t>– may be omitted if P260 is given on the label</w:t>
      </w:r>
    </w:p>
    <w:p w14:paraId="68CAF47E" w14:textId="77777777" w:rsidR="003D2F02" w:rsidRPr="00B36D95" w:rsidRDefault="003D2F02" w:rsidP="00C07A4A">
      <w:pPr>
        <w:pStyle w:val="BalloonText"/>
        <w:spacing w:before="20" w:after="120"/>
        <w:ind w:left="1701" w:right="1134"/>
        <w:jc w:val="both"/>
        <w:rPr>
          <w:rFonts w:ascii="Times New Roman" w:hAnsi="Times New Roman" w:cs="Times New Roman"/>
          <w:b/>
          <w:sz w:val="20"/>
          <w:szCs w:val="20"/>
        </w:rPr>
      </w:pPr>
      <w:r w:rsidRPr="00B36D95">
        <w:rPr>
          <w:rFonts w:ascii="Times New Roman" w:hAnsi="Times New Roman" w:cs="Times New Roman"/>
          <w:bCs/>
          <w:sz w:val="20"/>
          <w:szCs w:val="20"/>
        </w:rPr>
        <w:t>Manufacturer/supplier or the competent authority to specify applicable physical state(s).</w:t>
      </w:r>
      <w:r w:rsidRPr="00A06604">
        <w:rPr>
          <w:rFonts w:ascii="Times New Roman" w:hAnsi="Times New Roman" w:cs="Times New Roman"/>
          <w:bCs/>
          <w:i/>
          <w:iCs/>
          <w:sz w:val="20"/>
          <w:szCs w:val="20"/>
        </w:rPr>
        <w:t>”</w:t>
      </w:r>
    </w:p>
    <w:p w14:paraId="4D12739E" w14:textId="77777777" w:rsidR="003D2F02" w:rsidRPr="00911976" w:rsidRDefault="003D2F02" w:rsidP="003D2F02">
      <w:pPr>
        <w:pStyle w:val="H23G"/>
        <w:ind w:firstLine="0"/>
      </w:pPr>
      <w:r>
        <w:lastRenderedPageBreak/>
        <w:t>T</w:t>
      </w:r>
      <w:r w:rsidRPr="00A00142">
        <w:t>able for “Specific target organ toxicity (</w:t>
      </w:r>
      <w:r>
        <w:t>repeated</w:t>
      </w:r>
      <w:r w:rsidRPr="00A00142">
        <w:t xml:space="preserve"> exposure)</w:t>
      </w:r>
      <w:r w:rsidRPr="00911976" w:rsidDel="007E6725">
        <w:t xml:space="preserve"> </w:t>
      </w:r>
      <w:r w:rsidRPr="00A00142">
        <w:t xml:space="preserve">(chapter 3.8)” hazard </w:t>
      </w:r>
      <w:r w:rsidRPr="00911976">
        <w:t xml:space="preserve">category </w:t>
      </w:r>
      <w:r>
        <w:t>2</w:t>
      </w:r>
    </w:p>
    <w:p w14:paraId="57EA592D" w14:textId="47697179" w:rsidR="003D2F02" w:rsidRPr="00E36445" w:rsidRDefault="00EA0182" w:rsidP="00165D2E">
      <w:pPr>
        <w:pStyle w:val="SingleTxtG"/>
      </w:pPr>
      <w:r>
        <w:t>6</w:t>
      </w:r>
      <w:r w:rsidR="006F0CD5">
        <w:t>9</w:t>
      </w:r>
      <w:r w:rsidR="003D2F02">
        <w:t>.</w:t>
      </w:r>
      <w:r w:rsidR="003D2F02">
        <w:tab/>
      </w:r>
      <w:r w:rsidR="003D2F02" w:rsidRPr="00CA408D">
        <w:t>Column “</w:t>
      </w:r>
      <w:r w:rsidR="003D2F02">
        <w:t>Prevention</w:t>
      </w:r>
      <w:r w:rsidR="003D2F02" w:rsidRPr="00CA408D">
        <w:t xml:space="preserve">”, </w:t>
      </w:r>
      <w:r w:rsidR="003D2F02">
        <w:t xml:space="preserve">delete the </w:t>
      </w:r>
      <w:r w:rsidR="003D2F02" w:rsidRPr="00CA408D">
        <w:t>P</w:t>
      </w:r>
      <w:r w:rsidR="003D2F02">
        <w:t>260</w:t>
      </w:r>
      <w:r w:rsidR="003D2F02" w:rsidRPr="00CA408D">
        <w:t xml:space="preserve"> </w:t>
      </w:r>
      <w:r w:rsidR="003D2F02">
        <w:t xml:space="preserve">entry </w:t>
      </w:r>
      <w:r w:rsidR="003D2F02" w:rsidRPr="00CA408D">
        <w:t>and insert a new P</w:t>
      </w:r>
      <w:r w:rsidR="003D2F02">
        <w:t>261 entry</w:t>
      </w:r>
      <w:r w:rsidR="003D2F02" w:rsidRPr="00CA408D">
        <w:t xml:space="preserve"> to read as follows</w:t>
      </w:r>
      <w:r w:rsidR="003D2F02" w:rsidRPr="00E36445">
        <w:t>:</w:t>
      </w:r>
    </w:p>
    <w:p w14:paraId="546BF8F3" w14:textId="77777777" w:rsidR="003D2F02" w:rsidRPr="00A06604" w:rsidRDefault="003D2F02" w:rsidP="003D2F02">
      <w:pPr>
        <w:pStyle w:val="BalloonText"/>
        <w:keepNext/>
        <w:keepLines/>
        <w:spacing w:before="20" w:after="60"/>
        <w:ind w:left="1701"/>
        <w:rPr>
          <w:rFonts w:ascii="Times New Roman" w:hAnsi="Times New Roman" w:cs="Times New Roman"/>
          <w:bCs/>
          <w:sz w:val="20"/>
          <w:szCs w:val="20"/>
        </w:rPr>
      </w:pPr>
      <w:r w:rsidRPr="00A06604">
        <w:rPr>
          <w:rFonts w:ascii="Times New Roman" w:hAnsi="Times New Roman" w:cs="Times New Roman"/>
          <w:bCs/>
          <w:sz w:val="20"/>
          <w:szCs w:val="20"/>
        </w:rPr>
        <w:t>“P261</w:t>
      </w:r>
    </w:p>
    <w:p w14:paraId="4D3A67CE" w14:textId="77777777" w:rsidR="003D2F02" w:rsidRPr="00A06604" w:rsidRDefault="003D2F02" w:rsidP="003D2F02">
      <w:pPr>
        <w:pStyle w:val="BalloonText"/>
        <w:keepNext/>
        <w:keepLines/>
        <w:spacing w:before="20" w:after="60"/>
        <w:ind w:left="1701"/>
        <w:rPr>
          <w:rFonts w:ascii="Times New Roman" w:hAnsi="Times New Roman" w:cs="Times New Roman"/>
          <w:b/>
          <w:sz w:val="20"/>
          <w:szCs w:val="20"/>
        </w:rPr>
      </w:pPr>
      <w:r w:rsidRPr="00A06604">
        <w:rPr>
          <w:rFonts w:ascii="Times New Roman" w:hAnsi="Times New Roman" w:cs="Times New Roman"/>
          <w:b/>
          <w:sz w:val="20"/>
          <w:szCs w:val="20"/>
        </w:rPr>
        <w:t xml:space="preserve">Avoid breathing dust/fume/gas/mist/ vapours/spray. </w:t>
      </w:r>
    </w:p>
    <w:p w14:paraId="54AD2865" w14:textId="77777777" w:rsidR="003D2F02" w:rsidRPr="00A06604" w:rsidRDefault="003D2F02" w:rsidP="003D2F02">
      <w:pPr>
        <w:pStyle w:val="BalloonText"/>
        <w:keepNext/>
        <w:keepLines/>
        <w:spacing w:before="20" w:after="80"/>
        <w:ind w:left="1701"/>
        <w:rPr>
          <w:rFonts w:ascii="Times New Roman" w:hAnsi="Times New Roman" w:cs="Times New Roman"/>
          <w:bCs/>
          <w:i/>
          <w:iCs/>
          <w:sz w:val="20"/>
          <w:szCs w:val="20"/>
        </w:rPr>
      </w:pPr>
      <w:r w:rsidRPr="00A06604">
        <w:rPr>
          <w:rFonts w:ascii="Times New Roman" w:hAnsi="Times New Roman" w:cs="Times New Roman"/>
          <w:bCs/>
          <w:i/>
          <w:iCs/>
          <w:sz w:val="20"/>
          <w:szCs w:val="20"/>
        </w:rPr>
        <w:t>– may be omitted if P260 is given on the label</w:t>
      </w:r>
    </w:p>
    <w:p w14:paraId="11F38D60" w14:textId="77777777" w:rsidR="003D2F02" w:rsidRPr="00B36D95" w:rsidRDefault="003D2F02" w:rsidP="00165D2E">
      <w:pPr>
        <w:pStyle w:val="BalloonText"/>
        <w:keepNext/>
        <w:keepLines/>
        <w:spacing w:before="20" w:after="120"/>
        <w:ind w:left="1701" w:right="1134"/>
        <w:jc w:val="both"/>
        <w:rPr>
          <w:rFonts w:ascii="Times New Roman" w:hAnsi="Times New Roman" w:cs="Times New Roman"/>
          <w:b/>
          <w:sz w:val="20"/>
          <w:szCs w:val="20"/>
        </w:rPr>
      </w:pPr>
      <w:r w:rsidRPr="00B36D95">
        <w:rPr>
          <w:rFonts w:ascii="Times New Roman" w:hAnsi="Times New Roman" w:cs="Times New Roman"/>
          <w:bCs/>
          <w:sz w:val="20"/>
          <w:szCs w:val="20"/>
        </w:rPr>
        <w:t>Manufacturer/supplier or the competent authority to specify applicable physical state(s).</w:t>
      </w:r>
      <w:r w:rsidRPr="00A06604">
        <w:rPr>
          <w:rFonts w:ascii="Times New Roman" w:hAnsi="Times New Roman" w:cs="Times New Roman"/>
          <w:bCs/>
          <w:i/>
          <w:iCs/>
          <w:sz w:val="20"/>
          <w:szCs w:val="20"/>
        </w:rPr>
        <w:t>”</w:t>
      </w:r>
    </w:p>
    <w:p w14:paraId="478357D1" w14:textId="77777777" w:rsidR="003D2F02" w:rsidRPr="00911976" w:rsidRDefault="003D2F02" w:rsidP="003D2F02">
      <w:pPr>
        <w:pStyle w:val="H23G"/>
        <w:ind w:firstLine="0"/>
      </w:pPr>
      <w:r>
        <w:t>T</w:t>
      </w:r>
      <w:r w:rsidRPr="00A00142">
        <w:t>able for “Specific target organ toxicity (</w:t>
      </w:r>
      <w:r>
        <w:t>single</w:t>
      </w:r>
      <w:r w:rsidRPr="00A00142">
        <w:t xml:space="preserve"> exposure)</w:t>
      </w:r>
      <w:r w:rsidRPr="00911976" w:rsidDel="007E6725">
        <w:t xml:space="preserve"> </w:t>
      </w:r>
      <w:r w:rsidRPr="00A00142">
        <w:t xml:space="preserve">(chapter 3.8)” hazard </w:t>
      </w:r>
      <w:r w:rsidRPr="00911976">
        <w:t xml:space="preserve">category </w:t>
      </w:r>
      <w:r>
        <w:t>3</w:t>
      </w:r>
    </w:p>
    <w:p w14:paraId="10BE0A30" w14:textId="2A5FEA06" w:rsidR="003D2F02" w:rsidRPr="000752C9" w:rsidRDefault="006F0CD5" w:rsidP="00165D2E">
      <w:pPr>
        <w:pStyle w:val="SingleTxtG"/>
        <w:rPr>
          <w:rStyle w:val="StyleItalic"/>
          <w:rFonts w:cstheme="minorBidi"/>
          <w:b/>
          <w:i w:val="0"/>
          <w:iCs w:val="0"/>
        </w:rPr>
      </w:pPr>
      <w:r>
        <w:t>70</w:t>
      </w:r>
      <w:r w:rsidR="003D2F02">
        <w:t>.</w:t>
      </w:r>
      <w:r w:rsidR="003D2F02">
        <w:tab/>
      </w:r>
      <w:r w:rsidR="003D2F02" w:rsidRPr="00B83755">
        <w:t>Column “Prevention”, for P261 replace “</w:t>
      </w:r>
      <w:r w:rsidR="003D2F02" w:rsidRPr="00B83755">
        <w:rPr>
          <w:color w:val="000000"/>
        </w:rPr>
        <w:t>…. to specify applicable conditions</w:t>
      </w:r>
      <w:r w:rsidR="00165D2E" w:rsidRPr="00165D2E">
        <w:t>.</w:t>
      </w:r>
      <w:r w:rsidR="003D2F02" w:rsidRPr="00B83755">
        <w:rPr>
          <w:bCs/>
        </w:rPr>
        <w:t>” with “…</w:t>
      </w:r>
      <w:r w:rsidR="003D2F02" w:rsidRPr="00B83755">
        <w:rPr>
          <w:color w:val="000000"/>
        </w:rPr>
        <w:t xml:space="preserve"> to specify applicable physical state(s)</w:t>
      </w:r>
      <w:r w:rsidR="003D2F02" w:rsidRPr="00B83755">
        <w:rPr>
          <w:color w:val="FF0000"/>
        </w:rPr>
        <w:t>.</w:t>
      </w:r>
      <w:r w:rsidR="003D2F02" w:rsidRPr="00B83755">
        <w:rPr>
          <w:bCs/>
        </w:rPr>
        <w:t>”</w:t>
      </w:r>
      <w:r w:rsidR="003D2F02">
        <w:rPr>
          <w:bCs/>
        </w:rPr>
        <w:t xml:space="preserve"> (</w:t>
      </w:r>
      <w:proofErr w:type="gramStart"/>
      <w:r w:rsidR="003D2F02">
        <w:rPr>
          <w:bCs/>
        </w:rPr>
        <w:t>current</w:t>
      </w:r>
      <w:proofErr w:type="gramEnd"/>
      <w:r w:rsidR="003D2F02">
        <w:rPr>
          <w:bCs/>
        </w:rPr>
        <w:t xml:space="preserve"> entry P271 remains unchanged)</w:t>
      </w:r>
      <w:r w:rsidR="003D2F02" w:rsidRPr="00B83755">
        <w:rPr>
          <w:bCs/>
        </w:rPr>
        <w:t>.</w:t>
      </w:r>
    </w:p>
    <w:p w14:paraId="65997F45" w14:textId="77777777" w:rsidR="003D2F02" w:rsidRPr="00A00142" w:rsidRDefault="003D2F02" w:rsidP="003D2F02">
      <w:pPr>
        <w:pStyle w:val="HChG"/>
        <w:ind w:firstLine="0"/>
      </w:pPr>
      <w:r>
        <w:t>A</w:t>
      </w:r>
      <w:r w:rsidRPr="00A00142">
        <w:t xml:space="preserve">ction </w:t>
      </w:r>
      <w:proofErr w:type="gramStart"/>
      <w:r w:rsidRPr="00A00142">
        <w:t>requested</w:t>
      </w:r>
      <w:proofErr w:type="gramEnd"/>
    </w:p>
    <w:p w14:paraId="4CB45DDF" w14:textId="74A570D0" w:rsidR="003D2F02" w:rsidRPr="00A00142" w:rsidRDefault="00EA0182" w:rsidP="003D2F02">
      <w:pPr>
        <w:pStyle w:val="SingleTxtG"/>
      </w:pPr>
      <w:r>
        <w:t>7</w:t>
      </w:r>
      <w:r w:rsidR="006F0CD5">
        <w:t>1</w:t>
      </w:r>
      <w:r w:rsidR="003D2F02" w:rsidRPr="00A00142">
        <w:t>.</w:t>
      </w:r>
      <w:r w:rsidR="003D2F02" w:rsidRPr="00A00142">
        <w:tab/>
        <w:t xml:space="preserve">The Sub-Committee is invited to agree the proposed amendments to sections 2 and 3 of </w:t>
      </w:r>
      <w:r w:rsidR="006023AC">
        <w:t>A</w:t>
      </w:r>
      <w:r w:rsidR="003D2F02" w:rsidRPr="00A00142">
        <w:t xml:space="preserve">nnex 3 of the GHS as set out in this document in the following paragraphs and shown in full in informal document </w:t>
      </w:r>
      <w:r w:rsidR="003D2F02" w:rsidRPr="005F124E">
        <w:t>INF.</w:t>
      </w:r>
      <w:r w:rsidR="006023AC" w:rsidRPr="005F124E">
        <w:t>3</w:t>
      </w:r>
      <w:r w:rsidR="003D2F02" w:rsidRPr="005F124E">
        <w:t>:</w:t>
      </w:r>
    </w:p>
    <w:p w14:paraId="3E820BC1" w14:textId="70EB07B4" w:rsidR="003D2F02" w:rsidRPr="00583174" w:rsidRDefault="003D2F02" w:rsidP="003D2F02">
      <w:pPr>
        <w:pStyle w:val="Bullet1G"/>
        <w:numPr>
          <w:ilvl w:val="0"/>
          <w:numId w:val="0"/>
        </w:numPr>
        <w:tabs>
          <w:tab w:val="left" w:pos="1701"/>
        </w:tabs>
        <w:ind w:left="1701" w:hanging="170"/>
      </w:pPr>
      <w:r w:rsidRPr="00A00142">
        <w:t>•</w:t>
      </w:r>
      <w:r w:rsidRPr="00A00142">
        <w:tab/>
        <w:t xml:space="preserve">Section 2 proposed amendments are provided in </w:t>
      </w:r>
      <w:r w:rsidRPr="00583174">
        <w:t xml:space="preserve">section III, paragraphs </w:t>
      </w:r>
      <w:r w:rsidRPr="00532E3E">
        <w:t>41</w:t>
      </w:r>
      <w:r w:rsidRPr="00583174">
        <w:t xml:space="preserve"> to </w:t>
      </w:r>
      <w:r w:rsidR="00812B58" w:rsidRPr="00532E3E">
        <w:t>5</w:t>
      </w:r>
      <w:r w:rsidR="006F0CD5">
        <w:t>4</w:t>
      </w:r>
      <w:r w:rsidRPr="00583174">
        <w:t>.</w:t>
      </w:r>
    </w:p>
    <w:p w14:paraId="1E09B97E" w14:textId="2A5FE5D1" w:rsidR="003D2F02" w:rsidRPr="00583174" w:rsidRDefault="003D2F02" w:rsidP="003D2F02">
      <w:pPr>
        <w:pStyle w:val="Bullet1G"/>
        <w:numPr>
          <w:ilvl w:val="0"/>
          <w:numId w:val="8"/>
        </w:numPr>
        <w:suppressAutoHyphens/>
        <w:kinsoku w:val="0"/>
        <w:overflowPunct w:val="0"/>
        <w:autoSpaceDE w:val="0"/>
        <w:autoSpaceDN w:val="0"/>
        <w:adjustRightInd w:val="0"/>
        <w:snapToGrid w:val="0"/>
      </w:pPr>
      <w:r w:rsidRPr="00583174">
        <w:t xml:space="preserve">Section 3 proposed amendments are provided in section IV, paragraphs </w:t>
      </w:r>
      <w:r w:rsidR="00812B58" w:rsidRPr="00532E3E">
        <w:t>5</w:t>
      </w:r>
      <w:r w:rsidR="006F0CD5">
        <w:t>5</w:t>
      </w:r>
      <w:r w:rsidR="00812B58" w:rsidRPr="00583174">
        <w:t xml:space="preserve"> </w:t>
      </w:r>
      <w:r w:rsidRPr="00583174">
        <w:t xml:space="preserve">to </w:t>
      </w:r>
      <w:r w:rsidR="006F0CD5">
        <w:t>70</w:t>
      </w:r>
      <w:r w:rsidRPr="00583174">
        <w:t>.</w:t>
      </w:r>
    </w:p>
    <w:p w14:paraId="2BD4BEAF" w14:textId="3EC781A6" w:rsidR="00AF5DE1" w:rsidRPr="00453CDE" w:rsidRDefault="003D2F02" w:rsidP="0052488C">
      <w:pPr>
        <w:spacing w:before="240"/>
        <w:jc w:val="center"/>
      </w:pPr>
      <w:r>
        <w:rPr>
          <w:u w:val="single"/>
        </w:rPr>
        <w:tab/>
      </w:r>
      <w:r>
        <w:rPr>
          <w:u w:val="single"/>
        </w:rPr>
        <w:tab/>
      </w:r>
      <w:r>
        <w:rPr>
          <w:u w:val="single"/>
        </w:rPr>
        <w:tab/>
      </w:r>
    </w:p>
    <w:sectPr w:rsidR="00AF5DE1" w:rsidRPr="00453CDE" w:rsidSect="00453CDE">
      <w:headerReference w:type="even" r:id="rId13"/>
      <w:headerReference w:type="default" r:id="rId14"/>
      <w:footerReference w:type="even" r:id="rId15"/>
      <w:footerReference w:type="default" r:id="rId16"/>
      <w:footerReference w:type="first" r:id="rId17"/>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A1CCE3" w14:textId="77777777" w:rsidR="002A1250" w:rsidRPr="00C47B2E" w:rsidRDefault="002A1250" w:rsidP="00C47B2E">
      <w:pPr>
        <w:pStyle w:val="Footer"/>
      </w:pPr>
    </w:p>
  </w:endnote>
  <w:endnote w:type="continuationSeparator" w:id="0">
    <w:p w14:paraId="6AC78CE9" w14:textId="77777777" w:rsidR="002A1250" w:rsidRPr="00C47B2E" w:rsidRDefault="002A1250" w:rsidP="00C47B2E">
      <w:pPr>
        <w:pStyle w:val="Footer"/>
      </w:pPr>
    </w:p>
  </w:endnote>
  <w:endnote w:type="continuationNotice" w:id="1">
    <w:p w14:paraId="311035FC" w14:textId="77777777" w:rsidR="002A1250" w:rsidRPr="00C47B2E" w:rsidRDefault="002A1250"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
    <w:altName w:val="Arial"/>
    <w:panose1 w:val="020B0604020202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0A104" w14:textId="62C1E14F" w:rsidR="00D94B05" w:rsidRPr="00453CDE" w:rsidRDefault="00453CDE" w:rsidP="00453CDE">
    <w:pPr>
      <w:pStyle w:val="Footer"/>
      <w:tabs>
        <w:tab w:val="right" w:pos="9598"/>
        <w:tab w:val="right" w:pos="9638"/>
      </w:tabs>
      <w:rPr>
        <w:sz w:val="18"/>
      </w:rPr>
    </w:pPr>
    <w:r w:rsidRPr="00453CDE">
      <w:rPr>
        <w:b/>
        <w:sz w:val="18"/>
      </w:rPr>
      <w:fldChar w:fldCharType="begin"/>
    </w:r>
    <w:r w:rsidRPr="00453CDE">
      <w:rPr>
        <w:b/>
        <w:sz w:val="18"/>
      </w:rPr>
      <w:instrText xml:space="preserve"> PAGE  \* MERGEFORMAT </w:instrText>
    </w:r>
    <w:r w:rsidRPr="00453CDE">
      <w:rPr>
        <w:b/>
        <w:sz w:val="18"/>
      </w:rPr>
      <w:fldChar w:fldCharType="separate"/>
    </w:r>
    <w:r w:rsidRPr="00453CDE">
      <w:rPr>
        <w:b/>
        <w:noProof/>
        <w:sz w:val="18"/>
      </w:rPr>
      <w:t>2</w:t>
    </w:r>
    <w:r w:rsidRPr="00453CDE">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FDF9E" w14:textId="486698F7" w:rsidR="00D94B05" w:rsidRPr="007127AD" w:rsidRDefault="00453CDE" w:rsidP="007127AD">
    <w:pPr>
      <w:pStyle w:val="Footer"/>
      <w:tabs>
        <w:tab w:val="left" w:pos="5775"/>
        <w:tab w:val="right" w:pos="9598"/>
        <w:tab w:val="right" w:pos="9638"/>
      </w:tabs>
      <w:jc w:val="right"/>
      <w:rPr>
        <w:b/>
        <w:bCs/>
        <w:sz w:val="18"/>
      </w:rPr>
    </w:pPr>
    <w:r>
      <w:rPr>
        <w:b/>
        <w:sz w:val="18"/>
      </w:rPr>
      <w:tab/>
    </w:r>
    <w:r w:rsidRPr="007127AD">
      <w:rPr>
        <w:b/>
        <w:bCs/>
        <w:sz w:val="18"/>
      </w:rPr>
      <w:fldChar w:fldCharType="begin"/>
    </w:r>
    <w:r w:rsidRPr="00EE6D77">
      <w:rPr>
        <w:b/>
        <w:bCs/>
        <w:sz w:val="18"/>
      </w:rPr>
      <w:instrText xml:space="preserve"> PAGE  \* MERGEFORMAT </w:instrText>
    </w:r>
    <w:r w:rsidRPr="007127AD">
      <w:rPr>
        <w:b/>
        <w:bCs/>
        <w:sz w:val="18"/>
      </w:rPr>
      <w:fldChar w:fldCharType="separate"/>
    </w:r>
    <w:r w:rsidRPr="00EE6D77">
      <w:rPr>
        <w:b/>
        <w:bCs/>
        <w:noProof/>
        <w:sz w:val="18"/>
      </w:rPr>
      <w:t>3</w:t>
    </w:r>
    <w:r w:rsidRPr="007127AD">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C27BE" w14:textId="26404613" w:rsidR="00DE20E0" w:rsidRDefault="00DE20E0" w:rsidP="00DE20E0">
    <w:pPr>
      <w:pStyle w:val="Footer"/>
    </w:pPr>
    <w:r w:rsidRPr="0027112F">
      <w:rPr>
        <w:noProof/>
        <w:lang w:val="en-US"/>
      </w:rPr>
      <w:drawing>
        <wp:anchor distT="0" distB="0" distL="114300" distR="114300" simplePos="0" relativeHeight="251659264" behindDoc="0" locked="1" layoutInCell="1" allowOverlap="1" wp14:anchorId="0ACD0A0B" wp14:editId="7706F1E1">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4B0A6206" w14:textId="605613A9" w:rsidR="00DE20E0" w:rsidRPr="00DE20E0" w:rsidRDefault="00DE20E0" w:rsidP="00DE20E0">
    <w:pPr>
      <w:pStyle w:val="Footer"/>
      <w:ind w:right="1134"/>
      <w:rPr>
        <w:sz w:val="20"/>
      </w:rPr>
    </w:pPr>
    <w:r>
      <w:rPr>
        <w:sz w:val="20"/>
      </w:rPr>
      <w:t>GE.23-18009(E)</w:t>
    </w:r>
    <w:r>
      <w:rPr>
        <w:noProof/>
        <w:sz w:val="20"/>
      </w:rPr>
      <w:drawing>
        <wp:anchor distT="0" distB="0" distL="114300" distR="114300" simplePos="0" relativeHeight="251660288" behindDoc="0" locked="0" layoutInCell="1" allowOverlap="1" wp14:anchorId="09649DB6" wp14:editId="206E1BAC">
          <wp:simplePos x="0" y="0"/>
          <wp:positionH relativeFrom="margin">
            <wp:posOffset>5615940</wp:posOffset>
          </wp:positionH>
          <wp:positionV relativeFrom="margin">
            <wp:posOffset>8905875</wp:posOffset>
          </wp:positionV>
          <wp:extent cx="561975" cy="561975"/>
          <wp:effectExtent l="0" t="0" r="9525" b="9525"/>
          <wp:wrapNone/>
          <wp:docPr id="116350147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373741" w14:textId="77777777" w:rsidR="002A1250" w:rsidRPr="00C47B2E" w:rsidRDefault="002A1250" w:rsidP="00C47B2E">
      <w:pPr>
        <w:tabs>
          <w:tab w:val="right" w:pos="2155"/>
        </w:tabs>
        <w:spacing w:after="80" w:line="240" w:lineRule="auto"/>
        <w:ind w:left="680"/>
      </w:pPr>
      <w:r>
        <w:rPr>
          <w:u w:val="single"/>
        </w:rPr>
        <w:tab/>
      </w:r>
    </w:p>
  </w:footnote>
  <w:footnote w:type="continuationSeparator" w:id="0">
    <w:p w14:paraId="4B513040" w14:textId="77777777" w:rsidR="002A1250" w:rsidRPr="00C47B2E" w:rsidRDefault="002A1250" w:rsidP="005E716E">
      <w:pPr>
        <w:tabs>
          <w:tab w:val="right" w:pos="2155"/>
        </w:tabs>
        <w:spacing w:after="80" w:line="240" w:lineRule="auto"/>
        <w:ind w:left="680"/>
      </w:pPr>
      <w:r>
        <w:rPr>
          <w:u w:val="single"/>
        </w:rPr>
        <w:tab/>
      </w:r>
    </w:p>
  </w:footnote>
  <w:footnote w:type="continuationNotice" w:id="1">
    <w:p w14:paraId="297F88CA" w14:textId="77777777" w:rsidR="002A1250" w:rsidRPr="00C47B2E" w:rsidRDefault="002A1250" w:rsidP="00C47B2E">
      <w:pPr>
        <w:pStyle w:val="Footer"/>
      </w:pPr>
    </w:p>
  </w:footnote>
  <w:footnote w:id="2">
    <w:p w14:paraId="2C711655" w14:textId="77777777" w:rsidR="003D2F02" w:rsidRPr="00F55596" w:rsidRDefault="003D2F02" w:rsidP="003D2F02">
      <w:pPr>
        <w:pStyle w:val="FootnoteText"/>
        <w:tabs>
          <w:tab w:val="clear" w:pos="1021"/>
          <w:tab w:val="left" w:pos="1560"/>
        </w:tabs>
      </w:pPr>
      <w:r>
        <w:rPr>
          <w:rStyle w:val="FootnoteReference"/>
        </w:rPr>
        <w:tab/>
      </w:r>
      <w:r w:rsidRPr="00AE68E2">
        <w:rPr>
          <w:rStyle w:val="FootnoteReference"/>
          <w:sz w:val="20"/>
          <w:vertAlign w:val="baseline"/>
        </w:rPr>
        <w:t>*</w:t>
      </w:r>
      <w:r>
        <w:rPr>
          <w:sz w:val="20"/>
        </w:rPr>
        <w:tab/>
      </w:r>
      <w:r w:rsidRPr="00CC277C">
        <w:rPr>
          <w:sz w:val="20"/>
        </w:rPr>
        <w:t>A/77/6 (Sect. 20), table 20</w:t>
      </w:r>
      <w:r w:rsidRPr="00633173">
        <w:rPr>
          <w:sz w:val="20"/>
        </w:rPr>
        <w:t>.6</w:t>
      </w:r>
      <w:r w:rsidRPr="00633173">
        <w:rPr>
          <w:lang w:val="en-US"/>
        </w:rPr>
        <w:t>.</w:t>
      </w:r>
    </w:p>
  </w:footnote>
  <w:footnote w:id="3">
    <w:p w14:paraId="09729865" w14:textId="77777777" w:rsidR="003D2F02" w:rsidRDefault="003D2F02" w:rsidP="003D2F02">
      <w:pPr>
        <w:pStyle w:val="FootnoteText"/>
        <w:tabs>
          <w:tab w:val="clear" w:pos="1021"/>
          <w:tab w:val="left" w:pos="1560"/>
        </w:tabs>
        <w:ind w:left="1276" w:hanging="142"/>
      </w:pPr>
      <w:r>
        <w:rPr>
          <w:rStyle w:val="FootnoteReference"/>
        </w:rPr>
        <w:footnoteRef/>
      </w:r>
      <w:r>
        <w:t xml:space="preserve"> </w:t>
      </w:r>
      <w:r>
        <w:tab/>
      </w:r>
      <w:r>
        <w:tab/>
        <w:t xml:space="preserve">See </w:t>
      </w:r>
      <w:r w:rsidRPr="001C5466">
        <w:t>informal document INF.</w:t>
      </w:r>
      <w:r>
        <w:t>17</w:t>
      </w:r>
      <w:r w:rsidRPr="001C5466">
        <w:t xml:space="preserve">, </w:t>
      </w:r>
      <w:r>
        <w:t>forty-third</w:t>
      </w:r>
      <w:r w:rsidRPr="001C5466">
        <w:t xml:space="preserve"> session</w:t>
      </w:r>
      <w:r>
        <w:t xml:space="preserve">. </w:t>
      </w:r>
    </w:p>
  </w:footnote>
  <w:footnote w:id="4">
    <w:p w14:paraId="0C4D022F" w14:textId="04C79048" w:rsidR="003D2F02" w:rsidRDefault="003D2F02" w:rsidP="003D2F02">
      <w:pPr>
        <w:pStyle w:val="FootnoteText"/>
      </w:pPr>
      <w:r>
        <w:tab/>
      </w:r>
      <w:r w:rsidRPr="004828D3">
        <w:rPr>
          <w:rStyle w:val="FootnoteReference"/>
        </w:rPr>
        <w:footnoteRef/>
      </w:r>
      <w:r w:rsidRPr="004828D3">
        <w:t xml:space="preserve"> </w:t>
      </w:r>
      <w:r w:rsidRPr="004828D3">
        <w:tab/>
        <w:t>See figure 1 in document ST/SG/AC.10/</w:t>
      </w:r>
      <w:r w:rsidR="00F222AE" w:rsidRPr="00714154">
        <w:t>C.4</w:t>
      </w:r>
      <w:r w:rsidR="000321A2" w:rsidRPr="00714154">
        <w:t>/</w:t>
      </w:r>
      <w:r w:rsidRPr="004828D3">
        <w:t>2018/30, thirty-sixth session.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E9E61" w14:textId="69503B8F" w:rsidR="00453CDE" w:rsidRPr="00453CDE" w:rsidRDefault="00DE20E0">
    <w:pPr>
      <w:pStyle w:val="Header"/>
    </w:pPr>
    <w:r>
      <w:fldChar w:fldCharType="begin"/>
    </w:r>
    <w:r>
      <w:instrText xml:space="preserve"> TITLE  \* MERGEFORMAT </w:instrText>
    </w:r>
    <w:r>
      <w:fldChar w:fldCharType="separate"/>
    </w:r>
    <w:r w:rsidR="00023AF2">
      <w:t>ST/SG/AC.10/C.4/2023/9</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1155F" w14:textId="7EE9C737" w:rsidR="00D94B05" w:rsidRPr="00453CDE" w:rsidRDefault="00DE20E0" w:rsidP="00453CDE">
    <w:pPr>
      <w:pStyle w:val="Header"/>
      <w:jc w:val="right"/>
    </w:pPr>
    <w:r>
      <w:fldChar w:fldCharType="begin"/>
    </w:r>
    <w:r>
      <w:instrText xml:space="preserve"> TITLE  \* MERGEFORMAT </w:instrText>
    </w:r>
    <w:r>
      <w:fldChar w:fldCharType="separate"/>
    </w:r>
    <w:r w:rsidR="00023AF2">
      <w:t>ST/SG/AC.10/C.4/2023/9</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17B6F5C"/>
    <w:multiLevelType w:val="hybridMultilevel"/>
    <w:tmpl w:val="B68EEDCA"/>
    <w:lvl w:ilvl="0" w:tplc="24C4E3AA">
      <w:start w:val="3"/>
      <w:numFmt w:val="upperRoman"/>
      <w:lvlText w:val="%1."/>
      <w:lvlJc w:val="left"/>
      <w:pPr>
        <w:ind w:left="1080" w:hanging="720"/>
      </w:pPr>
      <w:rPr>
        <w:rFonts w:eastAsia="SimSu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4833F3"/>
    <w:multiLevelType w:val="hybridMultilevel"/>
    <w:tmpl w:val="40B0F1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8E08EE"/>
    <w:multiLevelType w:val="hybridMultilevel"/>
    <w:tmpl w:val="9D9CEBFA"/>
    <w:lvl w:ilvl="0" w:tplc="08090001">
      <w:start w:val="1"/>
      <w:numFmt w:val="bullet"/>
      <w:lvlText w:val=""/>
      <w:lvlJc w:val="left"/>
      <w:pPr>
        <w:ind w:left="1176" w:hanging="360"/>
      </w:pPr>
      <w:rPr>
        <w:rFonts w:ascii="Symbol" w:hAnsi="Symbol" w:hint="default"/>
      </w:rPr>
    </w:lvl>
    <w:lvl w:ilvl="1" w:tplc="08090003">
      <w:start w:val="1"/>
      <w:numFmt w:val="bullet"/>
      <w:lvlText w:val="o"/>
      <w:lvlJc w:val="left"/>
      <w:pPr>
        <w:ind w:left="1896" w:hanging="360"/>
      </w:pPr>
      <w:rPr>
        <w:rFonts w:ascii="Courier New" w:hAnsi="Courier New" w:cs="Courier New" w:hint="default"/>
      </w:rPr>
    </w:lvl>
    <w:lvl w:ilvl="2" w:tplc="08090005">
      <w:start w:val="1"/>
      <w:numFmt w:val="bullet"/>
      <w:lvlText w:val=""/>
      <w:lvlJc w:val="left"/>
      <w:pPr>
        <w:ind w:left="2616" w:hanging="360"/>
      </w:pPr>
      <w:rPr>
        <w:rFonts w:ascii="Wingdings" w:hAnsi="Wingdings" w:hint="default"/>
      </w:rPr>
    </w:lvl>
    <w:lvl w:ilvl="3" w:tplc="08090001">
      <w:start w:val="1"/>
      <w:numFmt w:val="bullet"/>
      <w:lvlText w:val=""/>
      <w:lvlJc w:val="left"/>
      <w:pPr>
        <w:ind w:left="3336" w:hanging="360"/>
      </w:pPr>
      <w:rPr>
        <w:rFonts w:ascii="Symbol" w:hAnsi="Symbol" w:hint="default"/>
      </w:rPr>
    </w:lvl>
    <w:lvl w:ilvl="4" w:tplc="08090003">
      <w:start w:val="1"/>
      <w:numFmt w:val="bullet"/>
      <w:lvlText w:val="o"/>
      <w:lvlJc w:val="left"/>
      <w:pPr>
        <w:ind w:left="4056" w:hanging="360"/>
      </w:pPr>
      <w:rPr>
        <w:rFonts w:ascii="Courier New" w:hAnsi="Courier New" w:cs="Courier New" w:hint="default"/>
      </w:rPr>
    </w:lvl>
    <w:lvl w:ilvl="5" w:tplc="08090005">
      <w:start w:val="1"/>
      <w:numFmt w:val="bullet"/>
      <w:lvlText w:val=""/>
      <w:lvlJc w:val="left"/>
      <w:pPr>
        <w:ind w:left="4776" w:hanging="360"/>
      </w:pPr>
      <w:rPr>
        <w:rFonts w:ascii="Wingdings" w:hAnsi="Wingdings" w:hint="default"/>
      </w:rPr>
    </w:lvl>
    <w:lvl w:ilvl="6" w:tplc="08090001">
      <w:start w:val="1"/>
      <w:numFmt w:val="bullet"/>
      <w:lvlText w:val=""/>
      <w:lvlJc w:val="left"/>
      <w:pPr>
        <w:ind w:left="5496" w:hanging="360"/>
      </w:pPr>
      <w:rPr>
        <w:rFonts w:ascii="Symbol" w:hAnsi="Symbol" w:hint="default"/>
      </w:rPr>
    </w:lvl>
    <w:lvl w:ilvl="7" w:tplc="08090003">
      <w:start w:val="1"/>
      <w:numFmt w:val="bullet"/>
      <w:lvlText w:val="o"/>
      <w:lvlJc w:val="left"/>
      <w:pPr>
        <w:ind w:left="6216" w:hanging="360"/>
      </w:pPr>
      <w:rPr>
        <w:rFonts w:ascii="Courier New" w:hAnsi="Courier New" w:cs="Courier New" w:hint="default"/>
      </w:rPr>
    </w:lvl>
    <w:lvl w:ilvl="8" w:tplc="08090005">
      <w:start w:val="1"/>
      <w:numFmt w:val="bullet"/>
      <w:lvlText w:val=""/>
      <w:lvlJc w:val="left"/>
      <w:pPr>
        <w:ind w:left="6936" w:hanging="360"/>
      </w:pPr>
      <w:rPr>
        <w:rFonts w:ascii="Wingdings" w:hAnsi="Wingdings" w:hint="default"/>
      </w:rPr>
    </w:lvl>
  </w:abstractNum>
  <w:abstractNum w:abstractNumId="8" w15:restartNumberingAfterBreak="0">
    <w:nsid w:val="298625A8"/>
    <w:multiLevelType w:val="hybridMultilevel"/>
    <w:tmpl w:val="CF9A0514"/>
    <w:lvl w:ilvl="0" w:tplc="08090001">
      <w:start w:val="1"/>
      <w:numFmt w:val="bullet"/>
      <w:lvlText w:val=""/>
      <w:lvlJc w:val="left"/>
      <w:pPr>
        <w:ind w:left="1863" w:hanging="360"/>
      </w:pPr>
      <w:rPr>
        <w:rFonts w:ascii="Symbol" w:hAnsi="Symbol" w:hint="default"/>
      </w:rPr>
    </w:lvl>
    <w:lvl w:ilvl="1" w:tplc="08090003">
      <w:start w:val="1"/>
      <w:numFmt w:val="bullet"/>
      <w:lvlText w:val="o"/>
      <w:lvlJc w:val="left"/>
      <w:pPr>
        <w:ind w:left="2583" w:hanging="360"/>
      </w:pPr>
      <w:rPr>
        <w:rFonts w:ascii="Courier New" w:hAnsi="Courier New" w:cs="Courier New" w:hint="default"/>
      </w:rPr>
    </w:lvl>
    <w:lvl w:ilvl="2" w:tplc="08090005">
      <w:start w:val="1"/>
      <w:numFmt w:val="bullet"/>
      <w:lvlText w:val=""/>
      <w:lvlJc w:val="left"/>
      <w:pPr>
        <w:ind w:left="3303" w:hanging="360"/>
      </w:pPr>
      <w:rPr>
        <w:rFonts w:ascii="Wingdings" w:hAnsi="Wingdings" w:hint="default"/>
      </w:rPr>
    </w:lvl>
    <w:lvl w:ilvl="3" w:tplc="08090001">
      <w:start w:val="1"/>
      <w:numFmt w:val="bullet"/>
      <w:lvlText w:val=""/>
      <w:lvlJc w:val="left"/>
      <w:pPr>
        <w:ind w:left="4023" w:hanging="360"/>
      </w:pPr>
      <w:rPr>
        <w:rFonts w:ascii="Symbol" w:hAnsi="Symbol" w:hint="default"/>
      </w:rPr>
    </w:lvl>
    <w:lvl w:ilvl="4" w:tplc="08090003">
      <w:start w:val="1"/>
      <w:numFmt w:val="bullet"/>
      <w:lvlText w:val="o"/>
      <w:lvlJc w:val="left"/>
      <w:pPr>
        <w:ind w:left="4743" w:hanging="360"/>
      </w:pPr>
      <w:rPr>
        <w:rFonts w:ascii="Courier New" w:hAnsi="Courier New" w:cs="Courier New" w:hint="default"/>
      </w:rPr>
    </w:lvl>
    <w:lvl w:ilvl="5" w:tplc="08090005">
      <w:start w:val="1"/>
      <w:numFmt w:val="bullet"/>
      <w:lvlText w:val=""/>
      <w:lvlJc w:val="left"/>
      <w:pPr>
        <w:ind w:left="5463" w:hanging="360"/>
      </w:pPr>
      <w:rPr>
        <w:rFonts w:ascii="Wingdings" w:hAnsi="Wingdings" w:hint="default"/>
      </w:rPr>
    </w:lvl>
    <w:lvl w:ilvl="6" w:tplc="08090001">
      <w:start w:val="1"/>
      <w:numFmt w:val="bullet"/>
      <w:lvlText w:val=""/>
      <w:lvlJc w:val="left"/>
      <w:pPr>
        <w:ind w:left="6183" w:hanging="360"/>
      </w:pPr>
      <w:rPr>
        <w:rFonts w:ascii="Symbol" w:hAnsi="Symbol" w:hint="default"/>
      </w:rPr>
    </w:lvl>
    <w:lvl w:ilvl="7" w:tplc="08090003">
      <w:start w:val="1"/>
      <w:numFmt w:val="bullet"/>
      <w:lvlText w:val="o"/>
      <w:lvlJc w:val="left"/>
      <w:pPr>
        <w:ind w:left="6903" w:hanging="360"/>
      </w:pPr>
      <w:rPr>
        <w:rFonts w:ascii="Courier New" w:hAnsi="Courier New" w:cs="Courier New" w:hint="default"/>
      </w:rPr>
    </w:lvl>
    <w:lvl w:ilvl="8" w:tplc="08090005">
      <w:start w:val="1"/>
      <w:numFmt w:val="bullet"/>
      <w:lvlText w:val=""/>
      <w:lvlJc w:val="left"/>
      <w:pPr>
        <w:ind w:left="7623" w:hanging="360"/>
      </w:pPr>
      <w:rPr>
        <w:rFonts w:ascii="Wingdings" w:hAnsi="Wingdings" w:hint="default"/>
      </w:rPr>
    </w:lvl>
  </w:abstractNum>
  <w:abstractNum w:abstractNumId="9" w15:restartNumberingAfterBreak="0">
    <w:nsid w:val="2DD866C7"/>
    <w:multiLevelType w:val="hybridMultilevel"/>
    <w:tmpl w:val="4CD643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3">
      <w:start w:val="1"/>
      <w:numFmt w:val="bullet"/>
      <w:lvlText w:val="o"/>
      <w:lvlJc w:val="left"/>
      <w:pPr>
        <w:ind w:left="3240" w:hanging="360"/>
      </w:pPr>
      <w:rPr>
        <w:rFonts w:ascii="Courier New" w:hAnsi="Courier New" w:cs="Courier New"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E92CD5"/>
    <w:multiLevelType w:val="hybridMultilevel"/>
    <w:tmpl w:val="AB881BE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2" w15:restartNumberingAfterBreak="0">
    <w:nsid w:val="35F82C5C"/>
    <w:multiLevelType w:val="hybridMultilevel"/>
    <w:tmpl w:val="55D07F08"/>
    <w:lvl w:ilvl="0" w:tplc="E5D2489C">
      <w:start w:val="1"/>
      <w:numFmt w:val="decimal"/>
      <w:lvlText w:val="%1."/>
      <w:lvlJc w:val="left"/>
      <w:pPr>
        <w:ind w:left="1500" w:hanging="360"/>
      </w:pPr>
      <w:rPr>
        <w:rFonts w:hint="default"/>
        <w:sz w:val="24"/>
        <w:szCs w:val="24"/>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13"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F4E7CB1"/>
    <w:multiLevelType w:val="hybridMultilevel"/>
    <w:tmpl w:val="C7580EB2"/>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1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344988591">
    <w:abstractNumId w:val="10"/>
  </w:num>
  <w:num w:numId="2" w16cid:durableId="1075083665">
    <w:abstractNumId w:val="6"/>
  </w:num>
  <w:num w:numId="3" w16cid:durableId="888881663">
    <w:abstractNumId w:val="0"/>
  </w:num>
  <w:num w:numId="4" w16cid:durableId="396903513">
    <w:abstractNumId w:val="13"/>
  </w:num>
  <w:num w:numId="5" w16cid:durableId="1424648243">
    <w:abstractNumId w:val="15"/>
  </w:num>
  <w:num w:numId="6" w16cid:durableId="64424135">
    <w:abstractNumId w:val="18"/>
  </w:num>
  <w:num w:numId="7" w16cid:durableId="2090499678">
    <w:abstractNumId w:val="5"/>
  </w:num>
  <w:num w:numId="8" w16cid:durableId="362944128">
    <w:abstractNumId w:val="2"/>
  </w:num>
  <w:num w:numId="9" w16cid:durableId="465972760">
    <w:abstractNumId w:val="17"/>
  </w:num>
  <w:num w:numId="10" w16cid:durableId="893004212">
    <w:abstractNumId w:val="2"/>
  </w:num>
  <w:num w:numId="11" w16cid:durableId="478183096">
    <w:abstractNumId w:val="17"/>
  </w:num>
  <w:num w:numId="12" w16cid:durableId="1954433928">
    <w:abstractNumId w:val="4"/>
  </w:num>
  <w:num w:numId="13" w16cid:durableId="409425097">
    <w:abstractNumId w:val="4"/>
  </w:num>
  <w:num w:numId="14" w16cid:durableId="2089618401">
    <w:abstractNumId w:val="12"/>
  </w:num>
  <w:num w:numId="15" w16cid:durableId="1478840177">
    <w:abstractNumId w:val="3"/>
  </w:num>
  <w:num w:numId="16" w16cid:durableId="1968585019">
    <w:abstractNumId w:val="7"/>
  </w:num>
  <w:num w:numId="17" w16cid:durableId="1034117717">
    <w:abstractNumId w:val="9"/>
  </w:num>
  <w:num w:numId="18" w16cid:durableId="269699552">
    <w:abstractNumId w:val="14"/>
  </w:num>
  <w:num w:numId="19" w16cid:durableId="1530990056">
    <w:abstractNumId w:val="16"/>
  </w:num>
  <w:num w:numId="20" w16cid:durableId="1009527405">
    <w:abstractNumId w:val="11"/>
  </w:num>
  <w:num w:numId="21" w16cid:durableId="1109469931">
    <w:abstractNumId w:val="8"/>
  </w:num>
  <w:num w:numId="22" w16cid:durableId="5866189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proofState w:spelling="clean" w:grammar="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3CDE"/>
    <w:rsid w:val="000047E0"/>
    <w:rsid w:val="00012007"/>
    <w:rsid w:val="000171DA"/>
    <w:rsid w:val="00020507"/>
    <w:rsid w:val="00023AF2"/>
    <w:rsid w:val="00024E4A"/>
    <w:rsid w:val="000321A2"/>
    <w:rsid w:val="00046E92"/>
    <w:rsid w:val="00051FAE"/>
    <w:rsid w:val="0005535D"/>
    <w:rsid w:val="000618EB"/>
    <w:rsid w:val="00063C90"/>
    <w:rsid w:val="00066D74"/>
    <w:rsid w:val="00070000"/>
    <w:rsid w:val="00070386"/>
    <w:rsid w:val="0007416C"/>
    <w:rsid w:val="00075302"/>
    <w:rsid w:val="000A6BC9"/>
    <w:rsid w:val="000B19C0"/>
    <w:rsid w:val="000C1335"/>
    <w:rsid w:val="000D6247"/>
    <w:rsid w:val="000E3F8D"/>
    <w:rsid w:val="000F69A6"/>
    <w:rsid w:val="00101B62"/>
    <w:rsid w:val="00101B98"/>
    <w:rsid w:val="00101E19"/>
    <w:rsid w:val="0014172F"/>
    <w:rsid w:val="00141AB0"/>
    <w:rsid w:val="0014547C"/>
    <w:rsid w:val="001514D1"/>
    <w:rsid w:val="00165D2E"/>
    <w:rsid w:val="00181542"/>
    <w:rsid w:val="001A0816"/>
    <w:rsid w:val="001D062A"/>
    <w:rsid w:val="001D1688"/>
    <w:rsid w:val="001E4459"/>
    <w:rsid w:val="001E49A1"/>
    <w:rsid w:val="001F0B35"/>
    <w:rsid w:val="00216B7C"/>
    <w:rsid w:val="00242BA0"/>
    <w:rsid w:val="00247E2C"/>
    <w:rsid w:val="00247E3D"/>
    <w:rsid w:val="002513FD"/>
    <w:rsid w:val="002A1250"/>
    <w:rsid w:val="002A266C"/>
    <w:rsid w:val="002A32CB"/>
    <w:rsid w:val="002A543F"/>
    <w:rsid w:val="002B5CBD"/>
    <w:rsid w:val="002B6B91"/>
    <w:rsid w:val="002C3B95"/>
    <w:rsid w:val="002D5B2C"/>
    <w:rsid w:val="002D6C53"/>
    <w:rsid w:val="002D7ACC"/>
    <w:rsid w:val="002F5595"/>
    <w:rsid w:val="00301036"/>
    <w:rsid w:val="003039B6"/>
    <w:rsid w:val="00304FD3"/>
    <w:rsid w:val="00334F6A"/>
    <w:rsid w:val="00342AC8"/>
    <w:rsid w:val="00343302"/>
    <w:rsid w:val="00352322"/>
    <w:rsid w:val="003540E8"/>
    <w:rsid w:val="00374EDF"/>
    <w:rsid w:val="00381620"/>
    <w:rsid w:val="003979DE"/>
    <w:rsid w:val="003A7D53"/>
    <w:rsid w:val="003B4550"/>
    <w:rsid w:val="003B78EE"/>
    <w:rsid w:val="003D2A18"/>
    <w:rsid w:val="003D2F02"/>
    <w:rsid w:val="003E0432"/>
    <w:rsid w:val="00413386"/>
    <w:rsid w:val="004154E4"/>
    <w:rsid w:val="00417676"/>
    <w:rsid w:val="00422664"/>
    <w:rsid w:val="00435DAB"/>
    <w:rsid w:val="00441A63"/>
    <w:rsid w:val="00453CDE"/>
    <w:rsid w:val="00461253"/>
    <w:rsid w:val="004766CF"/>
    <w:rsid w:val="00480B0C"/>
    <w:rsid w:val="004828D3"/>
    <w:rsid w:val="004858F5"/>
    <w:rsid w:val="00487925"/>
    <w:rsid w:val="00490F43"/>
    <w:rsid w:val="00496224"/>
    <w:rsid w:val="004A076C"/>
    <w:rsid w:val="004A2814"/>
    <w:rsid w:val="004B0048"/>
    <w:rsid w:val="004B118E"/>
    <w:rsid w:val="004B74D0"/>
    <w:rsid w:val="004C0622"/>
    <w:rsid w:val="004E6E2F"/>
    <w:rsid w:val="004F73D0"/>
    <w:rsid w:val="00501A96"/>
    <w:rsid w:val="005041B9"/>
    <w:rsid w:val="005042C2"/>
    <w:rsid w:val="00516DA2"/>
    <w:rsid w:val="0052488C"/>
    <w:rsid w:val="00557F6B"/>
    <w:rsid w:val="005931A8"/>
    <w:rsid w:val="005B4866"/>
    <w:rsid w:val="005C45D1"/>
    <w:rsid w:val="005E716E"/>
    <w:rsid w:val="005F124E"/>
    <w:rsid w:val="005F7DA1"/>
    <w:rsid w:val="006023AC"/>
    <w:rsid w:val="00606649"/>
    <w:rsid w:val="0061722D"/>
    <w:rsid w:val="00636FC8"/>
    <w:rsid w:val="006476E1"/>
    <w:rsid w:val="00653702"/>
    <w:rsid w:val="0065580C"/>
    <w:rsid w:val="006604DF"/>
    <w:rsid w:val="00671529"/>
    <w:rsid w:val="00683255"/>
    <w:rsid w:val="00684599"/>
    <w:rsid w:val="006A57EB"/>
    <w:rsid w:val="006B0631"/>
    <w:rsid w:val="006B0BC9"/>
    <w:rsid w:val="006B3B23"/>
    <w:rsid w:val="006D2753"/>
    <w:rsid w:val="006F0CD5"/>
    <w:rsid w:val="006F1EF5"/>
    <w:rsid w:val="006F456E"/>
    <w:rsid w:val="006F671B"/>
    <w:rsid w:val="0070489D"/>
    <w:rsid w:val="007127AD"/>
    <w:rsid w:val="00714154"/>
    <w:rsid w:val="007200A1"/>
    <w:rsid w:val="00720F38"/>
    <w:rsid w:val="00725118"/>
    <w:rsid w:val="007268F9"/>
    <w:rsid w:val="007478F4"/>
    <w:rsid w:val="00750282"/>
    <w:rsid w:val="00763DE4"/>
    <w:rsid w:val="00764440"/>
    <w:rsid w:val="0077101B"/>
    <w:rsid w:val="00776A71"/>
    <w:rsid w:val="007A1B44"/>
    <w:rsid w:val="007C512D"/>
    <w:rsid w:val="007C52B0"/>
    <w:rsid w:val="007C6033"/>
    <w:rsid w:val="007D7C83"/>
    <w:rsid w:val="007E0071"/>
    <w:rsid w:val="007F6FD1"/>
    <w:rsid w:val="00802A21"/>
    <w:rsid w:val="0080738D"/>
    <w:rsid w:val="00810D9F"/>
    <w:rsid w:val="00812B58"/>
    <w:rsid w:val="008147C8"/>
    <w:rsid w:val="00815545"/>
    <w:rsid w:val="0081753A"/>
    <w:rsid w:val="008500E5"/>
    <w:rsid w:val="00857D23"/>
    <w:rsid w:val="0086794E"/>
    <w:rsid w:val="008714C4"/>
    <w:rsid w:val="008D6A00"/>
    <w:rsid w:val="008F16D4"/>
    <w:rsid w:val="008F7E3D"/>
    <w:rsid w:val="00904E1D"/>
    <w:rsid w:val="009411B4"/>
    <w:rsid w:val="00946F1D"/>
    <w:rsid w:val="00950F52"/>
    <w:rsid w:val="0096344D"/>
    <w:rsid w:val="00980517"/>
    <w:rsid w:val="0098150D"/>
    <w:rsid w:val="009A479E"/>
    <w:rsid w:val="009D0139"/>
    <w:rsid w:val="009D23FD"/>
    <w:rsid w:val="009D717D"/>
    <w:rsid w:val="009F4CF1"/>
    <w:rsid w:val="009F5CDC"/>
    <w:rsid w:val="00A072D7"/>
    <w:rsid w:val="00A23A7E"/>
    <w:rsid w:val="00A3458C"/>
    <w:rsid w:val="00A53422"/>
    <w:rsid w:val="00A727F9"/>
    <w:rsid w:val="00A729A9"/>
    <w:rsid w:val="00A775CF"/>
    <w:rsid w:val="00A960A9"/>
    <w:rsid w:val="00A9767F"/>
    <w:rsid w:val="00AB3D1C"/>
    <w:rsid w:val="00AB5C76"/>
    <w:rsid w:val="00AD1A9C"/>
    <w:rsid w:val="00AE3031"/>
    <w:rsid w:val="00AF5CED"/>
    <w:rsid w:val="00AF5DE1"/>
    <w:rsid w:val="00B06045"/>
    <w:rsid w:val="00B164F2"/>
    <w:rsid w:val="00B206DD"/>
    <w:rsid w:val="00B26C79"/>
    <w:rsid w:val="00B52EF4"/>
    <w:rsid w:val="00B6121C"/>
    <w:rsid w:val="00B706C6"/>
    <w:rsid w:val="00B777AD"/>
    <w:rsid w:val="00B9590C"/>
    <w:rsid w:val="00BB5B36"/>
    <w:rsid w:val="00BB7F38"/>
    <w:rsid w:val="00BD1D9C"/>
    <w:rsid w:val="00BD5AC3"/>
    <w:rsid w:val="00BE392B"/>
    <w:rsid w:val="00BF35DA"/>
    <w:rsid w:val="00BF4D92"/>
    <w:rsid w:val="00C03015"/>
    <w:rsid w:val="00C0358D"/>
    <w:rsid w:val="00C07A4A"/>
    <w:rsid w:val="00C35A27"/>
    <w:rsid w:val="00C47B2E"/>
    <w:rsid w:val="00C65CB9"/>
    <w:rsid w:val="00C7347C"/>
    <w:rsid w:val="00C8415D"/>
    <w:rsid w:val="00C849AA"/>
    <w:rsid w:val="00C96FB7"/>
    <w:rsid w:val="00CA04F8"/>
    <w:rsid w:val="00CA79C4"/>
    <w:rsid w:val="00CB2318"/>
    <w:rsid w:val="00CD1A68"/>
    <w:rsid w:val="00D0771A"/>
    <w:rsid w:val="00D20BF0"/>
    <w:rsid w:val="00D37366"/>
    <w:rsid w:val="00D513DB"/>
    <w:rsid w:val="00D636E4"/>
    <w:rsid w:val="00D63CD2"/>
    <w:rsid w:val="00D67D10"/>
    <w:rsid w:val="00D739E9"/>
    <w:rsid w:val="00D76D63"/>
    <w:rsid w:val="00D87DC2"/>
    <w:rsid w:val="00D914D2"/>
    <w:rsid w:val="00D93887"/>
    <w:rsid w:val="00D94B05"/>
    <w:rsid w:val="00DA2317"/>
    <w:rsid w:val="00DA40E9"/>
    <w:rsid w:val="00DA54FC"/>
    <w:rsid w:val="00DB0630"/>
    <w:rsid w:val="00DC7379"/>
    <w:rsid w:val="00DD55EA"/>
    <w:rsid w:val="00DE20E0"/>
    <w:rsid w:val="00DF03FA"/>
    <w:rsid w:val="00E02C2B"/>
    <w:rsid w:val="00E07E59"/>
    <w:rsid w:val="00E21C27"/>
    <w:rsid w:val="00E24A1C"/>
    <w:rsid w:val="00E26BCF"/>
    <w:rsid w:val="00E51312"/>
    <w:rsid w:val="00E52109"/>
    <w:rsid w:val="00E56712"/>
    <w:rsid w:val="00E575F2"/>
    <w:rsid w:val="00E75317"/>
    <w:rsid w:val="00EA0182"/>
    <w:rsid w:val="00EC0722"/>
    <w:rsid w:val="00EC0CE6"/>
    <w:rsid w:val="00EC2482"/>
    <w:rsid w:val="00EC7C1D"/>
    <w:rsid w:val="00ED6C48"/>
    <w:rsid w:val="00EE3045"/>
    <w:rsid w:val="00EE6D77"/>
    <w:rsid w:val="00EE7C1E"/>
    <w:rsid w:val="00EF1CED"/>
    <w:rsid w:val="00F10971"/>
    <w:rsid w:val="00F222AE"/>
    <w:rsid w:val="00F34779"/>
    <w:rsid w:val="00F403BF"/>
    <w:rsid w:val="00F50FF0"/>
    <w:rsid w:val="00F65F5D"/>
    <w:rsid w:val="00F861DF"/>
    <w:rsid w:val="00F86A3A"/>
    <w:rsid w:val="00FA0417"/>
    <w:rsid w:val="00FA42DA"/>
    <w:rsid w:val="00FC798A"/>
    <w:rsid w:val="00FE2AC5"/>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EE3C80"/>
  <w15:docId w15:val="{80DD6A68-AD73-4BA6-B9F5-1118327C5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zh-CN" w:bidi="ar-SA"/>
      </w:rPr>
    </w:rPrDefault>
    <w:pPrDefault>
      <w:pPr>
        <w:spacing w:line="240" w:lineRule="atLeast"/>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qFormat="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qFormat="1"/>
    <w:lsdException w:name="FollowedHyperlink" w:semiHidden="1" w:uiPriority="0" w:unhideWhenUsed="1" w:qFormat="1"/>
    <w:lsdException w:name="Strong" w:semiHidden="1" w:uiPriority="22"/>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5CBD"/>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aliases w:val="GHS Chapter Heading"/>
    <w:basedOn w:val="Normal"/>
    <w:next w:val="Normal"/>
    <w:link w:val="Heading2Char"/>
    <w:qFormat/>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qFormat/>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4A2814"/>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4A2814"/>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link w:val="H23GChar"/>
    <w:qFormat/>
    <w:rsid w:val="004A2814"/>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ar"/>
    <w:qFormat/>
    <w:rsid w:val="004A2814"/>
    <w:pPr>
      <w:tabs>
        <w:tab w:val="left" w:pos="1701"/>
        <w:tab w:val="left" w:pos="2268"/>
        <w:tab w:val="left" w:pos="2835"/>
      </w:tabs>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NoG">
    <w:name w:val="_ParNo_G"/>
    <w:basedOn w:val="Normal"/>
    <w:qFormat/>
    <w:rsid w:val="00FA42DA"/>
    <w:pPr>
      <w:numPr>
        <w:numId w:val="13"/>
      </w:numPr>
      <w:tabs>
        <w:tab w:val="left" w:pos="1701"/>
        <w:tab w:val="left" w:pos="2268"/>
        <w:tab w:val="left" w:pos="2835"/>
      </w:tabs>
      <w:spacing w:after="120"/>
      <w:ind w:right="1134"/>
      <w:jc w:val="both"/>
    </w:pPr>
    <w:rPr>
      <w:rFonts w:eastAsia="Times New Roman"/>
    </w:r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DC7379"/>
    <w:rPr>
      <w:sz w:val="18"/>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Footnote Reference/"/>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aliases w:val="GHS Chapter Heading Char"/>
    <w:basedOn w:val="DefaultParagraphFont"/>
    <w:link w:val="Heading2"/>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paragraph" w:styleId="BalloonText">
    <w:name w:val="Balloon Text"/>
    <w:basedOn w:val="Normal"/>
    <w:link w:val="BalloonTextChar"/>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52109"/>
    <w:rPr>
      <w:rFonts w:ascii="Tahoma" w:eastAsia="Times New Roman" w:hAnsi="Tahoma" w:cs="Tahoma"/>
      <w:sz w:val="16"/>
      <w:szCs w:val="16"/>
      <w:lang w:eastAsia="en-US"/>
    </w:rPr>
  </w:style>
  <w:style w:type="character" w:styleId="Hyperlink">
    <w:name w:val="Hyperlink"/>
    <w:basedOn w:val="DefaultParagraphFont"/>
    <w:rsid w:val="00EC0CE6"/>
    <w:rPr>
      <w:color w:val="0000FF"/>
      <w:u w:val="none"/>
    </w:rPr>
  </w:style>
  <w:style w:type="character" w:styleId="FollowedHyperlink">
    <w:name w:val="FollowedHyperlink"/>
    <w:basedOn w:val="DefaultParagraphFont"/>
    <w:rsid w:val="00EC0CE6"/>
    <w:rPr>
      <w:color w:val="0000FF"/>
      <w:u w:val="none"/>
    </w:rPr>
  </w:style>
  <w:style w:type="table" w:styleId="TableGrid">
    <w:name w:val="Table Grid"/>
    <w:basedOn w:val="TableNormal"/>
    <w:rsid w:val="004A2814"/>
    <w:pPr>
      <w:suppressAutoHyphens/>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ar">
    <w:name w:val="_ Single Txt_G Car"/>
    <w:link w:val="SingleTxtG"/>
    <w:rsid w:val="003D2F02"/>
  </w:style>
  <w:style w:type="character" w:customStyle="1" w:styleId="HChGChar">
    <w:name w:val="_ H _Ch_G Char"/>
    <w:link w:val="HChG"/>
    <w:locked/>
    <w:rsid w:val="003D2F02"/>
    <w:rPr>
      <w:b/>
      <w:sz w:val="28"/>
    </w:rPr>
  </w:style>
  <w:style w:type="character" w:customStyle="1" w:styleId="H1GChar">
    <w:name w:val="_ H_1_G Char"/>
    <w:link w:val="H1G"/>
    <w:locked/>
    <w:rsid w:val="003D2F02"/>
    <w:rPr>
      <w:b/>
      <w:sz w:val="24"/>
    </w:rPr>
  </w:style>
  <w:style w:type="character" w:customStyle="1" w:styleId="StyleBold">
    <w:name w:val="Style Bold"/>
    <w:rsid w:val="003D2F02"/>
    <w:rPr>
      <w:rFonts w:ascii="Times New Roman" w:hAnsi="Times New Roman" w:cs="Times New Roman" w:hint="default"/>
      <w:b/>
      <w:bCs/>
    </w:rPr>
  </w:style>
  <w:style w:type="character" w:customStyle="1" w:styleId="StyleItalic">
    <w:name w:val="Style Italic"/>
    <w:rsid w:val="003D2F02"/>
    <w:rPr>
      <w:rFonts w:ascii="Times New Roman" w:hAnsi="Times New Roman" w:cs="Times New Roman" w:hint="default"/>
      <w:i/>
      <w:iCs/>
    </w:rPr>
  </w:style>
  <w:style w:type="character" w:customStyle="1" w:styleId="H23GChar">
    <w:name w:val="_ H_2/3_G Char"/>
    <w:link w:val="H23G"/>
    <w:locked/>
    <w:rsid w:val="003D2F02"/>
    <w:rPr>
      <w:b/>
    </w:rPr>
  </w:style>
  <w:style w:type="character" w:styleId="CommentReference">
    <w:name w:val="annotation reference"/>
    <w:basedOn w:val="DefaultParagraphFont"/>
    <w:uiPriority w:val="99"/>
    <w:unhideWhenUsed/>
    <w:rsid w:val="003D2F02"/>
    <w:rPr>
      <w:sz w:val="16"/>
      <w:szCs w:val="16"/>
    </w:rPr>
  </w:style>
  <w:style w:type="paragraph" w:styleId="CommentText">
    <w:name w:val="annotation text"/>
    <w:basedOn w:val="Normal"/>
    <w:link w:val="CommentTextChar"/>
    <w:unhideWhenUsed/>
    <w:rsid w:val="003D2F02"/>
    <w:pPr>
      <w:suppressAutoHyphens/>
      <w:kinsoku w:val="0"/>
      <w:overflowPunct w:val="0"/>
      <w:autoSpaceDE w:val="0"/>
      <w:autoSpaceDN w:val="0"/>
      <w:adjustRightInd w:val="0"/>
      <w:snapToGrid w:val="0"/>
      <w:spacing w:line="240" w:lineRule="auto"/>
    </w:pPr>
  </w:style>
  <w:style w:type="character" w:customStyle="1" w:styleId="CommentTextChar">
    <w:name w:val="Comment Text Char"/>
    <w:basedOn w:val="DefaultParagraphFont"/>
    <w:link w:val="CommentText"/>
    <w:rsid w:val="003D2F02"/>
  </w:style>
  <w:style w:type="paragraph" w:styleId="CommentSubject">
    <w:name w:val="annotation subject"/>
    <w:basedOn w:val="CommentText"/>
    <w:next w:val="CommentText"/>
    <w:link w:val="CommentSubjectChar"/>
    <w:uiPriority w:val="99"/>
    <w:semiHidden/>
    <w:unhideWhenUsed/>
    <w:rsid w:val="003D2F02"/>
    <w:rPr>
      <w:b/>
      <w:bCs/>
    </w:rPr>
  </w:style>
  <w:style w:type="character" w:customStyle="1" w:styleId="CommentSubjectChar">
    <w:name w:val="Comment Subject Char"/>
    <w:basedOn w:val="CommentTextChar"/>
    <w:link w:val="CommentSubject"/>
    <w:uiPriority w:val="99"/>
    <w:semiHidden/>
    <w:rsid w:val="003D2F02"/>
    <w:rPr>
      <w:b/>
      <w:bCs/>
    </w:rPr>
  </w:style>
  <w:style w:type="paragraph" w:styleId="Revision">
    <w:name w:val="Revision"/>
    <w:hidden/>
    <w:uiPriority w:val="99"/>
    <w:semiHidden/>
    <w:rsid w:val="003D2F02"/>
    <w:pPr>
      <w:spacing w:line="240" w:lineRule="auto"/>
    </w:pPr>
  </w:style>
  <w:style w:type="character" w:customStyle="1" w:styleId="SingleTxtGChar">
    <w:name w:val="_ Single Txt_G Char"/>
    <w:qFormat/>
    <w:locked/>
    <w:rsid w:val="003D2F02"/>
    <w:rPr>
      <w:rFonts w:ascii="Times New Roman" w:eastAsia="SimSun" w:hAnsi="Times New Roman" w:cs="Times New Roman"/>
      <w:sz w:val="20"/>
      <w:szCs w:val="20"/>
      <w:lang w:eastAsia="zh-CN"/>
    </w:rPr>
  </w:style>
  <w:style w:type="paragraph" w:styleId="ListParagraph">
    <w:name w:val="List Paragraph"/>
    <w:basedOn w:val="Normal"/>
    <w:uiPriority w:val="34"/>
    <w:qFormat/>
    <w:rsid w:val="003D2F02"/>
    <w:pPr>
      <w:spacing w:line="240" w:lineRule="auto"/>
      <w:ind w:left="720"/>
      <w:contextualSpacing/>
    </w:pPr>
    <w:rPr>
      <w:rFonts w:ascii="Arial" w:eastAsia="Times New Roman" w:hAnsi="Arial" w:cs="Arial"/>
      <w:sz w:val="24"/>
      <w:szCs w:val="24"/>
      <w:lang w:eastAsia="en-US"/>
    </w:rPr>
  </w:style>
  <w:style w:type="character" w:styleId="Emphasis">
    <w:name w:val="Emphasis"/>
    <w:basedOn w:val="DefaultParagraphFont"/>
    <w:uiPriority w:val="20"/>
    <w:qFormat/>
    <w:rsid w:val="003D2F02"/>
    <w:rPr>
      <w:i/>
      <w:iCs/>
    </w:rPr>
  </w:style>
  <w:style w:type="character" w:customStyle="1" w:styleId="SingleTxtGChar1">
    <w:name w:val="_ Single Txt_G Char1"/>
    <w:locked/>
    <w:rsid w:val="003D2F02"/>
    <w:rPr>
      <w:rFonts w:eastAsia="Times New Roman"/>
    </w:rPr>
  </w:style>
  <w:style w:type="paragraph" w:styleId="BodyTextIndent3">
    <w:name w:val="Body Text Indent 3"/>
    <w:basedOn w:val="Normal"/>
    <w:link w:val="BodyTextIndent3Char"/>
    <w:rsid w:val="003D2F02"/>
    <w:pPr>
      <w:spacing w:line="240" w:lineRule="auto"/>
      <w:ind w:left="550"/>
      <w:jc w:val="both"/>
    </w:pPr>
    <w:rPr>
      <w:rFonts w:eastAsia="Times New Roman"/>
      <w:sz w:val="22"/>
      <w:szCs w:val="24"/>
      <w:lang w:eastAsia="en-US"/>
    </w:rPr>
  </w:style>
  <w:style w:type="character" w:customStyle="1" w:styleId="BodyTextIndent3Char">
    <w:name w:val="Body Text Indent 3 Char"/>
    <w:basedOn w:val="DefaultParagraphFont"/>
    <w:link w:val="BodyTextIndent3"/>
    <w:rsid w:val="003D2F02"/>
    <w:rPr>
      <w:rFonts w:eastAsia="Times New Roman"/>
      <w:sz w:val="22"/>
      <w:szCs w:val="24"/>
      <w:lang w:eastAsia="en-US"/>
    </w:rPr>
  </w:style>
  <w:style w:type="paragraph" w:customStyle="1" w:styleId="TNR11">
    <w:name w:val="TNR11"/>
    <w:rsid w:val="003D2F02"/>
    <w:pPr>
      <w:spacing w:before="240" w:line="240" w:lineRule="auto"/>
      <w:ind w:firstLine="1276"/>
      <w:jc w:val="both"/>
    </w:pPr>
    <w:rPr>
      <w:rFonts w:eastAsia="Times New Roman"/>
      <w:noProof/>
      <w:sz w:val="22"/>
      <w:lang w:eastAsia="en-US"/>
    </w:rPr>
  </w:style>
  <w:style w:type="character" w:customStyle="1" w:styleId="contentpasted0">
    <w:name w:val="contentpasted0"/>
    <w:basedOn w:val="DefaultParagraphFont"/>
    <w:rsid w:val="003D2F02"/>
  </w:style>
  <w:style w:type="paragraph" w:customStyle="1" w:styleId="Style1">
    <w:name w:val="Style1"/>
    <w:basedOn w:val="Normal"/>
    <w:rsid w:val="003D2F02"/>
    <w:pPr>
      <w:widowControl w:val="0"/>
      <w:snapToGrid w:val="0"/>
      <w:spacing w:line="240" w:lineRule="auto"/>
      <w:jc w:val="both"/>
    </w:pPr>
    <w:rPr>
      <w:rFonts w:eastAsia="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ciaCouto\United%20Nations\UNOG_DCM-Macros%20-%20UNECE\Templates\ST\SGAC10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ée un document." ma:contentTypeScope="" ma:versionID="d593cc96c5d428f23a5351564b268b6d">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76aafa040e38551359a67edc98402bfa"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518F60-7DA2-420D-843C-E28B2BAD873F}">
  <ds:schemaRefs>
    <ds:schemaRef ds:uri="http://schemas.openxmlformats.org/officeDocument/2006/bibliography"/>
  </ds:schemaRefs>
</ds:datastoreItem>
</file>

<file path=customXml/itemProps2.xml><?xml version="1.0" encoding="utf-8"?>
<ds:datastoreItem xmlns:ds="http://schemas.openxmlformats.org/officeDocument/2006/customXml" ds:itemID="{6F0C699A-3081-464D-8175-18FB791049CF}">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3.xml><?xml version="1.0" encoding="utf-8"?>
<ds:datastoreItem xmlns:ds="http://schemas.openxmlformats.org/officeDocument/2006/customXml" ds:itemID="{0E96D6C7-A69F-4CC1-9C48-E5514C6CF912}">
  <ds:schemaRefs>
    <ds:schemaRef ds:uri="http://schemas.microsoft.com/sharepoint/v3/contenttype/forms"/>
  </ds:schemaRefs>
</ds:datastoreItem>
</file>

<file path=customXml/itemProps4.xml><?xml version="1.0" encoding="utf-8"?>
<ds:datastoreItem xmlns:ds="http://schemas.openxmlformats.org/officeDocument/2006/customXml" ds:itemID="{E7399265-D39A-4565-BBD0-F016E9FA4331}"/>
</file>

<file path=docProps/app.xml><?xml version="1.0" encoding="utf-8"?>
<Properties xmlns="http://schemas.openxmlformats.org/officeDocument/2006/extended-properties" xmlns:vt="http://schemas.openxmlformats.org/officeDocument/2006/docPropsVTypes">
  <Template>SGAC10_E.dotm</Template>
  <TotalTime>0</TotalTime>
  <Pages>13</Pages>
  <Words>5669</Words>
  <Characters>30778</Characters>
  <Application>Microsoft Office Word</Application>
  <DocSecurity>0</DocSecurity>
  <Lines>691</Lines>
  <Paragraphs>326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ST/SG/AC.10/C.4/2023/9</vt:lpstr>
      <vt:lpstr/>
    </vt:vector>
  </TitlesOfParts>
  <Company/>
  <LinksUpToDate>false</LinksUpToDate>
  <CharactersWithSpaces>36273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ST/SG/AC.10/C.4/2023/9</dc:title>
  <dc:subject>2318009</dc:subject>
  <dc:creator>Rosa Garcia-Couto</dc:creator>
  <cp:keywords/>
  <dc:description/>
  <cp:lastModifiedBy>Cecile Pacis</cp:lastModifiedBy>
  <cp:revision>2</cp:revision>
  <cp:lastPrinted>2023-09-14T07:51:00Z</cp:lastPrinted>
  <dcterms:created xsi:type="dcterms:W3CDTF">2023-09-19T13:40:00Z</dcterms:created>
  <dcterms:modified xsi:type="dcterms:W3CDTF">2023-09-19T13:40:00Z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Office_x0020_of_x0020_Origin">
    <vt:lpwstr/>
  </property>
  <property fmtid="{D5CDD505-2E9C-101B-9397-08002B2CF9AE}" pid="5" name="gba66df640194346a5267c50f24d4797">
    <vt:lpwstr/>
  </property>
  <property fmtid="{D5CDD505-2E9C-101B-9397-08002B2CF9AE}" pid="6" name="Office of Origin">
    <vt:lpwstr/>
  </property>
</Properties>
</file>