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FE25E2" w14:paraId="74A6454F" w14:textId="77777777" w:rsidTr="00F01738">
        <w:trPr>
          <w:trHeight w:hRule="exact" w:val="851"/>
        </w:trPr>
        <w:tc>
          <w:tcPr>
            <w:tcW w:w="1276" w:type="dxa"/>
            <w:tcBorders>
              <w:bottom w:val="single" w:sz="4" w:space="0" w:color="auto"/>
            </w:tcBorders>
          </w:tcPr>
          <w:p w14:paraId="5DDB8317" w14:textId="77777777" w:rsidR="00132EA9" w:rsidRPr="00DB58B5" w:rsidRDefault="00132EA9" w:rsidP="00FE25E2"/>
        </w:tc>
        <w:tc>
          <w:tcPr>
            <w:tcW w:w="2268" w:type="dxa"/>
            <w:tcBorders>
              <w:bottom w:val="single" w:sz="4" w:space="0" w:color="auto"/>
            </w:tcBorders>
            <w:vAlign w:val="bottom"/>
          </w:tcPr>
          <w:p w14:paraId="4940EF68"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2D51C1" w14:textId="4CD2737E" w:rsidR="00FE25E2" w:rsidRPr="00FE25E2" w:rsidRDefault="00FE25E2" w:rsidP="00FE25E2">
            <w:pPr>
              <w:jc w:val="right"/>
              <w:rPr>
                <w:lang w:val="en-US"/>
              </w:rPr>
            </w:pPr>
            <w:r w:rsidRPr="00FE25E2">
              <w:rPr>
                <w:sz w:val="40"/>
                <w:lang w:val="en-US"/>
              </w:rPr>
              <w:t>ST</w:t>
            </w:r>
            <w:r w:rsidRPr="00FE25E2">
              <w:rPr>
                <w:lang w:val="en-US"/>
              </w:rPr>
              <w:t>/SG/AC.10/C.3/2023/55−</w:t>
            </w:r>
            <w:r w:rsidRPr="00FE25E2">
              <w:rPr>
                <w:sz w:val="40"/>
                <w:lang w:val="en-US"/>
              </w:rPr>
              <w:t>ST</w:t>
            </w:r>
            <w:r w:rsidRPr="00FE25E2">
              <w:rPr>
                <w:lang w:val="en-US"/>
              </w:rPr>
              <w:t>/SG/AC.10/C.4/2023/8</w:t>
            </w:r>
          </w:p>
        </w:tc>
      </w:tr>
      <w:tr w:rsidR="00132EA9" w:rsidRPr="00DB58B5" w14:paraId="39389B59" w14:textId="77777777" w:rsidTr="00F01738">
        <w:trPr>
          <w:trHeight w:hRule="exact" w:val="2835"/>
        </w:trPr>
        <w:tc>
          <w:tcPr>
            <w:tcW w:w="1276" w:type="dxa"/>
            <w:tcBorders>
              <w:top w:val="single" w:sz="4" w:space="0" w:color="auto"/>
              <w:bottom w:val="single" w:sz="12" w:space="0" w:color="auto"/>
            </w:tcBorders>
          </w:tcPr>
          <w:p w14:paraId="29BDCCA1" w14:textId="77777777" w:rsidR="00132EA9" w:rsidRPr="00DB58B5" w:rsidRDefault="00132EA9" w:rsidP="00F01738">
            <w:pPr>
              <w:spacing w:before="120"/>
              <w:jc w:val="center"/>
            </w:pPr>
            <w:r>
              <w:rPr>
                <w:noProof/>
                <w:lang w:eastAsia="fr-CH"/>
              </w:rPr>
              <w:drawing>
                <wp:inline distT="0" distB="0" distL="0" distR="0" wp14:anchorId="3041D311" wp14:editId="684B08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6009BD"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755DD3D" w14:textId="77777777" w:rsidR="00132EA9" w:rsidRDefault="00FE25E2" w:rsidP="00F01738">
            <w:pPr>
              <w:spacing w:before="240"/>
            </w:pPr>
            <w:r>
              <w:t>Distr. générale</w:t>
            </w:r>
          </w:p>
          <w:p w14:paraId="40265B87" w14:textId="77777777" w:rsidR="00FE25E2" w:rsidRDefault="00FE25E2" w:rsidP="00FE25E2">
            <w:pPr>
              <w:spacing w:line="240" w:lineRule="exact"/>
            </w:pPr>
            <w:r>
              <w:t>8 septembre 2023</w:t>
            </w:r>
          </w:p>
          <w:p w14:paraId="1FABD930" w14:textId="77777777" w:rsidR="00FE25E2" w:rsidRDefault="00FE25E2" w:rsidP="00FE25E2">
            <w:pPr>
              <w:spacing w:line="240" w:lineRule="exact"/>
            </w:pPr>
            <w:r>
              <w:t>Français</w:t>
            </w:r>
          </w:p>
          <w:p w14:paraId="0C627BEB" w14:textId="0DAE2648" w:rsidR="00FE25E2" w:rsidRPr="00DB58B5" w:rsidRDefault="00FE25E2" w:rsidP="00FE25E2">
            <w:pPr>
              <w:spacing w:line="240" w:lineRule="exact"/>
            </w:pPr>
            <w:r>
              <w:t>Original : anglais</w:t>
            </w:r>
          </w:p>
        </w:tc>
      </w:tr>
    </w:tbl>
    <w:p w14:paraId="4E8F6101" w14:textId="77777777" w:rsidR="00FE25E2" w:rsidRPr="0001619C" w:rsidRDefault="00FE25E2" w:rsidP="00FE25E2">
      <w:pPr>
        <w:spacing w:before="120"/>
        <w:rPr>
          <w:b/>
          <w:sz w:val="32"/>
          <w:szCs w:val="32"/>
          <w:lang w:val="fr-FR"/>
        </w:rPr>
      </w:pPr>
      <w:r w:rsidRPr="0001619C">
        <w:rPr>
          <w:b/>
          <w:bCs/>
          <w:sz w:val="24"/>
          <w:szCs w:val="24"/>
          <w:lang w:val="fr-FR"/>
        </w:rPr>
        <w:t>Comité d</w:t>
      </w:r>
      <w:r>
        <w:rPr>
          <w:b/>
          <w:bCs/>
          <w:sz w:val="24"/>
          <w:szCs w:val="24"/>
          <w:lang w:val="fr-FR"/>
        </w:rPr>
        <w:t>’</w:t>
      </w:r>
      <w:r w:rsidRPr="0001619C">
        <w:rPr>
          <w:b/>
          <w:bCs/>
          <w:sz w:val="24"/>
          <w:szCs w:val="24"/>
          <w:lang w:val="fr-FR"/>
        </w:rPr>
        <w:t xml:space="preserve">experts du transport des marchandises dangereuses </w:t>
      </w:r>
      <w:r w:rsidRPr="0001619C">
        <w:rPr>
          <w:b/>
          <w:bCs/>
          <w:sz w:val="24"/>
          <w:szCs w:val="24"/>
          <w:lang w:val="fr-FR"/>
        </w:rPr>
        <w:br/>
        <w:t xml:space="preserve">et du Système général harmonisé de classification </w:t>
      </w:r>
      <w:r w:rsidRPr="0001619C">
        <w:rPr>
          <w:b/>
          <w:bCs/>
          <w:sz w:val="24"/>
          <w:szCs w:val="24"/>
          <w:lang w:val="fr-FR"/>
        </w:rPr>
        <w:br/>
        <w:t>et d</w:t>
      </w:r>
      <w:r>
        <w:rPr>
          <w:b/>
          <w:bCs/>
          <w:sz w:val="24"/>
          <w:szCs w:val="24"/>
          <w:lang w:val="fr-FR"/>
        </w:rPr>
        <w:t>’</w:t>
      </w:r>
      <w:r w:rsidRPr="0001619C">
        <w:rPr>
          <w:b/>
          <w:bCs/>
          <w:sz w:val="24"/>
          <w:szCs w:val="24"/>
          <w:lang w:val="fr-FR"/>
        </w:rPr>
        <w:t>étiquetage des produits chimiques</w:t>
      </w:r>
    </w:p>
    <w:tbl>
      <w:tblPr>
        <w:tblW w:w="9639" w:type="dxa"/>
        <w:tblLayout w:type="fixed"/>
        <w:tblCellMar>
          <w:left w:w="0" w:type="dxa"/>
          <w:right w:w="0" w:type="dxa"/>
        </w:tblCellMar>
        <w:tblLook w:val="01E0" w:firstRow="1" w:lastRow="1" w:firstColumn="1" w:lastColumn="1" w:noHBand="0" w:noVBand="0"/>
      </w:tblPr>
      <w:tblGrid>
        <w:gridCol w:w="4820"/>
        <w:gridCol w:w="4819"/>
      </w:tblGrid>
      <w:tr w:rsidR="00FE25E2" w:rsidRPr="002211A1" w14:paraId="34C67C7C" w14:textId="77777777" w:rsidTr="00634058">
        <w:tc>
          <w:tcPr>
            <w:tcW w:w="4820" w:type="dxa"/>
            <w:shd w:val="clear" w:color="auto" w:fill="auto"/>
          </w:tcPr>
          <w:p w14:paraId="6D8949CA" w14:textId="77777777" w:rsidR="00FE25E2" w:rsidRPr="00634058" w:rsidRDefault="00FE25E2" w:rsidP="00072A20">
            <w:pPr>
              <w:spacing w:before="120"/>
              <w:rPr>
                <w:b/>
                <w:lang w:val="fr-FR"/>
              </w:rPr>
            </w:pPr>
            <w:r w:rsidRPr="00634058">
              <w:rPr>
                <w:b/>
                <w:bCs/>
                <w:lang w:val="fr-FR"/>
              </w:rPr>
              <w:t>Sous-Comité d’experts du transport des marchandises dangereuses</w:t>
            </w:r>
            <w:r w:rsidRPr="00634058">
              <w:rPr>
                <w:lang w:val="fr-FR"/>
              </w:rPr>
              <w:t xml:space="preserve"> </w:t>
            </w:r>
          </w:p>
        </w:tc>
        <w:tc>
          <w:tcPr>
            <w:tcW w:w="4819" w:type="dxa"/>
            <w:shd w:val="clear" w:color="auto" w:fill="auto"/>
          </w:tcPr>
          <w:p w14:paraId="46E0AFD6" w14:textId="28D12746" w:rsidR="00FE25E2" w:rsidRPr="0001619C" w:rsidRDefault="00FE25E2" w:rsidP="00072A20">
            <w:pPr>
              <w:spacing w:before="120"/>
              <w:rPr>
                <w:b/>
                <w:lang w:val="fr-FR"/>
              </w:rPr>
            </w:pPr>
            <w:r>
              <w:rPr>
                <w:b/>
                <w:bCs/>
                <w:lang w:val="fr-FR"/>
              </w:rPr>
              <w:t xml:space="preserve">Sous-Comité d’experts du Système général harmonisé </w:t>
            </w:r>
            <w:r w:rsidR="00634058">
              <w:rPr>
                <w:b/>
                <w:bCs/>
                <w:lang w:val="fr-FR"/>
              </w:rPr>
              <w:br/>
            </w:r>
            <w:r>
              <w:rPr>
                <w:b/>
                <w:bCs/>
                <w:lang w:val="fr-FR"/>
              </w:rPr>
              <w:t>de classification et d’étiquetage des produits chimiques</w:t>
            </w:r>
            <w:r>
              <w:rPr>
                <w:lang w:val="fr-FR"/>
              </w:rPr>
              <w:t xml:space="preserve"> </w:t>
            </w:r>
          </w:p>
        </w:tc>
      </w:tr>
      <w:tr w:rsidR="00FE25E2" w:rsidRPr="00302456" w14:paraId="656856D5" w14:textId="77777777" w:rsidTr="00634058">
        <w:tc>
          <w:tcPr>
            <w:tcW w:w="4820" w:type="dxa"/>
            <w:shd w:val="clear" w:color="auto" w:fill="auto"/>
          </w:tcPr>
          <w:p w14:paraId="3DA26F6C" w14:textId="77777777" w:rsidR="00FE25E2" w:rsidRPr="00634058" w:rsidRDefault="00FE25E2" w:rsidP="00072A20">
            <w:pPr>
              <w:spacing w:before="120"/>
              <w:rPr>
                <w:b/>
              </w:rPr>
            </w:pPr>
            <w:r w:rsidRPr="00634058">
              <w:rPr>
                <w:b/>
                <w:bCs/>
                <w:lang w:val="fr-FR"/>
              </w:rPr>
              <w:t>Soixante-troisième session</w:t>
            </w:r>
          </w:p>
        </w:tc>
        <w:tc>
          <w:tcPr>
            <w:tcW w:w="4819" w:type="dxa"/>
            <w:shd w:val="clear" w:color="auto" w:fill="auto"/>
          </w:tcPr>
          <w:p w14:paraId="1B995BED" w14:textId="77777777" w:rsidR="00FE25E2" w:rsidRPr="00D75815" w:rsidRDefault="00FE25E2" w:rsidP="00072A20">
            <w:pPr>
              <w:spacing w:before="120"/>
              <w:rPr>
                <w:b/>
              </w:rPr>
            </w:pPr>
            <w:r>
              <w:rPr>
                <w:b/>
                <w:bCs/>
                <w:lang w:val="fr-FR"/>
              </w:rPr>
              <w:t>Quarante-cinquième session</w:t>
            </w:r>
          </w:p>
        </w:tc>
      </w:tr>
      <w:tr w:rsidR="00FE25E2" w:rsidRPr="00302456" w14:paraId="233270A0" w14:textId="77777777" w:rsidTr="00634058">
        <w:tc>
          <w:tcPr>
            <w:tcW w:w="4820" w:type="dxa"/>
            <w:shd w:val="clear" w:color="auto" w:fill="auto"/>
          </w:tcPr>
          <w:p w14:paraId="6ED80B02" w14:textId="77777777" w:rsidR="00FE25E2" w:rsidRPr="00634058" w:rsidRDefault="00FE25E2" w:rsidP="00072A20">
            <w:pPr>
              <w:rPr>
                <w:b/>
              </w:rPr>
            </w:pPr>
            <w:r w:rsidRPr="00634058">
              <w:rPr>
                <w:lang w:val="fr-FR"/>
              </w:rPr>
              <w:t xml:space="preserve">Genève, 27 novembre-6 décembre 2023 </w:t>
            </w:r>
          </w:p>
        </w:tc>
        <w:tc>
          <w:tcPr>
            <w:tcW w:w="4819" w:type="dxa"/>
            <w:shd w:val="clear" w:color="auto" w:fill="auto"/>
          </w:tcPr>
          <w:p w14:paraId="712B3F90" w14:textId="77777777" w:rsidR="00FE25E2" w:rsidRPr="00D75815" w:rsidRDefault="00FE25E2" w:rsidP="00072A20">
            <w:pPr>
              <w:rPr>
                <w:b/>
              </w:rPr>
            </w:pPr>
            <w:r>
              <w:rPr>
                <w:lang w:val="fr-FR"/>
              </w:rPr>
              <w:t>Genève, 6-8 décembre 2023</w:t>
            </w:r>
          </w:p>
        </w:tc>
      </w:tr>
      <w:tr w:rsidR="00FE25E2" w:rsidRPr="0001619C" w14:paraId="01D6D5C8" w14:textId="77777777" w:rsidTr="00634058">
        <w:tc>
          <w:tcPr>
            <w:tcW w:w="4820" w:type="dxa"/>
            <w:shd w:val="clear" w:color="auto" w:fill="auto"/>
          </w:tcPr>
          <w:p w14:paraId="61176099" w14:textId="77777777" w:rsidR="00FE25E2" w:rsidRPr="00634058" w:rsidRDefault="00FE25E2" w:rsidP="00072A20">
            <w:pPr>
              <w:rPr>
                <w:lang w:val="fr-FR"/>
              </w:rPr>
            </w:pPr>
            <w:r w:rsidRPr="00634058">
              <w:rPr>
                <w:lang w:val="fr-FR"/>
              </w:rPr>
              <w:t>Point 10 c) de l’ordre du jour provisoire</w:t>
            </w:r>
          </w:p>
          <w:p w14:paraId="58E1A971" w14:textId="03F9FFA6" w:rsidR="00FE25E2" w:rsidRPr="00634058" w:rsidRDefault="00FE25E2" w:rsidP="00072A20">
            <w:pPr>
              <w:rPr>
                <w:b/>
                <w:bCs/>
                <w:lang w:val="fr-FR"/>
              </w:rPr>
            </w:pPr>
            <w:r w:rsidRPr="00634058">
              <w:rPr>
                <w:b/>
                <w:bCs/>
                <w:lang w:val="fr-FR"/>
              </w:rPr>
              <w:t xml:space="preserve">Questions relatives au Système général </w:t>
            </w:r>
            <w:r w:rsidR="00634058">
              <w:rPr>
                <w:b/>
                <w:bCs/>
                <w:lang w:val="fr-FR"/>
              </w:rPr>
              <w:br/>
            </w:r>
            <w:r w:rsidRPr="00634058">
              <w:rPr>
                <w:b/>
                <w:bCs/>
                <w:lang w:val="fr-FR"/>
              </w:rPr>
              <w:t xml:space="preserve">harmonisé de classification et d’étiquetage </w:t>
            </w:r>
            <w:r w:rsidR="00634058">
              <w:rPr>
                <w:b/>
                <w:bCs/>
                <w:lang w:val="fr-FR"/>
              </w:rPr>
              <w:br/>
            </w:r>
            <w:r w:rsidRPr="00634058">
              <w:rPr>
                <w:b/>
                <w:bCs/>
                <w:lang w:val="fr-FR"/>
              </w:rPr>
              <w:t>des produits chimiques (SGH) :</w:t>
            </w:r>
          </w:p>
          <w:p w14:paraId="5E9CE7B8" w14:textId="687AE169" w:rsidR="00FE25E2" w:rsidRPr="00634058" w:rsidRDefault="00FE25E2" w:rsidP="00634058">
            <w:pPr>
              <w:spacing w:after="120"/>
            </w:pPr>
            <w:r w:rsidRPr="00634058">
              <w:rPr>
                <w:b/>
                <w:bCs/>
                <w:lang w:val="fr-FR"/>
              </w:rPr>
              <w:t>Questions diverses</w:t>
            </w:r>
          </w:p>
        </w:tc>
        <w:tc>
          <w:tcPr>
            <w:tcW w:w="4819" w:type="dxa"/>
            <w:shd w:val="clear" w:color="auto" w:fill="auto"/>
          </w:tcPr>
          <w:p w14:paraId="4472562F" w14:textId="77777777" w:rsidR="00FE25E2" w:rsidRPr="0001619C" w:rsidRDefault="00FE25E2" w:rsidP="00072A20">
            <w:pPr>
              <w:rPr>
                <w:lang w:val="fr-FR"/>
              </w:rPr>
            </w:pPr>
            <w:r>
              <w:rPr>
                <w:lang w:val="fr-FR"/>
              </w:rPr>
              <w:t>Point 2 j) de l’ordre du jour provisoire</w:t>
            </w:r>
          </w:p>
          <w:p w14:paraId="716128D4" w14:textId="77777777" w:rsidR="00FE25E2" w:rsidRDefault="00FE25E2" w:rsidP="00072A20">
            <w:pPr>
              <w:rPr>
                <w:b/>
                <w:bCs/>
                <w:lang w:val="fr-FR"/>
              </w:rPr>
            </w:pPr>
            <w:r>
              <w:rPr>
                <w:b/>
                <w:bCs/>
                <w:lang w:val="fr-FR"/>
              </w:rPr>
              <w:t>Travaux relatifs au Système général harmonisé de classification et d’étiquetage des produits chimiques :</w:t>
            </w:r>
          </w:p>
          <w:p w14:paraId="33C75A10" w14:textId="3C7826F2" w:rsidR="00FE25E2" w:rsidRPr="0001619C" w:rsidRDefault="00FE25E2" w:rsidP="00634058">
            <w:pPr>
              <w:rPr>
                <w:lang w:val="fr-FR"/>
              </w:rPr>
            </w:pPr>
            <w:r>
              <w:rPr>
                <w:b/>
                <w:bCs/>
                <w:lang w:val="fr-FR"/>
              </w:rPr>
              <w:t>Autres questions</w:t>
            </w:r>
            <w:r>
              <w:rPr>
                <w:lang w:val="fr-FR"/>
              </w:rPr>
              <w:t xml:space="preserve"> </w:t>
            </w:r>
          </w:p>
        </w:tc>
      </w:tr>
    </w:tbl>
    <w:p w14:paraId="2E234C12" w14:textId="3BFAF46B" w:rsidR="00FE25E2" w:rsidRPr="0001619C" w:rsidRDefault="00FE25E2" w:rsidP="00634058">
      <w:pPr>
        <w:pStyle w:val="HChG"/>
        <w:rPr>
          <w:lang w:val="fr-FR"/>
        </w:rPr>
      </w:pPr>
      <w:r>
        <w:rPr>
          <w:lang w:val="fr-FR"/>
        </w:rPr>
        <w:tab/>
      </w:r>
      <w:r>
        <w:rPr>
          <w:lang w:val="fr-FR"/>
        </w:rPr>
        <w:tab/>
        <w:t xml:space="preserve">Proposition visant à ajouter, à l’annexe 4 du Système général harmonisé de classification et d’étiquetage des produits chimiques (« Document guide sur l’élaboration de fiches </w:t>
      </w:r>
      <w:r w:rsidR="00634058">
        <w:rPr>
          <w:lang w:val="fr-FR"/>
        </w:rPr>
        <w:br/>
      </w:r>
      <w:r>
        <w:rPr>
          <w:lang w:val="fr-FR"/>
        </w:rPr>
        <w:t xml:space="preserve">de données de sécurité (FDS) »), des prescriptions </w:t>
      </w:r>
      <w:r w:rsidR="00634058">
        <w:rPr>
          <w:lang w:val="fr-FR"/>
        </w:rPr>
        <w:br/>
      </w:r>
      <w:r>
        <w:rPr>
          <w:lang w:val="fr-FR"/>
        </w:rPr>
        <w:t>en matière de communication des dangers pour les matières ou mélanges dégageant des vapeurs inflammables</w:t>
      </w:r>
    </w:p>
    <w:p w14:paraId="1B2A13DA" w14:textId="77777777" w:rsidR="00FE25E2" w:rsidRPr="0001619C" w:rsidRDefault="00FE25E2" w:rsidP="00634058">
      <w:pPr>
        <w:pStyle w:val="H1G"/>
        <w:rPr>
          <w:lang w:val="fr-FR"/>
        </w:rPr>
      </w:pPr>
      <w:r>
        <w:rPr>
          <w:lang w:val="fr-FR"/>
        </w:rPr>
        <w:tab/>
      </w:r>
      <w:r>
        <w:rPr>
          <w:lang w:val="fr-FR"/>
        </w:rPr>
        <w:tab/>
        <w:t>Communication de l’expert de la Chine</w:t>
      </w:r>
      <w:r w:rsidRPr="00634058">
        <w:rPr>
          <w:rStyle w:val="Appelnotedebasdep"/>
          <w:b w:val="0"/>
          <w:bCs/>
          <w:sz w:val="20"/>
          <w:vertAlign w:val="baseline"/>
          <w:lang w:val="fr-FR"/>
        </w:rPr>
        <w:footnoteReference w:customMarkFollows="1" w:id="2"/>
        <w:t>*</w:t>
      </w:r>
    </w:p>
    <w:p w14:paraId="38485D59" w14:textId="50E70EEE" w:rsidR="00FE25E2" w:rsidRPr="0001619C" w:rsidRDefault="00634058" w:rsidP="00634058">
      <w:pPr>
        <w:pStyle w:val="HChG"/>
        <w:rPr>
          <w:lang w:val="fr-FR"/>
        </w:rPr>
      </w:pPr>
      <w:r>
        <w:rPr>
          <w:lang w:val="fr-FR"/>
        </w:rPr>
        <w:tab/>
      </w:r>
      <w:r>
        <w:rPr>
          <w:lang w:val="fr-FR"/>
        </w:rPr>
        <w:tab/>
      </w:r>
      <w:r w:rsidR="00FE25E2">
        <w:rPr>
          <w:lang w:val="fr-FR"/>
        </w:rPr>
        <w:t>Introduction</w:t>
      </w:r>
    </w:p>
    <w:p w14:paraId="4B32004A" w14:textId="5E527242" w:rsidR="00FE25E2" w:rsidRPr="00634058" w:rsidRDefault="00FE25E2" w:rsidP="00634058">
      <w:pPr>
        <w:pStyle w:val="SingleTxtG"/>
      </w:pPr>
      <w:r>
        <w:rPr>
          <w:lang w:val="fr-FR"/>
        </w:rPr>
        <w:t>1.</w:t>
      </w:r>
      <w:r>
        <w:rPr>
          <w:lang w:val="fr-FR"/>
        </w:rPr>
        <w:tab/>
        <w:t xml:space="preserve">La version actuelle du Système général harmonisé de classification et d’étiquetage des produits chimiques (SGH) ne prévoit pas d’obligation de communication des dangers dans le cas de matières ou mélanges qui sont susceptibles de dégager des vapeurs inflammables, mais qui ne relèvent pas eux-mêmes d’une classe de danger physique (par exemple, les </w:t>
      </w:r>
      <w:r w:rsidRPr="00634058">
        <w:t>polymères expansibles en granules et les matières plastiques pour moulage en pâte contenant des agents moussants, classés sous les N</w:t>
      </w:r>
      <w:r w:rsidRPr="00634058">
        <w:rPr>
          <w:vertAlign w:val="superscript"/>
        </w:rPr>
        <w:t>os</w:t>
      </w:r>
      <w:r w:rsidR="00634058">
        <w:t> </w:t>
      </w:r>
      <w:r w:rsidRPr="00634058">
        <w:t xml:space="preserve">ONU 2211 et 3314 aux fins du transport). </w:t>
      </w:r>
    </w:p>
    <w:p w14:paraId="5841F25E" w14:textId="12F805BB" w:rsidR="00FE25E2" w:rsidRPr="0001619C" w:rsidRDefault="00FE25E2" w:rsidP="00634058">
      <w:pPr>
        <w:pStyle w:val="SingleTxtG"/>
        <w:rPr>
          <w:lang w:val="fr-FR"/>
        </w:rPr>
      </w:pPr>
      <w:r w:rsidRPr="00634058">
        <w:t>2.</w:t>
      </w:r>
      <w:r w:rsidRPr="00634058">
        <w:tab/>
        <w:t xml:space="preserve">À la dernière session, l’expert de la Chine a soumis un document informel sous les cotes INF.16 (quarante-quatrième session du </w:t>
      </w:r>
      <w:r w:rsidRPr="00634058">
        <w:rPr>
          <w:rStyle w:val="termfield"/>
        </w:rPr>
        <w:t>Sous-Comité d’experts du Système général harmonisé de classification</w:t>
      </w:r>
      <w:r>
        <w:rPr>
          <w:rStyle w:val="termfield"/>
          <w:lang w:val="fr-FR"/>
        </w:rPr>
        <w:t xml:space="preserve"> et d’étiquetage des produits chimiques</w:t>
      </w:r>
      <w:r>
        <w:rPr>
          <w:lang w:val="fr-FR"/>
        </w:rPr>
        <w:t>) et INF-34 (soixante</w:t>
      </w:r>
      <w:r w:rsidR="00634058">
        <w:rPr>
          <w:lang w:val="fr-FR"/>
        </w:rPr>
        <w:noBreakHyphen/>
      </w:r>
      <w:r>
        <w:rPr>
          <w:lang w:val="fr-FR"/>
        </w:rPr>
        <w:t xml:space="preserve">deuxième session du </w:t>
      </w:r>
      <w:r>
        <w:rPr>
          <w:rStyle w:val="termfield"/>
          <w:lang w:val="fr-FR"/>
        </w:rPr>
        <w:t>Sous-Comité d’experts du transport des marchandises dangereuses</w:t>
      </w:r>
      <w:r>
        <w:rPr>
          <w:lang w:val="fr-FR"/>
        </w:rPr>
        <w:t>), dans lequel il proposait d’ajouter des prescriptions en matière de communication des dangers à la fiche de données de sécurité en ce qui concerne les matières ou mélanges qui ne répondent pas aux critères de classement en tant que matières solides inflammables ou liquides inflammables, mais qui sont susceptibles de dégager des vapeurs inflammables. Si ces matières et mélanges ne relèvent pas d’une classe de danger physique de la partie</w:t>
      </w:r>
      <w:r w:rsidR="00634058">
        <w:rPr>
          <w:lang w:val="fr-FR"/>
        </w:rPr>
        <w:t> </w:t>
      </w:r>
      <w:r>
        <w:rPr>
          <w:lang w:val="fr-FR"/>
        </w:rPr>
        <w:t xml:space="preserve">2 du SGH, ils peuvent toutefois dégager des vapeurs inflammables qui, en </w:t>
      </w:r>
      <w:r>
        <w:rPr>
          <w:lang w:val="fr-FR"/>
        </w:rPr>
        <w:lastRenderedPageBreak/>
        <w:t>s’accumulant et au contact d’une source d’inflammation (par exemple le matériel électrique, une décharge électrostatique, le travail à chaud, comme le meulage et le soudage), peuvent prendre feu et occasionner des blessures ou des décès, des pertes matérielles et des dommages à l’environnement.</w:t>
      </w:r>
    </w:p>
    <w:p w14:paraId="74FBF808" w14:textId="77777777" w:rsidR="00FE25E2" w:rsidRPr="0001619C" w:rsidRDefault="00FE25E2" w:rsidP="00634058">
      <w:pPr>
        <w:pStyle w:val="SingleTxtG"/>
        <w:rPr>
          <w:lang w:val="fr-FR"/>
        </w:rPr>
      </w:pPr>
      <w:r>
        <w:rPr>
          <w:lang w:val="fr-FR"/>
        </w:rPr>
        <w:t>3.</w:t>
      </w:r>
      <w:r>
        <w:rPr>
          <w:lang w:val="fr-FR"/>
        </w:rPr>
        <w:tab/>
        <w:t xml:space="preserve">Les experts qui se sont exprimés à la dernière session ont fait part de leurs expériences et ont globalement approuvé le document sur le principe. Certains ont formulé des observations d’ordre rédactionnel en ce qui concerne le libellé des amendements proposés, invitant notamment l’expert à réévaluer le bien-fondé de l’expression « vapeurs explosibles » et à rendre le texte </w:t>
      </w:r>
      <w:r w:rsidRPr="00634058">
        <w:t>plus</w:t>
      </w:r>
      <w:r>
        <w:rPr>
          <w:lang w:val="fr-FR"/>
        </w:rPr>
        <w:t xml:space="preserve"> clair en divisant le A4.3.2.3 en deux paragraphes distincts. La proposition ci-après tient compte des observations reçues. </w:t>
      </w:r>
    </w:p>
    <w:p w14:paraId="01673CBA" w14:textId="760C5B1F" w:rsidR="00FE25E2" w:rsidRPr="0001619C" w:rsidRDefault="00634058" w:rsidP="00634058">
      <w:pPr>
        <w:pStyle w:val="HChG"/>
        <w:rPr>
          <w:rFonts w:ascii="SimSun" w:hAnsi="SimSun" w:cs="SimSun"/>
          <w:lang w:val="fr-FR"/>
        </w:rPr>
      </w:pPr>
      <w:r>
        <w:tab/>
      </w:r>
      <w:r>
        <w:tab/>
      </w:r>
      <w:r w:rsidR="00FE25E2" w:rsidRPr="00634058">
        <w:t>Proposition</w:t>
      </w:r>
    </w:p>
    <w:p w14:paraId="70915BBF" w14:textId="77777777" w:rsidR="00FE25E2" w:rsidRPr="0001619C" w:rsidRDefault="00FE25E2" w:rsidP="00FE25E2">
      <w:pPr>
        <w:pStyle w:val="SingleTxtG"/>
        <w:rPr>
          <w:lang w:val="fr-FR"/>
        </w:rPr>
      </w:pPr>
      <w:r>
        <w:rPr>
          <w:lang w:val="fr-FR"/>
        </w:rPr>
        <w:t>4.</w:t>
      </w:r>
      <w:r>
        <w:rPr>
          <w:lang w:val="fr-FR"/>
        </w:rPr>
        <w:tab/>
        <w:t xml:space="preserve">L’expert de la Chine souhaite proposer les amendements ci-après à l’annexe 4 du SGH (les modifications qu’il est proposé d’apporter figurent en caractères </w:t>
      </w:r>
      <w:r>
        <w:rPr>
          <w:b/>
          <w:bCs/>
          <w:u w:val="single"/>
          <w:lang w:val="fr-FR"/>
        </w:rPr>
        <w:t>gras et soulignés</w:t>
      </w:r>
      <w:r>
        <w:rPr>
          <w:lang w:val="fr-FR"/>
        </w:rPr>
        <w:t xml:space="preserve"> pour les ajouts et </w:t>
      </w:r>
      <w:r>
        <w:rPr>
          <w:strike/>
          <w:lang w:val="fr-FR"/>
        </w:rPr>
        <w:t>biffés</w:t>
      </w:r>
      <w:r>
        <w:rPr>
          <w:lang w:val="fr-FR"/>
        </w:rPr>
        <w:t xml:space="preserve"> pour les suppressions).</w:t>
      </w:r>
    </w:p>
    <w:p w14:paraId="1379A6BA" w14:textId="77777777" w:rsidR="00FE25E2" w:rsidRPr="0001619C" w:rsidRDefault="00FE25E2" w:rsidP="00FE25E2">
      <w:pPr>
        <w:pStyle w:val="SingleTxtG"/>
        <w:tabs>
          <w:tab w:val="clear" w:pos="1701"/>
          <w:tab w:val="left" w:pos="1134"/>
        </w:tabs>
        <w:rPr>
          <w:lang w:val="fr-FR"/>
        </w:rPr>
      </w:pPr>
      <w:r>
        <w:rPr>
          <w:lang w:val="fr-FR"/>
        </w:rPr>
        <w:t>A4.3.2.3</w:t>
      </w:r>
      <w:r>
        <w:rPr>
          <w:lang w:val="fr-FR"/>
        </w:rPr>
        <w:tab/>
        <w:t>Diviser le paragraphe actuel en deux paragraphes distincts (A4.3.2.3.1 et A4.3.2.3.2) et ajouter la mention « formation d’un mélange vapeur/air inflammable/explosible » en tant qu’exemple dans le nouveau A4.3.2.3.1, comme suit :</w:t>
      </w:r>
    </w:p>
    <w:p w14:paraId="3CFDE1A5" w14:textId="77777777" w:rsidR="00FE25E2" w:rsidRPr="0001619C" w:rsidRDefault="00FE25E2" w:rsidP="00FE25E2">
      <w:pPr>
        <w:pStyle w:val="SingleTxtG"/>
        <w:tabs>
          <w:tab w:val="clear" w:pos="1701"/>
        </w:tabs>
        <w:ind w:left="2268"/>
        <w:rPr>
          <w:i/>
          <w:iCs/>
          <w:lang w:val="fr-FR"/>
        </w:rPr>
      </w:pPr>
      <w:r>
        <w:rPr>
          <w:lang w:val="fr-FR"/>
        </w:rPr>
        <w:t xml:space="preserve">« A4.3.2.3 </w:t>
      </w:r>
      <w:r>
        <w:rPr>
          <w:lang w:val="fr-FR"/>
        </w:rPr>
        <w:tab/>
      </w:r>
      <w:r>
        <w:rPr>
          <w:i/>
          <w:iCs/>
          <w:lang w:val="fr-FR"/>
        </w:rPr>
        <w:t>Autres dangers qui ne donnent pas lieu au classement</w:t>
      </w:r>
    </w:p>
    <w:p w14:paraId="72C659FE" w14:textId="77777777" w:rsidR="00FE25E2" w:rsidRPr="0001619C" w:rsidRDefault="00FE25E2" w:rsidP="00FE25E2">
      <w:pPr>
        <w:pStyle w:val="SingleTxtG"/>
        <w:tabs>
          <w:tab w:val="clear" w:pos="1701"/>
        </w:tabs>
        <w:ind w:left="2268"/>
        <w:rPr>
          <w:lang w:val="fr-FR"/>
        </w:rPr>
      </w:pPr>
      <w:r>
        <w:rPr>
          <w:b/>
          <w:bCs/>
          <w:u w:val="single"/>
          <w:lang w:val="fr-FR"/>
        </w:rPr>
        <w:t>A4.3.2.3.1</w:t>
      </w:r>
      <w:r w:rsidRPr="00B5115A">
        <w:rPr>
          <w:u w:val="single"/>
          <w:lang w:val="fr-FR"/>
        </w:rPr>
        <w:tab/>
      </w:r>
      <w:r>
        <w:rPr>
          <w:lang w:val="fr-FR"/>
        </w:rPr>
        <w:t xml:space="preserve">Donner des informations sur d’autres dangers qui ne donnent pas lieu à un classement </w:t>
      </w:r>
      <w:r>
        <w:rPr>
          <w:b/>
          <w:bCs/>
          <w:u w:val="single"/>
          <w:lang w:val="fr-FR"/>
        </w:rPr>
        <w:t>selon le GHS</w:t>
      </w:r>
      <w:r>
        <w:rPr>
          <w:lang w:val="fr-FR"/>
        </w:rPr>
        <w:t xml:space="preserve">, mais qui peuvent contribuer à la dangerosité globale du produit, par exemple la formation de contaminants de l’air pendant le durcissement ou le traitement, </w:t>
      </w:r>
      <w:r>
        <w:rPr>
          <w:b/>
          <w:bCs/>
          <w:u w:val="single"/>
          <w:lang w:val="fr-FR"/>
        </w:rPr>
        <w:t>la formation d’un mélange vapeur/air inflammable/explosible</w:t>
      </w:r>
      <w:r>
        <w:rPr>
          <w:lang w:val="fr-FR"/>
        </w:rPr>
        <w:t>, les dangers d’explosion de poussières,</w:t>
      </w:r>
      <w:r>
        <w:rPr>
          <w:b/>
          <w:bCs/>
          <w:u w:val="single"/>
          <w:lang w:val="fr-FR"/>
        </w:rPr>
        <w:t xml:space="preserve"> les risques de</w:t>
      </w:r>
      <w:r w:rsidRPr="00B5115A">
        <w:rPr>
          <w:u w:val="single"/>
          <w:lang w:val="fr-FR"/>
        </w:rPr>
        <w:t xml:space="preserve"> </w:t>
      </w:r>
      <w:r>
        <w:rPr>
          <w:strike/>
          <w:lang w:val="fr-FR"/>
        </w:rPr>
        <w:t xml:space="preserve">la </w:t>
      </w:r>
      <w:r>
        <w:rPr>
          <w:lang w:val="fr-FR"/>
        </w:rPr>
        <w:t xml:space="preserve">suffocation, le gel </w:t>
      </w:r>
      <w:r>
        <w:rPr>
          <w:strike/>
          <w:lang w:val="fr-FR"/>
        </w:rPr>
        <w:t xml:space="preserve">ou </w:t>
      </w:r>
      <w:r>
        <w:rPr>
          <w:b/>
          <w:bCs/>
          <w:u w:val="single"/>
          <w:lang w:val="fr-FR"/>
        </w:rPr>
        <w:t xml:space="preserve">et </w:t>
      </w:r>
      <w:r>
        <w:rPr>
          <w:lang w:val="fr-FR"/>
        </w:rPr>
        <w:t>les effets environnementaux, notamment sur les organismes vivant dans le sol.</w:t>
      </w:r>
    </w:p>
    <w:p w14:paraId="3E776A6C" w14:textId="77777777" w:rsidR="00FE25E2" w:rsidRPr="0001619C" w:rsidRDefault="00FE25E2" w:rsidP="00FE25E2">
      <w:pPr>
        <w:pStyle w:val="SingleTxtG"/>
        <w:tabs>
          <w:tab w:val="clear" w:pos="1701"/>
        </w:tabs>
        <w:ind w:left="2268"/>
        <w:rPr>
          <w:lang w:val="fr-FR"/>
        </w:rPr>
      </w:pPr>
      <w:r>
        <w:rPr>
          <w:b/>
          <w:bCs/>
          <w:u w:val="single"/>
          <w:lang w:val="fr-FR"/>
        </w:rPr>
        <w:t>A4.3.2.3.2</w:t>
      </w:r>
      <w:r w:rsidRPr="00B5115A">
        <w:rPr>
          <w:u w:val="single"/>
          <w:lang w:val="fr-FR"/>
        </w:rPr>
        <w:tab/>
      </w:r>
      <w:r>
        <w:rPr>
          <w:lang w:val="fr-FR"/>
        </w:rPr>
        <w:t>Pour signaler de manière normalisée les dangers liés aux poussières combustibles et donc un risque potentiel d’explosions de poussières selon l’approche décrite dans l’annexe 11, les autorités compétentes peuvent autoriser l’utilisation des phrases proposées au A11.2.7.3 sur les étiquettes, les FDS et/ou les instructions d’utilisation, ou laisser au fabricant ou au fournisseur le choix de décider de ce qu’il convient de faire à ce sujet. ».</w:t>
      </w:r>
    </w:p>
    <w:p w14:paraId="063A8289" w14:textId="77777777" w:rsidR="00FE25E2" w:rsidRPr="0001619C" w:rsidRDefault="00FE25E2" w:rsidP="00FE25E2">
      <w:pPr>
        <w:pStyle w:val="SingleTxtG"/>
        <w:tabs>
          <w:tab w:val="clear" w:pos="1701"/>
        </w:tabs>
        <w:ind w:left="1276"/>
        <w:rPr>
          <w:lang w:val="fr-FR"/>
        </w:rPr>
      </w:pPr>
      <w:r>
        <w:rPr>
          <w:lang w:val="fr-FR"/>
        </w:rPr>
        <w:t>A4.3.9.9, tableau A4.3.9.1</w:t>
      </w:r>
      <w:r>
        <w:rPr>
          <w:lang w:val="fr-FR"/>
        </w:rPr>
        <w:tab/>
      </w:r>
      <w:r>
        <w:rPr>
          <w:lang w:val="fr-FR"/>
        </w:rPr>
        <w:tab/>
        <w:t>À la rubrique « Inflammabilité », troisième tiret dans la colonne « Observations/Directives », lire :</w:t>
      </w:r>
    </w:p>
    <w:p w14:paraId="0DAE7852" w14:textId="60909205" w:rsidR="00FE25E2" w:rsidRPr="0001619C" w:rsidRDefault="00FE25E2" w:rsidP="00FE25E2">
      <w:pPr>
        <w:pStyle w:val="Bullet1G"/>
        <w:numPr>
          <w:ilvl w:val="0"/>
          <w:numId w:val="0"/>
        </w:numPr>
        <w:tabs>
          <w:tab w:val="left" w:pos="2552"/>
        </w:tabs>
        <w:ind w:left="2552" w:hanging="284"/>
        <w:rPr>
          <w:lang w:val="fr-FR"/>
        </w:rPr>
      </w:pPr>
      <w:r>
        <w:rPr>
          <w:lang w:val="fr-FR"/>
        </w:rPr>
        <w:t>« -</w:t>
      </w:r>
      <w:r w:rsidR="00634058">
        <w:rPr>
          <w:lang w:val="fr-FR"/>
        </w:rPr>
        <w:t xml:space="preserve"> </w:t>
      </w:r>
      <w:r>
        <w:rPr>
          <w:lang w:val="fr-FR"/>
        </w:rPr>
        <w:t>S’ils sont disponibles et corrects, d’autres renseignements peuvent être indiqués, par exemple</w:t>
      </w:r>
      <w:r w:rsidR="00634058">
        <w:rPr>
          <w:lang w:val="fr-FR"/>
        </w:rPr>
        <w:t> </w:t>
      </w:r>
      <w:r>
        <w:rPr>
          <w:lang w:val="fr-FR"/>
        </w:rPr>
        <w:t>:</w:t>
      </w:r>
    </w:p>
    <w:p w14:paraId="794A9E41" w14:textId="2971B2EE" w:rsidR="00FE25E2" w:rsidRPr="0001619C" w:rsidRDefault="00FE25E2" w:rsidP="00FE25E2">
      <w:pPr>
        <w:pStyle w:val="Bullet1G"/>
        <w:numPr>
          <w:ilvl w:val="0"/>
          <w:numId w:val="17"/>
        </w:numPr>
        <w:tabs>
          <w:tab w:val="left" w:pos="2835"/>
        </w:tabs>
        <w:ind w:left="2835" w:hanging="283"/>
        <w:rPr>
          <w:lang w:val="fr-FR"/>
        </w:rPr>
      </w:pPr>
      <w:r>
        <w:rPr>
          <w:lang w:val="fr-FR"/>
        </w:rPr>
        <w:t>Si l’inflammation est d’une autre nature qu’une combustion normale (par exemple une explosion)</w:t>
      </w:r>
      <w:r w:rsidR="00FA3039">
        <w:rPr>
          <w:lang w:val="fr-FR"/>
        </w:rPr>
        <w:t> ;</w:t>
      </w:r>
    </w:p>
    <w:p w14:paraId="3EA613DB" w14:textId="769D818C" w:rsidR="00FE25E2" w:rsidRPr="0001619C" w:rsidRDefault="00FE25E2" w:rsidP="00FE25E2">
      <w:pPr>
        <w:pStyle w:val="Bullet1G"/>
        <w:numPr>
          <w:ilvl w:val="0"/>
          <w:numId w:val="17"/>
        </w:numPr>
        <w:tabs>
          <w:tab w:val="left" w:pos="2835"/>
        </w:tabs>
        <w:ind w:left="2835" w:hanging="283"/>
        <w:rPr>
          <w:lang w:val="fr-FR"/>
        </w:rPr>
      </w:pPr>
      <w:r>
        <w:rPr>
          <w:lang w:val="fr-FR"/>
        </w:rPr>
        <w:t>L’inflammabilité se produit dans des conditions anormales</w:t>
      </w:r>
      <w:r w:rsidR="00FA3039">
        <w:rPr>
          <w:lang w:val="fr-FR"/>
        </w:rPr>
        <w:t> ;</w:t>
      </w:r>
      <w:r w:rsidRPr="00B5115A">
        <w:rPr>
          <w:b/>
          <w:bCs/>
          <w:u w:val="single"/>
          <w:lang w:val="fr-FR"/>
        </w:rPr>
        <w:t xml:space="preserve"> </w:t>
      </w:r>
      <w:r>
        <w:rPr>
          <w:b/>
          <w:bCs/>
          <w:u w:val="single"/>
          <w:lang w:val="fr-FR"/>
        </w:rPr>
        <w:t>et</w:t>
      </w:r>
    </w:p>
    <w:p w14:paraId="0454964C" w14:textId="77777777" w:rsidR="00FE25E2" w:rsidRPr="0001619C" w:rsidRDefault="00FE25E2" w:rsidP="00FE25E2">
      <w:pPr>
        <w:pStyle w:val="Bullet1G"/>
        <w:numPr>
          <w:ilvl w:val="0"/>
          <w:numId w:val="17"/>
        </w:numPr>
        <w:tabs>
          <w:tab w:val="left" w:pos="2835"/>
        </w:tabs>
        <w:ind w:left="2835" w:hanging="283"/>
        <w:rPr>
          <w:b/>
          <w:bCs/>
          <w:lang w:val="fr-FR"/>
        </w:rPr>
      </w:pPr>
      <w:r>
        <w:rPr>
          <w:b/>
          <w:bCs/>
          <w:u w:val="single"/>
          <w:lang w:val="fr-FR"/>
        </w:rPr>
        <w:t>Si la matière ou le mélange est susceptible de dégager des vapeurs inflammables</w:t>
      </w:r>
      <w:r>
        <w:rPr>
          <w:lang w:val="fr-FR"/>
        </w:rPr>
        <w:t> ».</w:t>
      </w:r>
    </w:p>
    <w:p w14:paraId="3C169E01" w14:textId="77777777" w:rsidR="00FE25E2" w:rsidRPr="0001619C" w:rsidRDefault="00FE25E2" w:rsidP="00FE25E2">
      <w:pPr>
        <w:pStyle w:val="SingleTxtG"/>
        <w:rPr>
          <w:lang w:val="fr-FR"/>
        </w:rPr>
      </w:pPr>
      <w:r>
        <w:rPr>
          <w:lang w:val="fr-FR"/>
        </w:rPr>
        <w:t>A4.3.10.3</w:t>
      </w:r>
      <w:r>
        <w:rPr>
          <w:lang w:val="fr-FR"/>
        </w:rPr>
        <w:tab/>
        <w:t>Lire :</w:t>
      </w:r>
    </w:p>
    <w:p w14:paraId="4AB84F46" w14:textId="77777777" w:rsidR="00FE25E2" w:rsidRPr="0001619C" w:rsidRDefault="00FE25E2" w:rsidP="00FE25E2">
      <w:pPr>
        <w:pStyle w:val="SingleTxtG"/>
        <w:tabs>
          <w:tab w:val="clear" w:pos="1701"/>
        </w:tabs>
        <w:ind w:left="2268"/>
        <w:rPr>
          <w:i/>
          <w:iCs/>
          <w:lang w:val="fr-FR"/>
        </w:rPr>
      </w:pPr>
      <w:r>
        <w:rPr>
          <w:lang w:val="fr-FR"/>
        </w:rPr>
        <w:t xml:space="preserve">« A4.3.10.3 </w:t>
      </w:r>
      <w:r>
        <w:rPr>
          <w:lang w:val="fr-FR"/>
        </w:rPr>
        <w:tab/>
      </w:r>
      <w:r>
        <w:rPr>
          <w:i/>
          <w:iCs/>
          <w:lang w:val="fr-FR"/>
        </w:rPr>
        <w:t>Risque de réactions dangereuses</w:t>
      </w:r>
    </w:p>
    <w:p w14:paraId="1BC61224" w14:textId="77777777" w:rsidR="00FE25E2" w:rsidRPr="0001619C" w:rsidRDefault="00FE25E2" w:rsidP="00FE25E2">
      <w:pPr>
        <w:pStyle w:val="SingleTxtG"/>
        <w:tabs>
          <w:tab w:val="clear" w:pos="1701"/>
          <w:tab w:val="clear" w:pos="2835"/>
          <w:tab w:val="left" w:pos="3402"/>
        </w:tabs>
        <w:ind w:left="2268"/>
        <w:rPr>
          <w:lang w:val="fr-FR"/>
        </w:rPr>
      </w:pPr>
      <w:r>
        <w:rPr>
          <w:lang w:val="fr-FR"/>
        </w:rPr>
        <w:tab/>
      </w:r>
      <w:r>
        <w:rPr>
          <w:lang w:val="fr-FR"/>
        </w:rPr>
        <w:tab/>
        <w:t>Le cas échéant, indiquer si la matière ou le mélange réagiront ou polymériseront en libérant la pression ou la chaleur excédentaire</w:t>
      </w:r>
      <w:r>
        <w:rPr>
          <w:b/>
          <w:bCs/>
          <w:u w:val="single"/>
          <w:lang w:val="fr-FR"/>
        </w:rPr>
        <w:t>, en dégageant des vapeurs inflammables (voir A4.3.2.3)</w:t>
      </w:r>
      <w:r>
        <w:rPr>
          <w:lang w:val="fr-FR"/>
        </w:rPr>
        <w:t xml:space="preserve"> ou en créant d’autres conditions dangereuses. Indiquer dans quelles conditions les réactions dangereuses peuvent se produire. ».</w:t>
      </w:r>
    </w:p>
    <w:p w14:paraId="557D2ECF" w14:textId="3BFE8EB8" w:rsidR="00446FE5" w:rsidRPr="00FE25E2" w:rsidRDefault="00FE25E2" w:rsidP="00FA3039">
      <w:pPr>
        <w:spacing w:before="240"/>
        <w:jc w:val="center"/>
        <w:rPr>
          <w:lang w:val="fr-FR"/>
        </w:rPr>
      </w:pPr>
      <w:r w:rsidRPr="0001619C">
        <w:rPr>
          <w:u w:val="single"/>
          <w:lang w:val="fr-FR"/>
        </w:rPr>
        <w:tab/>
      </w:r>
      <w:r w:rsidRPr="0001619C">
        <w:rPr>
          <w:u w:val="single"/>
          <w:lang w:val="fr-FR"/>
        </w:rPr>
        <w:tab/>
      </w:r>
      <w:r w:rsidRPr="0001619C">
        <w:rPr>
          <w:u w:val="single"/>
          <w:lang w:val="fr-FR"/>
        </w:rPr>
        <w:tab/>
      </w:r>
    </w:p>
    <w:sectPr w:rsidR="00446FE5" w:rsidRPr="00FE25E2" w:rsidSect="00FE25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53F7" w14:textId="77777777" w:rsidR="0036699E" w:rsidRDefault="0036699E" w:rsidP="00F95C08">
      <w:pPr>
        <w:spacing w:line="240" w:lineRule="auto"/>
      </w:pPr>
    </w:p>
  </w:endnote>
  <w:endnote w:type="continuationSeparator" w:id="0">
    <w:p w14:paraId="2C71217C" w14:textId="77777777" w:rsidR="0036699E" w:rsidRPr="00AC3823" w:rsidRDefault="0036699E" w:rsidP="00AC3823">
      <w:pPr>
        <w:pStyle w:val="Pieddepage"/>
      </w:pPr>
    </w:p>
  </w:endnote>
  <w:endnote w:type="continuationNotice" w:id="1">
    <w:p w14:paraId="24A8887B" w14:textId="77777777" w:rsidR="0036699E" w:rsidRDefault="003669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56DF" w14:textId="0533220E" w:rsidR="00FE25E2" w:rsidRPr="00FE25E2" w:rsidRDefault="00FE25E2" w:rsidP="00FE25E2">
    <w:pPr>
      <w:pStyle w:val="Pieddepage"/>
      <w:tabs>
        <w:tab w:val="right" w:pos="9638"/>
      </w:tabs>
    </w:pPr>
    <w:r w:rsidRPr="00FE25E2">
      <w:rPr>
        <w:b/>
        <w:sz w:val="18"/>
      </w:rPr>
      <w:fldChar w:fldCharType="begin"/>
    </w:r>
    <w:r w:rsidRPr="00FE25E2">
      <w:rPr>
        <w:b/>
        <w:sz w:val="18"/>
      </w:rPr>
      <w:instrText xml:space="preserve"> PAGE  \* MERGEFORMAT </w:instrText>
    </w:r>
    <w:r w:rsidRPr="00FE25E2">
      <w:rPr>
        <w:b/>
        <w:sz w:val="18"/>
      </w:rPr>
      <w:fldChar w:fldCharType="separate"/>
    </w:r>
    <w:r w:rsidRPr="00FE25E2">
      <w:rPr>
        <w:b/>
        <w:noProof/>
        <w:sz w:val="18"/>
      </w:rPr>
      <w:t>2</w:t>
    </w:r>
    <w:r w:rsidRPr="00FE25E2">
      <w:rPr>
        <w:b/>
        <w:sz w:val="18"/>
      </w:rPr>
      <w:fldChar w:fldCharType="end"/>
    </w:r>
    <w:r>
      <w:rPr>
        <w:b/>
        <w:sz w:val="18"/>
      </w:rPr>
      <w:tab/>
    </w:r>
    <w:r>
      <w:t>GE.23-17321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C9BD" w14:textId="7681D5A8" w:rsidR="00FE25E2" w:rsidRPr="00FE25E2" w:rsidRDefault="00FE25E2" w:rsidP="00FE25E2">
    <w:pPr>
      <w:pStyle w:val="Pieddepage"/>
      <w:tabs>
        <w:tab w:val="right" w:pos="9638"/>
      </w:tabs>
      <w:rPr>
        <w:b/>
        <w:sz w:val="18"/>
      </w:rPr>
    </w:pPr>
    <w:r>
      <w:t>GE.23-17321</w:t>
    </w:r>
    <w:r>
      <w:tab/>
    </w:r>
    <w:r w:rsidRPr="00FE25E2">
      <w:rPr>
        <w:b/>
        <w:sz w:val="18"/>
      </w:rPr>
      <w:fldChar w:fldCharType="begin"/>
    </w:r>
    <w:r w:rsidRPr="00FE25E2">
      <w:rPr>
        <w:b/>
        <w:sz w:val="18"/>
      </w:rPr>
      <w:instrText xml:space="preserve"> PAGE  \* MERGEFORMAT </w:instrText>
    </w:r>
    <w:r w:rsidRPr="00FE25E2">
      <w:rPr>
        <w:b/>
        <w:sz w:val="18"/>
      </w:rPr>
      <w:fldChar w:fldCharType="separate"/>
    </w:r>
    <w:r w:rsidRPr="00FE25E2">
      <w:rPr>
        <w:b/>
        <w:noProof/>
        <w:sz w:val="18"/>
      </w:rPr>
      <w:t>3</w:t>
    </w:r>
    <w:r w:rsidRPr="00FE25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4E89" w14:textId="2F214EC9" w:rsidR="0068456F" w:rsidRPr="00FE25E2" w:rsidRDefault="00FE25E2" w:rsidP="00FE25E2">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97B6DFB" wp14:editId="55D3CBE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23-17321  (F)</w:t>
    </w:r>
    <w:r>
      <w:rPr>
        <w:noProof/>
        <w:sz w:val="20"/>
      </w:rPr>
      <w:drawing>
        <wp:anchor distT="0" distB="0" distL="114300" distR="114300" simplePos="0" relativeHeight="251660288" behindDoc="0" locked="0" layoutInCell="1" allowOverlap="1" wp14:anchorId="0394ECF8" wp14:editId="1CFD03A3">
          <wp:simplePos x="0" y="0"/>
          <wp:positionH relativeFrom="margin">
            <wp:posOffset>5489575</wp:posOffset>
          </wp:positionH>
          <wp:positionV relativeFrom="margin">
            <wp:posOffset>8891905</wp:posOffset>
          </wp:positionV>
          <wp:extent cx="638175" cy="638175"/>
          <wp:effectExtent l="0" t="0" r="9525" b="9525"/>
          <wp:wrapNone/>
          <wp:docPr id="7133158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4058">
      <w:rPr>
        <w:sz w:val="20"/>
      </w:rPr>
      <w:t xml:space="preserve">    091023    101023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0B3D" w14:textId="77777777" w:rsidR="0036699E" w:rsidRPr="00AC3823" w:rsidRDefault="0036699E" w:rsidP="00AC3823">
      <w:pPr>
        <w:pStyle w:val="Pieddepage"/>
        <w:tabs>
          <w:tab w:val="right" w:pos="2155"/>
        </w:tabs>
        <w:spacing w:after="80" w:line="240" w:lineRule="atLeast"/>
        <w:ind w:left="680"/>
        <w:rPr>
          <w:u w:val="single"/>
        </w:rPr>
      </w:pPr>
      <w:r>
        <w:rPr>
          <w:u w:val="single"/>
        </w:rPr>
        <w:tab/>
      </w:r>
    </w:p>
  </w:footnote>
  <w:footnote w:type="continuationSeparator" w:id="0">
    <w:p w14:paraId="36B66187" w14:textId="77777777" w:rsidR="0036699E" w:rsidRPr="00AC3823" w:rsidRDefault="0036699E" w:rsidP="00AC3823">
      <w:pPr>
        <w:pStyle w:val="Pieddepage"/>
        <w:tabs>
          <w:tab w:val="right" w:pos="2155"/>
        </w:tabs>
        <w:spacing w:after="80" w:line="240" w:lineRule="atLeast"/>
        <w:ind w:left="680"/>
        <w:rPr>
          <w:u w:val="single"/>
        </w:rPr>
      </w:pPr>
      <w:r>
        <w:rPr>
          <w:u w:val="single"/>
        </w:rPr>
        <w:tab/>
      </w:r>
    </w:p>
  </w:footnote>
  <w:footnote w:type="continuationNotice" w:id="1">
    <w:p w14:paraId="572591DA" w14:textId="77777777" w:rsidR="0036699E" w:rsidRPr="00AC3823" w:rsidRDefault="0036699E">
      <w:pPr>
        <w:spacing w:line="240" w:lineRule="auto"/>
        <w:rPr>
          <w:sz w:val="2"/>
          <w:szCs w:val="2"/>
        </w:rPr>
      </w:pPr>
    </w:p>
  </w:footnote>
  <w:footnote w:id="2">
    <w:p w14:paraId="263D3C3D" w14:textId="77777777" w:rsidR="00FE25E2" w:rsidRPr="00F10D95" w:rsidRDefault="00FE25E2" w:rsidP="00FE25E2">
      <w:pPr>
        <w:pStyle w:val="Notedebasdepage"/>
      </w:pPr>
      <w:r>
        <w:rPr>
          <w:lang w:val="fr-FR"/>
        </w:rPr>
        <w:tab/>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4B70" w14:textId="0FF5D6F4" w:rsidR="00FE25E2" w:rsidRPr="00FE25E2" w:rsidRDefault="00FE25E2">
    <w:pPr>
      <w:pStyle w:val="En-tte"/>
      <w:rPr>
        <w:lang w:val="en-US"/>
      </w:rPr>
    </w:pPr>
    <w:r>
      <w:fldChar w:fldCharType="begin"/>
    </w:r>
    <w:r w:rsidRPr="00FE25E2">
      <w:rPr>
        <w:lang w:val="en-US"/>
      </w:rPr>
      <w:instrText xml:space="preserve"> TITLE  \* MERGEFORMAT </w:instrText>
    </w:r>
    <w:r>
      <w:fldChar w:fldCharType="separate"/>
    </w:r>
    <w:r w:rsidR="00131D55">
      <w:rPr>
        <w:lang w:val="en-US"/>
      </w:rPr>
      <w:t>ST/SG/AC.10/C.3/2023/55</w:t>
    </w:r>
    <w:r>
      <w:fldChar w:fldCharType="end"/>
    </w:r>
    <w:r w:rsidRPr="00FE25E2">
      <w:rPr>
        <w:lang w:val="en-US"/>
      </w:rPr>
      <w:br/>
    </w:r>
    <w:r>
      <w:fldChar w:fldCharType="begin"/>
    </w:r>
    <w:r w:rsidRPr="00FE25E2">
      <w:rPr>
        <w:lang w:val="en-US"/>
      </w:rPr>
      <w:instrText xml:space="preserve"> KEYWORDS  \* MERGEFORMAT </w:instrText>
    </w:r>
    <w:r>
      <w:fldChar w:fldCharType="separate"/>
    </w:r>
    <w:r w:rsidR="00131D55">
      <w:rPr>
        <w:lang w:val="en-US"/>
      </w:rPr>
      <w:t>ST/SG/AC.10/C.4/2023/8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0486" w14:textId="1661D6A2" w:rsidR="00FE25E2" w:rsidRPr="00FE25E2" w:rsidRDefault="00FE25E2" w:rsidP="00FE25E2">
    <w:pPr>
      <w:pStyle w:val="En-tte"/>
      <w:jc w:val="right"/>
      <w:rPr>
        <w:lang w:val="en-US"/>
      </w:rPr>
    </w:pPr>
    <w:r>
      <w:fldChar w:fldCharType="begin"/>
    </w:r>
    <w:r w:rsidRPr="00FE25E2">
      <w:rPr>
        <w:lang w:val="en-US"/>
      </w:rPr>
      <w:instrText xml:space="preserve"> TITLE  \* MERGEFORMAT </w:instrText>
    </w:r>
    <w:r>
      <w:fldChar w:fldCharType="separate"/>
    </w:r>
    <w:r w:rsidR="00131D55">
      <w:rPr>
        <w:lang w:val="en-US"/>
      </w:rPr>
      <w:t>ST/SG/AC.10/C.3/2023/55</w:t>
    </w:r>
    <w:r>
      <w:fldChar w:fldCharType="end"/>
    </w:r>
    <w:r w:rsidRPr="00FE25E2">
      <w:rPr>
        <w:lang w:val="en-US"/>
      </w:rPr>
      <w:br/>
    </w:r>
    <w:r>
      <w:fldChar w:fldCharType="begin"/>
    </w:r>
    <w:r w:rsidRPr="00FE25E2">
      <w:rPr>
        <w:lang w:val="en-US"/>
      </w:rPr>
      <w:instrText xml:space="preserve"> KEYWORDS  \* MERGEFORMAT </w:instrText>
    </w:r>
    <w:r>
      <w:fldChar w:fldCharType="separate"/>
    </w:r>
    <w:r w:rsidR="00131D55">
      <w:rPr>
        <w:lang w:val="en-US"/>
      </w:rPr>
      <w:t>ST/SG/AC.10/C.4/2023/8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2211"/>
        </w:tabs>
        <w:ind w:left="2211" w:hanging="170"/>
      </w:pPr>
      <w:rPr>
        <w:rFonts w:ascii="Times New Roman" w:hAnsi="Times New Roman" w:cs="Times New Roman" w:hint="default"/>
      </w:rPr>
    </w:lvl>
    <w:lvl w:ilvl="1" w:tplc="040C0003" w:tentative="1">
      <w:start w:val="1"/>
      <w:numFmt w:val="bullet"/>
      <w:lvlText w:val="o"/>
      <w:lvlJc w:val="left"/>
      <w:pPr>
        <w:tabs>
          <w:tab w:val="num" w:pos="1950"/>
        </w:tabs>
        <w:ind w:left="1950" w:hanging="360"/>
      </w:pPr>
      <w:rPr>
        <w:rFonts w:ascii="Courier New" w:hAnsi="Courier New" w:cs="Courier New" w:hint="default"/>
      </w:rPr>
    </w:lvl>
    <w:lvl w:ilvl="2" w:tplc="040C0005" w:tentative="1">
      <w:start w:val="1"/>
      <w:numFmt w:val="bullet"/>
      <w:lvlText w:val=""/>
      <w:lvlJc w:val="left"/>
      <w:pPr>
        <w:tabs>
          <w:tab w:val="num" w:pos="2670"/>
        </w:tabs>
        <w:ind w:left="2670" w:hanging="360"/>
      </w:pPr>
      <w:rPr>
        <w:rFonts w:ascii="Wingdings" w:hAnsi="Wingdings" w:hint="default"/>
      </w:rPr>
    </w:lvl>
    <w:lvl w:ilvl="3" w:tplc="040C0001" w:tentative="1">
      <w:start w:val="1"/>
      <w:numFmt w:val="bullet"/>
      <w:lvlText w:val=""/>
      <w:lvlJc w:val="left"/>
      <w:pPr>
        <w:tabs>
          <w:tab w:val="num" w:pos="3390"/>
        </w:tabs>
        <w:ind w:left="3390" w:hanging="360"/>
      </w:pPr>
      <w:rPr>
        <w:rFonts w:ascii="Symbol" w:hAnsi="Symbol" w:hint="default"/>
      </w:rPr>
    </w:lvl>
    <w:lvl w:ilvl="4" w:tplc="040C0003" w:tentative="1">
      <w:start w:val="1"/>
      <w:numFmt w:val="bullet"/>
      <w:lvlText w:val="o"/>
      <w:lvlJc w:val="left"/>
      <w:pPr>
        <w:tabs>
          <w:tab w:val="num" w:pos="4110"/>
        </w:tabs>
        <w:ind w:left="4110" w:hanging="360"/>
      </w:pPr>
      <w:rPr>
        <w:rFonts w:ascii="Courier New" w:hAnsi="Courier New" w:cs="Courier New" w:hint="default"/>
      </w:rPr>
    </w:lvl>
    <w:lvl w:ilvl="5" w:tplc="040C0005" w:tentative="1">
      <w:start w:val="1"/>
      <w:numFmt w:val="bullet"/>
      <w:lvlText w:val=""/>
      <w:lvlJc w:val="left"/>
      <w:pPr>
        <w:tabs>
          <w:tab w:val="num" w:pos="4830"/>
        </w:tabs>
        <w:ind w:left="4830" w:hanging="360"/>
      </w:pPr>
      <w:rPr>
        <w:rFonts w:ascii="Wingdings" w:hAnsi="Wingdings" w:hint="default"/>
      </w:rPr>
    </w:lvl>
    <w:lvl w:ilvl="6" w:tplc="040C0001" w:tentative="1">
      <w:start w:val="1"/>
      <w:numFmt w:val="bullet"/>
      <w:lvlText w:val=""/>
      <w:lvlJc w:val="left"/>
      <w:pPr>
        <w:tabs>
          <w:tab w:val="num" w:pos="5550"/>
        </w:tabs>
        <w:ind w:left="5550" w:hanging="360"/>
      </w:pPr>
      <w:rPr>
        <w:rFonts w:ascii="Symbol" w:hAnsi="Symbol" w:hint="default"/>
      </w:rPr>
    </w:lvl>
    <w:lvl w:ilvl="7" w:tplc="040C0003" w:tentative="1">
      <w:start w:val="1"/>
      <w:numFmt w:val="bullet"/>
      <w:lvlText w:val="o"/>
      <w:lvlJc w:val="left"/>
      <w:pPr>
        <w:tabs>
          <w:tab w:val="num" w:pos="6270"/>
        </w:tabs>
        <w:ind w:left="6270" w:hanging="360"/>
      </w:pPr>
      <w:rPr>
        <w:rFonts w:ascii="Courier New" w:hAnsi="Courier New" w:cs="Courier New" w:hint="default"/>
      </w:rPr>
    </w:lvl>
    <w:lvl w:ilvl="8" w:tplc="040C0005" w:tentative="1">
      <w:start w:val="1"/>
      <w:numFmt w:val="bullet"/>
      <w:lvlText w:val=""/>
      <w:lvlJc w:val="left"/>
      <w:pPr>
        <w:tabs>
          <w:tab w:val="num" w:pos="6990"/>
        </w:tabs>
        <w:ind w:left="699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15136909">
    <w:abstractNumId w:val="13"/>
  </w:num>
  <w:num w:numId="2" w16cid:durableId="970524217">
    <w:abstractNumId w:val="12"/>
  </w:num>
  <w:num w:numId="3" w16cid:durableId="1478766923">
    <w:abstractNumId w:val="11"/>
  </w:num>
  <w:num w:numId="4" w16cid:durableId="1056587896">
    <w:abstractNumId w:val="8"/>
  </w:num>
  <w:num w:numId="5" w16cid:durableId="667826621">
    <w:abstractNumId w:val="3"/>
  </w:num>
  <w:num w:numId="6" w16cid:durableId="420220269">
    <w:abstractNumId w:val="2"/>
  </w:num>
  <w:num w:numId="7" w16cid:durableId="1946107778">
    <w:abstractNumId w:val="1"/>
  </w:num>
  <w:num w:numId="8" w16cid:durableId="570845810">
    <w:abstractNumId w:val="0"/>
  </w:num>
  <w:num w:numId="9" w16cid:durableId="668287204">
    <w:abstractNumId w:val="9"/>
  </w:num>
  <w:num w:numId="10" w16cid:durableId="953444794">
    <w:abstractNumId w:val="7"/>
  </w:num>
  <w:num w:numId="11" w16cid:durableId="828135184">
    <w:abstractNumId w:val="6"/>
  </w:num>
  <w:num w:numId="12" w16cid:durableId="1178346950">
    <w:abstractNumId w:val="5"/>
  </w:num>
  <w:num w:numId="13" w16cid:durableId="1468358460">
    <w:abstractNumId w:val="4"/>
  </w:num>
  <w:num w:numId="14" w16cid:durableId="996500501">
    <w:abstractNumId w:val="13"/>
  </w:num>
  <w:num w:numId="15" w16cid:durableId="1926648390">
    <w:abstractNumId w:val="12"/>
  </w:num>
  <w:num w:numId="16" w16cid:durableId="1353260323">
    <w:abstractNumId w:val="11"/>
  </w:num>
  <w:num w:numId="17" w16cid:durableId="11668184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9E"/>
    <w:rsid w:val="00017F94"/>
    <w:rsid w:val="00023842"/>
    <w:rsid w:val="000305D3"/>
    <w:rsid w:val="000334F9"/>
    <w:rsid w:val="0007796D"/>
    <w:rsid w:val="000B7790"/>
    <w:rsid w:val="00111F2F"/>
    <w:rsid w:val="00131D55"/>
    <w:rsid w:val="00132EA9"/>
    <w:rsid w:val="0014365E"/>
    <w:rsid w:val="00172E49"/>
    <w:rsid w:val="00176178"/>
    <w:rsid w:val="001F525A"/>
    <w:rsid w:val="00223272"/>
    <w:rsid w:val="0024779E"/>
    <w:rsid w:val="00283190"/>
    <w:rsid w:val="002832AC"/>
    <w:rsid w:val="002D7C93"/>
    <w:rsid w:val="0036699E"/>
    <w:rsid w:val="00441C3B"/>
    <w:rsid w:val="00446FE5"/>
    <w:rsid w:val="00452396"/>
    <w:rsid w:val="004E468C"/>
    <w:rsid w:val="005505B7"/>
    <w:rsid w:val="00573BE5"/>
    <w:rsid w:val="00584DC4"/>
    <w:rsid w:val="00586ED3"/>
    <w:rsid w:val="00596AA9"/>
    <w:rsid w:val="00634058"/>
    <w:rsid w:val="0068456F"/>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 w:val="00FA3039"/>
    <w:rsid w:val="00FE25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2F4AE"/>
  <w15:docId w15:val="{449307F6-9156-4AAC-B996-FD3A4DBE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locked/>
    <w:rsid w:val="00FE25E2"/>
    <w:rPr>
      <w:rFonts w:ascii="Times New Roman" w:eastAsiaTheme="minorHAnsi" w:hAnsi="Times New Roman" w:cs="Times New Roman"/>
      <w:b/>
      <w:sz w:val="28"/>
      <w:szCs w:val="20"/>
      <w:lang w:eastAsia="en-US"/>
    </w:rPr>
  </w:style>
  <w:style w:type="character" w:customStyle="1" w:styleId="termfield">
    <w:name w:val="termfield"/>
    <w:basedOn w:val="Policepardfaut"/>
    <w:rsid w:val="00FE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C817816-0CD4-4D76-A6EC-FA785EA3AE7D}"/>
</file>

<file path=customXml/itemProps2.xml><?xml version="1.0" encoding="utf-8"?>
<ds:datastoreItem xmlns:ds="http://schemas.openxmlformats.org/officeDocument/2006/customXml" ds:itemID="{A6A92F46-DC46-4B66-9D36-D1F404AE34F8}"/>
</file>

<file path=customXml/itemProps3.xml><?xml version="1.0" encoding="utf-8"?>
<ds:datastoreItem xmlns:ds="http://schemas.openxmlformats.org/officeDocument/2006/customXml" ds:itemID="{ECAED4BF-CD90-4EA9-9464-2C632BCBD7F0}"/>
</file>

<file path=docProps/app.xml><?xml version="1.0" encoding="utf-8"?>
<Properties xmlns="http://schemas.openxmlformats.org/officeDocument/2006/extended-properties" xmlns:vt="http://schemas.openxmlformats.org/officeDocument/2006/docPropsVTypes">
  <Template>ST.dotm</Template>
  <TotalTime>0</TotalTime>
  <Pages>2</Pages>
  <Words>844</Words>
  <Characters>4975</Characters>
  <Application>Microsoft Office Word</Application>
  <DocSecurity>0</DocSecurity>
  <Lines>101</Lines>
  <Paragraphs>40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ST/SG/AC.10/C.3/2023/55</dc:title>
  <dc:creator>Christine CHAUTAGNAT</dc:creator>
  <cp:keywords>ST/SG/AC.10/C.4/2023/8</cp:keywords>
  <cp:lastModifiedBy>Christine CHAUTAGNAT</cp:lastModifiedBy>
  <cp:revision>3</cp:revision>
  <cp:lastPrinted>2023-10-10T07:48:00Z</cp:lastPrinted>
  <dcterms:created xsi:type="dcterms:W3CDTF">2023-10-10T07:48:00Z</dcterms:created>
  <dcterms:modified xsi:type="dcterms:W3CDTF">2023-10-10T07:48:00Z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