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32EA9" w:rsidRPr="00DB58B5" w14:paraId="2AAF031C" w14:textId="77777777" w:rsidTr="00F01738">
        <w:trPr>
          <w:trHeight w:hRule="exact" w:val="851"/>
        </w:trPr>
        <w:tc>
          <w:tcPr>
            <w:tcW w:w="1276" w:type="dxa"/>
            <w:tcBorders>
              <w:bottom w:val="single" w:sz="4" w:space="0" w:color="auto"/>
            </w:tcBorders>
          </w:tcPr>
          <w:p w14:paraId="150B6862" w14:textId="77777777" w:rsidR="00132EA9" w:rsidRPr="00DB58B5" w:rsidRDefault="00132EA9" w:rsidP="005E57F1"/>
        </w:tc>
        <w:tc>
          <w:tcPr>
            <w:tcW w:w="2268" w:type="dxa"/>
            <w:tcBorders>
              <w:bottom w:val="single" w:sz="4" w:space="0" w:color="auto"/>
            </w:tcBorders>
            <w:vAlign w:val="bottom"/>
          </w:tcPr>
          <w:p w14:paraId="71B03677" w14:textId="77777777" w:rsidR="00132EA9" w:rsidRPr="00DB58B5" w:rsidRDefault="00132EA9" w:rsidP="00F0173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0265C48" w14:textId="3DE38833" w:rsidR="00132EA9" w:rsidRPr="00DB58B5" w:rsidRDefault="005E57F1" w:rsidP="005E57F1">
            <w:pPr>
              <w:jc w:val="right"/>
            </w:pPr>
            <w:r w:rsidRPr="005E57F1">
              <w:rPr>
                <w:sz w:val="40"/>
              </w:rPr>
              <w:t>ST</w:t>
            </w:r>
            <w:r>
              <w:t>/SG/AC.10/C.3/2023/52</w:t>
            </w:r>
          </w:p>
        </w:tc>
      </w:tr>
      <w:tr w:rsidR="00132EA9" w:rsidRPr="00DB58B5" w14:paraId="5BFF436A" w14:textId="77777777" w:rsidTr="00F01738">
        <w:trPr>
          <w:trHeight w:hRule="exact" w:val="2835"/>
        </w:trPr>
        <w:tc>
          <w:tcPr>
            <w:tcW w:w="1276" w:type="dxa"/>
            <w:tcBorders>
              <w:top w:val="single" w:sz="4" w:space="0" w:color="auto"/>
              <w:bottom w:val="single" w:sz="12" w:space="0" w:color="auto"/>
            </w:tcBorders>
          </w:tcPr>
          <w:p w14:paraId="1717118E" w14:textId="77777777" w:rsidR="00132EA9" w:rsidRPr="00DB58B5" w:rsidRDefault="00132EA9" w:rsidP="00F01738">
            <w:pPr>
              <w:spacing w:before="120"/>
              <w:jc w:val="center"/>
            </w:pPr>
            <w:r>
              <w:rPr>
                <w:noProof/>
                <w:lang w:eastAsia="fr-CH"/>
              </w:rPr>
              <w:drawing>
                <wp:inline distT="0" distB="0" distL="0" distR="0" wp14:anchorId="6574AD94" wp14:editId="4833FFA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B0939E4" w14:textId="77777777" w:rsidR="00132EA9" w:rsidRPr="00740562" w:rsidRDefault="00132EA9" w:rsidP="00F01738">
            <w:pPr>
              <w:spacing w:before="120" w:line="420" w:lineRule="exact"/>
              <w:rPr>
                <w:b/>
                <w:sz w:val="40"/>
                <w:szCs w:val="40"/>
              </w:rPr>
            </w:pPr>
            <w:r w:rsidRPr="00A55C22">
              <w:rPr>
                <w:b/>
                <w:sz w:val="40"/>
                <w:szCs w:val="40"/>
              </w:rPr>
              <w:t>Secrétariat</w:t>
            </w:r>
          </w:p>
        </w:tc>
        <w:tc>
          <w:tcPr>
            <w:tcW w:w="2835" w:type="dxa"/>
            <w:tcBorders>
              <w:top w:val="single" w:sz="4" w:space="0" w:color="auto"/>
              <w:bottom w:val="single" w:sz="12" w:space="0" w:color="auto"/>
            </w:tcBorders>
          </w:tcPr>
          <w:p w14:paraId="153F9C16" w14:textId="435210A0" w:rsidR="00132EA9" w:rsidRDefault="005E57F1" w:rsidP="00F01738">
            <w:pPr>
              <w:spacing w:before="240"/>
            </w:pPr>
            <w:r>
              <w:t>Distr. générale</w:t>
            </w:r>
          </w:p>
          <w:p w14:paraId="3904C04B" w14:textId="77777777" w:rsidR="005E57F1" w:rsidRDefault="005E57F1" w:rsidP="005E57F1">
            <w:pPr>
              <w:spacing w:line="240" w:lineRule="exact"/>
            </w:pPr>
            <w:r>
              <w:t>8 septembre 2023</w:t>
            </w:r>
          </w:p>
          <w:p w14:paraId="5E58391D" w14:textId="77777777" w:rsidR="005E57F1" w:rsidRDefault="005E57F1" w:rsidP="005E57F1">
            <w:pPr>
              <w:spacing w:line="240" w:lineRule="exact"/>
            </w:pPr>
            <w:r>
              <w:t>Français</w:t>
            </w:r>
          </w:p>
          <w:p w14:paraId="5BFEE0B4" w14:textId="3D1F9D04" w:rsidR="005E57F1" w:rsidRPr="00DB58B5" w:rsidRDefault="005E57F1" w:rsidP="005E57F1">
            <w:pPr>
              <w:spacing w:line="240" w:lineRule="exact"/>
            </w:pPr>
            <w:r>
              <w:t>Original : anglais</w:t>
            </w:r>
          </w:p>
        </w:tc>
      </w:tr>
    </w:tbl>
    <w:p w14:paraId="79F274CC" w14:textId="29D7AC2C" w:rsidR="005E57F1" w:rsidRPr="00A118E3" w:rsidRDefault="005E57F1" w:rsidP="005E57F1">
      <w:pPr>
        <w:spacing w:before="120"/>
        <w:rPr>
          <w:b/>
          <w:sz w:val="24"/>
          <w:szCs w:val="24"/>
          <w:lang w:val="fr-FR"/>
        </w:rPr>
      </w:pPr>
      <w:r w:rsidRPr="00A118E3">
        <w:rPr>
          <w:b/>
          <w:bCs/>
          <w:sz w:val="24"/>
          <w:szCs w:val="24"/>
          <w:lang w:val="fr-FR"/>
        </w:rPr>
        <w:t>Comité d</w:t>
      </w:r>
      <w:r>
        <w:rPr>
          <w:b/>
          <w:bCs/>
          <w:sz w:val="24"/>
          <w:szCs w:val="24"/>
          <w:lang w:val="fr-FR"/>
        </w:rPr>
        <w:t>’</w:t>
      </w:r>
      <w:r w:rsidRPr="00A118E3">
        <w:rPr>
          <w:b/>
          <w:bCs/>
          <w:sz w:val="24"/>
          <w:szCs w:val="24"/>
          <w:lang w:val="fr-FR"/>
        </w:rPr>
        <w:t xml:space="preserve">experts du transport des marchandises dangereuses </w:t>
      </w:r>
      <w:r w:rsidR="007A1BA7">
        <w:rPr>
          <w:b/>
          <w:bCs/>
          <w:sz w:val="24"/>
          <w:szCs w:val="24"/>
          <w:lang w:val="fr-FR"/>
        </w:rPr>
        <w:br/>
      </w:r>
      <w:r w:rsidRPr="00A118E3">
        <w:rPr>
          <w:b/>
          <w:bCs/>
          <w:sz w:val="24"/>
          <w:szCs w:val="24"/>
          <w:lang w:val="fr-FR"/>
        </w:rPr>
        <w:t xml:space="preserve">et du Système général harmonisé de classification </w:t>
      </w:r>
      <w:r w:rsidR="007A1BA7">
        <w:rPr>
          <w:b/>
          <w:bCs/>
          <w:sz w:val="24"/>
          <w:szCs w:val="24"/>
          <w:lang w:val="fr-FR"/>
        </w:rPr>
        <w:br/>
      </w:r>
      <w:r w:rsidRPr="00A118E3">
        <w:rPr>
          <w:b/>
          <w:bCs/>
          <w:sz w:val="24"/>
          <w:szCs w:val="24"/>
          <w:lang w:val="fr-FR"/>
        </w:rPr>
        <w:t>et d</w:t>
      </w:r>
      <w:r>
        <w:rPr>
          <w:b/>
          <w:bCs/>
          <w:sz w:val="24"/>
          <w:szCs w:val="24"/>
          <w:lang w:val="fr-FR"/>
        </w:rPr>
        <w:t>’</w:t>
      </w:r>
      <w:r w:rsidRPr="00A118E3">
        <w:rPr>
          <w:b/>
          <w:bCs/>
          <w:sz w:val="24"/>
          <w:szCs w:val="24"/>
          <w:lang w:val="fr-FR"/>
        </w:rPr>
        <w:t>étiquetage des produits chimiques</w:t>
      </w:r>
    </w:p>
    <w:p w14:paraId="65779CC2" w14:textId="77777777" w:rsidR="005E57F1" w:rsidRPr="007A1BA7" w:rsidRDefault="005E57F1" w:rsidP="005E57F1">
      <w:pPr>
        <w:spacing w:before="120"/>
        <w:rPr>
          <w:rFonts w:ascii="Helv" w:hAnsi="Helv" w:cs="Helv"/>
          <w:b/>
          <w:color w:val="000000"/>
          <w:lang w:val="fr-FR"/>
        </w:rPr>
      </w:pPr>
      <w:r w:rsidRPr="007A1BA7">
        <w:rPr>
          <w:b/>
          <w:bCs/>
          <w:lang w:val="fr-FR"/>
        </w:rPr>
        <w:t>Sous-Comité d’experts du transport des marchandises dangereuses</w:t>
      </w:r>
    </w:p>
    <w:p w14:paraId="38C5B8FC" w14:textId="77777777" w:rsidR="005E57F1" w:rsidRPr="007A1BA7" w:rsidRDefault="005E57F1" w:rsidP="005E57F1">
      <w:pPr>
        <w:spacing w:before="120"/>
        <w:rPr>
          <w:b/>
          <w:lang w:val="fr-FR"/>
        </w:rPr>
      </w:pPr>
      <w:r w:rsidRPr="007A1BA7">
        <w:rPr>
          <w:b/>
          <w:bCs/>
          <w:lang w:val="fr-FR"/>
        </w:rPr>
        <w:t>Soixante-troisième session</w:t>
      </w:r>
    </w:p>
    <w:p w14:paraId="145674B7" w14:textId="77777777" w:rsidR="005E57F1" w:rsidRPr="007A1BA7" w:rsidRDefault="005E57F1" w:rsidP="005E57F1">
      <w:pPr>
        <w:rPr>
          <w:lang w:val="fr-FR"/>
        </w:rPr>
      </w:pPr>
      <w:r w:rsidRPr="007A1BA7">
        <w:rPr>
          <w:lang w:val="fr-FR"/>
        </w:rPr>
        <w:t xml:space="preserve">Genève, 27 novembre-6 décembre 2023 </w:t>
      </w:r>
    </w:p>
    <w:p w14:paraId="53C849CD" w14:textId="77777777" w:rsidR="005E57F1" w:rsidRPr="007A1BA7" w:rsidRDefault="005E57F1" w:rsidP="005E57F1">
      <w:pPr>
        <w:rPr>
          <w:lang w:val="fr-FR"/>
        </w:rPr>
      </w:pPr>
      <w:r w:rsidRPr="007A1BA7">
        <w:rPr>
          <w:lang w:val="fr-FR"/>
        </w:rPr>
        <w:t>Point 6 a) de l’ordre du jour provisoire</w:t>
      </w:r>
    </w:p>
    <w:p w14:paraId="45C41597" w14:textId="77777777" w:rsidR="005E57F1" w:rsidRPr="007A1BA7" w:rsidRDefault="005E57F1" w:rsidP="005E57F1">
      <w:pPr>
        <w:rPr>
          <w:b/>
          <w:bCs/>
          <w:lang w:val="fr-FR"/>
        </w:rPr>
      </w:pPr>
      <w:r w:rsidRPr="007A1BA7">
        <w:rPr>
          <w:b/>
          <w:bCs/>
          <w:lang w:val="fr-FR"/>
        </w:rPr>
        <w:t xml:space="preserve">Propositions diverses d’amendements au Règlement type </w:t>
      </w:r>
      <w:r w:rsidRPr="007A1BA7">
        <w:rPr>
          <w:b/>
          <w:bCs/>
          <w:lang w:val="fr-FR"/>
        </w:rPr>
        <w:br/>
        <w:t>pour le transport des marchandises dangereuses :</w:t>
      </w:r>
    </w:p>
    <w:p w14:paraId="0E7D0CB6" w14:textId="77777777" w:rsidR="005E57F1" w:rsidRPr="007A1BA7" w:rsidRDefault="005E57F1" w:rsidP="005E57F1">
      <w:pPr>
        <w:rPr>
          <w:b/>
          <w:lang w:val="fr-FR"/>
        </w:rPr>
      </w:pPr>
      <w:r w:rsidRPr="007A1BA7">
        <w:rPr>
          <w:b/>
          <w:bCs/>
          <w:lang w:val="fr-FR"/>
        </w:rPr>
        <w:t>Marquage et étiquetage</w:t>
      </w:r>
    </w:p>
    <w:p w14:paraId="6E5D6733" w14:textId="5435BF75" w:rsidR="005E57F1" w:rsidRPr="002A75F2" w:rsidRDefault="005E57F1" w:rsidP="007A1BA7">
      <w:pPr>
        <w:pStyle w:val="HChG"/>
        <w:rPr>
          <w:lang w:val="fr-FR"/>
        </w:rPr>
      </w:pPr>
      <w:r>
        <w:rPr>
          <w:lang w:val="fr-FR"/>
        </w:rPr>
        <w:tab/>
      </w:r>
      <w:r>
        <w:rPr>
          <w:lang w:val="fr-FR"/>
        </w:rPr>
        <w:tab/>
        <w:t>Amendements concernant l’emplacement de la marque pour les batteries au lithium ou batteries au sodium ionique</w:t>
      </w:r>
    </w:p>
    <w:p w14:paraId="104CFB81" w14:textId="77777777" w:rsidR="005E57F1" w:rsidRPr="002A75F2" w:rsidRDefault="005E57F1" w:rsidP="007A1BA7">
      <w:pPr>
        <w:pStyle w:val="H1G"/>
        <w:rPr>
          <w:rFonts w:eastAsia="Arial Unicode MS" w:cs="Arial Unicode MS"/>
          <w:sz w:val="20"/>
          <w:lang w:val="fr-FR"/>
        </w:rPr>
      </w:pPr>
      <w:r>
        <w:rPr>
          <w:lang w:val="fr-FR"/>
        </w:rPr>
        <w:tab/>
      </w:r>
      <w:r>
        <w:rPr>
          <w:lang w:val="fr-FR"/>
        </w:rPr>
        <w:tab/>
        <w:t>Communication de l’expert de la Chine</w:t>
      </w:r>
      <w:r w:rsidRPr="007A1BA7">
        <w:rPr>
          <w:rStyle w:val="Appelnotedebasdep"/>
          <w:rFonts w:eastAsia="Arial Unicode MS" w:cs="Arial Unicode MS"/>
          <w:b w:val="0"/>
          <w:bCs/>
          <w:sz w:val="20"/>
          <w:vertAlign w:val="baseline"/>
          <w:lang w:val="fr-FR"/>
        </w:rPr>
        <w:footnoteReference w:customMarkFollows="1" w:id="2"/>
        <w:t>*</w:t>
      </w:r>
    </w:p>
    <w:p w14:paraId="74592D98" w14:textId="77777777" w:rsidR="005E57F1" w:rsidRPr="002A75F2" w:rsidRDefault="005E57F1" w:rsidP="007A1BA7">
      <w:pPr>
        <w:pStyle w:val="HChG"/>
        <w:rPr>
          <w:lang w:val="fr-FR"/>
        </w:rPr>
      </w:pPr>
      <w:r>
        <w:rPr>
          <w:lang w:val="fr-FR"/>
        </w:rPr>
        <w:tab/>
        <w:t>I.</w:t>
      </w:r>
      <w:r>
        <w:rPr>
          <w:lang w:val="fr-FR"/>
        </w:rPr>
        <w:tab/>
        <w:t>Introduction</w:t>
      </w:r>
    </w:p>
    <w:p w14:paraId="1C372718" w14:textId="77777777" w:rsidR="005E57F1" w:rsidRPr="002A75F2" w:rsidRDefault="005E57F1" w:rsidP="007A1BA7">
      <w:pPr>
        <w:pStyle w:val="SingleTxtG"/>
        <w:rPr>
          <w:lang w:val="fr-FR"/>
        </w:rPr>
      </w:pPr>
      <w:r>
        <w:rPr>
          <w:lang w:val="fr-FR"/>
        </w:rPr>
        <w:t>1.</w:t>
      </w:r>
      <w:r>
        <w:rPr>
          <w:lang w:val="fr-FR"/>
        </w:rPr>
        <w:tab/>
      </w:r>
      <w:r w:rsidRPr="007A1BA7">
        <w:t>L’emplacement</w:t>
      </w:r>
      <w:r>
        <w:rPr>
          <w:lang w:val="fr-FR"/>
        </w:rPr>
        <w:t xml:space="preserve"> de la marque pour les batteries au lithium ou batteries au sodium ionique n’est pas indiqué expressément dans le Règlement type. Toutefois, des informations peuvent passer inaperçues ou être mal comprises pendant le transport si cette marque n’est pas apposée sur la même surface du colis que les étiquettes de danger.</w:t>
      </w:r>
    </w:p>
    <w:p w14:paraId="0AE37566" w14:textId="7DD1EA83" w:rsidR="005E57F1" w:rsidRPr="002A75F2" w:rsidRDefault="005E57F1" w:rsidP="005E57F1">
      <w:pPr>
        <w:pStyle w:val="SingleTxtG"/>
        <w:rPr>
          <w:lang w:val="fr-FR"/>
        </w:rPr>
      </w:pPr>
      <w:r>
        <w:rPr>
          <w:lang w:val="fr-FR"/>
        </w:rPr>
        <w:t>2.</w:t>
      </w:r>
      <w:r>
        <w:rPr>
          <w:lang w:val="fr-FR"/>
        </w:rPr>
        <w:tab/>
        <w:t>Dans le document ST/SG/AC.10/C.3/2023/10, il a été proposé d’ajouter un nota à la fin du 5.2.1.9.1, libellé comme suit : « </w:t>
      </w:r>
      <w:r>
        <w:rPr>
          <w:b/>
          <w:bCs/>
          <w:i/>
          <w:iCs/>
          <w:lang w:val="fr-FR"/>
        </w:rPr>
        <w:t>NOTA</w:t>
      </w:r>
      <w:r w:rsidR="007A1BA7">
        <w:rPr>
          <w:b/>
          <w:bCs/>
          <w:i/>
          <w:iCs/>
          <w:lang w:val="fr-FR"/>
        </w:rPr>
        <w:t> </w:t>
      </w:r>
      <w:r>
        <w:rPr>
          <w:i/>
          <w:iCs/>
          <w:lang w:val="fr-FR"/>
        </w:rPr>
        <w:t>: La marque pour les batteries au lithium doit être apposée à côté des marques prescrites au 5.2.1.1. Il doit être satisfait aux prescriptions des 5.2.1.2 et 5.2.1.4.</w:t>
      </w:r>
      <w:r>
        <w:rPr>
          <w:lang w:val="fr-FR"/>
        </w:rPr>
        <w:t xml:space="preserve"> ». </w:t>
      </w:r>
    </w:p>
    <w:p w14:paraId="531B8DF0" w14:textId="77777777" w:rsidR="005E57F1" w:rsidRPr="002A75F2" w:rsidRDefault="005E57F1" w:rsidP="005E57F1">
      <w:pPr>
        <w:pStyle w:val="SingleTxtG"/>
        <w:rPr>
          <w:lang w:val="fr-FR"/>
        </w:rPr>
      </w:pPr>
      <w:r>
        <w:rPr>
          <w:lang w:val="fr-FR"/>
        </w:rPr>
        <w:t>3.</w:t>
      </w:r>
      <w:r>
        <w:rPr>
          <w:lang w:val="fr-FR"/>
        </w:rPr>
        <w:tab/>
        <w:t>À la soixante-deuxième session, certains experts ont apporté leur soutien de principe à la proposition, mais jugeaient préférable d’inclure le libellé de la note dans les dispositions elles-mêmes. D’autres hésitaient à adopter, à ce stade, le texte tel qu’il était proposé et s’interrogeaient quant à la nécessité de l’amendement proposé.</w:t>
      </w:r>
    </w:p>
    <w:p w14:paraId="63211FC1" w14:textId="77777777" w:rsidR="005E57F1" w:rsidRPr="002A75F2" w:rsidRDefault="005E57F1" w:rsidP="005E57F1">
      <w:pPr>
        <w:pStyle w:val="SingleTxtG"/>
        <w:rPr>
          <w:lang w:val="fr-FR"/>
        </w:rPr>
      </w:pPr>
      <w:r>
        <w:rPr>
          <w:lang w:val="fr-FR"/>
        </w:rPr>
        <w:t>4.</w:t>
      </w:r>
      <w:r>
        <w:rPr>
          <w:lang w:val="fr-FR"/>
        </w:rPr>
        <w:tab/>
        <w:t>L’expert de la Chine a pris note des observations reçues à la dernière session et souhaite apporter des précisions visant à expliquer en quoi cet amendement est nécessaire.</w:t>
      </w:r>
    </w:p>
    <w:p w14:paraId="08CC1AB7" w14:textId="25876B0D" w:rsidR="005E57F1" w:rsidRPr="002A75F2" w:rsidRDefault="005E57F1" w:rsidP="005E57F1">
      <w:pPr>
        <w:pStyle w:val="SingleTxtG"/>
        <w:rPr>
          <w:lang w:val="fr-FR"/>
        </w:rPr>
      </w:pPr>
      <w:r>
        <w:rPr>
          <w:lang w:val="fr-FR"/>
        </w:rPr>
        <w:t>5.</w:t>
      </w:r>
      <w:r>
        <w:rPr>
          <w:lang w:val="fr-FR"/>
        </w:rPr>
        <w:tab/>
        <w:t>Aujourd’hui, il arrive de plus en plus souvent que des batteries au lithium ou des batteries au sodium ionique soient transportées dans les mêmes colis que d’autres marchandises dangereuses. Des enregistreurs électroniques destinés au suivi, dotés de batteries au lithium ionique, sont placés dans des colis contenant des marchandises telles que des matières infectieuses ou des appareils d’imagerie par résonance magnétique. En outre, les objets contenant des marchandises dangereuses transportées sous les N</w:t>
      </w:r>
      <w:r w:rsidRPr="007A1BA7">
        <w:rPr>
          <w:vertAlign w:val="superscript"/>
          <w:lang w:val="fr-FR"/>
        </w:rPr>
        <w:t>os</w:t>
      </w:r>
      <w:r w:rsidR="007A1BA7">
        <w:rPr>
          <w:lang w:val="fr-FR"/>
        </w:rPr>
        <w:t> </w:t>
      </w:r>
      <w:r>
        <w:rPr>
          <w:lang w:val="fr-FR"/>
        </w:rPr>
        <w:t xml:space="preserve">ONU 3537, 3538, 3539, 3540, 3541, 3542, 3543, 3544, 3545, 3546, 3547 et 3548 peuvent tous contenir des batteries au lithium ou des batteries au sodium ionique. Conformément au 5.2.2.1.13.1, </w:t>
      </w:r>
      <w:r>
        <w:rPr>
          <w:lang w:val="fr-FR"/>
        </w:rPr>
        <w:lastRenderedPageBreak/>
        <w:t>l’étiquette de danger et la marque pour les batteries au lithium ou batteries au sodium ionique doivent être apposées sur le colis si les batteries montées dans ces objets satisfont à la disposition spéciale 188.</w:t>
      </w:r>
    </w:p>
    <w:p w14:paraId="19298BAA" w14:textId="6D3B225B" w:rsidR="005E57F1" w:rsidRPr="002A75F2" w:rsidRDefault="005E57F1" w:rsidP="005E57F1">
      <w:pPr>
        <w:pStyle w:val="SingleTxtG"/>
        <w:rPr>
          <w:lang w:val="fr-FR"/>
        </w:rPr>
      </w:pPr>
      <w:r>
        <w:rPr>
          <w:lang w:val="fr-FR"/>
        </w:rPr>
        <w:t>6.</w:t>
      </w:r>
      <w:r>
        <w:rPr>
          <w:lang w:val="fr-FR"/>
        </w:rPr>
        <w:tab/>
        <w:t>Si toutes les informations ne sont pas indiquées grâce aux marques et aux étiquettes, il sera difficile d’assurer la manutention des marchandises et d’effectuer des interventions d’urgence. Prenons l’exemple d’un objet classé sous le N</w:t>
      </w:r>
      <w:r w:rsidRPr="007A1BA7">
        <w:rPr>
          <w:vertAlign w:val="superscript"/>
          <w:lang w:val="fr-FR"/>
        </w:rPr>
        <w:t>o</w:t>
      </w:r>
      <w:r w:rsidR="007A1BA7">
        <w:rPr>
          <w:lang w:val="fr-FR"/>
        </w:rPr>
        <w:t> </w:t>
      </w:r>
      <w:r>
        <w:rPr>
          <w:lang w:val="fr-FR"/>
        </w:rPr>
        <w:t>ONU 3534 qui contient une batterie au lithium satisfaisant à la disposition spéciale 188. L’étiquette de la division 4.3 et la marque pour les batteries au lithium ou batteries au sodium ionique doivent être apposées sur le colis. Si l’objet prend feu, l’utilisation d’eau comme agent d’extinction peut aggraver la situation, car les marchandises dangereuses de la division 4.3 peuvent dégager des gaz inflammables au contact de l’eau. Toutefois, si la marque pour la batterie n’est pas apposée sur la même surface du colis que l’étiquette de danger, il est très probable que le manutentionnaire ne voie que la marque pour la batterie et utilise de l’eau, étant donné qu’il est recommandé d’utiliser une grande quantité d’eau lorsqu’une batterie au lithium prend feu.</w:t>
      </w:r>
    </w:p>
    <w:p w14:paraId="69DFC089" w14:textId="1181862F" w:rsidR="005E57F1" w:rsidRPr="002A75F2" w:rsidRDefault="005E57F1" w:rsidP="005E57F1">
      <w:pPr>
        <w:pStyle w:val="SingleTxtG"/>
        <w:rPr>
          <w:lang w:val="fr-FR"/>
        </w:rPr>
      </w:pPr>
      <w:r>
        <w:rPr>
          <w:lang w:val="fr-FR"/>
        </w:rPr>
        <w:t>7.</w:t>
      </w:r>
      <w:r>
        <w:rPr>
          <w:lang w:val="fr-FR"/>
        </w:rPr>
        <w:tab/>
        <w:t>Pour information, la marque «</w:t>
      </w:r>
      <w:r w:rsidR="007A1BA7">
        <w:rPr>
          <w:lang w:val="fr-FR"/>
        </w:rPr>
        <w:t> </w:t>
      </w:r>
      <w:r>
        <w:rPr>
          <w:lang w:val="fr-FR"/>
        </w:rPr>
        <w:t>matière dangereuse pour l’environnement</w:t>
      </w:r>
      <w:r w:rsidR="007A1BA7">
        <w:rPr>
          <w:lang w:val="fr-FR"/>
        </w:rPr>
        <w:t> </w:t>
      </w:r>
      <w:r>
        <w:rPr>
          <w:lang w:val="fr-FR"/>
        </w:rPr>
        <w:t>» doit être apposée à côté des marques prescrites au 5.2.1.1, conformément au 5.2.1.6.2. En outre, les étiquettes de danger doivent être apposées sur la même surface du colis, près de la marque indiquant la désignation officielle de transport, si les dimensions du colis le permettent, conformément au 5.2.2.1.6. Par conséquent, la marque «</w:t>
      </w:r>
      <w:r w:rsidR="007A1BA7">
        <w:rPr>
          <w:lang w:val="fr-FR"/>
        </w:rPr>
        <w:t> </w:t>
      </w:r>
      <w:r>
        <w:rPr>
          <w:lang w:val="fr-FR"/>
        </w:rPr>
        <w:t>matière dangereuse pour l’environnement</w:t>
      </w:r>
      <w:r w:rsidR="007A1BA7">
        <w:rPr>
          <w:lang w:val="fr-FR"/>
        </w:rPr>
        <w:t> </w:t>
      </w:r>
      <w:r>
        <w:rPr>
          <w:lang w:val="fr-FR"/>
        </w:rPr>
        <w:t xml:space="preserve">» et les étiquettes de danger doivent être apposées sur la même surface du colis, près de la marque indiquant la désignation officielle de transport. </w:t>
      </w:r>
    </w:p>
    <w:p w14:paraId="47EA486C" w14:textId="77777777" w:rsidR="005E57F1" w:rsidRPr="002A75F2" w:rsidRDefault="005E57F1" w:rsidP="005E57F1">
      <w:pPr>
        <w:pStyle w:val="SingleTxtG"/>
        <w:rPr>
          <w:lang w:val="fr-FR"/>
        </w:rPr>
      </w:pPr>
      <w:r>
        <w:rPr>
          <w:lang w:val="fr-FR"/>
        </w:rPr>
        <w:t>8.</w:t>
      </w:r>
      <w:r>
        <w:rPr>
          <w:lang w:val="fr-FR"/>
        </w:rPr>
        <w:tab/>
        <w:t>L’expert de la Chine invite donc le Sous-Comité à examiner la proposition ci-après.</w:t>
      </w:r>
    </w:p>
    <w:p w14:paraId="01E92C5B" w14:textId="643FAF46" w:rsidR="005E57F1" w:rsidRPr="002A75F2" w:rsidRDefault="007A1BA7" w:rsidP="007A1BA7">
      <w:pPr>
        <w:pStyle w:val="HChG"/>
        <w:rPr>
          <w:rFonts w:eastAsia="Times New Roman"/>
          <w:lang w:val="fr-FR"/>
        </w:rPr>
      </w:pPr>
      <w:r>
        <w:rPr>
          <w:lang w:val="fr-FR"/>
        </w:rPr>
        <w:tab/>
      </w:r>
      <w:r w:rsidR="005E57F1">
        <w:rPr>
          <w:lang w:val="fr-FR"/>
        </w:rPr>
        <w:t>II.</w:t>
      </w:r>
      <w:r w:rsidR="005E57F1">
        <w:rPr>
          <w:lang w:val="fr-FR"/>
        </w:rPr>
        <w:tab/>
      </w:r>
      <w:r w:rsidR="005E57F1">
        <w:rPr>
          <w:lang w:val="fr-FR"/>
        </w:rPr>
        <w:tab/>
        <w:t>Proposition</w:t>
      </w:r>
    </w:p>
    <w:p w14:paraId="69575FB8" w14:textId="6C2EDAC3" w:rsidR="005E57F1" w:rsidRPr="002A75F2" w:rsidRDefault="005E57F1" w:rsidP="005E57F1">
      <w:pPr>
        <w:pStyle w:val="SingleTxtG"/>
        <w:rPr>
          <w:lang w:val="fr-FR"/>
        </w:rPr>
      </w:pPr>
      <w:r>
        <w:rPr>
          <w:lang w:val="fr-FR"/>
        </w:rPr>
        <w:t>9.</w:t>
      </w:r>
      <w:r>
        <w:rPr>
          <w:lang w:val="fr-FR"/>
        </w:rPr>
        <w:tab/>
        <w:t xml:space="preserve">Ajouter le nouveau 5.2.1.9.3, libellé comme suit (les modifications qu’il est proposé d’apporter figurent en caractères </w:t>
      </w:r>
      <w:r>
        <w:rPr>
          <w:b/>
          <w:bCs/>
          <w:u w:val="single"/>
          <w:lang w:val="fr-FR"/>
        </w:rPr>
        <w:t>gras et soulignés</w:t>
      </w:r>
      <w:r>
        <w:rPr>
          <w:lang w:val="fr-FR"/>
        </w:rPr>
        <w:t xml:space="preserve"> pour les ajouts)</w:t>
      </w:r>
      <w:r w:rsidR="007A1BA7">
        <w:rPr>
          <w:lang w:val="fr-FR"/>
        </w:rPr>
        <w:t> </w:t>
      </w:r>
      <w:r>
        <w:rPr>
          <w:lang w:val="fr-FR"/>
        </w:rPr>
        <w:t>:</w:t>
      </w:r>
    </w:p>
    <w:p w14:paraId="58000CAE" w14:textId="692F326B" w:rsidR="005E57F1" w:rsidRPr="002A75F2" w:rsidRDefault="005E57F1" w:rsidP="005E57F1">
      <w:pPr>
        <w:pStyle w:val="SingleTxtG"/>
        <w:rPr>
          <w:b/>
          <w:bCs/>
          <w:u w:val="single"/>
          <w:lang w:val="fr-FR"/>
        </w:rPr>
      </w:pPr>
      <w:r>
        <w:rPr>
          <w:lang w:val="fr-FR"/>
        </w:rPr>
        <w:t>« </w:t>
      </w:r>
      <w:r>
        <w:rPr>
          <w:b/>
          <w:bCs/>
          <w:u w:val="single"/>
          <w:lang w:val="fr-FR"/>
        </w:rPr>
        <w:t>5.2.1.9.</w:t>
      </w:r>
      <w:r w:rsidRPr="00DE419E">
        <w:rPr>
          <w:b/>
          <w:bCs/>
          <w:u w:val="single"/>
          <w:lang w:val="fr-FR"/>
        </w:rPr>
        <w:t>3</w:t>
      </w:r>
      <w:r w:rsidRPr="00DE419E">
        <w:rPr>
          <w:u w:val="single"/>
          <w:lang w:val="fr-FR"/>
        </w:rPr>
        <w:tab/>
      </w:r>
      <w:r>
        <w:rPr>
          <w:b/>
          <w:bCs/>
          <w:u w:val="single"/>
          <w:lang w:val="fr-FR"/>
        </w:rPr>
        <w:t>La marque pour les batteries au lithium ou batteries au sodium ionique doit être apposée sur la même surface du colis que les étiquettes de danger, si les dimensions du colis le permettent.</w:t>
      </w:r>
      <w:r w:rsidR="007A1BA7">
        <w:rPr>
          <w:lang w:val="fr-FR"/>
        </w:rPr>
        <w:t> </w:t>
      </w:r>
      <w:r>
        <w:rPr>
          <w:lang w:val="fr-FR"/>
        </w:rPr>
        <w:t>».</w:t>
      </w:r>
    </w:p>
    <w:p w14:paraId="14F36334" w14:textId="77777777" w:rsidR="005E57F1" w:rsidRPr="002A75F2" w:rsidRDefault="005E57F1" w:rsidP="005E57F1">
      <w:pPr>
        <w:spacing w:before="240"/>
        <w:jc w:val="center"/>
        <w:rPr>
          <w:u w:val="single"/>
          <w:lang w:val="fr-FR"/>
        </w:rPr>
      </w:pPr>
      <w:r w:rsidRPr="002A75F2">
        <w:rPr>
          <w:u w:val="single"/>
          <w:lang w:val="fr-FR"/>
        </w:rPr>
        <w:tab/>
      </w:r>
      <w:r w:rsidRPr="002A75F2">
        <w:rPr>
          <w:u w:val="single"/>
          <w:lang w:val="fr-FR"/>
        </w:rPr>
        <w:tab/>
      </w:r>
      <w:r w:rsidRPr="002A75F2">
        <w:rPr>
          <w:u w:val="single"/>
          <w:lang w:val="fr-FR"/>
        </w:rPr>
        <w:tab/>
      </w:r>
    </w:p>
    <w:p w14:paraId="4FE33593" w14:textId="77777777" w:rsidR="00446FE5" w:rsidRPr="005E57F1" w:rsidRDefault="00446FE5" w:rsidP="00AC3823">
      <w:pPr>
        <w:rPr>
          <w:lang w:val="fr-FR"/>
        </w:rPr>
      </w:pPr>
    </w:p>
    <w:sectPr w:rsidR="00446FE5" w:rsidRPr="005E57F1" w:rsidSect="005E57F1">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7F2D" w14:textId="77777777" w:rsidR="007C65D6" w:rsidRDefault="007C65D6" w:rsidP="00F95C08">
      <w:pPr>
        <w:spacing w:line="240" w:lineRule="auto"/>
      </w:pPr>
    </w:p>
  </w:endnote>
  <w:endnote w:type="continuationSeparator" w:id="0">
    <w:p w14:paraId="5ECD8C8C" w14:textId="77777777" w:rsidR="007C65D6" w:rsidRPr="00AC3823" w:rsidRDefault="007C65D6" w:rsidP="00AC3823">
      <w:pPr>
        <w:pStyle w:val="Pieddepage"/>
      </w:pPr>
    </w:p>
  </w:endnote>
  <w:endnote w:type="continuationNotice" w:id="1">
    <w:p w14:paraId="21C7DC42" w14:textId="77777777" w:rsidR="007C65D6" w:rsidRDefault="007C6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3F01" w14:textId="35CA2E34" w:rsidR="005E57F1" w:rsidRPr="005E57F1" w:rsidRDefault="005E57F1" w:rsidP="005E57F1">
    <w:pPr>
      <w:pStyle w:val="Pieddepage"/>
      <w:tabs>
        <w:tab w:val="right" w:pos="9638"/>
      </w:tabs>
    </w:pPr>
    <w:r w:rsidRPr="005E57F1">
      <w:rPr>
        <w:b/>
        <w:sz w:val="18"/>
      </w:rPr>
      <w:fldChar w:fldCharType="begin"/>
    </w:r>
    <w:r w:rsidRPr="005E57F1">
      <w:rPr>
        <w:b/>
        <w:sz w:val="18"/>
      </w:rPr>
      <w:instrText xml:space="preserve"> PAGE  \* MERGEFORMAT </w:instrText>
    </w:r>
    <w:r w:rsidRPr="005E57F1">
      <w:rPr>
        <w:b/>
        <w:sz w:val="18"/>
      </w:rPr>
      <w:fldChar w:fldCharType="separate"/>
    </w:r>
    <w:r w:rsidRPr="005E57F1">
      <w:rPr>
        <w:b/>
        <w:noProof/>
        <w:sz w:val="18"/>
      </w:rPr>
      <w:t>2</w:t>
    </w:r>
    <w:r w:rsidRPr="005E57F1">
      <w:rPr>
        <w:b/>
        <w:sz w:val="18"/>
      </w:rPr>
      <w:fldChar w:fldCharType="end"/>
    </w:r>
    <w:r>
      <w:rPr>
        <w:b/>
        <w:sz w:val="18"/>
      </w:rPr>
      <w:tab/>
    </w:r>
    <w:r>
      <w:t>GE.23-17314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6851" w14:textId="47515456" w:rsidR="005E57F1" w:rsidRPr="005E57F1" w:rsidRDefault="005E57F1" w:rsidP="005E57F1">
    <w:pPr>
      <w:pStyle w:val="Pieddepage"/>
      <w:tabs>
        <w:tab w:val="right" w:pos="9638"/>
      </w:tabs>
      <w:rPr>
        <w:b/>
        <w:sz w:val="18"/>
      </w:rPr>
    </w:pPr>
    <w:r>
      <w:t>GE.23-17314</w:t>
    </w:r>
    <w:r>
      <w:tab/>
    </w:r>
    <w:r w:rsidRPr="005E57F1">
      <w:rPr>
        <w:b/>
        <w:sz w:val="18"/>
      </w:rPr>
      <w:fldChar w:fldCharType="begin"/>
    </w:r>
    <w:r w:rsidRPr="005E57F1">
      <w:rPr>
        <w:b/>
        <w:sz w:val="18"/>
      </w:rPr>
      <w:instrText xml:space="preserve"> PAGE  \* MERGEFORMAT </w:instrText>
    </w:r>
    <w:r w:rsidRPr="005E57F1">
      <w:rPr>
        <w:b/>
        <w:sz w:val="18"/>
      </w:rPr>
      <w:fldChar w:fldCharType="separate"/>
    </w:r>
    <w:r w:rsidRPr="005E57F1">
      <w:rPr>
        <w:b/>
        <w:noProof/>
        <w:sz w:val="18"/>
      </w:rPr>
      <w:t>3</w:t>
    </w:r>
    <w:r w:rsidRPr="005E57F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BD6C" w14:textId="27214B4A" w:rsidR="0068456F" w:rsidRPr="005E57F1" w:rsidRDefault="005E57F1" w:rsidP="005E57F1">
    <w:pPr>
      <w:pStyle w:val="Pieddepage"/>
      <w:spacing w:before="120"/>
      <w:rPr>
        <w:sz w:val="20"/>
      </w:rPr>
    </w:pPr>
    <w:r>
      <w:rPr>
        <w:sz w:val="20"/>
      </w:rPr>
      <w:t>GE.</w:t>
    </w:r>
    <w:r w:rsidR="0068456F">
      <w:rPr>
        <w:noProof/>
        <w:lang w:eastAsia="fr-CH"/>
      </w:rPr>
      <w:drawing>
        <wp:anchor distT="0" distB="0" distL="114300" distR="114300" simplePos="0" relativeHeight="251659264" behindDoc="0" locked="0" layoutInCell="1" allowOverlap="0" wp14:anchorId="075396EC" wp14:editId="1684A88D">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23-17314  (F)</w:t>
    </w:r>
    <w:r>
      <w:rPr>
        <w:noProof/>
        <w:sz w:val="20"/>
      </w:rPr>
      <w:drawing>
        <wp:anchor distT="0" distB="0" distL="114300" distR="114300" simplePos="0" relativeHeight="251660288" behindDoc="0" locked="0" layoutInCell="1" allowOverlap="1" wp14:anchorId="0BCB6363" wp14:editId="6D07CC4A">
          <wp:simplePos x="0" y="0"/>
          <wp:positionH relativeFrom="margin">
            <wp:posOffset>5489575</wp:posOffset>
          </wp:positionH>
          <wp:positionV relativeFrom="margin">
            <wp:posOffset>8891905</wp:posOffset>
          </wp:positionV>
          <wp:extent cx="638175" cy="638175"/>
          <wp:effectExtent l="0" t="0" r="9525" b="9525"/>
          <wp:wrapNone/>
          <wp:docPr id="6788760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091023    101023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7671" w14:textId="77777777" w:rsidR="007C65D6" w:rsidRPr="00AC3823" w:rsidRDefault="007C65D6" w:rsidP="00AC3823">
      <w:pPr>
        <w:pStyle w:val="Pieddepage"/>
        <w:tabs>
          <w:tab w:val="right" w:pos="2155"/>
        </w:tabs>
        <w:spacing w:after="80" w:line="240" w:lineRule="atLeast"/>
        <w:ind w:left="680"/>
        <w:rPr>
          <w:u w:val="single"/>
        </w:rPr>
      </w:pPr>
      <w:r>
        <w:rPr>
          <w:u w:val="single"/>
        </w:rPr>
        <w:tab/>
      </w:r>
    </w:p>
  </w:footnote>
  <w:footnote w:type="continuationSeparator" w:id="0">
    <w:p w14:paraId="7FD46A92" w14:textId="77777777" w:rsidR="007C65D6" w:rsidRPr="00AC3823" w:rsidRDefault="007C65D6" w:rsidP="00AC3823">
      <w:pPr>
        <w:pStyle w:val="Pieddepage"/>
        <w:tabs>
          <w:tab w:val="right" w:pos="2155"/>
        </w:tabs>
        <w:spacing w:after="80" w:line="240" w:lineRule="atLeast"/>
        <w:ind w:left="680"/>
        <w:rPr>
          <w:u w:val="single"/>
        </w:rPr>
      </w:pPr>
      <w:r>
        <w:rPr>
          <w:u w:val="single"/>
        </w:rPr>
        <w:tab/>
      </w:r>
    </w:p>
  </w:footnote>
  <w:footnote w:type="continuationNotice" w:id="1">
    <w:p w14:paraId="680EEBD7" w14:textId="77777777" w:rsidR="007C65D6" w:rsidRPr="00AC3823" w:rsidRDefault="007C65D6">
      <w:pPr>
        <w:spacing w:line="240" w:lineRule="auto"/>
        <w:rPr>
          <w:sz w:val="2"/>
          <w:szCs w:val="2"/>
        </w:rPr>
      </w:pPr>
    </w:p>
  </w:footnote>
  <w:footnote w:id="2">
    <w:p w14:paraId="58317C42" w14:textId="77777777" w:rsidR="005E57F1" w:rsidRPr="00ED6F4B" w:rsidRDefault="005E57F1" w:rsidP="005E57F1">
      <w:pPr>
        <w:pStyle w:val="Notedebasdepage"/>
      </w:pPr>
      <w:r>
        <w:rPr>
          <w:lang w:val="fr-FR"/>
        </w:rPr>
        <w:tab/>
        <w:t>*</w:t>
      </w:r>
      <w:r>
        <w:rPr>
          <w:lang w:val="fr-FR"/>
        </w:rPr>
        <w:tab/>
        <w:t>A/77/6 (Sect. 20), tableau 20,6.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5DDB" w14:textId="62CADD5F" w:rsidR="005E57F1" w:rsidRPr="005E57F1" w:rsidRDefault="005E57F1">
    <w:pPr>
      <w:pStyle w:val="En-tte"/>
    </w:pPr>
    <w:fldSimple w:instr=" TITLE  \* MERGEFORMAT ">
      <w:r w:rsidR="00AC68E9">
        <w:t>ST/SG/AC.10/C.3/2023/52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9450" w14:textId="328ED267" w:rsidR="005E57F1" w:rsidRPr="005E57F1" w:rsidRDefault="005E57F1" w:rsidP="005E57F1">
    <w:pPr>
      <w:pStyle w:val="En-tte"/>
      <w:jc w:val="right"/>
    </w:pPr>
    <w:fldSimple w:instr=" TITLE  \* MERGEFORMAT ">
      <w:r w:rsidR="00AC68E9">
        <w:t>ST/SG/AC.10/C.3/2023/52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4CD73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981AAA34"/>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FE2C9A28"/>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353268450">
    <w:abstractNumId w:val="12"/>
  </w:num>
  <w:num w:numId="2" w16cid:durableId="56244253">
    <w:abstractNumId w:val="11"/>
  </w:num>
  <w:num w:numId="3" w16cid:durableId="1353458137">
    <w:abstractNumId w:val="10"/>
  </w:num>
  <w:num w:numId="4" w16cid:durableId="855777615">
    <w:abstractNumId w:val="8"/>
  </w:num>
  <w:num w:numId="5" w16cid:durableId="1130688">
    <w:abstractNumId w:val="3"/>
  </w:num>
  <w:num w:numId="6" w16cid:durableId="172570223">
    <w:abstractNumId w:val="2"/>
  </w:num>
  <w:num w:numId="7" w16cid:durableId="257908019">
    <w:abstractNumId w:val="1"/>
  </w:num>
  <w:num w:numId="8" w16cid:durableId="1437211863">
    <w:abstractNumId w:val="0"/>
  </w:num>
  <w:num w:numId="9" w16cid:durableId="1962029046">
    <w:abstractNumId w:val="9"/>
  </w:num>
  <w:num w:numId="10" w16cid:durableId="897939612">
    <w:abstractNumId w:val="7"/>
  </w:num>
  <w:num w:numId="11" w16cid:durableId="1992903637">
    <w:abstractNumId w:val="6"/>
  </w:num>
  <w:num w:numId="12" w16cid:durableId="882332697">
    <w:abstractNumId w:val="5"/>
  </w:num>
  <w:num w:numId="13" w16cid:durableId="630330829">
    <w:abstractNumId w:val="4"/>
  </w:num>
  <w:num w:numId="14" w16cid:durableId="1899002788">
    <w:abstractNumId w:val="12"/>
  </w:num>
  <w:num w:numId="15" w16cid:durableId="1694378564">
    <w:abstractNumId w:val="11"/>
  </w:num>
  <w:num w:numId="16" w16cid:durableId="473841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D6"/>
    <w:rsid w:val="00017F94"/>
    <w:rsid w:val="00023842"/>
    <w:rsid w:val="000305D3"/>
    <w:rsid w:val="000334F9"/>
    <w:rsid w:val="0007796D"/>
    <w:rsid w:val="000B7790"/>
    <w:rsid w:val="00111F2F"/>
    <w:rsid w:val="00132EA9"/>
    <w:rsid w:val="0014365E"/>
    <w:rsid w:val="00172E49"/>
    <w:rsid w:val="00176178"/>
    <w:rsid w:val="001F525A"/>
    <w:rsid w:val="00223272"/>
    <w:rsid w:val="0024779E"/>
    <w:rsid w:val="00283190"/>
    <w:rsid w:val="002832AC"/>
    <w:rsid w:val="002D7C93"/>
    <w:rsid w:val="00441C3B"/>
    <w:rsid w:val="00446FE5"/>
    <w:rsid w:val="00452396"/>
    <w:rsid w:val="004E468C"/>
    <w:rsid w:val="005505B7"/>
    <w:rsid w:val="00573BE5"/>
    <w:rsid w:val="00584DC4"/>
    <w:rsid w:val="00586ED3"/>
    <w:rsid w:val="00596AA9"/>
    <w:rsid w:val="005E57F1"/>
    <w:rsid w:val="0068456F"/>
    <w:rsid w:val="0071601D"/>
    <w:rsid w:val="007A1BA7"/>
    <w:rsid w:val="007A62E6"/>
    <w:rsid w:val="007C65D6"/>
    <w:rsid w:val="0080684C"/>
    <w:rsid w:val="008123E0"/>
    <w:rsid w:val="00871C75"/>
    <w:rsid w:val="008776DC"/>
    <w:rsid w:val="008B40CD"/>
    <w:rsid w:val="009705C8"/>
    <w:rsid w:val="009C1CF4"/>
    <w:rsid w:val="00A30353"/>
    <w:rsid w:val="00A81281"/>
    <w:rsid w:val="00AB3CDB"/>
    <w:rsid w:val="00AC3823"/>
    <w:rsid w:val="00AC68E9"/>
    <w:rsid w:val="00AE323C"/>
    <w:rsid w:val="00B00181"/>
    <w:rsid w:val="00B00B0D"/>
    <w:rsid w:val="00B765F7"/>
    <w:rsid w:val="00BA0CA9"/>
    <w:rsid w:val="00C02897"/>
    <w:rsid w:val="00D3439C"/>
    <w:rsid w:val="00DB1831"/>
    <w:rsid w:val="00DD3BFD"/>
    <w:rsid w:val="00DF6678"/>
    <w:rsid w:val="00EF2E22"/>
    <w:rsid w:val="00F01738"/>
    <w:rsid w:val="00F660DF"/>
    <w:rsid w:val="00F730C8"/>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6D9EF"/>
  <w15:docId w15:val="{666BA1AA-5BE5-4C6C-B880-E3176A2B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C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584DC4"/>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584DC4"/>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584DC4"/>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584DC4"/>
    <w:pPr>
      <w:spacing w:line="240" w:lineRule="auto"/>
    </w:pPr>
    <w:rPr>
      <w:sz w:val="16"/>
    </w:rPr>
  </w:style>
  <w:style w:type="character" w:customStyle="1" w:styleId="PieddepageCar">
    <w:name w:val="Pied de page Car"/>
    <w:aliases w:val="3_G Car"/>
    <w:basedOn w:val="Policepardfaut"/>
    <w:link w:val="Pieddepage"/>
    <w:rsid w:val="00584DC4"/>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584DC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584DC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584DC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584DC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584DC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584DC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584DC4"/>
    <w:pPr>
      <w:tabs>
        <w:tab w:val="left" w:pos="1701"/>
        <w:tab w:val="left" w:pos="2268"/>
        <w:tab w:val="left" w:pos="2835"/>
      </w:tabs>
      <w:spacing w:after="120"/>
      <w:ind w:left="1134" w:right="1134"/>
      <w:jc w:val="both"/>
    </w:pPr>
  </w:style>
  <w:style w:type="paragraph" w:customStyle="1" w:styleId="SLG">
    <w:name w:val="__S_L_G"/>
    <w:basedOn w:val="Normal"/>
    <w:next w:val="Normal"/>
    <w:rsid w:val="00584DC4"/>
    <w:pPr>
      <w:keepNext/>
      <w:keepLines/>
      <w:spacing w:before="240" w:after="240" w:line="580" w:lineRule="exact"/>
      <w:ind w:left="1134" w:right="1134"/>
    </w:pPr>
    <w:rPr>
      <w:b/>
      <w:sz w:val="56"/>
    </w:rPr>
  </w:style>
  <w:style w:type="paragraph" w:customStyle="1" w:styleId="SMG">
    <w:name w:val="__S_M_G"/>
    <w:basedOn w:val="Normal"/>
    <w:next w:val="Normal"/>
    <w:rsid w:val="00584DC4"/>
    <w:pPr>
      <w:keepNext/>
      <w:keepLines/>
      <w:spacing w:before="240" w:after="240" w:line="420" w:lineRule="exact"/>
      <w:ind w:left="1134" w:right="1134"/>
    </w:pPr>
    <w:rPr>
      <w:b/>
      <w:sz w:val="40"/>
    </w:rPr>
  </w:style>
  <w:style w:type="paragraph" w:customStyle="1" w:styleId="SSG">
    <w:name w:val="__S_S_G"/>
    <w:basedOn w:val="Normal"/>
    <w:next w:val="Normal"/>
    <w:rsid w:val="00584DC4"/>
    <w:pPr>
      <w:keepNext/>
      <w:keepLines/>
      <w:spacing w:before="240" w:after="240" w:line="300" w:lineRule="exact"/>
      <w:ind w:left="1134" w:right="1134"/>
    </w:pPr>
    <w:rPr>
      <w:b/>
      <w:sz w:val="28"/>
    </w:rPr>
  </w:style>
  <w:style w:type="paragraph" w:customStyle="1" w:styleId="XLargeG">
    <w:name w:val="__XLarge_G"/>
    <w:basedOn w:val="Normal"/>
    <w:next w:val="Normal"/>
    <w:rsid w:val="00584DC4"/>
    <w:pPr>
      <w:keepNext/>
      <w:keepLines/>
      <w:spacing w:before="240" w:after="240" w:line="420" w:lineRule="exact"/>
      <w:ind w:left="1134" w:right="1134"/>
    </w:pPr>
    <w:rPr>
      <w:b/>
      <w:sz w:val="40"/>
    </w:rPr>
  </w:style>
  <w:style w:type="paragraph" w:customStyle="1" w:styleId="Bullet1G">
    <w:name w:val="_Bullet 1_G"/>
    <w:basedOn w:val="Normal"/>
    <w:qFormat/>
    <w:rsid w:val="00584DC4"/>
    <w:pPr>
      <w:numPr>
        <w:numId w:val="14"/>
      </w:numPr>
      <w:spacing w:after="120"/>
      <w:ind w:right="1134"/>
      <w:jc w:val="both"/>
    </w:pPr>
  </w:style>
  <w:style w:type="paragraph" w:customStyle="1" w:styleId="Bullet2G">
    <w:name w:val="_Bullet 2_G"/>
    <w:basedOn w:val="Normal"/>
    <w:qFormat/>
    <w:rsid w:val="00584DC4"/>
    <w:pPr>
      <w:numPr>
        <w:numId w:val="15"/>
      </w:numPr>
      <w:spacing w:after="120"/>
      <w:ind w:right="1134"/>
      <w:jc w:val="both"/>
    </w:pPr>
  </w:style>
  <w:style w:type="paragraph" w:customStyle="1" w:styleId="ParNoG">
    <w:name w:val="_ParNo_G"/>
    <w:basedOn w:val="Normal"/>
    <w:qFormat/>
    <w:rsid w:val="00584DC4"/>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584DC4"/>
    <w:rPr>
      <w:rFonts w:ascii="Times New Roman" w:hAnsi="Times New Roman"/>
      <w:sz w:val="18"/>
      <w:vertAlign w:val="superscript"/>
      <w:lang w:val="fr-CH"/>
    </w:rPr>
  </w:style>
  <w:style w:type="character" w:styleId="Appeldenotedefin">
    <w:name w:val="endnote reference"/>
    <w:aliases w:val="1_G"/>
    <w:basedOn w:val="Appelnotedebasdep"/>
    <w:qFormat/>
    <w:rsid w:val="00584DC4"/>
    <w:rPr>
      <w:rFonts w:ascii="Times New Roman" w:hAnsi="Times New Roman"/>
      <w:sz w:val="18"/>
      <w:vertAlign w:val="superscript"/>
      <w:lang w:val="fr-CH"/>
    </w:rPr>
  </w:style>
  <w:style w:type="table" w:styleId="Grilledutableau">
    <w:name w:val="Table Grid"/>
    <w:basedOn w:val="TableauNormal"/>
    <w:rsid w:val="00584DC4"/>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584DC4"/>
    <w:rPr>
      <w:color w:val="0000FF"/>
      <w:u w:val="none"/>
    </w:rPr>
  </w:style>
  <w:style w:type="character" w:styleId="Lienhypertextesuivivisit">
    <w:name w:val="FollowedHyperlink"/>
    <w:basedOn w:val="Policepardfaut"/>
    <w:unhideWhenUsed/>
    <w:rsid w:val="00584DC4"/>
    <w:rPr>
      <w:color w:val="0000FF"/>
      <w:u w:val="none"/>
    </w:rPr>
  </w:style>
  <w:style w:type="paragraph" w:styleId="Notedebasdepage">
    <w:name w:val="footnote text"/>
    <w:aliases w:val="5_G"/>
    <w:basedOn w:val="Normal"/>
    <w:link w:val="NotedebasdepageCar"/>
    <w:qFormat/>
    <w:rsid w:val="00584DC4"/>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584DC4"/>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584DC4"/>
  </w:style>
  <w:style w:type="character" w:customStyle="1" w:styleId="NotedefinCar">
    <w:name w:val="Note de fin Car"/>
    <w:aliases w:val="2_G Car"/>
    <w:basedOn w:val="Policepardfaut"/>
    <w:link w:val="Notedefin"/>
    <w:rsid w:val="00584DC4"/>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584DC4"/>
    <w:rPr>
      <w:rFonts w:ascii="Times New Roman" w:hAnsi="Times New Roman"/>
      <w:b/>
      <w:sz w:val="18"/>
      <w:lang w:val="fr-CH"/>
    </w:rPr>
  </w:style>
  <w:style w:type="character" w:customStyle="1" w:styleId="Titre1Car">
    <w:name w:val="Titre 1 Car"/>
    <w:aliases w:val="Table_G Car"/>
    <w:basedOn w:val="Policepardfaut"/>
    <w:link w:val="Titre1"/>
    <w:rsid w:val="00584DC4"/>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132E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EA9"/>
    <w:rPr>
      <w:rFonts w:ascii="Tahoma" w:hAnsi="Tahoma" w:cs="Tahoma"/>
      <w:sz w:val="16"/>
      <w:szCs w:val="16"/>
      <w:lang w:eastAsia="en-US"/>
    </w:rPr>
  </w:style>
  <w:style w:type="character" w:customStyle="1" w:styleId="HChGChar">
    <w:name w:val="_ H _Ch_G Char"/>
    <w:link w:val="HChG"/>
    <w:qFormat/>
    <w:locked/>
    <w:rsid w:val="005E57F1"/>
    <w:rPr>
      <w:rFonts w:ascii="Times New Roman" w:eastAsiaTheme="minorHAnsi" w:hAnsi="Times New Roman" w:cs="Times New Roman"/>
      <w:b/>
      <w:sz w:val="28"/>
      <w:szCs w:val="20"/>
      <w:lang w:eastAsia="en-US"/>
    </w:rPr>
  </w:style>
  <w:style w:type="character" w:customStyle="1" w:styleId="SingleTxtGChar">
    <w:name w:val="_ Single Txt_G Char"/>
    <w:link w:val="SingleTxtG"/>
    <w:qFormat/>
    <w:locked/>
    <w:rsid w:val="005E57F1"/>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S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8" ma:contentTypeDescription="Crée un document." ma:contentTypeScope="" ma:versionID="d593cc96c5d428f23a5351564b268b6d">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76aafa040e38551359a67edc98402bfa"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C6A94-66F6-4CB5-9A9E-0CB47D650D5E}"/>
</file>

<file path=customXml/itemProps2.xml><?xml version="1.0" encoding="utf-8"?>
<ds:datastoreItem xmlns:ds="http://schemas.openxmlformats.org/officeDocument/2006/customXml" ds:itemID="{55171F8C-4137-40C1-BF11-7F1FE391DACE}"/>
</file>

<file path=docProps/app.xml><?xml version="1.0" encoding="utf-8"?>
<Properties xmlns="http://schemas.openxmlformats.org/officeDocument/2006/extended-properties" xmlns:vt="http://schemas.openxmlformats.org/officeDocument/2006/docPropsVTypes">
  <Template>ST.dotm</Template>
  <TotalTime>0</TotalTime>
  <Pages>2</Pages>
  <Words>745</Words>
  <Characters>4127</Characters>
  <Application>Microsoft Office Word</Application>
  <DocSecurity>0</DocSecurity>
  <Lines>74</Lines>
  <Paragraphs>28</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ST/SG/AC.10/C.3/2023/52</dc:title>
  <dc:subject/>
  <dc:creator>Christine CHAUTAGNAT</dc:creator>
  <cp:keywords/>
  <cp:lastModifiedBy>Christine CHAUTAGNAT</cp:lastModifiedBy>
  <cp:revision>3</cp:revision>
  <cp:lastPrinted>2023-10-10T08:52:00Z</cp:lastPrinted>
  <dcterms:created xsi:type="dcterms:W3CDTF">2023-10-10T08:52:00Z</dcterms:created>
  <dcterms:modified xsi:type="dcterms:W3CDTF">2023-10-10T08:52:00Z</dcterms:modified>
</cp:coreProperties>
</file>