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32EA9" w:rsidRPr="00DB58B5" w14:paraId="6644C595" w14:textId="77777777" w:rsidTr="00F01738">
        <w:trPr>
          <w:trHeight w:hRule="exact" w:val="851"/>
        </w:trPr>
        <w:tc>
          <w:tcPr>
            <w:tcW w:w="1276" w:type="dxa"/>
            <w:tcBorders>
              <w:bottom w:val="single" w:sz="4" w:space="0" w:color="auto"/>
            </w:tcBorders>
          </w:tcPr>
          <w:p w14:paraId="4B5AF346" w14:textId="77777777" w:rsidR="00132EA9" w:rsidRPr="00DB58B5" w:rsidRDefault="00132EA9" w:rsidP="00FE4392"/>
        </w:tc>
        <w:tc>
          <w:tcPr>
            <w:tcW w:w="2268" w:type="dxa"/>
            <w:tcBorders>
              <w:bottom w:val="single" w:sz="4" w:space="0" w:color="auto"/>
            </w:tcBorders>
            <w:vAlign w:val="bottom"/>
          </w:tcPr>
          <w:p w14:paraId="7B33A83B" w14:textId="77777777" w:rsidR="00132EA9" w:rsidRPr="00DB58B5" w:rsidRDefault="00132EA9" w:rsidP="00F01738">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07C9DD8B" w14:textId="6EF94090" w:rsidR="00132EA9" w:rsidRPr="00DB58B5" w:rsidRDefault="00FE4392" w:rsidP="00FE4392">
            <w:pPr>
              <w:jc w:val="right"/>
            </w:pPr>
            <w:r w:rsidRPr="00FE4392">
              <w:rPr>
                <w:sz w:val="40"/>
              </w:rPr>
              <w:t>ST</w:t>
            </w:r>
            <w:r>
              <w:t>/SG/AC.10/C.3/2023/49</w:t>
            </w:r>
          </w:p>
        </w:tc>
      </w:tr>
      <w:tr w:rsidR="00132EA9" w:rsidRPr="00DB58B5" w14:paraId="52BA18C4" w14:textId="77777777" w:rsidTr="00F01738">
        <w:trPr>
          <w:trHeight w:hRule="exact" w:val="2835"/>
        </w:trPr>
        <w:tc>
          <w:tcPr>
            <w:tcW w:w="1276" w:type="dxa"/>
            <w:tcBorders>
              <w:top w:val="single" w:sz="4" w:space="0" w:color="auto"/>
              <w:bottom w:val="single" w:sz="12" w:space="0" w:color="auto"/>
            </w:tcBorders>
          </w:tcPr>
          <w:p w14:paraId="775CC5C9" w14:textId="77777777" w:rsidR="00132EA9" w:rsidRPr="00DB58B5" w:rsidRDefault="00132EA9" w:rsidP="00F01738">
            <w:pPr>
              <w:spacing w:before="120"/>
              <w:jc w:val="center"/>
            </w:pPr>
            <w:r>
              <w:rPr>
                <w:noProof/>
                <w:lang w:eastAsia="fr-CH"/>
              </w:rPr>
              <w:drawing>
                <wp:inline distT="0" distB="0" distL="0" distR="0" wp14:anchorId="7EACF949" wp14:editId="4CE453E3">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D1C95FF" w14:textId="77777777" w:rsidR="00132EA9" w:rsidRPr="00740562" w:rsidRDefault="00132EA9" w:rsidP="00F01738">
            <w:pPr>
              <w:spacing w:before="120" w:line="420" w:lineRule="exact"/>
              <w:rPr>
                <w:b/>
                <w:sz w:val="40"/>
                <w:szCs w:val="40"/>
              </w:rPr>
            </w:pPr>
            <w:r w:rsidRPr="00A55C22">
              <w:rPr>
                <w:b/>
                <w:sz w:val="40"/>
                <w:szCs w:val="40"/>
              </w:rPr>
              <w:t>Secrétariat</w:t>
            </w:r>
          </w:p>
        </w:tc>
        <w:tc>
          <w:tcPr>
            <w:tcW w:w="2835" w:type="dxa"/>
            <w:tcBorders>
              <w:top w:val="single" w:sz="4" w:space="0" w:color="auto"/>
              <w:bottom w:val="single" w:sz="12" w:space="0" w:color="auto"/>
            </w:tcBorders>
          </w:tcPr>
          <w:p w14:paraId="37952376" w14:textId="77777777" w:rsidR="00132EA9" w:rsidRDefault="00FE4392" w:rsidP="00F01738">
            <w:pPr>
              <w:spacing w:before="240"/>
            </w:pPr>
            <w:r>
              <w:t>Distr. générale</w:t>
            </w:r>
          </w:p>
          <w:p w14:paraId="72C254CC" w14:textId="77777777" w:rsidR="00FE4392" w:rsidRDefault="00FE4392" w:rsidP="00FE4392">
            <w:pPr>
              <w:spacing w:line="240" w:lineRule="exact"/>
            </w:pPr>
            <w:r>
              <w:t>8 septembre 2023</w:t>
            </w:r>
          </w:p>
          <w:p w14:paraId="18EC5D21" w14:textId="77777777" w:rsidR="00FE4392" w:rsidRDefault="00FE4392" w:rsidP="00FE4392">
            <w:pPr>
              <w:spacing w:line="240" w:lineRule="exact"/>
            </w:pPr>
            <w:r>
              <w:t>Français</w:t>
            </w:r>
          </w:p>
          <w:p w14:paraId="0CB339B9" w14:textId="043DDD2A" w:rsidR="00FE4392" w:rsidRPr="00DB58B5" w:rsidRDefault="00FE4392" w:rsidP="00FE4392">
            <w:pPr>
              <w:spacing w:line="240" w:lineRule="exact"/>
            </w:pPr>
            <w:r>
              <w:t>Original : anglais</w:t>
            </w:r>
          </w:p>
        </w:tc>
      </w:tr>
    </w:tbl>
    <w:p w14:paraId="6031E63A" w14:textId="77777777" w:rsidR="00FE4392" w:rsidRPr="00CA0680" w:rsidRDefault="00FE4392" w:rsidP="000305D3">
      <w:pPr>
        <w:spacing w:before="120"/>
        <w:rPr>
          <w:b/>
          <w:sz w:val="24"/>
          <w:szCs w:val="24"/>
        </w:rPr>
      </w:pPr>
      <w:r w:rsidRPr="00CA0680">
        <w:rPr>
          <w:b/>
          <w:sz w:val="24"/>
          <w:szCs w:val="24"/>
        </w:rPr>
        <w:t>Comité d’experts du transport</w:t>
      </w:r>
      <w:r>
        <w:rPr>
          <w:b/>
          <w:sz w:val="24"/>
          <w:szCs w:val="24"/>
        </w:rPr>
        <w:t xml:space="preserve"> </w:t>
      </w:r>
      <w:r w:rsidRPr="00CA0680">
        <w:rPr>
          <w:b/>
          <w:sz w:val="24"/>
          <w:szCs w:val="24"/>
        </w:rPr>
        <w:t>des marchandises dangereuses</w:t>
      </w:r>
      <w:r>
        <w:rPr>
          <w:b/>
          <w:sz w:val="24"/>
          <w:szCs w:val="24"/>
        </w:rPr>
        <w:br/>
      </w:r>
      <w:r w:rsidRPr="00CA0680">
        <w:rPr>
          <w:b/>
          <w:sz w:val="24"/>
          <w:szCs w:val="24"/>
        </w:rPr>
        <w:t>et</w:t>
      </w:r>
      <w:r>
        <w:rPr>
          <w:b/>
          <w:sz w:val="24"/>
          <w:szCs w:val="24"/>
        </w:rPr>
        <w:t xml:space="preserve"> </w:t>
      </w:r>
      <w:r w:rsidRPr="00CA0680">
        <w:rPr>
          <w:b/>
          <w:sz w:val="24"/>
          <w:szCs w:val="24"/>
        </w:rPr>
        <w:t xml:space="preserve">du </w:t>
      </w:r>
      <w:r>
        <w:rPr>
          <w:b/>
          <w:sz w:val="24"/>
          <w:szCs w:val="24"/>
        </w:rPr>
        <w:t>S</w:t>
      </w:r>
      <w:r w:rsidRPr="00CA0680">
        <w:rPr>
          <w:b/>
          <w:sz w:val="24"/>
          <w:szCs w:val="24"/>
        </w:rPr>
        <w:t>ystème général harmonisé</w:t>
      </w:r>
      <w:r>
        <w:rPr>
          <w:b/>
          <w:sz w:val="24"/>
          <w:szCs w:val="24"/>
        </w:rPr>
        <w:t xml:space="preserve"> </w:t>
      </w:r>
      <w:r w:rsidRPr="00CA0680">
        <w:rPr>
          <w:b/>
          <w:sz w:val="24"/>
          <w:szCs w:val="24"/>
        </w:rPr>
        <w:t>de classification</w:t>
      </w:r>
      <w:r>
        <w:rPr>
          <w:b/>
          <w:sz w:val="24"/>
          <w:szCs w:val="24"/>
        </w:rPr>
        <w:br/>
      </w:r>
      <w:r w:rsidRPr="00CA0680">
        <w:rPr>
          <w:b/>
          <w:sz w:val="24"/>
          <w:szCs w:val="24"/>
        </w:rPr>
        <w:t>et d’étiquetage</w:t>
      </w:r>
      <w:r>
        <w:rPr>
          <w:b/>
          <w:sz w:val="24"/>
          <w:szCs w:val="24"/>
        </w:rPr>
        <w:t xml:space="preserve"> </w:t>
      </w:r>
      <w:r w:rsidRPr="00CA0680">
        <w:rPr>
          <w:b/>
          <w:sz w:val="24"/>
          <w:szCs w:val="24"/>
        </w:rPr>
        <w:t>des produits chimiques</w:t>
      </w:r>
    </w:p>
    <w:p w14:paraId="755A2233" w14:textId="77777777" w:rsidR="00FE4392" w:rsidRPr="00CA0680" w:rsidRDefault="00FE4392" w:rsidP="000305D3">
      <w:pPr>
        <w:spacing w:before="120"/>
        <w:rPr>
          <w:b/>
        </w:rPr>
      </w:pPr>
      <w:r w:rsidRPr="00CA0680">
        <w:rPr>
          <w:b/>
        </w:rPr>
        <w:t>Sous</w:t>
      </w:r>
      <w:r>
        <w:rPr>
          <w:b/>
        </w:rPr>
        <w:t>-</w:t>
      </w:r>
      <w:r w:rsidRPr="00CA0680">
        <w:rPr>
          <w:b/>
        </w:rPr>
        <w:t>Comité d’experts du transport des marchandises dangereuses</w:t>
      </w:r>
    </w:p>
    <w:p w14:paraId="579B5842" w14:textId="77777777" w:rsidR="00FE4392" w:rsidRPr="00604CF1" w:rsidRDefault="00FE4392" w:rsidP="00FE4392">
      <w:pPr>
        <w:spacing w:before="120"/>
        <w:rPr>
          <w:b/>
          <w:lang w:val="fr-FR"/>
        </w:rPr>
      </w:pPr>
      <w:r>
        <w:rPr>
          <w:b/>
          <w:bCs/>
          <w:lang w:val="fr-FR"/>
        </w:rPr>
        <w:t>Soixante-troisième session</w:t>
      </w:r>
    </w:p>
    <w:p w14:paraId="7D95CCE4" w14:textId="4286B888" w:rsidR="00FE4392" w:rsidRPr="00604CF1" w:rsidRDefault="00FE4392" w:rsidP="00FE4392">
      <w:pPr>
        <w:rPr>
          <w:lang w:val="fr-FR"/>
        </w:rPr>
      </w:pPr>
      <w:r>
        <w:rPr>
          <w:lang w:val="fr-FR"/>
        </w:rPr>
        <w:t>Genève, 27 novembre</w:t>
      </w:r>
      <w:r>
        <w:rPr>
          <w:lang w:val="fr-FR"/>
        </w:rPr>
        <w:t>-</w:t>
      </w:r>
      <w:r>
        <w:rPr>
          <w:lang w:val="fr-FR"/>
        </w:rPr>
        <w:t>6 décembre 2023</w:t>
      </w:r>
    </w:p>
    <w:p w14:paraId="76E23CC3" w14:textId="77777777" w:rsidR="00FE4392" w:rsidRPr="00604CF1" w:rsidRDefault="00FE4392" w:rsidP="00FE4392">
      <w:pPr>
        <w:rPr>
          <w:lang w:val="fr-FR"/>
        </w:rPr>
      </w:pPr>
      <w:r>
        <w:rPr>
          <w:lang w:val="fr-FR"/>
        </w:rPr>
        <w:t>Point 2 h) de l’ordre du jour provisoire</w:t>
      </w:r>
    </w:p>
    <w:p w14:paraId="60420172" w14:textId="5C69E200" w:rsidR="00FE4392" w:rsidRPr="00604CF1" w:rsidRDefault="00FE4392" w:rsidP="00FE4392">
      <w:pPr>
        <w:rPr>
          <w:b/>
          <w:bCs/>
          <w:lang w:val="fr-FR"/>
        </w:rPr>
      </w:pPr>
      <w:r>
        <w:rPr>
          <w:b/>
          <w:bCs/>
          <w:lang w:val="fr-FR"/>
        </w:rPr>
        <w:t>Explosifs et questions connexes</w:t>
      </w:r>
      <w:r>
        <w:rPr>
          <w:b/>
          <w:bCs/>
          <w:lang w:val="fr-FR"/>
        </w:rPr>
        <w:t> </w:t>
      </w:r>
      <w:r>
        <w:rPr>
          <w:b/>
          <w:bCs/>
          <w:lang w:val="fr-FR"/>
        </w:rPr>
        <w:t xml:space="preserve">: Questions diverses </w:t>
      </w:r>
    </w:p>
    <w:p w14:paraId="5F3E4EF3" w14:textId="77777777" w:rsidR="00FE4392" w:rsidRPr="00604CF1" w:rsidRDefault="00FE4392" w:rsidP="00FE4392">
      <w:pPr>
        <w:pStyle w:val="HChG"/>
        <w:rPr>
          <w:lang w:val="fr-FR"/>
        </w:rPr>
      </w:pPr>
      <w:r>
        <w:rPr>
          <w:lang w:val="fr-FR"/>
        </w:rPr>
        <w:tab/>
      </w:r>
      <w:r>
        <w:rPr>
          <w:lang w:val="fr-FR"/>
        </w:rPr>
        <w:tab/>
        <w:t xml:space="preserve">Nouvelles rubriques pour la 1,4-benzoquinone </w:t>
      </w:r>
      <w:proofErr w:type="spellStart"/>
      <w:r>
        <w:rPr>
          <w:lang w:val="fr-FR"/>
        </w:rPr>
        <w:t>dioxime</w:t>
      </w:r>
      <w:proofErr w:type="spellEnd"/>
    </w:p>
    <w:p w14:paraId="7467A6A0" w14:textId="77777777" w:rsidR="00FE4392" w:rsidRPr="00604CF1" w:rsidRDefault="00FE4392" w:rsidP="00FE4392">
      <w:pPr>
        <w:pStyle w:val="H1G"/>
        <w:rPr>
          <w:lang w:val="fr-FR"/>
        </w:rPr>
      </w:pPr>
      <w:r>
        <w:rPr>
          <w:lang w:val="fr-FR"/>
        </w:rPr>
        <w:tab/>
      </w:r>
      <w:r>
        <w:rPr>
          <w:lang w:val="fr-FR"/>
        </w:rPr>
        <w:tab/>
        <w:t xml:space="preserve">Communication du Council on Safe Transportation of </w:t>
      </w:r>
      <w:proofErr w:type="spellStart"/>
      <w:r>
        <w:rPr>
          <w:lang w:val="fr-FR"/>
        </w:rPr>
        <w:t>Hazardous</w:t>
      </w:r>
      <w:proofErr w:type="spellEnd"/>
      <w:r>
        <w:rPr>
          <w:lang w:val="fr-FR"/>
        </w:rPr>
        <w:t xml:space="preserve"> Articles (COSTHA)</w:t>
      </w:r>
      <w:r w:rsidRPr="00FE4392">
        <w:rPr>
          <w:rStyle w:val="Appelnotedebasdep"/>
          <w:b w:val="0"/>
          <w:bCs/>
          <w:sz w:val="20"/>
          <w:vertAlign w:val="baseline"/>
          <w:lang w:val="fr-FR"/>
        </w:rPr>
        <w:footnoteReference w:customMarkFollows="1" w:id="2"/>
        <w:t>*</w:t>
      </w:r>
    </w:p>
    <w:p w14:paraId="47704CF9" w14:textId="650FFF00" w:rsidR="00FE4392" w:rsidRPr="00604CF1" w:rsidRDefault="00FE4392" w:rsidP="00FE4392">
      <w:pPr>
        <w:pStyle w:val="HChG"/>
        <w:rPr>
          <w:sz w:val="22"/>
          <w:szCs w:val="22"/>
          <w:lang w:val="fr-FR"/>
        </w:rPr>
      </w:pPr>
      <w:r>
        <w:rPr>
          <w:lang w:val="fr-FR"/>
        </w:rPr>
        <w:tab/>
      </w:r>
      <w:r>
        <w:rPr>
          <w:lang w:val="fr-FR"/>
        </w:rPr>
        <w:t>I.</w:t>
      </w:r>
      <w:r>
        <w:rPr>
          <w:lang w:val="fr-FR"/>
        </w:rPr>
        <w:tab/>
        <w:t>Introduction</w:t>
      </w:r>
    </w:p>
    <w:p w14:paraId="3A45C83F" w14:textId="45C55D64" w:rsidR="00FE4392" w:rsidRPr="00604CF1" w:rsidRDefault="00FE4392" w:rsidP="00FE4392">
      <w:pPr>
        <w:pStyle w:val="SingleTxtG"/>
        <w:rPr>
          <w:lang w:val="fr-FR"/>
        </w:rPr>
      </w:pPr>
      <w:r>
        <w:rPr>
          <w:lang w:val="fr-FR"/>
        </w:rPr>
        <w:t>1.</w:t>
      </w:r>
      <w:r>
        <w:rPr>
          <w:lang w:val="fr-FR"/>
        </w:rPr>
        <w:tab/>
        <w:t>Les épreuves réalisées par deux laboratoires indépendants montrent que la 1,4</w:t>
      </w:r>
      <w:r>
        <w:rPr>
          <w:lang w:val="fr-FR"/>
        </w:rPr>
        <w:noBreakHyphen/>
      </w:r>
      <w:r>
        <w:rPr>
          <w:lang w:val="fr-FR"/>
        </w:rPr>
        <w:t xml:space="preserve">benzoquinone </w:t>
      </w:r>
      <w:proofErr w:type="spellStart"/>
      <w:r>
        <w:rPr>
          <w:lang w:val="fr-FR"/>
        </w:rPr>
        <w:t>dioxime</w:t>
      </w:r>
      <w:proofErr w:type="spellEnd"/>
      <w:r>
        <w:rPr>
          <w:lang w:val="fr-FR"/>
        </w:rPr>
        <w:t xml:space="preserve"> (</w:t>
      </w:r>
      <w:proofErr w:type="spellStart"/>
      <w:r>
        <w:rPr>
          <w:lang w:val="fr-FR"/>
        </w:rPr>
        <w:t>dioxime</w:t>
      </w:r>
      <w:proofErr w:type="spellEnd"/>
      <w:r>
        <w:rPr>
          <w:lang w:val="fr-FR"/>
        </w:rPr>
        <w:t xml:space="preserve"> de quinone) répond aux critères de définition d’une matière explosible de classe 1. Cette conclusion a été confirmée par l’autorité compétente allemande (BAM), puis par l’autorité compétente des États-Unis d’Amérique (PHMSA). Malgré ses propriétés, la </w:t>
      </w:r>
      <w:proofErr w:type="spellStart"/>
      <w:r>
        <w:rPr>
          <w:lang w:val="fr-FR"/>
        </w:rPr>
        <w:t>dioxime</w:t>
      </w:r>
      <w:proofErr w:type="spellEnd"/>
      <w:r>
        <w:rPr>
          <w:lang w:val="fr-FR"/>
        </w:rPr>
        <w:t xml:space="preserve"> de quinone est produite et distribuée aux utilisateurs finaux partout dans le monde, sous diverses formes, considérées comme dangereuses ou non. Le présent document a pour objet d’harmoniser le classement de cette matière aux fins de son transport, </w:t>
      </w:r>
      <w:r w:rsidRPr="00750F8D">
        <w:rPr>
          <w:i/>
          <w:iCs/>
          <w:lang w:val="fr-FR"/>
        </w:rPr>
        <w:t xml:space="preserve">compte tenu des </w:t>
      </w:r>
      <w:r>
        <w:rPr>
          <w:i/>
          <w:iCs/>
          <w:lang w:val="fr-FR"/>
        </w:rPr>
        <w:t>données</w:t>
      </w:r>
      <w:r w:rsidRPr="00750F8D">
        <w:rPr>
          <w:i/>
          <w:iCs/>
          <w:lang w:val="fr-FR"/>
        </w:rPr>
        <w:t xml:space="preserve"> empiriques</w:t>
      </w:r>
      <w:r>
        <w:rPr>
          <w:i/>
          <w:iCs/>
          <w:lang w:val="fr-FR"/>
        </w:rPr>
        <w:t xml:space="preserve"> obtenues grâce aux épreuves</w:t>
      </w:r>
      <w:r w:rsidRPr="00750F8D">
        <w:rPr>
          <w:i/>
          <w:iCs/>
          <w:lang w:val="fr-FR"/>
        </w:rPr>
        <w:t xml:space="preserve"> et de l</w:t>
      </w:r>
      <w:r>
        <w:rPr>
          <w:i/>
          <w:iCs/>
          <w:lang w:val="fr-FR"/>
        </w:rPr>
        <w:t>’</w:t>
      </w:r>
      <w:r w:rsidRPr="00750F8D">
        <w:rPr>
          <w:i/>
          <w:iCs/>
          <w:lang w:val="fr-FR"/>
        </w:rPr>
        <w:t>application des critères de classement</w:t>
      </w:r>
      <w:r>
        <w:rPr>
          <w:lang w:val="fr-FR"/>
        </w:rPr>
        <w:t>, moyennant l’ajout d’un nouveau numéro ONU.</w:t>
      </w:r>
    </w:p>
    <w:p w14:paraId="221FDFEC" w14:textId="3F9CA503" w:rsidR="00FE4392" w:rsidRPr="00604CF1" w:rsidRDefault="00FE4392" w:rsidP="00FE4392">
      <w:pPr>
        <w:pStyle w:val="HChG"/>
        <w:rPr>
          <w:lang w:val="fr-FR"/>
        </w:rPr>
      </w:pPr>
      <w:r>
        <w:rPr>
          <w:lang w:val="fr-FR"/>
        </w:rPr>
        <w:tab/>
      </w:r>
      <w:r>
        <w:rPr>
          <w:lang w:val="fr-FR"/>
        </w:rPr>
        <w:t>II.</w:t>
      </w:r>
      <w:r>
        <w:rPr>
          <w:lang w:val="fr-FR"/>
        </w:rPr>
        <w:tab/>
        <w:t>Contexte</w:t>
      </w:r>
    </w:p>
    <w:p w14:paraId="3BDE1BB4" w14:textId="77777777" w:rsidR="00FE4392" w:rsidRPr="00604CF1" w:rsidRDefault="00FE4392" w:rsidP="00FE4392">
      <w:pPr>
        <w:pStyle w:val="SingleTxtG"/>
        <w:rPr>
          <w:lang w:val="fr-FR"/>
        </w:rPr>
      </w:pPr>
      <w:r>
        <w:rPr>
          <w:lang w:val="fr-FR"/>
        </w:rPr>
        <w:t>2.</w:t>
      </w:r>
      <w:r>
        <w:rPr>
          <w:lang w:val="fr-FR"/>
        </w:rPr>
        <w:tab/>
        <w:t xml:space="preserve">Dans le cadre du processus d’enregistrement REACH, en 2016, un examinateur de l’Agence européenne des produits chimiques (ECHA) a constaté que la </w:t>
      </w:r>
      <w:proofErr w:type="spellStart"/>
      <w:r>
        <w:rPr>
          <w:lang w:val="fr-FR"/>
        </w:rPr>
        <w:t>dioxime</w:t>
      </w:r>
      <w:proofErr w:type="spellEnd"/>
      <w:r>
        <w:rPr>
          <w:lang w:val="fr-FR"/>
        </w:rPr>
        <w:t xml:space="preserve"> de quinone ne satisfaisait pas aux critères de </w:t>
      </w:r>
      <w:r w:rsidRPr="0083572C">
        <w:rPr>
          <w:lang w:val="fr-FR"/>
        </w:rPr>
        <w:t xml:space="preserve">présélection </w:t>
      </w:r>
      <w:r>
        <w:rPr>
          <w:lang w:val="fr-FR"/>
        </w:rPr>
        <w:t xml:space="preserve">de l’appendice 6 du </w:t>
      </w:r>
      <w:r w:rsidRPr="00750F8D">
        <w:rPr>
          <w:i/>
          <w:iCs/>
          <w:lang w:val="fr-FR"/>
        </w:rPr>
        <w:t>Manuel d</w:t>
      </w:r>
      <w:r>
        <w:rPr>
          <w:i/>
          <w:iCs/>
          <w:lang w:val="fr-FR"/>
        </w:rPr>
        <w:t>’</w:t>
      </w:r>
      <w:r w:rsidRPr="00750F8D">
        <w:rPr>
          <w:i/>
          <w:iCs/>
          <w:lang w:val="fr-FR"/>
        </w:rPr>
        <w:t>épreuves et de critères</w:t>
      </w:r>
      <w:r>
        <w:rPr>
          <w:lang w:val="fr-FR"/>
        </w:rPr>
        <w:t>. Il fallait donc recourir à des épreuves pour revoir le classement initial de cette matière (No ONU 1325, solide inflammable, division 4.1, groupe d’emballage II, et/ou non réglementée selon certaines classifications). La série d’épreuves 3 a donné des résultats satisfaisants en ce qui concerne la stabilité et la sensibilité.</w:t>
      </w:r>
    </w:p>
    <w:p w14:paraId="52D9A05B" w14:textId="1AD9881C" w:rsidR="00FE4392" w:rsidRPr="00604CF1" w:rsidRDefault="00FE4392" w:rsidP="00FE4392">
      <w:pPr>
        <w:pStyle w:val="SingleTxtG"/>
        <w:rPr>
          <w:lang w:val="fr-FR"/>
        </w:rPr>
      </w:pPr>
      <w:r>
        <w:rPr>
          <w:lang w:val="fr-FR"/>
        </w:rPr>
        <w:t>3.</w:t>
      </w:r>
      <w:r>
        <w:rPr>
          <w:lang w:val="fr-FR"/>
        </w:rPr>
        <w:tab/>
        <w:t xml:space="preserve">La </w:t>
      </w:r>
      <w:proofErr w:type="spellStart"/>
      <w:r>
        <w:rPr>
          <w:lang w:val="fr-FR"/>
        </w:rPr>
        <w:t>dioxime</w:t>
      </w:r>
      <w:proofErr w:type="spellEnd"/>
      <w:r>
        <w:rPr>
          <w:lang w:val="fr-FR"/>
        </w:rPr>
        <w:t xml:space="preserve"> de quinone a fait l’objet d’épreuves à petite échelle en laboratoire en ce qui concerne l’énergie et a passé avec succès l’épreuve d’amorçage de la détonation (épreuve</w:t>
      </w:r>
      <w:r>
        <w:rPr>
          <w:lang w:val="fr-FR"/>
        </w:rPr>
        <w:t> </w:t>
      </w:r>
      <w:r>
        <w:rPr>
          <w:lang w:val="fr-FR"/>
        </w:rPr>
        <w:t xml:space="preserve">1 a)), ce qui indique qu’elle ne détonera pas. L’épreuve de </w:t>
      </w:r>
      <w:proofErr w:type="spellStart"/>
      <w:r>
        <w:rPr>
          <w:lang w:val="fr-FR"/>
        </w:rPr>
        <w:t>Koenen</w:t>
      </w:r>
      <w:proofErr w:type="spellEnd"/>
      <w:r>
        <w:rPr>
          <w:lang w:val="fr-FR"/>
        </w:rPr>
        <w:t xml:space="preserve"> (épreuve 2 b)) n’a cependant pas donné de résultats satisfaisants, le diamètre limite étant de 5 mm au lieu de 2 mm, ce qui dénote un risque de déflagration sous confinement. Les résultats, presque </w:t>
      </w:r>
      <w:r>
        <w:rPr>
          <w:lang w:val="fr-FR"/>
        </w:rPr>
        <w:lastRenderedPageBreak/>
        <w:t xml:space="preserve">satisfaisants, de l’épreuve pression/temps (épreuve 2 c)) ont également révélé un risque de déflagration. </w:t>
      </w:r>
    </w:p>
    <w:p w14:paraId="01E9A658" w14:textId="77777777" w:rsidR="00FE4392" w:rsidRPr="00604CF1" w:rsidRDefault="00FE4392" w:rsidP="00FE4392">
      <w:pPr>
        <w:pStyle w:val="SingleTxtG"/>
        <w:rPr>
          <w:lang w:val="fr-FR"/>
        </w:rPr>
      </w:pPr>
      <w:r>
        <w:rPr>
          <w:lang w:val="fr-FR"/>
        </w:rPr>
        <w:t>4.</w:t>
      </w:r>
      <w:r>
        <w:rPr>
          <w:lang w:val="fr-FR"/>
        </w:rPr>
        <w:tab/>
        <w:t xml:space="preserve">La </w:t>
      </w:r>
      <w:proofErr w:type="spellStart"/>
      <w:r>
        <w:rPr>
          <w:lang w:val="fr-FR"/>
        </w:rPr>
        <w:t>dioxime</w:t>
      </w:r>
      <w:proofErr w:type="spellEnd"/>
      <w:r>
        <w:rPr>
          <w:lang w:val="fr-FR"/>
        </w:rPr>
        <w:t xml:space="preserve"> de quinone a été soumise à l’épreuve sur un seul colis (épreuve 6 a)), qui a donné un résultat négatif, puis à l’épreuve du feu extérieur (épreuve 6 c)), qui a été réalisée à quatre reprises dans différents emballages allant de 2 kg à 45 kg. Le plus grand emballage, d’une quantité nette de 45 kg, a présenté un rayon de flamme de 2 m (le COSTHA communiquera le rapport d’épreuve ultérieurement sous forme de document informel), qui était réduit puis nul lors des épreuves suivantes, portant sur des emballages plus petits. Aucune explosion n’a été observée, mais les durées de combustion et les mesures de flux thermique correspondaient à un classement dans la division 1.4.</w:t>
      </w:r>
    </w:p>
    <w:p w14:paraId="7B9F24EE" w14:textId="26475F55" w:rsidR="00FE4392" w:rsidRPr="00604CF1" w:rsidRDefault="00FE4392" w:rsidP="00FE4392">
      <w:pPr>
        <w:pStyle w:val="SingleTxtG"/>
        <w:rPr>
          <w:lang w:val="fr-FR"/>
        </w:rPr>
      </w:pPr>
      <w:r>
        <w:rPr>
          <w:lang w:val="fr-FR"/>
        </w:rPr>
        <w:t>5.</w:t>
      </w:r>
      <w:r>
        <w:rPr>
          <w:lang w:val="fr-FR"/>
        </w:rPr>
        <w:tab/>
        <w:t xml:space="preserve">Les mesures du rayon de la flamme allaient toutefois d’un maximum de 2 m pour une quantité unitaire de 45 kg à moins d’un mètre pour des quantités unitaires plus faibles (le COSTHA communiquera le rapport d’épreuve ultérieurement sous forme de document informel). Ce dernier résultat correspondrait à la division 1.4S, auquel cas un produit chimique comme la </w:t>
      </w:r>
      <w:proofErr w:type="spellStart"/>
      <w:r>
        <w:rPr>
          <w:lang w:val="fr-FR"/>
        </w:rPr>
        <w:t>dioxime</w:t>
      </w:r>
      <w:proofErr w:type="spellEnd"/>
      <w:r>
        <w:rPr>
          <w:lang w:val="fr-FR"/>
        </w:rPr>
        <w:t xml:space="preserve"> de quinone, qui n’est pas une matière </w:t>
      </w:r>
      <w:r w:rsidRPr="00A226B3">
        <w:rPr>
          <w:lang w:val="fr-FR"/>
        </w:rPr>
        <w:t xml:space="preserve">utilisée </w:t>
      </w:r>
      <w:r>
        <w:rPr>
          <w:lang w:val="fr-FR"/>
        </w:rPr>
        <w:t xml:space="preserve">à des fins énergétiques, sortirait de la classe 1 (voir le paragraphe 2.1.3.6.2 du </w:t>
      </w:r>
      <w:r>
        <w:rPr>
          <w:i/>
          <w:iCs/>
          <w:lang w:val="fr-FR"/>
        </w:rPr>
        <w:t>Règlement type</w:t>
      </w:r>
      <w:r>
        <w:rPr>
          <w:lang w:val="fr-FR"/>
        </w:rPr>
        <w:t xml:space="preserve">). Il découle de ces résultats que la </w:t>
      </w:r>
      <w:proofErr w:type="spellStart"/>
      <w:r>
        <w:rPr>
          <w:lang w:val="fr-FR"/>
        </w:rPr>
        <w:t>dioxime</w:t>
      </w:r>
      <w:proofErr w:type="spellEnd"/>
      <w:r>
        <w:rPr>
          <w:lang w:val="fr-FR"/>
        </w:rPr>
        <w:t xml:space="preserve"> de quinone produit beaucoup moins d’énergie que les poudres.</w:t>
      </w:r>
    </w:p>
    <w:p w14:paraId="2358A9B0" w14:textId="77777777" w:rsidR="00FE4392" w:rsidRPr="00604CF1" w:rsidRDefault="00FE4392" w:rsidP="00FE4392">
      <w:pPr>
        <w:pStyle w:val="SingleTxtG"/>
        <w:rPr>
          <w:lang w:val="fr-FR"/>
        </w:rPr>
      </w:pPr>
      <w:r>
        <w:rPr>
          <w:lang w:val="fr-FR"/>
        </w:rPr>
        <w:t>6.</w:t>
      </w:r>
      <w:r>
        <w:rPr>
          <w:lang w:val="fr-FR"/>
        </w:rPr>
        <w:tab/>
        <w:t xml:space="preserve">Les résultats de la mesure des flux ont toujours déterminé le classement, même dans le cas d’emballages plus petits. Ces mesures sont rarement utilisées par les laboratoires d’essai, qui privilégient la mesure du rayon de la flamme. Certains experts se demandent s’il y a lieu que ces produits, du fait des résultats de la mesure des flux, fassent l’objet de contrôles plus stricts en matière de transport que d’autres produits inflammables, surtout si l’on tient compte de l’importance primordiale qu’ils revêtent pour la fabrication du caoutchouc. Leur classement en tant que matières explosibles pourrait empêcher l’industrie de les utiliser dans des conditions normales. Comme indiqué ci-dessus, la </w:t>
      </w:r>
      <w:proofErr w:type="spellStart"/>
      <w:r>
        <w:rPr>
          <w:lang w:val="fr-FR"/>
        </w:rPr>
        <w:t>dioxime</w:t>
      </w:r>
      <w:proofErr w:type="spellEnd"/>
      <w:r>
        <w:rPr>
          <w:lang w:val="fr-FR"/>
        </w:rPr>
        <w:t xml:space="preserve"> de quinone continue d’être déclarée en tant que matière non dangereuse. Le COSTHA se demande si une solution plus pragmatique ne pourrait pas être trouvée.</w:t>
      </w:r>
    </w:p>
    <w:p w14:paraId="1B728CA5" w14:textId="09A0797A" w:rsidR="00FE4392" w:rsidRPr="00604CF1" w:rsidRDefault="00FE4392" w:rsidP="00FE4392">
      <w:pPr>
        <w:pStyle w:val="SingleTxtG"/>
        <w:rPr>
          <w:lang w:val="fr-FR"/>
        </w:rPr>
      </w:pPr>
      <w:r>
        <w:rPr>
          <w:lang w:val="fr-FR"/>
        </w:rPr>
        <w:t>7.</w:t>
      </w:r>
      <w:r>
        <w:rPr>
          <w:lang w:val="fr-FR"/>
        </w:rPr>
        <w:tab/>
        <w:t xml:space="preserve">La </w:t>
      </w:r>
      <w:proofErr w:type="spellStart"/>
      <w:r>
        <w:rPr>
          <w:lang w:val="fr-FR"/>
        </w:rPr>
        <w:t>dioxime</w:t>
      </w:r>
      <w:proofErr w:type="spellEnd"/>
      <w:r>
        <w:rPr>
          <w:lang w:val="fr-FR"/>
        </w:rPr>
        <w:t xml:space="preserve"> de quinone a ainsi été classée en tant qu’explosif relevant de la division</w:t>
      </w:r>
      <w:r>
        <w:rPr>
          <w:lang w:val="fr-FR"/>
        </w:rPr>
        <w:t> </w:t>
      </w:r>
      <w:r>
        <w:rPr>
          <w:lang w:val="fr-FR"/>
        </w:rPr>
        <w:t>1.4 sur la seule base des caractéristiques du flux thermique. Les épreuves relatives à l’acceptation dans la classe des matières et objets explosifs ont été répétées par un laboratoire américain en 2021 et ont donné des résultats identiques.</w:t>
      </w:r>
    </w:p>
    <w:p w14:paraId="148A6944" w14:textId="6C61009B" w:rsidR="00FE4392" w:rsidRPr="00604CF1" w:rsidRDefault="00FE4392" w:rsidP="00FE4392">
      <w:pPr>
        <w:pStyle w:val="HChG"/>
        <w:rPr>
          <w:lang w:val="fr-FR"/>
        </w:rPr>
      </w:pPr>
      <w:r>
        <w:rPr>
          <w:lang w:val="fr-FR"/>
        </w:rPr>
        <w:tab/>
      </w:r>
      <w:r>
        <w:rPr>
          <w:lang w:val="fr-FR"/>
        </w:rPr>
        <w:t>III.</w:t>
      </w:r>
      <w:r>
        <w:rPr>
          <w:lang w:val="fr-FR"/>
        </w:rPr>
        <w:tab/>
        <w:t>Examen</w:t>
      </w:r>
    </w:p>
    <w:p w14:paraId="1CF50895" w14:textId="77777777" w:rsidR="00FE4392" w:rsidRPr="00604CF1" w:rsidRDefault="00FE4392" w:rsidP="00FE4392">
      <w:pPr>
        <w:pStyle w:val="SingleTxtG"/>
        <w:rPr>
          <w:lang w:val="fr-FR"/>
        </w:rPr>
      </w:pPr>
      <w:r>
        <w:rPr>
          <w:lang w:val="fr-FR"/>
        </w:rPr>
        <w:t>8.</w:t>
      </w:r>
      <w:r>
        <w:rPr>
          <w:lang w:val="fr-FR"/>
        </w:rPr>
        <w:tab/>
        <w:t>Le manque de cohérence dans le classement des matières remet en question la sécurité des transports, en premier lieu, ainsi que la compétitivité commerciale. Le classement doit être harmonisé au niveau mondial dans le cas de matières qui ont une composition identique et qui sont produites et soumises à des épreuves dans différentes régions. À la suite d’épreuves menées à l’échelle régionale, cette matière, utilisée dans la fabrication de pneumatiques et dans l’industrie des caoutchoucs spéciaux, a été reclassée au niveau régional, passant de la division 4.1 à la division 1.4, ce qui a entraîné d’importantes complications en matière de transport.</w:t>
      </w:r>
    </w:p>
    <w:p w14:paraId="7F56FC6A" w14:textId="77777777" w:rsidR="00FE4392" w:rsidRPr="00604CF1" w:rsidRDefault="00FE4392" w:rsidP="00FE4392">
      <w:pPr>
        <w:pStyle w:val="SingleTxtG"/>
        <w:rPr>
          <w:lang w:val="fr-FR"/>
        </w:rPr>
      </w:pPr>
      <w:r>
        <w:rPr>
          <w:lang w:val="fr-FR"/>
        </w:rPr>
        <w:t>9.</w:t>
      </w:r>
      <w:r>
        <w:rPr>
          <w:lang w:val="fr-FR"/>
        </w:rPr>
        <w:tab/>
        <w:t xml:space="preserve">Les résultats de certaines épreuves indiquent que la matière pourrait parfois être classée dans la division 1.4, groupe de compatibilité C. Il est toutefois reconnu que ce classement n’est pas utilisé partout. Le COSTHA est d’avis qu’il importe de classer correctement la </w:t>
      </w:r>
      <w:proofErr w:type="spellStart"/>
      <w:r>
        <w:rPr>
          <w:lang w:val="fr-FR"/>
        </w:rPr>
        <w:t>dioxime</w:t>
      </w:r>
      <w:proofErr w:type="spellEnd"/>
      <w:r>
        <w:rPr>
          <w:lang w:val="fr-FR"/>
        </w:rPr>
        <w:t xml:space="preserve"> de quinone et de déterminer les dangers qui y sont associés aux fins de son transport. Pour lever toute ambiguïté quant au classement de la </w:t>
      </w:r>
      <w:proofErr w:type="spellStart"/>
      <w:r>
        <w:rPr>
          <w:lang w:val="fr-FR"/>
        </w:rPr>
        <w:t>dioxime</w:t>
      </w:r>
      <w:proofErr w:type="spellEnd"/>
      <w:r>
        <w:rPr>
          <w:lang w:val="fr-FR"/>
        </w:rPr>
        <w:t xml:space="preserve"> de quinone, le COSTHA pense qu’il convient de créer une nouvelle rubrique indiquant la division 1.4, groupe de compatibilité C. </w:t>
      </w:r>
    </w:p>
    <w:p w14:paraId="471E68DE" w14:textId="77777777" w:rsidR="00FE4392" w:rsidRPr="00604CF1" w:rsidRDefault="00FE4392" w:rsidP="00FE4392">
      <w:pPr>
        <w:pStyle w:val="SingleTxtG"/>
        <w:tabs>
          <w:tab w:val="clear" w:pos="1701"/>
          <w:tab w:val="clear" w:pos="2268"/>
          <w:tab w:val="clear" w:pos="2835"/>
        </w:tabs>
        <w:rPr>
          <w:lang w:val="fr-FR"/>
        </w:rPr>
      </w:pPr>
      <w:r>
        <w:rPr>
          <w:lang w:val="fr-FR"/>
        </w:rPr>
        <w:t>10.</w:t>
      </w:r>
      <w:r>
        <w:rPr>
          <w:lang w:val="fr-FR"/>
        </w:rPr>
        <w:tab/>
        <w:t>Le Groupe de travail des explosifs a examiné l’utilité des nouvelles rubriques envisagées à la soixante-deuxième session du Sous-Comité, sur la base d’un document informel (UN/SCETDG/62/INF.62). Dans son rapport (document informel UN/SCETDG/62/INF.47), il s’est prononcé en faveur de la création de deux rubriques, sous réserve de leur examen par le Sous-Comité.</w:t>
      </w:r>
    </w:p>
    <w:p w14:paraId="74A9D7F3" w14:textId="6061187E" w:rsidR="00FE4392" w:rsidRPr="00604CF1" w:rsidRDefault="00FE4392" w:rsidP="00FE4392">
      <w:pPr>
        <w:pStyle w:val="SingleTxtG"/>
        <w:rPr>
          <w:lang w:val="fr-FR"/>
        </w:rPr>
      </w:pPr>
      <w:r>
        <w:rPr>
          <w:lang w:val="fr-FR"/>
        </w:rPr>
        <w:lastRenderedPageBreak/>
        <w:t>11.</w:t>
      </w:r>
      <w:r>
        <w:rPr>
          <w:lang w:val="fr-FR"/>
        </w:rPr>
        <w:tab/>
        <w:t xml:space="preserve">Le COSTHA propose deux nouvelles rubriques pour le 1,4-benzoquinone </w:t>
      </w:r>
      <w:proofErr w:type="spellStart"/>
      <w:r>
        <w:rPr>
          <w:lang w:val="fr-FR"/>
        </w:rPr>
        <w:t>dioxime</w:t>
      </w:r>
      <w:proofErr w:type="spellEnd"/>
      <w:r>
        <w:rPr>
          <w:lang w:val="fr-FR"/>
        </w:rPr>
        <w:t xml:space="preserve"> (</w:t>
      </w:r>
      <w:proofErr w:type="spellStart"/>
      <w:r>
        <w:rPr>
          <w:lang w:val="fr-FR"/>
        </w:rPr>
        <w:t>dioxime</w:t>
      </w:r>
      <w:proofErr w:type="spellEnd"/>
      <w:r>
        <w:rPr>
          <w:lang w:val="fr-FR"/>
        </w:rPr>
        <w:t xml:space="preserve"> de quinone) qui tiendraient compte des dangers que présente cette matière et qui garantiraient à cet égard l’utilisation d’emballage</w:t>
      </w:r>
      <w:r>
        <w:rPr>
          <w:lang w:val="fr-FR"/>
        </w:rPr>
        <w:t>s</w:t>
      </w:r>
      <w:r>
        <w:rPr>
          <w:lang w:val="fr-FR"/>
        </w:rPr>
        <w:t xml:space="preserve"> sûrs et adéquats ainsi que la communication des dangers connexes.</w:t>
      </w:r>
    </w:p>
    <w:p w14:paraId="32CE742C" w14:textId="07F5800E" w:rsidR="00FE4392" w:rsidRPr="00604CF1" w:rsidRDefault="00FE4392" w:rsidP="00FE4392">
      <w:pPr>
        <w:pStyle w:val="HChG"/>
        <w:rPr>
          <w:lang w:val="fr-FR"/>
        </w:rPr>
      </w:pPr>
      <w:r>
        <w:rPr>
          <w:lang w:val="fr-FR"/>
        </w:rPr>
        <w:tab/>
      </w:r>
      <w:r>
        <w:rPr>
          <w:lang w:val="fr-FR"/>
        </w:rPr>
        <w:t>IV.</w:t>
      </w:r>
      <w:r>
        <w:rPr>
          <w:lang w:val="fr-FR"/>
        </w:rPr>
        <w:tab/>
        <w:t>Formule de renseignements à communiquer à l’ONU en vue du classement ou du reclassement d’une matière</w:t>
      </w:r>
    </w:p>
    <w:p w14:paraId="354B8F3B" w14:textId="20B2E5FF" w:rsidR="00FE4392" w:rsidRPr="00604CF1" w:rsidRDefault="00FE4392" w:rsidP="00FE4392">
      <w:pPr>
        <w:pStyle w:val="H23G"/>
        <w:rPr>
          <w:sz w:val="22"/>
          <w:szCs w:val="22"/>
          <w:lang w:val="fr-FR"/>
        </w:rPr>
      </w:pPr>
      <w:r>
        <w:rPr>
          <w:lang w:val="fr-FR"/>
        </w:rPr>
        <w:tab/>
      </w:r>
      <w:r>
        <w:rPr>
          <w:lang w:val="fr-FR"/>
        </w:rPr>
        <w:tab/>
      </w:r>
      <w:r>
        <w:rPr>
          <w:lang w:val="fr-FR"/>
        </w:rPr>
        <w:t xml:space="preserve">Section 1. IDENTIFICATION DE LA MATIÈRE </w:t>
      </w:r>
    </w:p>
    <w:p w14:paraId="2EC29CB5" w14:textId="77777777" w:rsidR="00FE4392" w:rsidRPr="00604CF1" w:rsidRDefault="00FE4392" w:rsidP="00FE4392">
      <w:pPr>
        <w:pStyle w:val="SingleTxtG"/>
        <w:rPr>
          <w:lang w:val="fr-FR"/>
        </w:rPr>
      </w:pPr>
      <w:r>
        <w:rPr>
          <w:lang w:val="fr-FR"/>
        </w:rPr>
        <w:t>1.1</w:t>
      </w:r>
      <w:r>
        <w:rPr>
          <w:lang w:val="fr-FR"/>
        </w:rPr>
        <w:tab/>
        <w:t xml:space="preserve">Nom chimique : 1,4-benzoquinone </w:t>
      </w:r>
      <w:proofErr w:type="spellStart"/>
      <w:r>
        <w:rPr>
          <w:lang w:val="fr-FR"/>
        </w:rPr>
        <w:t>dioxime</w:t>
      </w:r>
      <w:proofErr w:type="spellEnd"/>
    </w:p>
    <w:p w14:paraId="7B029029" w14:textId="0A2E2768" w:rsidR="00FE4392" w:rsidRPr="00604CF1" w:rsidRDefault="00FE4392" w:rsidP="00FE4392">
      <w:pPr>
        <w:pStyle w:val="SingleTxtG"/>
        <w:rPr>
          <w:lang w:val="fr-FR"/>
        </w:rPr>
      </w:pPr>
      <w:r>
        <w:rPr>
          <w:noProof/>
          <w:lang w:val="fr-FR"/>
        </w:rPr>
        <w:drawing>
          <wp:anchor distT="0" distB="0" distL="114300" distR="114300" simplePos="0" relativeHeight="251659264" behindDoc="0" locked="0" layoutInCell="1" allowOverlap="1" wp14:anchorId="287D2A03" wp14:editId="64C17574">
            <wp:simplePos x="0" y="0"/>
            <wp:positionH relativeFrom="margin">
              <wp:posOffset>2232025</wp:posOffset>
            </wp:positionH>
            <wp:positionV relativeFrom="paragraph">
              <wp:posOffset>9525</wp:posOffset>
            </wp:positionV>
            <wp:extent cx="571500" cy="153670"/>
            <wp:effectExtent l="0" t="0" r="0" b="0"/>
            <wp:wrapSquare wrapText="bothSides"/>
            <wp:docPr id="191002820" name="Picture 191002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153670"/>
                    </a:xfrm>
                    <a:prstGeom prst="rect">
                      <a:avLst/>
                    </a:prstGeom>
                    <a:noFill/>
                  </pic:spPr>
                </pic:pic>
              </a:graphicData>
            </a:graphic>
            <wp14:sizeRelH relativeFrom="margin">
              <wp14:pctWidth>0</wp14:pctWidth>
            </wp14:sizeRelH>
            <wp14:sizeRelV relativeFrom="margin">
              <wp14:pctHeight>0</wp14:pctHeight>
            </wp14:sizeRelV>
          </wp:anchor>
        </w:drawing>
      </w:r>
      <w:r>
        <w:rPr>
          <w:lang w:val="fr-FR"/>
        </w:rPr>
        <w:t>1.2</w:t>
      </w:r>
      <w:r>
        <w:rPr>
          <w:lang w:val="fr-FR"/>
        </w:rPr>
        <w:tab/>
        <w:t>Formule chimique</w:t>
      </w:r>
      <w:r>
        <w:rPr>
          <w:lang w:val="fr-FR"/>
        </w:rPr>
        <w:t> </w:t>
      </w:r>
      <w:r>
        <w:rPr>
          <w:lang w:val="fr-FR"/>
        </w:rPr>
        <w:t xml:space="preserve">: </w:t>
      </w:r>
    </w:p>
    <w:p w14:paraId="2C616EE1" w14:textId="2BB75769" w:rsidR="00FE4392" w:rsidRPr="00604CF1" w:rsidRDefault="00FE4392" w:rsidP="00FE4392">
      <w:pPr>
        <w:pStyle w:val="SingleTxtG"/>
        <w:ind w:left="1701" w:hanging="567"/>
        <w:rPr>
          <w:lang w:val="fr-FR"/>
        </w:rPr>
      </w:pPr>
      <w:r>
        <w:rPr>
          <w:lang w:val="fr-FR"/>
        </w:rPr>
        <w:t>1.3</w:t>
      </w:r>
      <w:r>
        <w:rPr>
          <w:lang w:val="fr-FR"/>
        </w:rPr>
        <w:tab/>
        <w:t>Autres noms/synonymes</w:t>
      </w:r>
      <w:r>
        <w:rPr>
          <w:lang w:val="fr-FR"/>
        </w:rPr>
        <w:t> </w:t>
      </w:r>
      <w:r>
        <w:rPr>
          <w:lang w:val="fr-FR"/>
        </w:rPr>
        <w:t>: p-</w:t>
      </w:r>
      <w:proofErr w:type="spellStart"/>
      <w:r>
        <w:rPr>
          <w:lang w:val="fr-FR"/>
        </w:rPr>
        <w:t>benzoquinone</w:t>
      </w:r>
      <w:proofErr w:type="spellEnd"/>
      <w:r>
        <w:rPr>
          <w:lang w:val="fr-FR"/>
        </w:rPr>
        <w:t xml:space="preserve"> </w:t>
      </w:r>
      <w:proofErr w:type="spellStart"/>
      <w:r>
        <w:rPr>
          <w:lang w:val="fr-FR"/>
        </w:rPr>
        <w:t>dioxime</w:t>
      </w:r>
      <w:proofErr w:type="spellEnd"/>
      <w:r>
        <w:rPr>
          <w:lang w:val="fr-FR"/>
        </w:rPr>
        <w:t> </w:t>
      </w:r>
      <w:r>
        <w:rPr>
          <w:lang w:val="fr-FR"/>
        </w:rPr>
        <w:t>; 2,5-Cyclohexadiene-1,4-dione, 1,4-dioxime</w:t>
      </w:r>
      <w:r>
        <w:rPr>
          <w:lang w:val="fr-FR"/>
        </w:rPr>
        <w:t> </w:t>
      </w:r>
      <w:r>
        <w:rPr>
          <w:lang w:val="fr-FR"/>
        </w:rPr>
        <w:t xml:space="preserve">; </w:t>
      </w:r>
      <w:proofErr w:type="spellStart"/>
      <w:r>
        <w:rPr>
          <w:lang w:val="fr-FR"/>
        </w:rPr>
        <w:t>dioxime</w:t>
      </w:r>
      <w:proofErr w:type="spellEnd"/>
      <w:r>
        <w:rPr>
          <w:lang w:val="fr-FR"/>
        </w:rPr>
        <w:t xml:space="preserve"> de quinone</w:t>
      </w:r>
    </w:p>
    <w:p w14:paraId="30E77C7D" w14:textId="47828082" w:rsidR="00FE4392" w:rsidRPr="00604CF1" w:rsidRDefault="00FE4392" w:rsidP="00FE4392">
      <w:pPr>
        <w:pStyle w:val="SingleTxtG"/>
        <w:rPr>
          <w:b/>
          <w:bCs/>
          <w:lang w:val="fr-FR"/>
        </w:rPr>
      </w:pPr>
      <w:r>
        <w:rPr>
          <w:lang w:val="fr-FR"/>
        </w:rPr>
        <w:t>1.3.1</w:t>
      </w:r>
      <w:r>
        <w:rPr>
          <w:lang w:val="fr-FR"/>
        </w:rPr>
        <w:tab/>
        <w:t>Numéro CAS</w:t>
      </w:r>
      <w:r>
        <w:rPr>
          <w:lang w:val="fr-FR"/>
        </w:rPr>
        <w:t> </w:t>
      </w:r>
      <w:r>
        <w:rPr>
          <w:lang w:val="fr-FR"/>
        </w:rPr>
        <w:t>:</w:t>
      </w:r>
      <w:r>
        <w:rPr>
          <w:b/>
          <w:bCs/>
          <w:lang w:val="fr-FR"/>
        </w:rPr>
        <w:t xml:space="preserve"> 105-11-3</w:t>
      </w:r>
    </w:p>
    <w:p w14:paraId="3B9F9D94" w14:textId="77777777" w:rsidR="00FE4392" w:rsidRPr="00604CF1" w:rsidRDefault="00FE4392" w:rsidP="00FE4392">
      <w:pPr>
        <w:pStyle w:val="SingleTxtG"/>
        <w:rPr>
          <w:lang w:val="fr-FR"/>
        </w:rPr>
      </w:pPr>
      <w:r>
        <w:rPr>
          <w:lang w:val="fr-FR"/>
        </w:rPr>
        <w:t>1.4</w:t>
      </w:r>
      <w:r>
        <w:rPr>
          <w:lang w:val="fr-FR"/>
        </w:rPr>
        <w:tab/>
        <w:t xml:space="preserve">Classement proposé dans les Recommandations </w:t>
      </w:r>
    </w:p>
    <w:p w14:paraId="756D0C42" w14:textId="7488C7CD" w:rsidR="00FE4392" w:rsidRPr="00604CF1" w:rsidRDefault="00FE4392" w:rsidP="00FE4392">
      <w:pPr>
        <w:pStyle w:val="SingleTxtG"/>
        <w:rPr>
          <w:b/>
          <w:bCs/>
          <w:lang w:val="fr-FR"/>
        </w:rPr>
      </w:pPr>
      <w:r>
        <w:rPr>
          <w:lang w:val="fr-FR"/>
        </w:rPr>
        <w:t>1.5.1</w:t>
      </w:r>
      <w:r>
        <w:rPr>
          <w:lang w:val="fr-FR"/>
        </w:rPr>
        <w:tab/>
        <w:t xml:space="preserve">Désignation officielle de transport (cf. 3.1.2) : </w:t>
      </w:r>
      <w:r>
        <w:rPr>
          <w:b/>
          <w:bCs/>
          <w:lang w:val="fr-FR"/>
        </w:rPr>
        <w:t xml:space="preserve">1,4-benzoquinone </w:t>
      </w:r>
      <w:proofErr w:type="spellStart"/>
      <w:r>
        <w:rPr>
          <w:b/>
          <w:bCs/>
          <w:lang w:val="fr-FR"/>
        </w:rPr>
        <w:t>dioxime</w:t>
      </w:r>
      <w:proofErr w:type="spellEnd"/>
    </w:p>
    <w:p w14:paraId="737C237B" w14:textId="656AA315" w:rsidR="00FE4392" w:rsidRPr="00604CF1" w:rsidRDefault="00FE4392" w:rsidP="00FE4392">
      <w:pPr>
        <w:pStyle w:val="SingleTxtG"/>
        <w:ind w:left="1701" w:hanging="567"/>
        <w:rPr>
          <w:b/>
          <w:bCs/>
          <w:lang w:val="fr-FR"/>
        </w:rPr>
      </w:pPr>
      <w:r>
        <w:rPr>
          <w:lang w:val="fr-FR"/>
        </w:rPr>
        <w:t>1.5.2</w:t>
      </w:r>
      <w:r>
        <w:rPr>
          <w:lang w:val="fr-FR"/>
        </w:rPr>
        <w:tab/>
        <w:t>Classe/division</w:t>
      </w:r>
      <w:r>
        <w:rPr>
          <w:lang w:val="fr-FR"/>
        </w:rPr>
        <w:t> </w:t>
      </w:r>
      <w:r>
        <w:rPr>
          <w:lang w:val="fr-FR"/>
        </w:rPr>
        <w:t xml:space="preserve">: </w:t>
      </w:r>
      <w:r>
        <w:rPr>
          <w:b/>
          <w:bCs/>
          <w:lang w:val="fr-FR"/>
        </w:rPr>
        <w:t>1.4C</w:t>
      </w:r>
      <w:r>
        <w:rPr>
          <w:lang w:val="fr-FR"/>
        </w:rPr>
        <w:t xml:space="preserve"> Danger(s) subsidiaire(s)</w:t>
      </w:r>
      <w:r>
        <w:rPr>
          <w:lang w:val="fr-FR"/>
        </w:rPr>
        <w:t> </w:t>
      </w:r>
      <w:r>
        <w:rPr>
          <w:lang w:val="fr-FR"/>
        </w:rPr>
        <w:t xml:space="preserve">: </w:t>
      </w:r>
      <w:r>
        <w:rPr>
          <w:b/>
          <w:bCs/>
          <w:lang w:val="fr-FR"/>
        </w:rPr>
        <w:t>Aucun</w:t>
      </w:r>
      <w:r>
        <w:rPr>
          <w:lang w:val="fr-FR"/>
        </w:rPr>
        <w:t xml:space="preserve"> Groupe d’emballage</w:t>
      </w:r>
      <w:r>
        <w:rPr>
          <w:lang w:val="fr-FR"/>
        </w:rPr>
        <w:t> </w:t>
      </w:r>
      <w:r>
        <w:rPr>
          <w:lang w:val="fr-FR"/>
        </w:rPr>
        <w:t xml:space="preserve">: </w:t>
      </w:r>
      <w:r>
        <w:rPr>
          <w:b/>
          <w:bCs/>
          <w:lang w:val="fr-FR"/>
        </w:rPr>
        <w:t>sans objet</w:t>
      </w:r>
      <w:r>
        <w:rPr>
          <w:lang w:val="fr-FR"/>
        </w:rPr>
        <w:t xml:space="preserve"> </w:t>
      </w:r>
    </w:p>
    <w:p w14:paraId="7C6A07E9" w14:textId="56EFA6A8" w:rsidR="00FE4392" w:rsidRPr="00604CF1" w:rsidRDefault="00FE4392" w:rsidP="00FE4392">
      <w:pPr>
        <w:pStyle w:val="SingleTxtG"/>
        <w:rPr>
          <w:b/>
          <w:bCs/>
          <w:lang w:val="fr-FR"/>
        </w:rPr>
      </w:pPr>
      <w:r>
        <w:rPr>
          <w:lang w:val="fr-FR"/>
        </w:rPr>
        <w:t>1.52</w:t>
      </w:r>
      <w:r>
        <w:rPr>
          <w:lang w:val="fr-FR"/>
        </w:rPr>
        <w:tab/>
        <w:t>Classe/division</w:t>
      </w:r>
      <w:r>
        <w:rPr>
          <w:lang w:val="fr-FR"/>
        </w:rPr>
        <w:t> </w:t>
      </w:r>
      <w:r>
        <w:rPr>
          <w:lang w:val="fr-FR"/>
        </w:rPr>
        <w:t xml:space="preserve">: </w:t>
      </w:r>
      <w:r>
        <w:rPr>
          <w:b/>
          <w:bCs/>
          <w:lang w:val="fr-FR"/>
        </w:rPr>
        <w:t>4.1</w:t>
      </w:r>
      <w:r>
        <w:rPr>
          <w:lang w:val="fr-FR"/>
        </w:rPr>
        <w:t xml:space="preserve"> Danger(s) subsidiaire(s)</w:t>
      </w:r>
      <w:r>
        <w:rPr>
          <w:lang w:val="fr-FR"/>
        </w:rPr>
        <w:t> </w:t>
      </w:r>
      <w:r>
        <w:rPr>
          <w:lang w:val="fr-FR"/>
        </w:rPr>
        <w:t xml:space="preserve">: </w:t>
      </w:r>
      <w:r>
        <w:rPr>
          <w:b/>
          <w:bCs/>
          <w:lang w:val="fr-FR"/>
        </w:rPr>
        <w:t>Aucun</w:t>
      </w:r>
      <w:r>
        <w:rPr>
          <w:lang w:val="fr-FR"/>
        </w:rPr>
        <w:t xml:space="preserve"> Groupe d’emballage</w:t>
      </w:r>
      <w:r>
        <w:rPr>
          <w:lang w:val="fr-FR"/>
        </w:rPr>
        <w:t> </w:t>
      </w:r>
      <w:r>
        <w:rPr>
          <w:lang w:val="fr-FR"/>
        </w:rPr>
        <w:t xml:space="preserve">: </w:t>
      </w:r>
      <w:r>
        <w:rPr>
          <w:b/>
          <w:bCs/>
          <w:lang w:val="fr-FR"/>
        </w:rPr>
        <w:t>II</w:t>
      </w:r>
    </w:p>
    <w:p w14:paraId="0ABE7AF2" w14:textId="7029820D" w:rsidR="00FE4392" w:rsidRPr="00604CF1" w:rsidRDefault="00FE4392" w:rsidP="00FE4392">
      <w:pPr>
        <w:pStyle w:val="HChG"/>
        <w:rPr>
          <w:lang w:val="fr-FR"/>
        </w:rPr>
      </w:pPr>
      <w:r>
        <w:rPr>
          <w:lang w:val="fr-FR"/>
        </w:rPr>
        <w:tab/>
      </w:r>
      <w:r>
        <w:rPr>
          <w:lang w:val="fr-FR"/>
        </w:rPr>
        <w:t>V.</w:t>
      </w:r>
      <w:r>
        <w:rPr>
          <w:lang w:val="fr-FR"/>
        </w:rPr>
        <w:tab/>
        <w:t>Proposition</w:t>
      </w:r>
    </w:p>
    <w:p w14:paraId="487F4EC9" w14:textId="036F21FD" w:rsidR="00FE4392" w:rsidRPr="00604CF1" w:rsidRDefault="00FE4392" w:rsidP="00FE4392">
      <w:pPr>
        <w:pStyle w:val="SingleTxtG"/>
        <w:rPr>
          <w:lang w:val="fr-FR"/>
        </w:rPr>
      </w:pPr>
      <w:r>
        <w:rPr>
          <w:lang w:val="fr-FR"/>
        </w:rPr>
        <w:t>12.</w:t>
      </w:r>
      <w:r>
        <w:rPr>
          <w:lang w:val="fr-FR"/>
        </w:rPr>
        <w:tab/>
        <w:t xml:space="preserve">Modifier le 2.4.2.4.1 de façon à faire figurer le </w:t>
      </w:r>
      <w:r w:rsidRPr="00FE4392">
        <w:rPr>
          <w:u w:val="single"/>
          <w:lang w:val="fr-FR"/>
        </w:rPr>
        <w:t>No</w:t>
      </w:r>
      <w:r>
        <w:rPr>
          <w:u w:val="single"/>
          <w:lang w:val="fr-FR"/>
        </w:rPr>
        <w:t xml:space="preserve"> </w:t>
      </w:r>
      <w:r w:rsidRPr="00C751E1">
        <w:rPr>
          <w:u w:val="single"/>
          <w:lang w:val="fr-FR"/>
        </w:rPr>
        <w:t>ONU 35XX</w:t>
      </w:r>
      <w:r>
        <w:rPr>
          <w:lang w:val="fr-FR"/>
        </w:rPr>
        <w:t xml:space="preserve"> dans la liste des matières explosibles désensibilisé</w:t>
      </w:r>
      <w:r>
        <w:rPr>
          <w:lang w:val="fr-FR"/>
        </w:rPr>
        <w:t>e</w:t>
      </w:r>
      <w:r>
        <w:rPr>
          <w:lang w:val="fr-FR"/>
        </w:rPr>
        <w:t xml:space="preserve">s solides (les modifications qu’il est proposé d’apporter au texte actuel figurent en caractères </w:t>
      </w:r>
      <w:r>
        <w:rPr>
          <w:u w:val="single"/>
          <w:lang w:val="fr-FR"/>
        </w:rPr>
        <w:t>soulignés</w:t>
      </w:r>
      <w:r>
        <w:rPr>
          <w:lang w:val="fr-FR"/>
        </w:rPr>
        <w:t xml:space="preserve"> pour les ajouts et </w:t>
      </w:r>
      <w:r>
        <w:rPr>
          <w:strike/>
          <w:lang w:val="fr-FR"/>
        </w:rPr>
        <w:t>biffés</w:t>
      </w:r>
      <w:r>
        <w:rPr>
          <w:lang w:val="fr-FR"/>
        </w:rPr>
        <w:t xml:space="preserve"> pour les suppressions).</w:t>
      </w:r>
    </w:p>
    <w:p w14:paraId="56FE49B0" w14:textId="14332C15" w:rsidR="00FE4392" w:rsidRDefault="00FE4392" w:rsidP="00FE4392">
      <w:pPr>
        <w:pStyle w:val="SingleTxtG"/>
        <w:rPr>
          <w:lang w:val="fr-FR"/>
        </w:rPr>
      </w:pPr>
      <w:r>
        <w:rPr>
          <w:lang w:val="fr-FR"/>
        </w:rPr>
        <w:t>13.</w:t>
      </w:r>
      <w:r>
        <w:rPr>
          <w:lang w:val="fr-FR"/>
        </w:rPr>
        <w:tab/>
        <w:t>Modifier la Liste des marchandises dangereuses pour y faire figurer les rubriques suivantes</w:t>
      </w:r>
      <w:r>
        <w:rPr>
          <w:lang w:val="fr-FR"/>
        </w:rPr>
        <w:t> </w:t>
      </w:r>
      <w:r>
        <w:rPr>
          <w:lang w:val="fr-FR"/>
        </w:rPr>
        <w:t>:</w:t>
      </w:r>
    </w:p>
    <w:tbl>
      <w:tblPr>
        <w:tblW w:w="9643" w:type="dxa"/>
        <w:tblLayout w:type="fixed"/>
        <w:tblCellMar>
          <w:left w:w="0" w:type="dxa"/>
          <w:right w:w="0" w:type="dxa"/>
        </w:tblCellMar>
        <w:tblLook w:val="0000" w:firstRow="0" w:lastRow="0" w:firstColumn="0" w:lastColumn="0" w:noHBand="0" w:noVBand="0"/>
      </w:tblPr>
      <w:tblGrid>
        <w:gridCol w:w="562"/>
        <w:gridCol w:w="1418"/>
        <w:gridCol w:w="647"/>
        <w:gridCol w:w="798"/>
        <w:gridCol w:w="918"/>
        <w:gridCol w:w="888"/>
        <w:gridCol w:w="434"/>
        <w:gridCol w:w="412"/>
        <w:gridCol w:w="7"/>
        <w:gridCol w:w="888"/>
        <w:gridCol w:w="890"/>
        <w:gridCol w:w="62"/>
        <w:gridCol w:w="828"/>
        <w:gridCol w:w="891"/>
      </w:tblGrid>
      <w:tr w:rsidR="00FE4392" w:rsidRPr="00571346" w14:paraId="1A8497CD" w14:textId="77777777" w:rsidTr="008C551E">
        <w:trPr>
          <w:trHeight w:val="20"/>
          <w:tblHeader/>
        </w:trPr>
        <w:tc>
          <w:tcPr>
            <w:tcW w:w="562"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5BE98A1A" w14:textId="77777777" w:rsidR="00FE4392" w:rsidRPr="00515123" w:rsidRDefault="00FE4392" w:rsidP="0096394D">
            <w:pPr>
              <w:pStyle w:val="DGLbodybold"/>
              <w:ind w:right="57"/>
              <w:rPr>
                <w:sz w:val="15"/>
                <w:szCs w:val="15"/>
              </w:rPr>
            </w:pPr>
            <w:r w:rsidRPr="00515123">
              <w:rPr>
                <w:sz w:val="15"/>
                <w:szCs w:val="15"/>
                <w:lang w:val="fr-FR"/>
              </w:rPr>
              <w:t>No</w:t>
            </w:r>
            <w:r w:rsidRPr="00515123">
              <w:rPr>
                <w:sz w:val="15"/>
                <w:szCs w:val="15"/>
                <w:vertAlign w:val="superscript"/>
                <w:lang w:val="fr-FR"/>
              </w:rPr>
              <w:t xml:space="preserve"> </w:t>
            </w:r>
            <w:r w:rsidRPr="00515123">
              <w:rPr>
                <w:sz w:val="15"/>
                <w:szCs w:val="15"/>
                <w:lang w:val="fr-FR"/>
              </w:rPr>
              <w:t>ONU</w:t>
            </w:r>
          </w:p>
        </w:tc>
        <w:tc>
          <w:tcPr>
            <w:tcW w:w="1418" w:type="dxa"/>
            <w:vMerge w:val="restart"/>
            <w:tcBorders>
              <w:top w:val="single" w:sz="4" w:space="0" w:color="auto"/>
              <w:left w:val="nil"/>
              <w:right w:val="single" w:sz="4" w:space="0" w:color="auto"/>
            </w:tcBorders>
            <w:tcMar>
              <w:top w:w="15" w:type="dxa"/>
              <w:left w:w="15" w:type="dxa"/>
              <w:bottom w:w="0" w:type="dxa"/>
              <w:right w:w="15" w:type="dxa"/>
            </w:tcMar>
            <w:vAlign w:val="center"/>
          </w:tcPr>
          <w:p w14:paraId="2963FE5C" w14:textId="77777777" w:rsidR="00FE4392" w:rsidRPr="00515123" w:rsidRDefault="00FE4392" w:rsidP="0096394D">
            <w:pPr>
              <w:pStyle w:val="DGLbodybold"/>
              <w:ind w:right="57"/>
              <w:rPr>
                <w:sz w:val="15"/>
                <w:szCs w:val="15"/>
              </w:rPr>
            </w:pPr>
            <w:r w:rsidRPr="00515123">
              <w:rPr>
                <w:sz w:val="15"/>
                <w:szCs w:val="15"/>
                <w:lang w:val="fr-FR"/>
              </w:rPr>
              <w:t>Nom et description</w:t>
            </w:r>
          </w:p>
        </w:tc>
        <w:tc>
          <w:tcPr>
            <w:tcW w:w="647" w:type="dxa"/>
            <w:vMerge w:val="restart"/>
            <w:tcBorders>
              <w:top w:val="single" w:sz="4" w:space="0" w:color="auto"/>
              <w:left w:val="nil"/>
              <w:right w:val="single" w:sz="4" w:space="0" w:color="auto"/>
            </w:tcBorders>
            <w:tcMar>
              <w:top w:w="15" w:type="dxa"/>
              <w:left w:w="15" w:type="dxa"/>
              <w:bottom w:w="0" w:type="dxa"/>
              <w:right w:w="15" w:type="dxa"/>
            </w:tcMar>
            <w:vAlign w:val="center"/>
          </w:tcPr>
          <w:p w14:paraId="7C21CD02" w14:textId="77777777" w:rsidR="00FE4392" w:rsidRPr="00515123" w:rsidRDefault="00FE4392" w:rsidP="0096394D">
            <w:pPr>
              <w:pStyle w:val="DGLbodybold"/>
              <w:ind w:right="57"/>
              <w:rPr>
                <w:sz w:val="15"/>
                <w:szCs w:val="15"/>
              </w:rPr>
            </w:pPr>
            <w:r w:rsidRPr="00515123">
              <w:rPr>
                <w:sz w:val="15"/>
                <w:szCs w:val="15"/>
                <w:lang w:val="fr-FR"/>
              </w:rPr>
              <w:t>Classe ou division</w:t>
            </w:r>
          </w:p>
        </w:tc>
        <w:tc>
          <w:tcPr>
            <w:tcW w:w="798" w:type="dxa"/>
            <w:vMerge w:val="restart"/>
            <w:tcBorders>
              <w:top w:val="single" w:sz="4" w:space="0" w:color="auto"/>
              <w:left w:val="nil"/>
              <w:right w:val="single" w:sz="4" w:space="0" w:color="auto"/>
            </w:tcBorders>
            <w:tcMar>
              <w:top w:w="15" w:type="dxa"/>
              <w:left w:w="15" w:type="dxa"/>
              <w:bottom w:w="0" w:type="dxa"/>
              <w:right w:w="15" w:type="dxa"/>
            </w:tcMar>
            <w:vAlign w:val="center"/>
          </w:tcPr>
          <w:p w14:paraId="37C2D1C5" w14:textId="77777777" w:rsidR="00FE4392" w:rsidRPr="00515123" w:rsidRDefault="00FE4392" w:rsidP="0096394D">
            <w:pPr>
              <w:pStyle w:val="DGLbodybold"/>
              <w:ind w:right="57"/>
              <w:rPr>
                <w:sz w:val="15"/>
                <w:szCs w:val="15"/>
              </w:rPr>
            </w:pPr>
            <w:r w:rsidRPr="00515123">
              <w:rPr>
                <w:sz w:val="15"/>
                <w:szCs w:val="15"/>
                <w:lang w:val="fr-FR"/>
              </w:rPr>
              <w:t>Danger subsidiaire</w:t>
            </w:r>
          </w:p>
        </w:tc>
        <w:tc>
          <w:tcPr>
            <w:tcW w:w="918" w:type="dxa"/>
            <w:vMerge w:val="restart"/>
            <w:tcBorders>
              <w:top w:val="single" w:sz="4" w:space="0" w:color="auto"/>
              <w:left w:val="nil"/>
              <w:right w:val="single" w:sz="4" w:space="0" w:color="auto"/>
            </w:tcBorders>
            <w:tcMar>
              <w:top w:w="15" w:type="dxa"/>
              <w:left w:w="15" w:type="dxa"/>
              <w:bottom w:w="0" w:type="dxa"/>
              <w:right w:w="15" w:type="dxa"/>
            </w:tcMar>
            <w:vAlign w:val="center"/>
          </w:tcPr>
          <w:p w14:paraId="47F638C6" w14:textId="77777777" w:rsidR="00FE4392" w:rsidRPr="00515123" w:rsidRDefault="00FE4392" w:rsidP="0096394D">
            <w:pPr>
              <w:pStyle w:val="DGLbodybold"/>
              <w:ind w:right="57"/>
              <w:rPr>
                <w:sz w:val="15"/>
                <w:szCs w:val="15"/>
              </w:rPr>
            </w:pPr>
            <w:r w:rsidRPr="00515123">
              <w:rPr>
                <w:sz w:val="15"/>
                <w:szCs w:val="15"/>
                <w:lang w:val="fr-FR"/>
              </w:rPr>
              <w:t>Groupe d’emballage</w:t>
            </w:r>
          </w:p>
        </w:tc>
        <w:tc>
          <w:tcPr>
            <w:tcW w:w="888" w:type="dxa"/>
            <w:vMerge w:val="restart"/>
            <w:tcBorders>
              <w:top w:val="single" w:sz="4" w:space="0" w:color="auto"/>
              <w:left w:val="nil"/>
              <w:right w:val="single" w:sz="4" w:space="0" w:color="auto"/>
            </w:tcBorders>
            <w:tcMar>
              <w:top w:w="15" w:type="dxa"/>
              <w:left w:w="15" w:type="dxa"/>
              <w:bottom w:w="0" w:type="dxa"/>
              <w:right w:w="15" w:type="dxa"/>
            </w:tcMar>
            <w:vAlign w:val="center"/>
          </w:tcPr>
          <w:p w14:paraId="4BECE556" w14:textId="77777777" w:rsidR="00FE4392" w:rsidRPr="00515123" w:rsidRDefault="00FE4392" w:rsidP="0096394D">
            <w:pPr>
              <w:pStyle w:val="DGLbodybold"/>
              <w:ind w:right="57"/>
              <w:rPr>
                <w:sz w:val="15"/>
                <w:szCs w:val="15"/>
              </w:rPr>
            </w:pPr>
            <w:r w:rsidRPr="00515123">
              <w:rPr>
                <w:sz w:val="15"/>
                <w:szCs w:val="15"/>
                <w:lang w:val="fr-FR"/>
              </w:rPr>
              <w:t>Dispositions spéciales</w:t>
            </w:r>
          </w:p>
        </w:tc>
        <w:tc>
          <w:tcPr>
            <w:tcW w:w="853" w:type="dxa"/>
            <w:gridSpan w:val="3"/>
            <w:vMerge w:val="restart"/>
            <w:tcBorders>
              <w:top w:val="single" w:sz="4" w:space="0" w:color="auto"/>
              <w:left w:val="nil"/>
              <w:right w:val="single" w:sz="4" w:space="0" w:color="auto"/>
            </w:tcBorders>
            <w:tcMar>
              <w:top w:w="15" w:type="dxa"/>
              <w:left w:w="15" w:type="dxa"/>
              <w:bottom w:w="0" w:type="dxa"/>
              <w:right w:w="15" w:type="dxa"/>
            </w:tcMar>
            <w:vAlign w:val="center"/>
          </w:tcPr>
          <w:p w14:paraId="5A26F32D" w14:textId="77777777" w:rsidR="00FE4392" w:rsidRPr="00515123" w:rsidRDefault="00FE4392" w:rsidP="0096394D">
            <w:pPr>
              <w:pStyle w:val="DGLbodybold"/>
              <w:ind w:right="57"/>
              <w:rPr>
                <w:sz w:val="15"/>
                <w:szCs w:val="15"/>
                <w:lang w:val="fr-FR"/>
              </w:rPr>
            </w:pPr>
            <w:r w:rsidRPr="00515123">
              <w:rPr>
                <w:sz w:val="15"/>
                <w:szCs w:val="15"/>
                <w:lang w:val="fr-FR"/>
              </w:rPr>
              <w:t>Quantités limitées et quantités exceptées</w:t>
            </w:r>
          </w:p>
        </w:tc>
        <w:tc>
          <w:tcPr>
            <w:tcW w:w="184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34BE482" w14:textId="77777777" w:rsidR="00FE4392" w:rsidRPr="00515123" w:rsidRDefault="00FE4392" w:rsidP="0096394D">
            <w:pPr>
              <w:pStyle w:val="DGLbodybold"/>
              <w:ind w:right="57"/>
              <w:rPr>
                <w:sz w:val="15"/>
                <w:szCs w:val="15"/>
              </w:rPr>
            </w:pPr>
            <w:r w:rsidRPr="00515123">
              <w:rPr>
                <w:sz w:val="15"/>
                <w:szCs w:val="15"/>
                <w:lang w:val="fr-FR"/>
              </w:rPr>
              <w:t>Emballages et GRV</w:t>
            </w:r>
          </w:p>
        </w:tc>
        <w:tc>
          <w:tcPr>
            <w:tcW w:w="171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18A1CEE" w14:textId="77777777" w:rsidR="00FE4392" w:rsidRPr="00515123" w:rsidRDefault="00FE4392" w:rsidP="0096394D">
            <w:pPr>
              <w:pStyle w:val="DGLbodybold"/>
              <w:ind w:right="57"/>
              <w:rPr>
                <w:sz w:val="15"/>
                <w:szCs w:val="15"/>
                <w:lang w:val="fr-FR"/>
              </w:rPr>
            </w:pPr>
            <w:r w:rsidRPr="00515123">
              <w:rPr>
                <w:sz w:val="15"/>
                <w:szCs w:val="15"/>
                <w:lang w:val="fr-FR"/>
              </w:rPr>
              <w:t>Citernes mobiles et conteneurs pour vrac</w:t>
            </w:r>
          </w:p>
        </w:tc>
      </w:tr>
      <w:tr w:rsidR="00FE4392" w:rsidRPr="00743C44" w14:paraId="4EE10DF3" w14:textId="77777777" w:rsidTr="008C551E">
        <w:trPr>
          <w:trHeight w:val="20"/>
          <w:tblHeader/>
        </w:trPr>
        <w:tc>
          <w:tcPr>
            <w:tcW w:w="562"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6BC055EF" w14:textId="77777777" w:rsidR="00FE4392" w:rsidRPr="00515123" w:rsidRDefault="00FE4392" w:rsidP="0096394D">
            <w:pPr>
              <w:pStyle w:val="DGLbodybold"/>
              <w:ind w:right="57"/>
              <w:rPr>
                <w:sz w:val="15"/>
                <w:szCs w:val="15"/>
                <w:lang w:val="fr-FR"/>
              </w:rPr>
            </w:pPr>
          </w:p>
        </w:tc>
        <w:tc>
          <w:tcPr>
            <w:tcW w:w="1418" w:type="dxa"/>
            <w:vMerge/>
            <w:tcBorders>
              <w:left w:val="nil"/>
              <w:bottom w:val="single" w:sz="4" w:space="0" w:color="auto"/>
              <w:right w:val="single" w:sz="4" w:space="0" w:color="auto"/>
            </w:tcBorders>
            <w:tcMar>
              <w:top w:w="15" w:type="dxa"/>
              <w:left w:w="15" w:type="dxa"/>
              <w:bottom w:w="0" w:type="dxa"/>
              <w:right w:w="15" w:type="dxa"/>
            </w:tcMar>
            <w:vAlign w:val="center"/>
          </w:tcPr>
          <w:p w14:paraId="4CAD9015" w14:textId="77777777" w:rsidR="00FE4392" w:rsidRPr="00515123" w:rsidRDefault="00FE4392" w:rsidP="0096394D">
            <w:pPr>
              <w:pStyle w:val="DGLbodybold"/>
              <w:ind w:right="57"/>
              <w:rPr>
                <w:sz w:val="15"/>
                <w:szCs w:val="15"/>
                <w:lang w:val="fr-FR"/>
              </w:rPr>
            </w:pPr>
          </w:p>
        </w:tc>
        <w:tc>
          <w:tcPr>
            <w:tcW w:w="647" w:type="dxa"/>
            <w:vMerge/>
            <w:tcBorders>
              <w:left w:val="nil"/>
              <w:bottom w:val="single" w:sz="4" w:space="0" w:color="auto"/>
              <w:right w:val="single" w:sz="4" w:space="0" w:color="auto"/>
            </w:tcBorders>
            <w:tcMar>
              <w:top w:w="15" w:type="dxa"/>
              <w:left w:w="15" w:type="dxa"/>
              <w:bottom w:w="0" w:type="dxa"/>
              <w:right w:w="15" w:type="dxa"/>
            </w:tcMar>
            <w:vAlign w:val="center"/>
          </w:tcPr>
          <w:p w14:paraId="397D62F3" w14:textId="77777777" w:rsidR="00FE4392" w:rsidRPr="00515123" w:rsidRDefault="00FE4392" w:rsidP="0096394D">
            <w:pPr>
              <w:pStyle w:val="DGLbodybold"/>
              <w:ind w:right="57"/>
              <w:rPr>
                <w:sz w:val="15"/>
                <w:szCs w:val="15"/>
                <w:lang w:val="fr-FR"/>
              </w:rPr>
            </w:pPr>
          </w:p>
        </w:tc>
        <w:tc>
          <w:tcPr>
            <w:tcW w:w="798" w:type="dxa"/>
            <w:vMerge/>
            <w:tcBorders>
              <w:left w:val="nil"/>
              <w:bottom w:val="single" w:sz="4" w:space="0" w:color="auto"/>
              <w:right w:val="single" w:sz="4" w:space="0" w:color="auto"/>
            </w:tcBorders>
            <w:tcMar>
              <w:top w:w="15" w:type="dxa"/>
              <w:left w:w="15" w:type="dxa"/>
              <w:bottom w:w="0" w:type="dxa"/>
              <w:right w:w="15" w:type="dxa"/>
            </w:tcMar>
            <w:vAlign w:val="center"/>
          </w:tcPr>
          <w:p w14:paraId="1A49DEA5" w14:textId="77777777" w:rsidR="00FE4392" w:rsidRPr="00515123" w:rsidRDefault="00FE4392" w:rsidP="0096394D">
            <w:pPr>
              <w:pStyle w:val="DGLbodybold"/>
              <w:ind w:right="57"/>
              <w:rPr>
                <w:sz w:val="15"/>
                <w:szCs w:val="15"/>
                <w:lang w:val="fr-FR"/>
              </w:rPr>
            </w:pPr>
          </w:p>
        </w:tc>
        <w:tc>
          <w:tcPr>
            <w:tcW w:w="918" w:type="dxa"/>
            <w:vMerge/>
            <w:tcBorders>
              <w:left w:val="nil"/>
              <w:bottom w:val="single" w:sz="4" w:space="0" w:color="auto"/>
              <w:right w:val="single" w:sz="4" w:space="0" w:color="auto"/>
            </w:tcBorders>
            <w:tcMar>
              <w:top w:w="15" w:type="dxa"/>
              <w:left w:w="15" w:type="dxa"/>
              <w:bottom w:w="0" w:type="dxa"/>
              <w:right w:w="15" w:type="dxa"/>
            </w:tcMar>
            <w:vAlign w:val="center"/>
          </w:tcPr>
          <w:p w14:paraId="1EEF15AB" w14:textId="77777777" w:rsidR="00FE4392" w:rsidRPr="00515123" w:rsidRDefault="00FE4392" w:rsidP="0096394D">
            <w:pPr>
              <w:pStyle w:val="DGLbodybold"/>
              <w:ind w:right="57"/>
              <w:rPr>
                <w:sz w:val="15"/>
                <w:szCs w:val="15"/>
                <w:lang w:val="fr-FR"/>
              </w:rPr>
            </w:pPr>
          </w:p>
        </w:tc>
        <w:tc>
          <w:tcPr>
            <w:tcW w:w="888" w:type="dxa"/>
            <w:vMerge/>
            <w:tcBorders>
              <w:left w:val="nil"/>
              <w:bottom w:val="single" w:sz="4" w:space="0" w:color="auto"/>
              <w:right w:val="single" w:sz="4" w:space="0" w:color="auto"/>
            </w:tcBorders>
            <w:tcMar>
              <w:top w:w="15" w:type="dxa"/>
              <w:left w:w="15" w:type="dxa"/>
              <w:bottom w:w="0" w:type="dxa"/>
              <w:right w:w="15" w:type="dxa"/>
            </w:tcMar>
            <w:vAlign w:val="center"/>
          </w:tcPr>
          <w:p w14:paraId="551EFDAA" w14:textId="77777777" w:rsidR="00FE4392" w:rsidRPr="00515123" w:rsidRDefault="00FE4392" w:rsidP="0096394D">
            <w:pPr>
              <w:pStyle w:val="DGLbodybold"/>
              <w:ind w:right="57"/>
              <w:rPr>
                <w:sz w:val="15"/>
                <w:szCs w:val="15"/>
                <w:lang w:val="fr-FR"/>
              </w:rPr>
            </w:pPr>
          </w:p>
        </w:tc>
        <w:tc>
          <w:tcPr>
            <w:tcW w:w="853" w:type="dxa"/>
            <w:gridSpan w:val="3"/>
            <w:vMerge/>
            <w:tcBorders>
              <w:left w:val="nil"/>
              <w:bottom w:val="single" w:sz="4" w:space="0" w:color="auto"/>
              <w:right w:val="single" w:sz="4" w:space="0" w:color="auto"/>
            </w:tcBorders>
            <w:tcMar>
              <w:top w:w="15" w:type="dxa"/>
              <w:left w:w="15" w:type="dxa"/>
              <w:bottom w:w="0" w:type="dxa"/>
              <w:right w:w="15" w:type="dxa"/>
            </w:tcMar>
            <w:vAlign w:val="center"/>
          </w:tcPr>
          <w:p w14:paraId="20F6339C" w14:textId="77777777" w:rsidR="00FE4392" w:rsidRPr="00515123" w:rsidRDefault="00FE4392" w:rsidP="0096394D">
            <w:pPr>
              <w:pStyle w:val="DGLbodybold"/>
              <w:ind w:right="57"/>
              <w:rPr>
                <w:sz w:val="15"/>
                <w:szCs w:val="15"/>
                <w:lang w:val="fr-FR"/>
              </w:rPr>
            </w:pPr>
          </w:p>
        </w:tc>
        <w:tc>
          <w:tcPr>
            <w:tcW w:w="88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0269AC6" w14:textId="77777777" w:rsidR="00FE4392" w:rsidRPr="00515123" w:rsidRDefault="00FE4392" w:rsidP="0096394D">
            <w:pPr>
              <w:pStyle w:val="DGLbodybold"/>
              <w:ind w:right="57"/>
              <w:rPr>
                <w:sz w:val="15"/>
                <w:szCs w:val="15"/>
              </w:rPr>
            </w:pPr>
            <w:r w:rsidRPr="00515123">
              <w:rPr>
                <w:sz w:val="15"/>
                <w:szCs w:val="15"/>
                <w:lang w:val="fr-FR"/>
              </w:rPr>
              <w:t>Instructions d’emballage</w:t>
            </w:r>
          </w:p>
        </w:tc>
        <w:tc>
          <w:tcPr>
            <w:tcW w:w="89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40C7321" w14:textId="77777777" w:rsidR="00FE4392" w:rsidRPr="00515123" w:rsidRDefault="00FE4392" w:rsidP="0096394D">
            <w:pPr>
              <w:pStyle w:val="DGLbodybold"/>
              <w:ind w:right="57"/>
              <w:rPr>
                <w:sz w:val="15"/>
                <w:szCs w:val="15"/>
              </w:rPr>
            </w:pPr>
            <w:r w:rsidRPr="00515123">
              <w:rPr>
                <w:sz w:val="15"/>
                <w:szCs w:val="15"/>
                <w:lang w:val="fr-FR"/>
              </w:rPr>
              <w:t>Dispositions spéciales</w:t>
            </w:r>
          </w:p>
        </w:tc>
        <w:tc>
          <w:tcPr>
            <w:tcW w:w="89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CA95A41" w14:textId="77777777" w:rsidR="00FE4392" w:rsidRPr="00515123" w:rsidRDefault="00FE4392" w:rsidP="0096394D">
            <w:pPr>
              <w:pStyle w:val="DGLbodybold"/>
              <w:ind w:right="57"/>
              <w:rPr>
                <w:sz w:val="15"/>
                <w:szCs w:val="15"/>
              </w:rPr>
            </w:pPr>
            <w:r w:rsidRPr="00515123">
              <w:rPr>
                <w:sz w:val="15"/>
                <w:szCs w:val="15"/>
                <w:lang w:val="fr-FR"/>
              </w:rPr>
              <w:t>Instructions de transport</w:t>
            </w:r>
          </w:p>
        </w:tc>
        <w:tc>
          <w:tcPr>
            <w:tcW w:w="89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7F86254" w14:textId="77777777" w:rsidR="00FE4392" w:rsidRPr="00515123" w:rsidRDefault="00FE4392" w:rsidP="0096394D">
            <w:pPr>
              <w:pStyle w:val="DGLbodybold"/>
              <w:ind w:right="57"/>
              <w:rPr>
                <w:sz w:val="15"/>
                <w:szCs w:val="15"/>
              </w:rPr>
            </w:pPr>
            <w:r w:rsidRPr="00515123">
              <w:rPr>
                <w:sz w:val="15"/>
                <w:szCs w:val="15"/>
                <w:lang w:val="fr-FR"/>
              </w:rPr>
              <w:t>Dispositions spéciales</w:t>
            </w:r>
          </w:p>
        </w:tc>
      </w:tr>
      <w:tr w:rsidR="008C551E" w:rsidRPr="00035BDB" w14:paraId="1030FFE0" w14:textId="77777777" w:rsidTr="008C551E">
        <w:trPr>
          <w:trHeight w:val="20"/>
          <w:tblHead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AE11086" w14:textId="559F7147" w:rsidR="008C551E" w:rsidRPr="002B18E2" w:rsidRDefault="008C551E" w:rsidP="008C551E">
            <w:pPr>
              <w:pStyle w:val="DGLbodybold"/>
              <w:ind w:right="57"/>
              <w:rPr>
                <w:b w:val="0"/>
                <w:bCs w:val="0"/>
                <w:szCs w:val="16"/>
              </w:rPr>
            </w:pPr>
            <w:r w:rsidRPr="00C751E1">
              <w:rPr>
                <w:b w:val="0"/>
                <w:bCs w:val="0"/>
                <w:u w:val="single"/>
                <w:lang w:val="fr-FR"/>
              </w:rPr>
              <w:t>05XX</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743B814" w14:textId="60C98396" w:rsidR="008C551E" w:rsidRPr="002B18E2" w:rsidRDefault="008C551E" w:rsidP="008C551E">
            <w:pPr>
              <w:pStyle w:val="DGLbodybold"/>
              <w:ind w:right="57"/>
              <w:jc w:val="left"/>
              <w:rPr>
                <w:b w:val="0"/>
                <w:bCs w:val="0"/>
                <w:szCs w:val="16"/>
                <w:lang w:val="fr-FR"/>
              </w:rPr>
            </w:pPr>
            <w:r w:rsidRPr="00C751E1">
              <w:rPr>
                <w:b w:val="0"/>
                <w:bCs w:val="0"/>
                <w:u w:val="single"/>
                <w:lang w:val="fr-FR"/>
              </w:rPr>
              <w:t>1,4-BENZOQUINONE DIOXIME</w:t>
            </w:r>
          </w:p>
        </w:tc>
        <w:tc>
          <w:tcPr>
            <w:tcW w:w="64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BF9911D" w14:textId="2DCA06AE" w:rsidR="008C551E" w:rsidRPr="002B18E2" w:rsidRDefault="008C551E" w:rsidP="008C551E">
            <w:pPr>
              <w:pStyle w:val="DGLbodybold"/>
              <w:ind w:right="57"/>
              <w:rPr>
                <w:b w:val="0"/>
                <w:bCs w:val="0"/>
                <w:szCs w:val="16"/>
              </w:rPr>
            </w:pPr>
            <w:r w:rsidRPr="00C751E1">
              <w:rPr>
                <w:b w:val="0"/>
                <w:bCs w:val="0"/>
                <w:u w:val="single"/>
                <w:lang w:val="fr-FR"/>
              </w:rPr>
              <w:t>1.4C</w:t>
            </w:r>
          </w:p>
        </w:tc>
        <w:tc>
          <w:tcPr>
            <w:tcW w:w="798"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040C1B4" w14:textId="77777777" w:rsidR="008C551E" w:rsidRPr="002B18E2" w:rsidRDefault="008C551E" w:rsidP="008C551E">
            <w:pPr>
              <w:pStyle w:val="DGLbodybold"/>
              <w:ind w:right="57"/>
              <w:rPr>
                <w:b w:val="0"/>
                <w:bCs w:val="0"/>
                <w:szCs w:val="16"/>
              </w:rPr>
            </w:pPr>
          </w:p>
        </w:tc>
        <w:tc>
          <w:tcPr>
            <w:tcW w:w="918"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162028C" w14:textId="221780BA" w:rsidR="008C551E" w:rsidRPr="002B18E2" w:rsidRDefault="008C551E" w:rsidP="008C551E">
            <w:pPr>
              <w:pStyle w:val="DGLbodybold"/>
              <w:ind w:right="57"/>
              <w:rPr>
                <w:b w:val="0"/>
                <w:bCs w:val="0"/>
                <w:szCs w:val="16"/>
              </w:rPr>
            </w:pPr>
          </w:p>
        </w:tc>
        <w:tc>
          <w:tcPr>
            <w:tcW w:w="888"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808882F" w14:textId="77777777" w:rsidR="008C551E" w:rsidRPr="002B18E2" w:rsidRDefault="008C551E" w:rsidP="008C551E">
            <w:pPr>
              <w:pStyle w:val="DGLbodybold"/>
              <w:ind w:right="57"/>
              <w:rPr>
                <w:b w:val="0"/>
                <w:bCs w:val="0"/>
                <w:szCs w:val="16"/>
              </w:rPr>
            </w:pPr>
          </w:p>
        </w:tc>
        <w:tc>
          <w:tcPr>
            <w:tcW w:w="434"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285C1EF" w14:textId="3A6F1E59" w:rsidR="008C551E" w:rsidRPr="00515123" w:rsidRDefault="008C551E" w:rsidP="008C551E">
            <w:pPr>
              <w:pStyle w:val="DGLbodybold"/>
              <w:ind w:right="57"/>
              <w:rPr>
                <w:b w:val="0"/>
                <w:bCs w:val="0"/>
                <w:spacing w:val="-4"/>
                <w:szCs w:val="16"/>
              </w:rPr>
            </w:pPr>
            <w:r w:rsidRPr="00C751E1">
              <w:rPr>
                <w:b w:val="0"/>
                <w:bCs w:val="0"/>
                <w:u w:val="single"/>
                <w:lang w:val="fr-FR"/>
              </w:rPr>
              <w:t>0</w:t>
            </w:r>
          </w:p>
        </w:tc>
        <w:tc>
          <w:tcPr>
            <w:tcW w:w="41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7F1A2BB" w14:textId="53EC0DB4" w:rsidR="008C551E" w:rsidRPr="002B18E2" w:rsidRDefault="008C551E" w:rsidP="008C551E">
            <w:pPr>
              <w:pStyle w:val="DGLbodybold"/>
              <w:ind w:right="57"/>
              <w:rPr>
                <w:b w:val="0"/>
                <w:bCs w:val="0"/>
                <w:szCs w:val="16"/>
              </w:rPr>
            </w:pPr>
            <w:r w:rsidRPr="00C751E1">
              <w:rPr>
                <w:b w:val="0"/>
                <w:bCs w:val="0"/>
                <w:szCs w:val="16"/>
                <w:u w:val="single"/>
              </w:rPr>
              <w:t>E0</w:t>
            </w:r>
          </w:p>
        </w:tc>
        <w:tc>
          <w:tcPr>
            <w:tcW w:w="894"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14:paraId="374A5737" w14:textId="21D69646" w:rsidR="008C551E" w:rsidRPr="008C551E" w:rsidRDefault="008C551E" w:rsidP="008C551E">
            <w:pPr>
              <w:pStyle w:val="DGLbodybold"/>
              <w:ind w:right="57"/>
              <w:rPr>
                <w:b w:val="0"/>
                <w:bCs w:val="0"/>
                <w:szCs w:val="16"/>
              </w:rPr>
            </w:pPr>
            <w:r w:rsidRPr="008C551E">
              <w:rPr>
                <w:b w:val="0"/>
                <w:bCs w:val="0"/>
                <w:szCs w:val="16"/>
                <w:u w:val="single"/>
              </w:rPr>
              <w:t>P114 b)</w:t>
            </w:r>
          </w:p>
        </w:tc>
        <w:tc>
          <w:tcPr>
            <w:tcW w:w="89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5271300" w14:textId="404FB3C7" w:rsidR="008C551E" w:rsidRPr="002B18E2" w:rsidRDefault="008C551E" w:rsidP="008C551E">
            <w:pPr>
              <w:pStyle w:val="DGLbodybold"/>
              <w:ind w:right="57"/>
              <w:rPr>
                <w:b w:val="0"/>
                <w:bCs w:val="0"/>
                <w:szCs w:val="16"/>
              </w:rPr>
            </w:pPr>
            <w:r w:rsidRPr="00C751E1">
              <w:rPr>
                <w:b w:val="0"/>
                <w:bCs w:val="0"/>
                <w:szCs w:val="16"/>
                <w:u w:val="single"/>
              </w:rPr>
              <w:t>PP48</w:t>
            </w:r>
          </w:p>
        </w:tc>
        <w:tc>
          <w:tcPr>
            <w:tcW w:w="89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14:paraId="276F990A" w14:textId="7303BDB1" w:rsidR="008C551E" w:rsidRPr="002B18E2" w:rsidRDefault="008C551E" w:rsidP="008C551E">
            <w:pPr>
              <w:pStyle w:val="DGLbodybold"/>
              <w:ind w:right="57"/>
              <w:rPr>
                <w:b w:val="0"/>
                <w:bCs w:val="0"/>
                <w:szCs w:val="16"/>
              </w:rPr>
            </w:pPr>
          </w:p>
        </w:tc>
        <w:tc>
          <w:tcPr>
            <w:tcW w:w="89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F4EE195" w14:textId="39E721AD" w:rsidR="008C551E" w:rsidRPr="002B18E2" w:rsidRDefault="008C551E" w:rsidP="008C551E">
            <w:pPr>
              <w:pStyle w:val="DGLbodybold"/>
              <w:ind w:right="57"/>
              <w:rPr>
                <w:b w:val="0"/>
                <w:bCs w:val="0"/>
                <w:szCs w:val="16"/>
              </w:rPr>
            </w:pPr>
          </w:p>
        </w:tc>
      </w:tr>
      <w:tr w:rsidR="008C551E" w:rsidRPr="00035BDB" w14:paraId="64EF31F8" w14:textId="77777777" w:rsidTr="008C551E">
        <w:trPr>
          <w:trHeight w:val="20"/>
          <w:tblHead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000E844" w14:textId="74AC87AA" w:rsidR="008C551E" w:rsidRPr="00C751E1" w:rsidRDefault="008C551E" w:rsidP="008C551E">
            <w:pPr>
              <w:pStyle w:val="DGLbodybold"/>
              <w:ind w:right="57"/>
              <w:rPr>
                <w:b w:val="0"/>
                <w:bCs w:val="0"/>
                <w:u w:val="single"/>
                <w:lang w:val="fr-FR"/>
              </w:rPr>
            </w:pPr>
            <w:r w:rsidRPr="00C751E1">
              <w:rPr>
                <w:b w:val="0"/>
                <w:bCs w:val="0"/>
                <w:szCs w:val="16"/>
                <w:u w:val="single"/>
              </w:rPr>
              <w:t>35XX</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DDB4309" w14:textId="19DD8C4E" w:rsidR="008C551E" w:rsidRPr="00C751E1" w:rsidRDefault="008C551E" w:rsidP="008C551E">
            <w:pPr>
              <w:pStyle w:val="DGLbodybold"/>
              <w:ind w:right="57"/>
              <w:jc w:val="left"/>
              <w:rPr>
                <w:b w:val="0"/>
                <w:bCs w:val="0"/>
                <w:u w:val="single"/>
                <w:lang w:val="fr-FR"/>
              </w:rPr>
            </w:pPr>
            <w:r w:rsidRPr="00C751E1">
              <w:rPr>
                <w:b w:val="0"/>
                <w:bCs w:val="0"/>
                <w:u w:val="single"/>
                <w:lang w:val="fr-FR"/>
              </w:rPr>
              <w:t>1,4-BENZOQUINONE DIOXIME, DÉSENSIBILISÉE</w:t>
            </w:r>
          </w:p>
        </w:tc>
        <w:tc>
          <w:tcPr>
            <w:tcW w:w="64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FA76AF0" w14:textId="635C5670" w:rsidR="008C551E" w:rsidRPr="00C751E1" w:rsidRDefault="008C551E" w:rsidP="008C551E">
            <w:pPr>
              <w:pStyle w:val="DGLbodybold"/>
              <w:ind w:right="57"/>
              <w:rPr>
                <w:b w:val="0"/>
                <w:bCs w:val="0"/>
                <w:u w:val="single"/>
                <w:lang w:val="fr-FR"/>
              </w:rPr>
            </w:pPr>
            <w:r w:rsidRPr="00C751E1">
              <w:rPr>
                <w:b w:val="0"/>
                <w:bCs w:val="0"/>
                <w:u w:val="single"/>
                <w:lang w:val="fr-FR"/>
              </w:rPr>
              <w:t>4</w:t>
            </w:r>
            <w:r>
              <w:rPr>
                <w:b w:val="0"/>
                <w:bCs w:val="0"/>
                <w:u w:val="single"/>
                <w:lang w:val="fr-FR"/>
              </w:rPr>
              <w:t>.</w:t>
            </w:r>
            <w:r w:rsidRPr="00C751E1">
              <w:rPr>
                <w:b w:val="0"/>
                <w:bCs w:val="0"/>
                <w:u w:val="single"/>
                <w:lang w:val="fr-FR"/>
              </w:rPr>
              <w:t>1</w:t>
            </w:r>
          </w:p>
        </w:tc>
        <w:tc>
          <w:tcPr>
            <w:tcW w:w="798"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4BE5BA4" w14:textId="77777777" w:rsidR="008C551E" w:rsidRPr="002B18E2" w:rsidRDefault="008C551E" w:rsidP="008C551E">
            <w:pPr>
              <w:pStyle w:val="DGLbodybold"/>
              <w:ind w:right="57"/>
              <w:rPr>
                <w:b w:val="0"/>
                <w:bCs w:val="0"/>
                <w:szCs w:val="16"/>
              </w:rPr>
            </w:pPr>
          </w:p>
        </w:tc>
        <w:tc>
          <w:tcPr>
            <w:tcW w:w="918"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5CE9657" w14:textId="686CF92D" w:rsidR="008C551E" w:rsidRPr="008C551E" w:rsidRDefault="008C551E" w:rsidP="008C551E">
            <w:pPr>
              <w:pStyle w:val="DGLbodybold"/>
              <w:ind w:right="57"/>
              <w:rPr>
                <w:b w:val="0"/>
                <w:bCs w:val="0"/>
                <w:szCs w:val="16"/>
              </w:rPr>
            </w:pPr>
            <w:r w:rsidRPr="008C551E">
              <w:rPr>
                <w:b w:val="0"/>
                <w:bCs w:val="0"/>
                <w:szCs w:val="16"/>
                <w:u w:val="single"/>
              </w:rPr>
              <w:t>II</w:t>
            </w:r>
          </w:p>
        </w:tc>
        <w:tc>
          <w:tcPr>
            <w:tcW w:w="888"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16A79CD" w14:textId="37A0222B" w:rsidR="008C551E" w:rsidRPr="002B18E2" w:rsidRDefault="008C551E" w:rsidP="008C551E">
            <w:pPr>
              <w:pStyle w:val="DGLbodybold"/>
              <w:ind w:right="57"/>
              <w:rPr>
                <w:b w:val="0"/>
                <w:bCs w:val="0"/>
                <w:szCs w:val="16"/>
              </w:rPr>
            </w:pPr>
            <w:r w:rsidRPr="00C751E1">
              <w:rPr>
                <w:b w:val="0"/>
                <w:bCs w:val="0"/>
                <w:szCs w:val="16"/>
                <w:u w:val="single"/>
              </w:rPr>
              <w:t>XYZ</w:t>
            </w:r>
          </w:p>
        </w:tc>
        <w:tc>
          <w:tcPr>
            <w:tcW w:w="434"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CCF5A0E" w14:textId="154B97E7" w:rsidR="008C551E" w:rsidRPr="008C551E" w:rsidRDefault="008C551E" w:rsidP="008C551E">
            <w:pPr>
              <w:pStyle w:val="DGLbodybold"/>
              <w:ind w:right="57"/>
              <w:rPr>
                <w:b w:val="0"/>
                <w:bCs w:val="0"/>
                <w:u w:val="single"/>
                <w:lang w:val="fr-FR"/>
              </w:rPr>
            </w:pPr>
            <w:r w:rsidRPr="008C551E">
              <w:rPr>
                <w:b w:val="0"/>
                <w:bCs w:val="0"/>
                <w:u w:val="single"/>
                <w:lang w:val="fr-FR"/>
              </w:rPr>
              <w:t>0</w:t>
            </w:r>
          </w:p>
        </w:tc>
        <w:tc>
          <w:tcPr>
            <w:tcW w:w="41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9BEA7D8" w14:textId="100F28F3" w:rsidR="008C551E" w:rsidRPr="00C751E1" w:rsidRDefault="008C551E" w:rsidP="008C551E">
            <w:pPr>
              <w:pStyle w:val="DGLbodybold"/>
              <w:ind w:right="57"/>
              <w:rPr>
                <w:b w:val="0"/>
                <w:bCs w:val="0"/>
                <w:szCs w:val="16"/>
                <w:u w:val="single"/>
              </w:rPr>
            </w:pPr>
            <w:r w:rsidRPr="00C751E1">
              <w:rPr>
                <w:b w:val="0"/>
                <w:bCs w:val="0"/>
                <w:szCs w:val="16"/>
                <w:u w:val="single"/>
              </w:rPr>
              <w:t>E0</w:t>
            </w:r>
          </w:p>
        </w:tc>
        <w:tc>
          <w:tcPr>
            <w:tcW w:w="894"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14:paraId="223A04BA" w14:textId="30A2B650" w:rsidR="008C551E" w:rsidRPr="008C551E" w:rsidRDefault="008C551E" w:rsidP="008C551E">
            <w:pPr>
              <w:pStyle w:val="DGLbodybold"/>
              <w:ind w:right="57"/>
              <w:rPr>
                <w:b w:val="0"/>
                <w:bCs w:val="0"/>
                <w:szCs w:val="16"/>
                <w:u w:val="single"/>
              </w:rPr>
            </w:pPr>
            <w:r w:rsidRPr="008C551E">
              <w:rPr>
                <w:b w:val="0"/>
                <w:bCs w:val="0"/>
                <w:szCs w:val="16"/>
                <w:u w:val="single"/>
              </w:rPr>
              <w:t>P406</w:t>
            </w:r>
          </w:p>
        </w:tc>
        <w:tc>
          <w:tcPr>
            <w:tcW w:w="89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6D425C5" w14:textId="77777777" w:rsidR="008C551E" w:rsidRPr="00C751E1" w:rsidRDefault="008C551E" w:rsidP="008C551E">
            <w:pPr>
              <w:pStyle w:val="DGLbodybold"/>
              <w:ind w:right="57"/>
              <w:rPr>
                <w:b w:val="0"/>
                <w:bCs w:val="0"/>
                <w:szCs w:val="16"/>
                <w:u w:val="single"/>
              </w:rPr>
            </w:pPr>
          </w:p>
        </w:tc>
        <w:tc>
          <w:tcPr>
            <w:tcW w:w="89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14:paraId="33B9B402" w14:textId="77777777" w:rsidR="008C551E" w:rsidRPr="002B18E2" w:rsidRDefault="008C551E" w:rsidP="008C551E">
            <w:pPr>
              <w:pStyle w:val="DGLbodybold"/>
              <w:ind w:right="57"/>
              <w:rPr>
                <w:b w:val="0"/>
                <w:bCs w:val="0"/>
                <w:szCs w:val="16"/>
              </w:rPr>
            </w:pPr>
          </w:p>
        </w:tc>
        <w:tc>
          <w:tcPr>
            <w:tcW w:w="89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63B8877" w14:textId="77777777" w:rsidR="008C551E" w:rsidRPr="002B18E2" w:rsidRDefault="008C551E" w:rsidP="008C551E">
            <w:pPr>
              <w:pStyle w:val="DGLbodybold"/>
              <w:ind w:right="57"/>
              <w:rPr>
                <w:b w:val="0"/>
                <w:bCs w:val="0"/>
                <w:szCs w:val="16"/>
              </w:rPr>
            </w:pPr>
          </w:p>
        </w:tc>
      </w:tr>
    </w:tbl>
    <w:p w14:paraId="2BB2D19F" w14:textId="68DD2E3E" w:rsidR="00FE4392" w:rsidRPr="00604CF1" w:rsidRDefault="00FE4392" w:rsidP="008C551E">
      <w:pPr>
        <w:pStyle w:val="SingleTxtG"/>
        <w:spacing w:before="240"/>
        <w:rPr>
          <w:lang w:val="fr-FR"/>
        </w:rPr>
      </w:pPr>
      <w:r>
        <w:rPr>
          <w:lang w:val="fr-FR"/>
        </w:rPr>
        <w:t>14.</w:t>
      </w:r>
      <w:r>
        <w:rPr>
          <w:lang w:val="fr-FR"/>
        </w:rPr>
        <w:tab/>
        <w:t>Ajouter au 3.3 la nouvelle disposition spéciale XYZ, libellée comme suit</w:t>
      </w:r>
      <w:r w:rsidR="0043739A">
        <w:rPr>
          <w:lang w:val="fr-FR"/>
        </w:rPr>
        <w:t> </w:t>
      </w:r>
      <w:r>
        <w:rPr>
          <w:lang w:val="fr-FR"/>
        </w:rPr>
        <w:t>:</w:t>
      </w:r>
    </w:p>
    <w:p w14:paraId="06208D44" w14:textId="5FA28E67" w:rsidR="00FE4392" w:rsidRPr="00604CF1" w:rsidRDefault="00FE4392" w:rsidP="00FE4392">
      <w:pPr>
        <w:pStyle w:val="SingleTxtG"/>
        <w:tabs>
          <w:tab w:val="clear" w:pos="2268"/>
          <w:tab w:val="left" w:pos="2552"/>
        </w:tabs>
        <w:ind w:left="1701"/>
        <w:rPr>
          <w:lang w:val="fr-FR"/>
        </w:rPr>
      </w:pPr>
      <w:r>
        <w:rPr>
          <w:lang w:val="fr-FR"/>
        </w:rPr>
        <w:t>«</w:t>
      </w:r>
      <w:r w:rsidR="0043739A">
        <w:rPr>
          <w:lang w:val="fr-FR"/>
        </w:rPr>
        <w:t> </w:t>
      </w:r>
      <w:r>
        <w:rPr>
          <w:lang w:val="fr-FR"/>
        </w:rPr>
        <w:t>XYZ</w:t>
      </w:r>
      <w:r>
        <w:rPr>
          <w:lang w:val="fr-FR"/>
        </w:rPr>
        <w:tab/>
        <w:t>Cette rubrique n’est autorisée que si les résultats des épreuves satisfont aux critères d’exclusion de la classe 1 énoncés au 2.1.3.6. Dans le cas contraire, le No</w:t>
      </w:r>
      <w:r w:rsidR="0043739A">
        <w:rPr>
          <w:lang w:val="fr-FR"/>
        </w:rPr>
        <w:t> </w:t>
      </w:r>
      <w:r>
        <w:rPr>
          <w:lang w:val="fr-FR"/>
        </w:rPr>
        <w:t>ONU 05XX doit être utilisé. ».</w:t>
      </w:r>
    </w:p>
    <w:p w14:paraId="29D82EA4" w14:textId="77777777" w:rsidR="00FE4392" w:rsidRPr="00604CF1" w:rsidRDefault="00FE4392" w:rsidP="00FE4392">
      <w:pPr>
        <w:pStyle w:val="SingleTxtG"/>
        <w:rPr>
          <w:lang w:val="fr-FR"/>
        </w:rPr>
      </w:pPr>
      <w:r>
        <w:rPr>
          <w:lang w:val="fr-FR"/>
        </w:rPr>
        <w:t>15.</w:t>
      </w:r>
      <w:r>
        <w:rPr>
          <w:lang w:val="fr-FR"/>
        </w:rPr>
        <w:tab/>
        <w:t>Disposition spéciale PP48 de l’instruction d’emballage P114 b) du 4.1.4.1, lire :</w:t>
      </w:r>
    </w:p>
    <w:p w14:paraId="6582013F" w14:textId="2F287727" w:rsidR="00FE4392" w:rsidRPr="00604CF1" w:rsidRDefault="00FE4392" w:rsidP="00FE4392">
      <w:pPr>
        <w:pStyle w:val="SingleTxtG"/>
        <w:tabs>
          <w:tab w:val="clear" w:pos="2268"/>
          <w:tab w:val="left" w:pos="2552"/>
        </w:tabs>
        <w:ind w:left="1701"/>
        <w:rPr>
          <w:lang w:val="fr-FR"/>
        </w:rPr>
      </w:pPr>
      <w:r>
        <w:rPr>
          <w:lang w:val="fr-FR"/>
        </w:rPr>
        <w:t>« PP48</w:t>
      </w:r>
      <w:r>
        <w:rPr>
          <w:lang w:val="fr-FR"/>
        </w:rPr>
        <w:tab/>
        <w:t>Pour les N</w:t>
      </w:r>
      <w:r w:rsidRPr="00375136">
        <w:rPr>
          <w:lang w:val="fr-FR"/>
        </w:rPr>
        <w:t>os</w:t>
      </w:r>
      <w:r>
        <w:rPr>
          <w:lang w:val="fr-FR"/>
        </w:rPr>
        <w:t xml:space="preserve"> ONU 0508</w:t>
      </w:r>
      <w:r w:rsidRPr="00375136">
        <w:rPr>
          <w:u w:val="single"/>
          <w:lang w:val="fr-FR"/>
        </w:rPr>
        <w:t>,</w:t>
      </w:r>
      <w:r>
        <w:rPr>
          <w:lang w:val="fr-FR"/>
        </w:rPr>
        <w:t xml:space="preserve"> </w:t>
      </w:r>
      <w:r>
        <w:rPr>
          <w:strike/>
          <w:lang w:val="fr-FR"/>
        </w:rPr>
        <w:t>et</w:t>
      </w:r>
      <w:r>
        <w:rPr>
          <w:lang w:val="fr-FR"/>
        </w:rPr>
        <w:t xml:space="preserve"> 0509 </w:t>
      </w:r>
      <w:r w:rsidRPr="00755BB9">
        <w:rPr>
          <w:u w:val="single"/>
          <w:lang w:val="fr-FR"/>
        </w:rPr>
        <w:t>et 05XX</w:t>
      </w:r>
      <w:r>
        <w:rPr>
          <w:lang w:val="fr-FR"/>
        </w:rPr>
        <w:t>, on ne doit pas utiliser d’emballages métalliques. Des emballages faits en un autre matériau contenant une faible quantité de métal, par exemple des fermetures métalliques ou d’autres accessoires métalliques tels que ceux mentionnés au 6.1.4, ne sont pas considérés comme des emballages en métal. ».</w:t>
      </w:r>
      <w:r w:rsidR="00096137">
        <w:rPr>
          <w:lang w:val="fr-FR"/>
        </w:rPr>
        <w:t xml:space="preserve"> </w:t>
      </w:r>
    </w:p>
    <w:p w14:paraId="4776CC84" w14:textId="682358F0" w:rsidR="00FE4392" w:rsidRDefault="00FE4392" w:rsidP="004A3A43">
      <w:pPr>
        <w:pStyle w:val="SingleTxtG"/>
        <w:keepNext/>
        <w:rPr>
          <w:lang w:val="fr-FR"/>
        </w:rPr>
      </w:pPr>
      <w:r>
        <w:rPr>
          <w:lang w:val="fr-FR"/>
        </w:rPr>
        <w:lastRenderedPageBreak/>
        <w:t>16.</w:t>
      </w:r>
      <w:r>
        <w:rPr>
          <w:lang w:val="fr-FR"/>
        </w:rPr>
        <w:tab/>
        <w:t>Ajouter le nom des nouvelles rubriques dans l’index alphabétique, comme suit</w:t>
      </w:r>
      <w:r w:rsidR="004A3A43">
        <w:rPr>
          <w:lang w:val="fr-FR"/>
        </w:rPr>
        <w:t> </w:t>
      </w:r>
      <w:r>
        <w:rPr>
          <w:lang w:val="fr-FR"/>
        </w:rPr>
        <w:t>:</w:t>
      </w:r>
    </w:p>
    <w:p w14:paraId="3390BCBF" w14:textId="77777777" w:rsidR="00FE4392" w:rsidRPr="00604CF1" w:rsidRDefault="00FE4392" w:rsidP="004A3A43">
      <w:pPr>
        <w:pStyle w:val="SingleTxtG"/>
        <w:keepNext/>
        <w:rPr>
          <w:lang w:val="fr-FR"/>
        </w:rPr>
      </w:pPr>
      <w:r>
        <w:rPr>
          <w:lang w:val="fr-FR"/>
        </w:rPr>
        <w:t>« </w:t>
      </w:r>
    </w:p>
    <w:tbl>
      <w:tblPr>
        <w:tblStyle w:val="Grilledutableau"/>
        <w:tblW w:w="0" w:type="auto"/>
        <w:tblInd w:w="112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1276"/>
        <w:gridCol w:w="1275"/>
      </w:tblGrid>
      <w:tr w:rsidR="00FE4392" w:rsidRPr="001D2D29" w14:paraId="3FF02743" w14:textId="77777777" w:rsidTr="0096394D">
        <w:tc>
          <w:tcPr>
            <w:tcW w:w="4820" w:type="dxa"/>
            <w:tcBorders>
              <w:top w:val="single" w:sz="4" w:space="0" w:color="auto"/>
              <w:bottom w:val="single" w:sz="4" w:space="0" w:color="auto"/>
            </w:tcBorders>
          </w:tcPr>
          <w:p w14:paraId="52A5A83A" w14:textId="77777777" w:rsidR="00FE4392" w:rsidRPr="008E12CB" w:rsidRDefault="00FE4392" w:rsidP="0096394D">
            <w:pPr>
              <w:spacing w:before="60" w:after="60" w:line="240" w:lineRule="auto"/>
              <w:ind w:left="137" w:firstLine="5"/>
              <w:rPr>
                <w:b/>
                <w:bCs/>
              </w:rPr>
            </w:pPr>
            <w:r>
              <w:rPr>
                <w:b/>
                <w:bCs/>
                <w:lang w:val="fr-FR"/>
              </w:rPr>
              <w:t>Nom et description</w:t>
            </w:r>
          </w:p>
        </w:tc>
        <w:tc>
          <w:tcPr>
            <w:tcW w:w="1276" w:type="dxa"/>
            <w:tcBorders>
              <w:top w:val="single" w:sz="4" w:space="0" w:color="auto"/>
              <w:bottom w:val="single" w:sz="4" w:space="0" w:color="auto"/>
            </w:tcBorders>
          </w:tcPr>
          <w:p w14:paraId="3833A5CB" w14:textId="77777777" w:rsidR="00FE4392" w:rsidRPr="008E12CB" w:rsidRDefault="00FE4392" w:rsidP="0096394D">
            <w:pPr>
              <w:spacing w:before="60" w:after="60" w:line="240" w:lineRule="auto"/>
              <w:ind w:left="-610" w:firstLine="610"/>
              <w:jc w:val="center"/>
              <w:rPr>
                <w:b/>
                <w:bCs/>
              </w:rPr>
            </w:pPr>
            <w:r>
              <w:rPr>
                <w:b/>
                <w:bCs/>
                <w:lang w:val="fr-FR"/>
              </w:rPr>
              <w:t>Classe</w:t>
            </w:r>
          </w:p>
        </w:tc>
        <w:tc>
          <w:tcPr>
            <w:tcW w:w="1275" w:type="dxa"/>
            <w:tcBorders>
              <w:top w:val="single" w:sz="4" w:space="0" w:color="auto"/>
              <w:bottom w:val="single" w:sz="4" w:space="0" w:color="auto"/>
            </w:tcBorders>
          </w:tcPr>
          <w:p w14:paraId="306C25BA" w14:textId="77777777" w:rsidR="00FE4392" w:rsidRPr="008E12CB" w:rsidRDefault="00FE4392" w:rsidP="0096394D">
            <w:pPr>
              <w:spacing w:before="60" w:after="60" w:line="240" w:lineRule="auto"/>
              <w:ind w:left="-610" w:firstLine="610"/>
              <w:jc w:val="center"/>
              <w:rPr>
                <w:b/>
                <w:bCs/>
              </w:rPr>
            </w:pPr>
            <w:r>
              <w:rPr>
                <w:b/>
                <w:bCs/>
                <w:lang w:val="fr-FR"/>
              </w:rPr>
              <w:t>N</w:t>
            </w:r>
            <w:r w:rsidRPr="00375136">
              <w:rPr>
                <w:b/>
                <w:bCs/>
                <w:lang w:val="fr-FR"/>
              </w:rPr>
              <w:t>o</w:t>
            </w:r>
            <w:r>
              <w:rPr>
                <w:b/>
                <w:bCs/>
                <w:lang w:val="fr-FR"/>
              </w:rPr>
              <w:t xml:space="preserve"> ONU</w:t>
            </w:r>
          </w:p>
        </w:tc>
      </w:tr>
      <w:tr w:rsidR="00FE4392" w14:paraId="37B6B7DE" w14:textId="77777777" w:rsidTr="0096394D">
        <w:tc>
          <w:tcPr>
            <w:tcW w:w="4820" w:type="dxa"/>
            <w:tcBorders>
              <w:top w:val="single" w:sz="4" w:space="0" w:color="auto"/>
            </w:tcBorders>
          </w:tcPr>
          <w:p w14:paraId="7B1F153F" w14:textId="77777777" w:rsidR="00FE4392" w:rsidRPr="0045514B" w:rsidRDefault="00FE4392" w:rsidP="0096394D">
            <w:pPr>
              <w:spacing w:before="60" w:after="60" w:line="240" w:lineRule="auto"/>
              <w:ind w:left="137"/>
              <w:rPr>
                <w:strike/>
                <w:u w:val="single"/>
              </w:rPr>
            </w:pPr>
            <w:r>
              <w:rPr>
                <w:u w:val="single"/>
                <w:lang w:val="fr-FR"/>
              </w:rPr>
              <w:t xml:space="preserve">1,4-Benzoquinone </w:t>
            </w:r>
            <w:proofErr w:type="spellStart"/>
            <w:r>
              <w:rPr>
                <w:u w:val="single"/>
                <w:lang w:val="fr-FR"/>
              </w:rPr>
              <w:t>dioxime</w:t>
            </w:r>
            <w:proofErr w:type="spellEnd"/>
          </w:p>
        </w:tc>
        <w:tc>
          <w:tcPr>
            <w:tcW w:w="1276" w:type="dxa"/>
            <w:tcBorders>
              <w:top w:val="single" w:sz="4" w:space="0" w:color="auto"/>
            </w:tcBorders>
          </w:tcPr>
          <w:p w14:paraId="727EFEE8" w14:textId="77777777" w:rsidR="00FE4392" w:rsidRPr="0045514B" w:rsidRDefault="00FE4392" w:rsidP="0096394D">
            <w:pPr>
              <w:spacing w:before="60" w:after="60" w:line="240" w:lineRule="auto"/>
              <w:ind w:left="-610" w:firstLine="610"/>
              <w:jc w:val="center"/>
              <w:rPr>
                <w:u w:val="single"/>
              </w:rPr>
            </w:pPr>
            <w:r>
              <w:rPr>
                <w:u w:val="single"/>
                <w:lang w:val="fr-FR"/>
              </w:rPr>
              <w:t>1.4C</w:t>
            </w:r>
          </w:p>
        </w:tc>
        <w:tc>
          <w:tcPr>
            <w:tcW w:w="1275" w:type="dxa"/>
            <w:tcBorders>
              <w:top w:val="single" w:sz="4" w:space="0" w:color="auto"/>
            </w:tcBorders>
          </w:tcPr>
          <w:p w14:paraId="0D05EF37" w14:textId="77777777" w:rsidR="00FE4392" w:rsidRPr="0045514B" w:rsidRDefault="00FE4392" w:rsidP="0096394D">
            <w:pPr>
              <w:spacing w:before="60" w:after="60" w:line="240" w:lineRule="auto"/>
              <w:ind w:left="-610" w:firstLine="610"/>
              <w:jc w:val="center"/>
              <w:rPr>
                <w:u w:val="single"/>
              </w:rPr>
            </w:pPr>
            <w:r>
              <w:rPr>
                <w:u w:val="single"/>
                <w:lang w:val="fr-FR"/>
              </w:rPr>
              <w:t>05XX</w:t>
            </w:r>
          </w:p>
        </w:tc>
      </w:tr>
      <w:tr w:rsidR="00FE4392" w14:paraId="0D2B4F1A" w14:textId="77777777" w:rsidTr="0096394D">
        <w:tc>
          <w:tcPr>
            <w:tcW w:w="4820" w:type="dxa"/>
          </w:tcPr>
          <w:p w14:paraId="77B8A3E6" w14:textId="77777777" w:rsidR="00FE4392" w:rsidRPr="0045514B" w:rsidRDefault="00FE4392" w:rsidP="0096394D">
            <w:pPr>
              <w:spacing w:before="60" w:after="60" w:line="240" w:lineRule="auto"/>
              <w:ind w:left="137"/>
              <w:rPr>
                <w:u w:val="single"/>
              </w:rPr>
            </w:pPr>
            <w:r>
              <w:rPr>
                <w:u w:val="single"/>
                <w:lang w:val="fr-FR"/>
              </w:rPr>
              <w:t xml:space="preserve">1,4-Benzoquinone </w:t>
            </w:r>
            <w:proofErr w:type="spellStart"/>
            <w:r>
              <w:rPr>
                <w:u w:val="single"/>
                <w:lang w:val="fr-FR"/>
              </w:rPr>
              <w:t>dioxime</w:t>
            </w:r>
            <w:proofErr w:type="spellEnd"/>
            <w:r>
              <w:rPr>
                <w:u w:val="single"/>
                <w:lang w:val="fr-FR"/>
              </w:rPr>
              <w:t>, désensibilisée</w:t>
            </w:r>
          </w:p>
        </w:tc>
        <w:tc>
          <w:tcPr>
            <w:tcW w:w="1276" w:type="dxa"/>
          </w:tcPr>
          <w:p w14:paraId="0174B01C" w14:textId="77777777" w:rsidR="00FE4392" w:rsidRPr="0045514B" w:rsidRDefault="00FE4392" w:rsidP="0096394D">
            <w:pPr>
              <w:spacing w:before="60" w:after="60" w:line="240" w:lineRule="auto"/>
              <w:ind w:left="-610" w:firstLine="610"/>
              <w:jc w:val="center"/>
              <w:rPr>
                <w:u w:val="single"/>
              </w:rPr>
            </w:pPr>
            <w:r>
              <w:rPr>
                <w:u w:val="single"/>
                <w:lang w:val="fr-FR"/>
              </w:rPr>
              <w:t>4.1</w:t>
            </w:r>
          </w:p>
        </w:tc>
        <w:tc>
          <w:tcPr>
            <w:tcW w:w="1275" w:type="dxa"/>
          </w:tcPr>
          <w:p w14:paraId="7494D7E5" w14:textId="77777777" w:rsidR="00FE4392" w:rsidRPr="0045514B" w:rsidRDefault="00FE4392" w:rsidP="0096394D">
            <w:pPr>
              <w:spacing w:before="60" w:after="60" w:line="240" w:lineRule="auto"/>
              <w:ind w:left="-610" w:firstLine="610"/>
              <w:jc w:val="center"/>
              <w:rPr>
                <w:u w:val="single"/>
              </w:rPr>
            </w:pPr>
            <w:r>
              <w:rPr>
                <w:u w:val="single"/>
                <w:lang w:val="fr-FR"/>
              </w:rPr>
              <w:t>35XX</w:t>
            </w:r>
          </w:p>
        </w:tc>
      </w:tr>
    </w:tbl>
    <w:p w14:paraId="77963030" w14:textId="6A4CB8B3" w:rsidR="00FE4392" w:rsidRDefault="00FE4392" w:rsidP="00FE4392">
      <w:pPr>
        <w:pStyle w:val="SingleTxtG"/>
        <w:spacing w:before="120"/>
        <w:jc w:val="right"/>
      </w:pPr>
      <w:r>
        <w:t> </w:t>
      </w:r>
      <w:r w:rsidRPr="00DC1995">
        <w:t>»</w:t>
      </w:r>
      <w:r>
        <w:t>.</w:t>
      </w:r>
    </w:p>
    <w:p w14:paraId="09C2E3F4" w14:textId="4718E697" w:rsidR="00446FE5" w:rsidRPr="00AC3823" w:rsidRDefault="00FE4392" w:rsidP="00FE4392">
      <w:pPr>
        <w:pStyle w:val="SingleTxtG"/>
        <w:spacing w:before="240" w:after="0"/>
        <w:jc w:val="center"/>
      </w:pPr>
      <w:r>
        <w:rPr>
          <w:u w:val="single"/>
        </w:rPr>
        <w:tab/>
      </w:r>
      <w:r>
        <w:rPr>
          <w:u w:val="single"/>
        </w:rPr>
        <w:tab/>
      </w:r>
      <w:r>
        <w:rPr>
          <w:u w:val="single"/>
        </w:rPr>
        <w:tab/>
      </w:r>
    </w:p>
    <w:sectPr w:rsidR="00446FE5" w:rsidRPr="00AC3823" w:rsidSect="00FE4392">
      <w:headerReference w:type="even" r:id="rId9"/>
      <w:headerReference w:type="default" r:id="rId10"/>
      <w:footerReference w:type="even" r:id="rId11"/>
      <w:footerReference w:type="default" r:id="rId12"/>
      <w:footerReference w:type="first" r:id="rId13"/>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29909" w14:textId="77777777" w:rsidR="00473BE7" w:rsidRDefault="00473BE7" w:rsidP="00F95C08">
      <w:pPr>
        <w:spacing w:line="240" w:lineRule="auto"/>
      </w:pPr>
    </w:p>
  </w:endnote>
  <w:endnote w:type="continuationSeparator" w:id="0">
    <w:p w14:paraId="72C1A4A8" w14:textId="77777777" w:rsidR="00473BE7" w:rsidRPr="00AC3823" w:rsidRDefault="00473BE7" w:rsidP="00AC3823">
      <w:pPr>
        <w:pStyle w:val="Pieddepage"/>
      </w:pPr>
    </w:p>
  </w:endnote>
  <w:endnote w:type="continuationNotice" w:id="1">
    <w:p w14:paraId="0B86F197" w14:textId="77777777" w:rsidR="00473BE7" w:rsidRDefault="00473B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0372" w14:textId="3E2F4AD4" w:rsidR="00FE4392" w:rsidRPr="00FE4392" w:rsidRDefault="00FE4392" w:rsidP="00FE4392">
    <w:pPr>
      <w:pStyle w:val="Pieddepage"/>
      <w:tabs>
        <w:tab w:val="right" w:pos="9638"/>
      </w:tabs>
    </w:pPr>
    <w:r w:rsidRPr="00FE4392">
      <w:rPr>
        <w:b/>
        <w:sz w:val="18"/>
      </w:rPr>
      <w:fldChar w:fldCharType="begin"/>
    </w:r>
    <w:r w:rsidRPr="00FE4392">
      <w:rPr>
        <w:b/>
        <w:sz w:val="18"/>
      </w:rPr>
      <w:instrText xml:space="preserve"> PAGE  \* MERGEFORMAT </w:instrText>
    </w:r>
    <w:r w:rsidRPr="00FE4392">
      <w:rPr>
        <w:b/>
        <w:sz w:val="18"/>
      </w:rPr>
      <w:fldChar w:fldCharType="separate"/>
    </w:r>
    <w:r w:rsidRPr="00FE4392">
      <w:rPr>
        <w:b/>
        <w:noProof/>
        <w:sz w:val="18"/>
      </w:rPr>
      <w:t>2</w:t>
    </w:r>
    <w:r w:rsidRPr="00FE4392">
      <w:rPr>
        <w:b/>
        <w:sz w:val="18"/>
      </w:rPr>
      <w:fldChar w:fldCharType="end"/>
    </w:r>
    <w:r>
      <w:rPr>
        <w:b/>
        <w:sz w:val="18"/>
      </w:rPr>
      <w:tab/>
    </w:r>
    <w:r>
      <w:t>GE.23-17311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BB131" w14:textId="0ECF001B" w:rsidR="00FE4392" w:rsidRPr="00FE4392" w:rsidRDefault="00FE4392" w:rsidP="00FE4392">
    <w:pPr>
      <w:pStyle w:val="Pieddepage"/>
      <w:tabs>
        <w:tab w:val="right" w:pos="9638"/>
      </w:tabs>
      <w:rPr>
        <w:b/>
        <w:sz w:val="18"/>
      </w:rPr>
    </w:pPr>
    <w:r>
      <w:t>GE.23-17311</w:t>
    </w:r>
    <w:r>
      <w:tab/>
    </w:r>
    <w:r w:rsidRPr="00FE4392">
      <w:rPr>
        <w:b/>
        <w:sz w:val="18"/>
      </w:rPr>
      <w:fldChar w:fldCharType="begin"/>
    </w:r>
    <w:r w:rsidRPr="00FE4392">
      <w:rPr>
        <w:b/>
        <w:sz w:val="18"/>
      </w:rPr>
      <w:instrText xml:space="preserve"> PAGE  \* MERGEFORMAT </w:instrText>
    </w:r>
    <w:r w:rsidRPr="00FE4392">
      <w:rPr>
        <w:b/>
        <w:sz w:val="18"/>
      </w:rPr>
      <w:fldChar w:fldCharType="separate"/>
    </w:r>
    <w:r w:rsidRPr="00FE4392">
      <w:rPr>
        <w:b/>
        <w:noProof/>
        <w:sz w:val="18"/>
      </w:rPr>
      <w:t>3</w:t>
    </w:r>
    <w:r w:rsidRPr="00FE439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F794" w14:textId="152D39BC" w:rsidR="0068456F" w:rsidRPr="00FE4392" w:rsidRDefault="00FE4392" w:rsidP="00FE4392">
    <w:pPr>
      <w:pStyle w:val="Pieddepage"/>
      <w:spacing w:before="120"/>
      <w:rPr>
        <w:sz w:val="20"/>
      </w:rPr>
    </w:pPr>
    <w:r>
      <w:rPr>
        <w:sz w:val="20"/>
      </w:rPr>
      <w:t>GE.</w:t>
    </w:r>
    <w:r w:rsidR="0068456F">
      <w:rPr>
        <w:noProof/>
        <w:lang w:eastAsia="fr-CH"/>
      </w:rPr>
      <w:drawing>
        <wp:anchor distT="0" distB="0" distL="114300" distR="114300" simplePos="0" relativeHeight="251659264" behindDoc="0" locked="0" layoutInCell="1" allowOverlap="0" wp14:anchorId="56B53AC6" wp14:editId="36E7E4B2">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23-17311  (F)</w:t>
    </w:r>
    <w:r>
      <w:rPr>
        <w:noProof/>
        <w:sz w:val="20"/>
      </w:rPr>
      <w:drawing>
        <wp:anchor distT="0" distB="0" distL="114300" distR="114300" simplePos="0" relativeHeight="251660288" behindDoc="0" locked="0" layoutInCell="1" allowOverlap="1" wp14:anchorId="3125F03E" wp14:editId="50A6A292">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101023    1</w:t>
    </w:r>
    <w:r w:rsidR="004A3A43">
      <w:rPr>
        <w:sz w:val="20"/>
      </w:rPr>
      <w:t>1</w:t>
    </w:r>
    <w:r>
      <w:rPr>
        <w:sz w:val="20"/>
      </w:rPr>
      <w:t>1023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31ABB" w14:textId="77777777" w:rsidR="00473BE7" w:rsidRPr="00AC3823" w:rsidRDefault="00473BE7" w:rsidP="00AC3823">
      <w:pPr>
        <w:pStyle w:val="Pieddepage"/>
        <w:tabs>
          <w:tab w:val="right" w:pos="2155"/>
        </w:tabs>
        <w:spacing w:after="80" w:line="240" w:lineRule="atLeast"/>
        <w:ind w:left="680"/>
        <w:rPr>
          <w:u w:val="single"/>
        </w:rPr>
      </w:pPr>
      <w:r>
        <w:rPr>
          <w:u w:val="single"/>
        </w:rPr>
        <w:tab/>
      </w:r>
    </w:p>
  </w:footnote>
  <w:footnote w:type="continuationSeparator" w:id="0">
    <w:p w14:paraId="26EA99D9" w14:textId="77777777" w:rsidR="00473BE7" w:rsidRPr="00AC3823" w:rsidRDefault="00473BE7" w:rsidP="00AC3823">
      <w:pPr>
        <w:pStyle w:val="Pieddepage"/>
        <w:tabs>
          <w:tab w:val="right" w:pos="2155"/>
        </w:tabs>
        <w:spacing w:after="80" w:line="240" w:lineRule="atLeast"/>
        <w:ind w:left="680"/>
        <w:rPr>
          <w:u w:val="single"/>
        </w:rPr>
      </w:pPr>
      <w:r>
        <w:rPr>
          <w:u w:val="single"/>
        </w:rPr>
        <w:tab/>
      </w:r>
    </w:p>
  </w:footnote>
  <w:footnote w:type="continuationNotice" w:id="1">
    <w:p w14:paraId="1BCEA0EA" w14:textId="77777777" w:rsidR="00473BE7" w:rsidRPr="00AC3823" w:rsidRDefault="00473BE7">
      <w:pPr>
        <w:spacing w:line="240" w:lineRule="auto"/>
        <w:rPr>
          <w:sz w:val="2"/>
          <w:szCs w:val="2"/>
        </w:rPr>
      </w:pPr>
    </w:p>
  </w:footnote>
  <w:footnote w:id="2">
    <w:p w14:paraId="6CC3BE1A" w14:textId="77777777" w:rsidR="00FE4392" w:rsidRPr="004C689C" w:rsidRDefault="00FE4392" w:rsidP="00FE4392">
      <w:pPr>
        <w:pStyle w:val="Notedebasdepage"/>
      </w:pPr>
      <w:r>
        <w:rPr>
          <w:lang w:val="fr-FR"/>
        </w:rPr>
        <w:tab/>
      </w:r>
      <w:r w:rsidRPr="004A3A43">
        <w:rPr>
          <w:sz w:val="20"/>
          <w:lang w:val="fr-FR"/>
        </w:rPr>
        <w:t>*</w:t>
      </w:r>
      <w:r>
        <w:rPr>
          <w:lang w:val="fr-FR"/>
        </w:rPr>
        <w:tab/>
        <w:t xml:space="preserve"> A/77/6 (Sect. 20), tableau 20.6.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4881" w14:textId="3B607FAA" w:rsidR="00FE4392" w:rsidRPr="00FE4392" w:rsidRDefault="00FE4392">
    <w:pPr>
      <w:pStyle w:val="En-tte"/>
    </w:pPr>
    <w:fldSimple w:instr=" TITLE  \* MERGEFORMAT ">
      <w:r>
        <w:t>ST/SG/AC.10/C.3/2023/49</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E9494" w14:textId="6BE56454" w:rsidR="00FE4392" w:rsidRPr="00FE4392" w:rsidRDefault="00FE4392" w:rsidP="00FE4392">
    <w:pPr>
      <w:pStyle w:val="En-tte"/>
      <w:jc w:val="right"/>
    </w:pPr>
    <w:fldSimple w:instr=" TITLE  \* MERGEFORMAT ">
      <w:r>
        <w:t>ST/SG/AC.10/C.3/2023/49</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4CD73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981AAA34"/>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FE2C9A28"/>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412894766">
    <w:abstractNumId w:val="12"/>
  </w:num>
  <w:num w:numId="2" w16cid:durableId="1603338958">
    <w:abstractNumId w:val="11"/>
  </w:num>
  <w:num w:numId="3" w16cid:durableId="779375609">
    <w:abstractNumId w:val="10"/>
  </w:num>
  <w:num w:numId="4" w16cid:durableId="364213733">
    <w:abstractNumId w:val="8"/>
  </w:num>
  <w:num w:numId="5" w16cid:durableId="1524636926">
    <w:abstractNumId w:val="3"/>
  </w:num>
  <w:num w:numId="6" w16cid:durableId="1536503549">
    <w:abstractNumId w:val="2"/>
  </w:num>
  <w:num w:numId="7" w16cid:durableId="2141338607">
    <w:abstractNumId w:val="1"/>
  </w:num>
  <w:num w:numId="8" w16cid:durableId="1330063701">
    <w:abstractNumId w:val="0"/>
  </w:num>
  <w:num w:numId="9" w16cid:durableId="1014041265">
    <w:abstractNumId w:val="9"/>
  </w:num>
  <w:num w:numId="10" w16cid:durableId="1281913425">
    <w:abstractNumId w:val="7"/>
  </w:num>
  <w:num w:numId="11" w16cid:durableId="1414425463">
    <w:abstractNumId w:val="6"/>
  </w:num>
  <w:num w:numId="12" w16cid:durableId="311760110">
    <w:abstractNumId w:val="5"/>
  </w:num>
  <w:num w:numId="13" w16cid:durableId="2084258921">
    <w:abstractNumId w:val="4"/>
  </w:num>
  <w:num w:numId="14" w16cid:durableId="1159544662">
    <w:abstractNumId w:val="12"/>
  </w:num>
  <w:num w:numId="15" w16cid:durableId="1882130331">
    <w:abstractNumId w:val="11"/>
  </w:num>
  <w:num w:numId="16" w16cid:durableId="17353512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BE7"/>
    <w:rsid w:val="00017F94"/>
    <w:rsid w:val="00023842"/>
    <w:rsid w:val="000305D3"/>
    <w:rsid w:val="000334F9"/>
    <w:rsid w:val="0007796D"/>
    <w:rsid w:val="00096137"/>
    <w:rsid w:val="000B7790"/>
    <w:rsid w:val="00111F2F"/>
    <w:rsid w:val="00132EA9"/>
    <w:rsid w:val="0014365E"/>
    <w:rsid w:val="00172E49"/>
    <w:rsid w:val="00176178"/>
    <w:rsid w:val="001F525A"/>
    <w:rsid w:val="00223272"/>
    <w:rsid w:val="0024779E"/>
    <w:rsid w:val="00283190"/>
    <w:rsid w:val="002832AC"/>
    <w:rsid w:val="002D7C93"/>
    <w:rsid w:val="0043739A"/>
    <w:rsid w:val="00441C3B"/>
    <w:rsid w:val="00446FE5"/>
    <w:rsid w:val="00452396"/>
    <w:rsid w:val="00473BE7"/>
    <w:rsid w:val="004A3A43"/>
    <w:rsid w:val="004E468C"/>
    <w:rsid w:val="005505B7"/>
    <w:rsid w:val="00573BE5"/>
    <w:rsid w:val="00584DC4"/>
    <w:rsid w:val="00586ED3"/>
    <w:rsid w:val="00596AA9"/>
    <w:rsid w:val="0068456F"/>
    <w:rsid w:val="0071601D"/>
    <w:rsid w:val="007A62E6"/>
    <w:rsid w:val="0080684C"/>
    <w:rsid w:val="008123E0"/>
    <w:rsid w:val="00871C75"/>
    <w:rsid w:val="008776DC"/>
    <w:rsid w:val="008B40CD"/>
    <w:rsid w:val="008C551E"/>
    <w:rsid w:val="009705C8"/>
    <w:rsid w:val="009C1CF4"/>
    <w:rsid w:val="00A30353"/>
    <w:rsid w:val="00A81281"/>
    <w:rsid w:val="00AC3823"/>
    <w:rsid w:val="00AE323C"/>
    <w:rsid w:val="00B00181"/>
    <w:rsid w:val="00B00B0D"/>
    <w:rsid w:val="00B765F7"/>
    <w:rsid w:val="00BA0CA9"/>
    <w:rsid w:val="00C02897"/>
    <w:rsid w:val="00C21C02"/>
    <w:rsid w:val="00D01CF1"/>
    <w:rsid w:val="00D3439C"/>
    <w:rsid w:val="00DB1831"/>
    <w:rsid w:val="00DD3BFD"/>
    <w:rsid w:val="00DF6678"/>
    <w:rsid w:val="00EF2E22"/>
    <w:rsid w:val="00F01738"/>
    <w:rsid w:val="00F660DF"/>
    <w:rsid w:val="00F730C8"/>
    <w:rsid w:val="00F95C08"/>
    <w:rsid w:val="00FE4392"/>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01288"/>
  <w15:docId w15:val="{BA84E781-5EF8-48CF-8000-BC0D74998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DC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584DC4"/>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584DC4"/>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584DC4"/>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584DC4"/>
    <w:pPr>
      <w:spacing w:line="240" w:lineRule="auto"/>
    </w:pPr>
    <w:rPr>
      <w:sz w:val="16"/>
    </w:rPr>
  </w:style>
  <w:style w:type="character" w:customStyle="1" w:styleId="PieddepageCar">
    <w:name w:val="Pied de page Car"/>
    <w:aliases w:val="3_G Car"/>
    <w:basedOn w:val="Policepardfaut"/>
    <w:link w:val="Pieddepage"/>
    <w:rsid w:val="00584DC4"/>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584DC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584DC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584DC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584DC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584DC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584DC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uiPriority w:val="99"/>
    <w:qFormat/>
    <w:rsid w:val="00584DC4"/>
    <w:pPr>
      <w:tabs>
        <w:tab w:val="left" w:pos="1701"/>
        <w:tab w:val="left" w:pos="2268"/>
        <w:tab w:val="left" w:pos="2835"/>
      </w:tabs>
      <w:spacing w:after="120"/>
      <w:ind w:left="1134" w:right="1134"/>
      <w:jc w:val="both"/>
    </w:pPr>
  </w:style>
  <w:style w:type="paragraph" w:customStyle="1" w:styleId="SLG">
    <w:name w:val="__S_L_G"/>
    <w:basedOn w:val="Normal"/>
    <w:next w:val="Normal"/>
    <w:rsid w:val="00584DC4"/>
    <w:pPr>
      <w:keepNext/>
      <w:keepLines/>
      <w:spacing w:before="240" w:after="240" w:line="580" w:lineRule="exact"/>
      <w:ind w:left="1134" w:right="1134"/>
    </w:pPr>
    <w:rPr>
      <w:b/>
      <w:sz w:val="56"/>
    </w:rPr>
  </w:style>
  <w:style w:type="paragraph" w:customStyle="1" w:styleId="SMG">
    <w:name w:val="__S_M_G"/>
    <w:basedOn w:val="Normal"/>
    <w:next w:val="Normal"/>
    <w:rsid w:val="00584DC4"/>
    <w:pPr>
      <w:keepNext/>
      <w:keepLines/>
      <w:spacing w:before="240" w:after="240" w:line="420" w:lineRule="exact"/>
      <w:ind w:left="1134" w:right="1134"/>
    </w:pPr>
    <w:rPr>
      <w:b/>
      <w:sz w:val="40"/>
    </w:rPr>
  </w:style>
  <w:style w:type="paragraph" w:customStyle="1" w:styleId="SSG">
    <w:name w:val="__S_S_G"/>
    <w:basedOn w:val="Normal"/>
    <w:next w:val="Normal"/>
    <w:rsid w:val="00584DC4"/>
    <w:pPr>
      <w:keepNext/>
      <w:keepLines/>
      <w:spacing w:before="240" w:after="240" w:line="300" w:lineRule="exact"/>
      <w:ind w:left="1134" w:right="1134"/>
    </w:pPr>
    <w:rPr>
      <w:b/>
      <w:sz w:val="28"/>
    </w:rPr>
  </w:style>
  <w:style w:type="paragraph" w:customStyle="1" w:styleId="XLargeG">
    <w:name w:val="__XLarge_G"/>
    <w:basedOn w:val="Normal"/>
    <w:next w:val="Normal"/>
    <w:rsid w:val="00584DC4"/>
    <w:pPr>
      <w:keepNext/>
      <w:keepLines/>
      <w:spacing w:before="240" w:after="240" w:line="420" w:lineRule="exact"/>
      <w:ind w:left="1134" w:right="1134"/>
    </w:pPr>
    <w:rPr>
      <w:b/>
      <w:sz w:val="40"/>
    </w:rPr>
  </w:style>
  <w:style w:type="paragraph" w:customStyle="1" w:styleId="Bullet1G">
    <w:name w:val="_Bullet 1_G"/>
    <w:basedOn w:val="Normal"/>
    <w:qFormat/>
    <w:rsid w:val="00584DC4"/>
    <w:pPr>
      <w:numPr>
        <w:numId w:val="14"/>
      </w:numPr>
      <w:spacing w:after="120"/>
      <w:ind w:right="1134"/>
      <w:jc w:val="both"/>
    </w:pPr>
  </w:style>
  <w:style w:type="paragraph" w:customStyle="1" w:styleId="Bullet2G">
    <w:name w:val="_Bullet 2_G"/>
    <w:basedOn w:val="Normal"/>
    <w:qFormat/>
    <w:rsid w:val="00584DC4"/>
    <w:pPr>
      <w:numPr>
        <w:numId w:val="15"/>
      </w:numPr>
      <w:spacing w:after="120"/>
      <w:ind w:right="1134"/>
      <w:jc w:val="both"/>
    </w:pPr>
  </w:style>
  <w:style w:type="paragraph" w:customStyle="1" w:styleId="ParNoG">
    <w:name w:val="_ParNo_G"/>
    <w:basedOn w:val="Normal"/>
    <w:qFormat/>
    <w:rsid w:val="00584DC4"/>
    <w:pPr>
      <w:numPr>
        <w:numId w:val="16"/>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584DC4"/>
    <w:rPr>
      <w:rFonts w:ascii="Times New Roman" w:hAnsi="Times New Roman"/>
      <w:sz w:val="18"/>
      <w:vertAlign w:val="superscript"/>
      <w:lang w:val="fr-CH"/>
    </w:rPr>
  </w:style>
  <w:style w:type="character" w:styleId="Appeldenotedefin">
    <w:name w:val="endnote reference"/>
    <w:aliases w:val="1_G"/>
    <w:basedOn w:val="Appelnotedebasdep"/>
    <w:qFormat/>
    <w:rsid w:val="00584DC4"/>
    <w:rPr>
      <w:rFonts w:ascii="Times New Roman" w:hAnsi="Times New Roman"/>
      <w:sz w:val="18"/>
      <w:vertAlign w:val="superscript"/>
      <w:lang w:val="fr-CH"/>
    </w:rPr>
  </w:style>
  <w:style w:type="table" w:styleId="Grilledutableau">
    <w:name w:val="Table Grid"/>
    <w:basedOn w:val="TableauNormal"/>
    <w:rsid w:val="00584DC4"/>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584DC4"/>
    <w:rPr>
      <w:color w:val="0000FF"/>
      <w:u w:val="none"/>
    </w:rPr>
  </w:style>
  <w:style w:type="character" w:styleId="Lienhypertextesuivivisit">
    <w:name w:val="FollowedHyperlink"/>
    <w:basedOn w:val="Policepardfaut"/>
    <w:unhideWhenUsed/>
    <w:rsid w:val="00584DC4"/>
    <w:rPr>
      <w:color w:val="0000FF"/>
      <w:u w:val="none"/>
    </w:rPr>
  </w:style>
  <w:style w:type="paragraph" w:styleId="Notedebasdepage">
    <w:name w:val="footnote text"/>
    <w:aliases w:val="5_G"/>
    <w:basedOn w:val="Normal"/>
    <w:link w:val="NotedebasdepageCar"/>
    <w:qFormat/>
    <w:rsid w:val="00584DC4"/>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584DC4"/>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584DC4"/>
  </w:style>
  <w:style w:type="character" w:customStyle="1" w:styleId="NotedefinCar">
    <w:name w:val="Note de fin Car"/>
    <w:aliases w:val="2_G Car"/>
    <w:basedOn w:val="Policepardfaut"/>
    <w:link w:val="Notedefin"/>
    <w:rsid w:val="00584DC4"/>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584DC4"/>
    <w:rPr>
      <w:rFonts w:ascii="Times New Roman" w:hAnsi="Times New Roman"/>
      <w:b/>
      <w:sz w:val="18"/>
      <w:lang w:val="fr-CH"/>
    </w:rPr>
  </w:style>
  <w:style w:type="character" w:customStyle="1" w:styleId="Titre1Car">
    <w:name w:val="Titre 1 Car"/>
    <w:aliases w:val="Table_G Car"/>
    <w:basedOn w:val="Policepardfaut"/>
    <w:link w:val="Titre1"/>
    <w:rsid w:val="00584DC4"/>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132EA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2EA9"/>
    <w:rPr>
      <w:rFonts w:ascii="Tahoma" w:hAnsi="Tahoma" w:cs="Tahoma"/>
      <w:sz w:val="16"/>
      <w:szCs w:val="16"/>
      <w:lang w:eastAsia="en-US"/>
    </w:rPr>
  </w:style>
  <w:style w:type="character" w:customStyle="1" w:styleId="H1GChar">
    <w:name w:val="_ H_1_G Char"/>
    <w:link w:val="H1G"/>
    <w:locked/>
    <w:rsid w:val="00FE4392"/>
    <w:rPr>
      <w:rFonts w:ascii="Times New Roman" w:eastAsiaTheme="minorHAnsi" w:hAnsi="Times New Roman" w:cs="Times New Roman"/>
      <w:b/>
      <w:sz w:val="24"/>
      <w:szCs w:val="20"/>
      <w:lang w:eastAsia="en-US"/>
    </w:rPr>
  </w:style>
  <w:style w:type="character" w:customStyle="1" w:styleId="SingleTxtGChar">
    <w:name w:val="_ Single Txt_G Char"/>
    <w:link w:val="SingleTxtG"/>
    <w:uiPriority w:val="99"/>
    <w:locked/>
    <w:rsid w:val="00FE4392"/>
    <w:rPr>
      <w:rFonts w:ascii="Times New Roman" w:eastAsiaTheme="minorHAnsi" w:hAnsi="Times New Roman" w:cs="Times New Roman"/>
      <w:sz w:val="20"/>
      <w:szCs w:val="20"/>
      <w:lang w:eastAsia="en-US"/>
    </w:rPr>
  </w:style>
  <w:style w:type="paragraph" w:customStyle="1" w:styleId="DGLbodybold">
    <w:name w:val="DGL_body_bold"/>
    <w:basedOn w:val="Normal"/>
    <w:link w:val="DGLbodyboldChar"/>
    <w:qFormat/>
    <w:rsid w:val="00FE4392"/>
    <w:pPr>
      <w:tabs>
        <w:tab w:val="left" w:pos="1418"/>
        <w:tab w:val="left" w:pos="1985"/>
        <w:tab w:val="left" w:pos="2552"/>
        <w:tab w:val="left" w:pos="3119"/>
      </w:tabs>
      <w:suppressAutoHyphens w:val="0"/>
      <w:kinsoku/>
      <w:overflowPunct/>
      <w:autoSpaceDE/>
      <w:autoSpaceDN/>
      <w:adjustRightInd/>
      <w:snapToGrid/>
      <w:spacing w:after="60" w:line="240" w:lineRule="auto"/>
      <w:jc w:val="center"/>
    </w:pPr>
    <w:rPr>
      <w:rFonts w:eastAsia="Times New Roman"/>
      <w:b/>
      <w:bCs/>
      <w:snapToGrid w:val="0"/>
      <w:sz w:val="16"/>
      <w:lang w:val="en-US"/>
    </w:rPr>
  </w:style>
  <w:style w:type="character" w:customStyle="1" w:styleId="DGLbodyboldChar">
    <w:name w:val="DGL_body_bold Char"/>
    <w:basedOn w:val="Policepardfaut"/>
    <w:link w:val="DGLbodybold"/>
    <w:rsid w:val="00FE4392"/>
    <w:rPr>
      <w:rFonts w:ascii="Times New Roman" w:hAnsi="Times New Roman" w:cs="Times New Roman"/>
      <w:b/>
      <w:bCs/>
      <w:snapToGrid w:val="0"/>
      <w:sz w:val="1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S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ée un document." ma:contentTypeScope="" ma:versionID="d593cc96c5d428f23a5351564b268b6d">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76aafa040e38551359a67edc98402bfa"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D6F0C7-5E67-4343-B415-0C612FAE702A}"/>
</file>

<file path=customXml/itemProps2.xml><?xml version="1.0" encoding="utf-8"?>
<ds:datastoreItem xmlns:ds="http://schemas.openxmlformats.org/officeDocument/2006/customXml" ds:itemID="{A1FE03D6-6CCF-4164-BF98-0C98B562AD15}"/>
</file>

<file path=docProps/app.xml><?xml version="1.0" encoding="utf-8"?>
<Properties xmlns="http://schemas.openxmlformats.org/officeDocument/2006/extended-properties" xmlns:vt="http://schemas.openxmlformats.org/officeDocument/2006/docPropsVTypes">
  <Template>ST.dotm</Template>
  <TotalTime>0</TotalTime>
  <Pages>4</Pages>
  <Words>1344</Words>
  <Characters>8068</Characters>
  <Application>Microsoft Office Word</Application>
  <DocSecurity>0</DocSecurity>
  <Lines>1152</Lines>
  <Paragraphs>495</Paragraphs>
  <ScaleCrop>false</ScaleCrop>
  <HeadingPairs>
    <vt:vector size="2" baseType="variant">
      <vt:variant>
        <vt:lpstr>Titre</vt:lpstr>
      </vt:variant>
      <vt:variant>
        <vt:i4>1</vt:i4>
      </vt:variant>
    </vt:vector>
  </HeadingPairs>
  <TitlesOfParts>
    <vt:vector size="1" baseType="lpstr">
      <vt:lpstr>ST/SG/AC.10/C.3/2023/49</vt:lpstr>
    </vt:vector>
  </TitlesOfParts>
  <Company>DCM</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ST/SG/AC.10/C.3/2023/49</dc:title>
  <dc:subject/>
  <dc:creator>Sandrine CLERE</dc:creator>
  <cp:keywords/>
  <cp:lastModifiedBy>Sandrine Clere</cp:lastModifiedBy>
  <cp:revision>2</cp:revision>
  <cp:lastPrinted>2014-05-14T10:59:00Z</cp:lastPrinted>
  <dcterms:created xsi:type="dcterms:W3CDTF">2023-10-11T05:34:00Z</dcterms:created>
  <dcterms:modified xsi:type="dcterms:W3CDTF">2023-10-11T05:34:00Z</dcterms:modified>
</cp:coreProperties>
</file>