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37050F24" w14:textId="77777777" w:rsidTr="00F01738">
        <w:trPr>
          <w:trHeight w:hRule="exact" w:val="851"/>
        </w:trPr>
        <w:tc>
          <w:tcPr>
            <w:tcW w:w="1276" w:type="dxa"/>
            <w:tcBorders>
              <w:bottom w:val="single" w:sz="4" w:space="0" w:color="auto"/>
            </w:tcBorders>
          </w:tcPr>
          <w:p w14:paraId="54DA53DC" w14:textId="77777777" w:rsidR="00132EA9" w:rsidRPr="00DB58B5" w:rsidRDefault="00132EA9" w:rsidP="000264E7"/>
        </w:tc>
        <w:tc>
          <w:tcPr>
            <w:tcW w:w="2268" w:type="dxa"/>
            <w:tcBorders>
              <w:bottom w:val="single" w:sz="4" w:space="0" w:color="auto"/>
            </w:tcBorders>
            <w:vAlign w:val="bottom"/>
          </w:tcPr>
          <w:p w14:paraId="56CFFF81"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489D6E0" w14:textId="08286934" w:rsidR="00132EA9" w:rsidRPr="00DB58B5" w:rsidRDefault="000264E7" w:rsidP="000264E7">
            <w:pPr>
              <w:jc w:val="right"/>
            </w:pPr>
            <w:r w:rsidRPr="000264E7">
              <w:rPr>
                <w:sz w:val="40"/>
              </w:rPr>
              <w:t>ST</w:t>
            </w:r>
            <w:r>
              <w:t>/SG/AC.10/C.3/2023/43</w:t>
            </w:r>
          </w:p>
        </w:tc>
      </w:tr>
      <w:tr w:rsidR="00132EA9" w:rsidRPr="00DB58B5" w14:paraId="06DB5132" w14:textId="77777777" w:rsidTr="00F01738">
        <w:trPr>
          <w:trHeight w:hRule="exact" w:val="2835"/>
        </w:trPr>
        <w:tc>
          <w:tcPr>
            <w:tcW w:w="1276" w:type="dxa"/>
            <w:tcBorders>
              <w:top w:val="single" w:sz="4" w:space="0" w:color="auto"/>
              <w:bottom w:val="single" w:sz="12" w:space="0" w:color="auto"/>
            </w:tcBorders>
          </w:tcPr>
          <w:p w14:paraId="5822A1A8" w14:textId="77777777" w:rsidR="00132EA9" w:rsidRPr="00DB58B5" w:rsidRDefault="00132EA9" w:rsidP="00F01738">
            <w:pPr>
              <w:spacing w:before="120"/>
              <w:jc w:val="center"/>
            </w:pPr>
            <w:r>
              <w:rPr>
                <w:noProof/>
                <w:lang w:eastAsia="fr-CH"/>
              </w:rPr>
              <w:drawing>
                <wp:inline distT="0" distB="0" distL="0" distR="0" wp14:anchorId="2A2E9FDC" wp14:editId="59B7930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3A0921B"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72FF938C" w14:textId="77777777" w:rsidR="00132EA9" w:rsidRDefault="000264E7" w:rsidP="00F01738">
            <w:pPr>
              <w:spacing w:before="240"/>
            </w:pPr>
            <w:r>
              <w:t>Distr. générale</w:t>
            </w:r>
          </w:p>
          <w:p w14:paraId="794DCDE7" w14:textId="77777777" w:rsidR="000264E7" w:rsidRDefault="000264E7" w:rsidP="000264E7">
            <w:pPr>
              <w:spacing w:line="240" w:lineRule="exact"/>
            </w:pPr>
            <w:r>
              <w:t>8 septembre 2023</w:t>
            </w:r>
          </w:p>
          <w:p w14:paraId="3F74AF03" w14:textId="77777777" w:rsidR="000264E7" w:rsidRDefault="000264E7" w:rsidP="000264E7">
            <w:pPr>
              <w:spacing w:line="240" w:lineRule="exact"/>
            </w:pPr>
            <w:r>
              <w:t>Français</w:t>
            </w:r>
          </w:p>
          <w:p w14:paraId="0211FB1E" w14:textId="6F9C5076" w:rsidR="000264E7" w:rsidRPr="00DB58B5" w:rsidRDefault="000264E7" w:rsidP="000264E7">
            <w:pPr>
              <w:spacing w:line="240" w:lineRule="exact"/>
            </w:pPr>
            <w:r>
              <w:t>Original : anglais</w:t>
            </w:r>
          </w:p>
        </w:tc>
      </w:tr>
    </w:tbl>
    <w:p w14:paraId="39B08981" w14:textId="492E33B9" w:rsidR="000264E7" w:rsidRPr="00256A98" w:rsidRDefault="000264E7" w:rsidP="000264E7">
      <w:pPr>
        <w:spacing w:before="120"/>
        <w:rPr>
          <w:b/>
          <w:sz w:val="32"/>
          <w:szCs w:val="32"/>
        </w:rPr>
      </w:pPr>
      <w:r w:rsidRPr="00256A98">
        <w:rPr>
          <w:b/>
          <w:bCs/>
          <w:sz w:val="24"/>
          <w:szCs w:val="24"/>
          <w:lang w:val="fr-FR"/>
        </w:rPr>
        <w:t xml:space="preserve">Comité d’experts du transport des marchandises dangereuses </w:t>
      </w:r>
      <w:r w:rsidR="00256A98">
        <w:rPr>
          <w:b/>
          <w:bCs/>
          <w:sz w:val="24"/>
          <w:szCs w:val="24"/>
          <w:lang w:val="fr-FR"/>
        </w:rPr>
        <w:br/>
      </w:r>
      <w:r w:rsidRPr="00256A98">
        <w:rPr>
          <w:b/>
          <w:bCs/>
          <w:sz w:val="24"/>
          <w:szCs w:val="24"/>
          <w:lang w:val="fr-FR"/>
        </w:rPr>
        <w:t xml:space="preserve">et du Système général harmonisé de classification </w:t>
      </w:r>
      <w:r w:rsidR="00256A98">
        <w:rPr>
          <w:b/>
          <w:bCs/>
          <w:sz w:val="24"/>
          <w:szCs w:val="24"/>
          <w:lang w:val="fr-FR"/>
        </w:rPr>
        <w:br/>
      </w:r>
      <w:r w:rsidRPr="00256A98">
        <w:rPr>
          <w:b/>
          <w:bCs/>
          <w:sz w:val="24"/>
          <w:szCs w:val="24"/>
          <w:lang w:val="fr-FR"/>
        </w:rPr>
        <w:t>et d’étiquetage des produits chimiques</w:t>
      </w:r>
    </w:p>
    <w:p w14:paraId="4497F5CD" w14:textId="77777777" w:rsidR="000264E7" w:rsidRPr="00256A98" w:rsidRDefault="000264E7" w:rsidP="000264E7">
      <w:pPr>
        <w:spacing w:before="120"/>
        <w:rPr>
          <w:rFonts w:ascii="Helv" w:hAnsi="Helv" w:cs="Helv"/>
          <w:b/>
          <w:color w:val="000000"/>
        </w:rPr>
      </w:pPr>
      <w:r w:rsidRPr="00256A98">
        <w:rPr>
          <w:b/>
          <w:bCs/>
          <w:lang w:val="fr-FR"/>
        </w:rPr>
        <w:t>Sous-Comité d’experts du transport des marchandises dangereuses</w:t>
      </w:r>
    </w:p>
    <w:p w14:paraId="14BD8E72" w14:textId="77777777" w:rsidR="000264E7" w:rsidRPr="00256A98" w:rsidRDefault="000264E7" w:rsidP="000264E7">
      <w:pPr>
        <w:spacing w:before="120"/>
        <w:rPr>
          <w:b/>
        </w:rPr>
      </w:pPr>
      <w:r w:rsidRPr="00256A98">
        <w:rPr>
          <w:b/>
          <w:bCs/>
          <w:lang w:val="fr-FR"/>
        </w:rPr>
        <w:t>Soixante-troisième session</w:t>
      </w:r>
    </w:p>
    <w:p w14:paraId="470E5E24" w14:textId="77777777" w:rsidR="000264E7" w:rsidRPr="00256A98" w:rsidRDefault="000264E7" w:rsidP="000264E7">
      <w:r w:rsidRPr="00256A98">
        <w:rPr>
          <w:lang w:val="fr-FR"/>
        </w:rPr>
        <w:t xml:space="preserve">Genève, 27 novembre-6 décembre 2023 </w:t>
      </w:r>
    </w:p>
    <w:p w14:paraId="0D3E63CC" w14:textId="77777777" w:rsidR="000264E7" w:rsidRPr="00256A98" w:rsidRDefault="000264E7" w:rsidP="000264E7">
      <w:r w:rsidRPr="00256A98">
        <w:rPr>
          <w:lang w:val="fr-FR"/>
        </w:rPr>
        <w:t>Point 4 e) de l’ordre du jour provisoire</w:t>
      </w:r>
    </w:p>
    <w:p w14:paraId="2D873EFC" w14:textId="5F9E9C20" w:rsidR="000264E7" w:rsidRPr="00256A98" w:rsidRDefault="000264E7" w:rsidP="000264E7">
      <w:pPr>
        <w:rPr>
          <w:b/>
          <w:bCs/>
        </w:rPr>
      </w:pPr>
      <w:r w:rsidRPr="00256A98">
        <w:rPr>
          <w:b/>
          <w:bCs/>
          <w:lang w:val="fr-FR"/>
        </w:rPr>
        <w:t>Systèmes de stockage de l’électricité</w:t>
      </w:r>
      <w:r w:rsidR="00256A98">
        <w:rPr>
          <w:b/>
          <w:bCs/>
          <w:lang w:val="fr-FR"/>
        </w:rPr>
        <w:t> </w:t>
      </w:r>
      <w:r w:rsidRPr="00256A98">
        <w:rPr>
          <w:b/>
          <w:bCs/>
          <w:lang w:val="fr-FR"/>
        </w:rPr>
        <w:t>:</w:t>
      </w:r>
      <w:r w:rsidRPr="00256A98">
        <w:rPr>
          <w:lang w:val="fr-FR"/>
        </w:rPr>
        <w:t xml:space="preserve"> </w:t>
      </w:r>
    </w:p>
    <w:p w14:paraId="38881407" w14:textId="77777777" w:rsidR="000264E7" w:rsidRPr="00256A98" w:rsidRDefault="000264E7" w:rsidP="000264E7">
      <w:pPr>
        <w:rPr>
          <w:b/>
          <w:bCs/>
        </w:rPr>
      </w:pPr>
      <w:r w:rsidRPr="00256A98">
        <w:rPr>
          <w:b/>
          <w:bCs/>
          <w:lang w:val="fr-FR"/>
        </w:rPr>
        <w:t>Batteries au sodium ionique</w:t>
      </w:r>
    </w:p>
    <w:p w14:paraId="57751926" w14:textId="13E119FF" w:rsidR="000264E7" w:rsidRPr="00E76478" w:rsidRDefault="000264E7" w:rsidP="00256A98">
      <w:pPr>
        <w:pStyle w:val="HChG"/>
      </w:pPr>
      <w:r>
        <w:rPr>
          <w:lang w:val="fr-FR"/>
        </w:rPr>
        <w:tab/>
      </w:r>
      <w:r>
        <w:rPr>
          <w:lang w:val="fr-FR"/>
        </w:rPr>
        <w:tab/>
        <w:t xml:space="preserve">Ajout d’une référence à la disposition spéciale 400 </w:t>
      </w:r>
      <w:r w:rsidR="00256A98">
        <w:rPr>
          <w:lang w:val="fr-FR"/>
        </w:rPr>
        <w:br/>
      </w:r>
      <w:r>
        <w:rPr>
          <w:lang w:val="fr-FR"/>
        </w:rPr>
        <w:t>au 5.2.1.9.1</w:t>
      </w:r>
    </w:p>
    <w:p w14:paraId="4252A105" w14:textId="77777777" w:rsidR="000264E7" w:rsidRPr="00E76478" w:rsidRDefault="000264E7" w:rsidP="00256A98">
      <w:pPr>
        <w:pStyle w:val="H1G"/>
        <w:rPr>
          <w:sz w:val="20"/>
        </w:rPr>
      </w:pPr>
      <w:r>
        <w:rPr>
          <w:lang w:val="fr-FR"/>
        </w:rPr>
        <w:tab/>
      </w:r>
      <w:r>
        <w:rPr>
          <w:lang w:val="fr-FR"/>
        </w:rPr>
        <w:tab/>
        <w:t>Communication de l’expert de l’Espagne</w:t>
      </w:r>
      <w:r w:rsidRPr="00256A98">
        <w:rPr>
          <w:rStyle w:val="Appelnotedebasdep"/>
          <w:b w:val="0"/>
          <w:bCs/>
          <w:sz w:val="20"/>
          <w:vertAlign w:val="baseline"/>
          <w:lang w:val="fr-FR"/>
        </w:rPr>
        <w:footnoteReference w:customMarkFollows="1" w:id="2"/>
        <w:t>*</w:t>
      </w:r>
    </w:p>
    <w:p w14:paraId="76F80AF7" w14:textId="38BE3AE9" w:rsidR="000264E7" w:rsidRPr="00E76478" w:rsidRDefault="00256A98" w:rsidP="00256A98">
      <w:pPr>
        <w:pStyle w:val="HChG"/>
        <w:rPr>
          <w:color w:val="000000" w:themeColor="text1"/>
        </w:rPr>
      </w:pPr>
      <w:r>
        <w:rPr>
          <w:lang w:val="fr-FR"/>
        </w:rPr>
        <w:tab/>
      </w:r>
      <w:r w:rsidR="000264E7">
        <w:rPr>
          <w:lang w:val="fr-FR"/>
        </w:rPr>
        <w:t>I.</w:t>
      </w:r>
      <w:r w:rsidR="000264E7">
        <w:rPr>
          <w:lang w:val="fr-FR"/>
        </w:rPr>
        <w:tab/>
        <w:t>Introduction</w:t>
      </w:r>
    </w:p>
    <w:p w14:paraId="24C990E1" w14:textId="77777777" w:rsidR="000264E7" w:rsidRPr="00256A98" w:rsidRDefault="000264E7" w:rsidP="00256A98">
      <w:pPr>
        <w:pStyle w:val="SingleTxtG"/>
      </w:pPr>
      <w:r>
        <w:rPr>
          <w:lang w:val="fr-FR"/>
        </w:rPr>
        <w:t>1.</w:t>
      </w:r>
      <w:r>
        <w:rPr>
          <w:lang w:val="fr-FR"/>
        </w:rPr>
        <w:tab/>
        <w:t xml:space="preserve">Au cours de la dernière période biennale, des amendements ont été adoptés aux fins de la prise en compte des batteries au sodium ionique dans le Règlement type pour le transport des </w:t>
      </w:r>
      <w:r w:rsidRPr="00256A98">
        <w:t xml:space="preserve">marchandises dangereuses (ci-après Règlement type). Une référence à ces batteries a notamment été ajoutée au 5.2.1.9. </w:t>
      </w:r>
    </w:p>
    <w:p w14:paraId="63C7D7FC" w14:textId="77777777" w:rsidR="000264E7" w:rsidRPr="00256A98" w:rsidRDefault="000264E7" w:rsidP="00256A98">
      <w:pPr>
        <w:pStyle w:val="SingleTxtG"/>
      </w:pPr>
      <w:r w:rsidRPr="00256A98">
        <w:t>2.</w:t>
      </w:r>
      <w:r w:rsidRPr="00256A98">
        <w:tab/>
        <w:t xml:space="preserve">Il a toutefois été noté qu’une référence à la disposition spéciale 400 devrait également figurer au 5.2.1.9.1, au même titre que la référence à la disposition spéciale 188, afin de garantir que, dans les cas visés par la disposition spéciale 400, les batteries au sodium ionique portent la marque appropriée. </w:t>
      </w:r>
    </w:p>
    <w:p w14:paraId="04B5CCFF" w14:textId="27FAC553" w:rsidR="000264E7" w:rsidRPr="00256A98" w:rsidRDefault="000264E7" w:rsidP="00256A98">
      <w:pPr>
        <w:pStyle w:val="SingleTxtG"/>
      </w:pPr>
      <w:r w:rsidRPr="00256A98">
        <w:t>3.</w:t>
      </w:r>
      <w:r w:rsidRPr="00256A98">
        <w:tab/>
        <w:t>À la dernière session du Sous-Comité d’experts du transport des marchandises dangereuses, lors de l’examen du document informel INF.24 (OACI), les avis étaient partagés au sujet des avantages et inconvénients liés à l’apposition d’un tel marquage sur les colis dans les cas où la disposition spéciale 400 serait applicable, et certains représentants ont proposé de supprimer l’alinéa c) de la disposition spéciale 400 (voir ST/SG/AC.10/C.3/124, par.</w:t>
      </w:r>
      <w:r w:rsidR="00256A98">
        <w:t> </w:t>
      </w:r>
      <w:r w:rsidRPr="00256A98">
        <w:t xml:space="preserve">62 à 65). </w:t>
      </w:r>
    </w:p>
    <w:p w14:paraId="4D85FC12" w14:textId="327AA2E4" w:rsidR="000264E7" w:rsidRPr="00E76478" w:rsidRDefault="000264E7" w:rsidP="00256A98">
      <w:pPr>
        <w:pStyle w:val="SingleTxtG"/>
        <w:rPr>
          <w:color w:val="000000" w:themeColor="text1"/>
        </w:rPr>
      </w:pPr>
      <w:r w:rsidRPr="00256A98">
        <w:t>4.</w:t>
      </w:r>
      <w:r w:rsidRPr="00256A98">
        <w:tab/>
        <w:t>Si l’alinéa</w:t>
      </w:r>
      <w:r w:rsidR="00256A98">
        <w:rPr>
          <w:lang w:val="fr-FR"/>
        </w:rPr>
        <w:t> </w:t>
      </w:r>
      <w:r>
        <w:rPr>
          <w:lang w:val="fr-FR"/>
        </w:rPr>
        <w:t xml:space="preserve">c) de la disposition spéciale 400 venait à être supprimé, l’amendement proposé dans le présent document ne serait pas nécessaire. Toutefois, en attendant la conclusion des débats sur ce point, il serait préférable de faire référence à la disposition spéciale 400 au 5.2.1.9.1, dans un souci d’exhaustivité et de cohérence du Règlement type. </w:t>
      </w:r>
    </w:p>
    <w:p w14:paraId="2824298A" w14:textId="77777777" w:rsidR="000264E7" w:rsidRPr="00E76478" w:rsidRDefault="000264E7" w:rsidP="000264E7">
      <w:pPr>
        <w:pStyle w:val="SingleTxtG"/>
        <w:rPr>
          <w:color w:val="000000" w:themeColor="text1"/>
        </w:rPr>
      </w:pPr>
      <w:r>
        <w:rPr>
          <w:lang w:val="fr-FR"/>
        </w:rPr>
        <w:t>5.</w:t>
      </w:r>
      <w:r>
        <w:rPr>
          <w:lang w:val="fr-FR"/>
        </w:rPr>
        <w:tab/>
        <w:t xml:space="preserve">Les amendements relatifs aux batteries au sodium ionique seront intégrés dans le Règlement type en 2025. Si l’on veut pouvoir y joindre l’amendement de conséquence proposé ici, il serait bon de prendre une décision à la présente session. </w:t>
      </w:r>
    </w:p>
    <w:p w14:paraId="0E5A554C" w14:textId="1B7D9326" w:rsidR="000264E7" w:rsidRPr="00E76478" w:rsidRDefault="00256A98" w:rsidP="00256A98">
      <w:pPr>
        <w:pStyle w:val="HChG"/>
        <w:rPr>
          <w:color w:val="000000" w:themeColor="text1"/>
        </w:rPr>
      </w:pPr>
      <w:r>
        <w:rPr>
          <w:lang w:val="fr-FR"/>
        </w:rPr>
        <w:lastRenderedPageBreak/>
        <w:tab/>
      </w:r>
      <w:r w:rsidR="000264E7">
        <w:rPr>
          <w:lang w:val="fr-FR"/>
        </w:rPr>
        <w:t>II.</w:t>
      </w:r>
      <w:r w:rsidR="000264E7">
        <w:rPr>
          <w:lang w:val="fr-FR"/>
        </w:rPr>
        <w:tab/>
        <w:t>Proposition</w:t>
      </w:r>
    </w:p>
    <w:p w14:paraId="3A8706FF" w14:textId="00DE7916" w:rsidR="000264E7" w:rsidRPr="00E76478" w:rsidRDefault="000264E7" w:rsidP="000264E7">
      <w:pPr>
        <w:pStyle w:val="SingleTxtG"/>
        <w:rPr>
          <w:rFonts w:cs="Arial"/>
          <w:color w:val="000000" w:themeColor="text1"/>
        </w:rPr>
      </w:pPr>
      <w:r>
        <w:rPr>
          <w:lang w:val="fr-FR"/>
        </w:rPr>
        <w:t>6.</w:t>
      </w:r>
      <w:r>
        <w:rPr>
          <w:lang w:val="fr-FR"/>
        </w:rPr>
        <w:tab/>
        <w:t xml:space="preserve">Ajouter, au 5.2.1.9.1 du Règlement type, une référence à la disposition spéciale 400, comme suit (les ajouts figurent en caractères </w:t>
      </w:r>
      <w:r w:rsidRPr="005D3798">
        <w:rPr>
          <w:b/>
          <w:bCs/>
          <w:u w:val="single"/>
          <w:lang w:val="fr-FR"/>
        </w:rPr>
        <w:t>gras et soulignés</w:t>
      </w:r>
      <w:r w:rsidR="00256A98">
        <w:rPr>
          <w:lang w:val="fr-FR"/>
        </w:rPr>
        <w:t> </w:t>
      </w:r>
      <w:r>
        <w:rPr>
          <w:lang w:val="fr-FR"/>
        </w:rPr>
        <w:t>; libellé fondé sur celui du</w:t>
      </w:r>
      <w:r w:rsidR="00256A98">
        <w:rPr>
          <w:lang w:val="fr-FR"/>
        </w:rPr>
        <w:t> </w:t>
      </w:r>
      <w:r>
        <w:rPr>
          <w:lang w:val="fr-FR"/>
        </w:rPr>
        <w:t xml:space="preserve">5.2.1.9.1 tel que modifié par le document informel INF.13 à la soixante-deuxième session du Sous-Comité) : </w:t>
      </w:r>
    </w:p>
    <w:p w14:paraId="69243BED" w14:textId="1A9D8368" w:rsidR="000264E7" w:rsidRPr="00E76478" w:rsidRDefault="000264E7" w:rsidP="00256A98">
      <w:pPr>
        <w:pStyle w:val="SingleTxtG"/>
        <w:tabs>
          <w:tab w:val="clear" w:pos="1701"/>
          <w:tab w:val="clear" w:pos="2268"/>
          <w:tab w:val="clear" w:pos="2835"/>
        </w:tabs>
        <w:ind w:left="1701"/>
      </w:pPr>
      <w:r>
        <w:rPr>
          <w:lang w:val="fr-FR"/>
        </w:rPr>
        <w:t>« 5.2.1.9.1</w:t>
      </w:r>
      <w:r>
        <w:rPr>
          <w:lang w:val="fr-FR"/>
        </w:rPr>
        <w:tab/>
        <w:t xml:space="preserve">Les colis contenant des piles ou batteries au lithium ou au sodium ionique préparés conformément </w:t>
      </w:r>
      <w:r w:rsidRPr="005D3798">
        <w:rPr>
          <w:strike/>
          <w:lang w:val="fr-FR"/>
        </w:rPr>
        <w:t>à la</w:t>
      </w:r>
      <w:r>
        <w:rPr>
          <w:lang w:val="fr-FR"/>
        </w:rPr>
        <w:t xml:space="preserve"> </w:t>
      </w:r>
      <w:r w:rsidRPr="005D3798">
        <w:rPr>
          <w:b/>
          <w:bCs/>
          <w:u w:val="single"/>
          <w:lang w:val="fr-FR"/>
        </w:rPr>
        <w:t>aux</w:t>
      </w:r>
      <w:r>
        <w:rPr>
          <w:lang w:val="fr-FR"/>
        </w:rPr>
        <w:t xml:space="preserve"> disposition</w:t>
      </w:r>
      <w:r w:rsidRPr="005D3798">
        <w:rPr>
          <w:b/>
          <w:bCs/>
          <w:u w:val="single"/>
          <w:lang w:val="fr-FR"/>
        </w:rPr>
        <w:t>s</w:t>
      </w:r>
      <w:r>
        <w:rPr>
          <w:lang w:val="fr-FR"/>
        </w:rPr>
        <w:t xml:space="preserve"> spéciale</w:t>
      </w:r>
      <w:r w:rsidRPr="005D3798">
        <w:rPr>
          <w:b/>
          <w:bCs/>
          <w:u w:val="single"/>
          <w:lang w:val="fr-FR"/>
        </w:rPr>
        <w:t>s</w:t>
      </w:r>
      <w:r>
        <w:rPr>
          <w:lang w:val="fr-FR"/>
        </w:rPr>
        <w:t xml:space="preserve"> 188 </w:t>
      </w:r>
      <w:r>
        <w:rPr>
          <w:b/>
          <w:bCs/>
          <w:u w:val="single"/>
          <w:lang w:val="fr-FR"/>
        </w:rPr>
        <w:t>ou 400</w:t>
      </w:r>
      <w:r>
        <w:rPr>
          <w:lang w:val="fr-FR"/>
        </w:rPr>
        <w:t xml:space="preserve"> doivent porter la marque présentée dans la figure 5.2.5. ».</w:t>
      </w:r>
    </w:p>
    <w:p w14:paraId="2E1BE464" w14:textId="09C28246" w:rsidR="000264E7" w:rsidRPr="00E76478" w:rsidRDefault="00256A98" w:rsidP="00256A98">
      <w:pPr>
        <w:pStyle w:val="HChG"/>
      </w:pPr>
      <w:r>
        <w:rPr>
          <w:lang w:val="fr-FR"/>
        </w:rPr>
        <w:tab/>
      </w:r>
      <w:r w:rsidR="000264E7">
        <w:rPr>
          <w:lang w:val="fr-FR"/>
        </w:rPr>
        <w:t>III.</w:t>
      </w:r>
      <w:r w:rsidR="000264E7">
        <w:rPr>
          <w:lang w:val="fr-FR"/>
        </w:rPr>
        <w:tab/>
        <w:t>Justification</w:t>
      </w:r>
    </w:p>
    <w:p w14:paraId="7F159C60" w14:textId="77777777" w:rsidR="000264E7" w:rsidRDefault="000264E7" w:rsidP="000264E7">
      <w:pPr>
        <w:pStyle w:val="SingleTxtG"/>
        <w:rPr>
          <w:lang w:val="fr-FR"/>
        </w:rPr>
      </w:pPr>
      <w:r>
        <w:rPr>
          <w:lang w:val="fr-FR"/>
        </w:rPr>
        <w:t>7.</w:t>
      </w:r>
      <w:r>
        <w:rPr>
          <w:lang w:val="fr-FR"/>
        </w:rPr>
        <w:tab/>
        <w:t>Le fait d’adopter une approche plus systématique et plus logique dans le Règlement type permet de clarifier le cadre juridique et d’éviter que des critères différents soient appliqués selon les pays et les services d’inspection, ce qui est conforme à la cible 16.6 du Programme de développement durable à l’horizon 2030 (Mettre en place des institutions efficaces, responsables et transparentes à tous les niveaux).</w:t>
      </w:r>
    </w:p>
    <w:p w14:paraId="2EEC0C2A" w14:textId="309B7329" w:rsidR="00256A98" w:rsidRPr="00256A98" w:rsidRDefault="00256A98" w:rsidP="00256A98">
      <w:pPr>
        <w:pStyle w:val="SingleTxtG"/>
        <w:spacing w:before="240" w:after="0"/>
        <w:jc w:val="center"/>
        <w:rPr>
          <w:u w:val="single"/>
        </w:rPr>
      </w:pPr>
      <w:r>
        <w:rPr>
          <w:u w:val="single"/>
        </w:rPr>
        <w:tab/>
      </w:r>
      <w:r>
        <w:rPr>
          <w:u w:val="single"/>
        </w:rPr>
        <w:tab/>
      </w:r>
      <w:r>
        <w:rPr>
          <w:u w:val="single"/>
        </w:rPr>
        <w:tab/>
      </w:r>
    </w:p>
    <w:sectPr w:rsidR="00256A98" w:rsidRPr="00256A98" w:rsidSect="000264E7">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4F1B" w14:textId="77777777" w:rsidR="00F83404" w:rsidRDefault="00F83404" w:rsidP="00F95C08">
      <w:pPr>
        <w:spacing w:line="240" w:lineRule="auto"/>
      </w:pPr>
    </w:p>
  </w:endnote>
  <w:endnote w:type="continuationSeparator" w:id="0">
    <w:p w14:paraId="78211464" w14:textId="77777777" w:rsidR="00F83404" w:rsidRPr="00AC3823" w:rsidRDefault="00F83404" w:rsidP="00AC3823">
      <w:pPr>
        <w:pStyle w:val="Pieddepage"/>
      </w:pPr>
    </w:p>
  </w:endnote>
  <w:endnote w:type="continuationNotice" w:id="1">
    <w:p w14:paraId="46B82469" w14:textId="77777777" w:rsidR="00F83404" w:rsidRDefault="00F834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EA5" w14:textId="6281C0C8" w:rsidR="000264E7" w:rsidRPr="000264E7" w:rsidRDefault="000264E7" w:rsidP="000264E7">
    <w:pPr>
      <w:pStyle w:val="Pieddepage"/>
      <w:tabs>
        <w:tab w:val="right" w:pos="9638"/>
      </w:tabs>
    </w:pPr>
    <w:r w:rsidRPr="000264E7">
      <w:rPr>
        <w:b/>
        <w:sz w:val="18"/>
      </w:rPr>
      <w:fldChar w:fldCharType="begin"/>
    </w:r>
    <w:r w:rsidRPr="000264E7">
      <w:rPr>
        <w:b/>
        <w:sz w:val="18"/>
      </w:rPr>
      <w:instrText xml:space="preserve"> PAGE  \* MERGEFORMAT </w:instrText>
    </w:r>
    <w:r w:rsidRPr="000264E7">
      <w:rPr>
        <w:b/>
        <w:sz w:val="18"/>
      </w:rPr>
      <w:fldChar w:fldCharType="separate"/>
    </w:r>
    <w:r w:rsidRPr="000264E7">
      <w:rPr>
        <w:b/>
        <w:noProof/>
        <w:sz w:val="18"/>
      </w:rPr>
      <w:t>2</w:t>
    </w:r>
    <w:r w:rsidRPr="000264E7">
      <w:rPr>
        <w:b/>
        <w:sz w:val="18"/>
      </w:rPr>
      <w:fldChar w:fldCharType="end"/>
    </w:r>
    <w:r>
      <w:rPr>
        <w:b/>
        <w:sz w:val="18"/>
      </w:rPr>
      <w:tab/>
    </w:r>
    <w:r>
      <w:t>GE.23-17304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F92D" w14:textId="3CA2C01F" w:rsidR="000264E7" w:rsidRPr="000264E7" w:rsidRDefault="000264E7" w:rsidP="000264E7">
    <w:pPr>
      <w:pStyle w:val="Pieddepage"/>
      <w:tabs>
        <w:tab w:val="right" w:pos="9638"/>
      </w:tabs>
      <w:rPr>
        <w:b/>
        <w:sz w:val="18"/>
      </w:rPr>
    </w:pPr>
    <w:r>
      <w:t>GE.23-17304</w:t>
    </w:r>
    <w:r>
      <w:tab/>
    </w:r>
    <w:r w:rsidRPr="000264E7">
      <w:rPr>
        <w:b/>
        <w:sz w:val="18"/>
      </w:rPr>
      <w:fldChar w:fldCharType="begin"/>
    </w:r>
    <w:r w:rsidRPr="000264E7">
      <w:rPr>
        <w:b/>
        <w:sz w:val="18"/>
      </w:rPr>
      <w:instrText xml:space="preserve"> PAGE  \* MERGEFORMAT </w:instrText>
    </w:r>
    <w:r w:rsidRPr="000264E7">
      <w:rPr>
        <w:b/>
        <w:sz w:val="18"/>
      </w:rPr>
      <w:fldChar w:fldCharType="separate"/>
    </w:r>
    <w:r w:rsidRPr="000264E7">
      <w:rPr>
        <w:b/>
        <w:noProof/>
        <w:sz w:val="18"/>
      </w:rPr>
      <w:t>3</w:t>
    </w:r>
    <w:r w:rsidRPr="000264E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F44" w14:textId="76CF2C76" w:rsidR="0068456F" w:rsidRPr="000264E7" w:rsidRDefault="000264E7" w:rsidP="000264E7">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48EBAA0B" wp14:editId="6928019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23-17304  (F)</w:t>
    </w:r>
    <w:r>
      <w:rPr>
        <w:noProof/>
        <w:sz w:val="20"/>
      </w:rPr>
      <w:drawing>
        <wp:anchor distT="0" distB="0" distL="114300" distR="114300" simplePos="0" relativeHeight="251660288" behindDoc="0" locked="0" layoutInCell="1" allowOverlap="1" wp14:anchorId="74B1743B" wp14:editId="0500373C">
          <wp:simplePos x="0" y="0"/>
          <wp:positionH relativeFrom="margin">
            <wp:posOffset>5489575</wp:posOffset>
          </wp:positionH>
          <wp:positionV relativeFrom="margin">
            <wp:posOffset>8891905</wp:posOffset>
          </wp:positionV>
          <wp:extent cx="638175" cy="638175"/>
          <wp:effectExtent l="0" t="0" r="9525" b="9525"/>
          <wp:wrapNone/>
          <wp:docPr id="16462357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051023    091023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418C" w14:textId="77777777" w:rsidR="00F83404" w:rsidRPr="00AC3823" w:rsidRDefault="00F83404" w:rsidP="00AC3823">
      <w:pPr>
        <w:pStyle w:val="Pieddepage"/>
        <w:tabs>
          <w:tab w:val="right" w:pos="2155"/>
        </w:tabs>
        <w:spacing w:after="80" w:line="240" w:lineRule="atLeast"/>
        <w:ind w:left="680"/>
        <w:rPr>
          <w:u w:val="single"/>
        </w:rPr>
      </w:pPr>
      <w:r>
        <w:rPr>
          <w:u w:val="single"/>
        </w:rPr>
        <w:tab/>
      </w:r>
    </w:p>
  </w:footnote>
  <w:footnote w:type="continuationSeparator" w:id="0">
    <w:p w14:paraId="36348EBB" w14:textId="77777777" w:rsidR="00F83404" w:rsidRPr="00AC3823" w:rsidRDefault="00F83404" w:rsidP="00AC3823">
      <w:pPr>
        <w:pStyle w:val="Pieddepage"/>
        <w:tabs>
          <w:tab w:val="right" w:pos="2155"/>
        </w:tabs>
        <w:spacing w:after="80" w:line="240" w:lineRule="atLeast"/>
        <w:ind w:left="680"/>
        <w:rPr>
          <w:u w:val="single"/>
        </w:rPr>
      </w:pPr>
      <w:r>
        <w:rPr>
          <w:u w:val="single"/>
        </w:rPr>
        <w:tab/>
      </w:r>
    </w:p>
  </w:footnote>
  <w:footnote w:type="continuationNotice" w:id="1">
    <w:p w14:paraId="55EC98FC" w14:textId="77777777" w:rsidR="00F83404" w:rsidRPr="00AC3823" w:rsidRDefault="00F83404">
      <w:pPr>
        <w:spacing w:line="240" w:lineRule="auto"/>
        <w:rPr>
          <w:sz w:val="2"/>
          <w:szCs w:val="2"/>
        </w:rPr>
      </w:pPr>
    </w:p>
  </w:footnote>
  <w:footnote w:id="2">
    <w:p w14:paraId="26F1CBE8" w14:textId="74E6D21E" w:rsidR="000264E7" w:rsidRPr="00C25248" w:rsidRDefault="000264E7" w:rsidP="000264E7">
      <w:pPr>
        <w:pStyle w:val="Notedebasdepage"/>
      </w:pPr>
      <w:r>
        <w:rPr>
          <w:lang w:val="fr-FR"/>
        </w:rPr>
        <w:tab/>
        <w:t>*</w:t>
      </w:r>
      <w:r>
        <w:rPr>
          <w:lang w:val="fr-FR"/>
        </w:rPr>
        <w:tab/>
        <w:t>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D775" w14:textId="6A3ACDF0" w:rsidR="000264E7" w:rsidRPr="000264E7" w:rsidRDefault="000264E7">
    <w:pPr>
      <w:pStyle w:val="En-tte"/>
    </w:pPr>
    <w:fldSimple w:instr=" TITLE  \* MERGEFORMAT ">
      <w:r w:rsidR="00D10FFC">
        <w:t>ST/SG/AC.10/C.3/2023/43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543B" w14:textId="02C91863" w:rsidR="000264E7" w:rsidRPr="000264E7" w:rsidRDefault="000264E7" w:rsidP="000264E7">
    <w:pPr>
      <w:pStyle w:val="En-tte"/>
      <w:jc w:val="right"/>
    </w:pPr>
    <w:fldSimple w:instr=" TITLE  \* MERGEFORMAT ">
      <w:r w:rsidR="00D10FFC">
        <w:t>ST/SG/AC.10/C.3/2023/43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18225877">
    <w:abstractNumId w:val="12"/>
  </w:num>
  <w:num w:numId="2" w16cid:durableId="659193023">
    <w:abstractNumId w:val="11"/>
  </w:num>
  <w:num w:numId="3" w16cid:durableId="1457719917">
    <w:abstractNumId w:val="10"/>
  </w:num>
  <w:num w:numId="4" w16cid:durableId="2088573054">
    <w:abstractNumId w:val="8"/>
  </w:num>
  <w:num w:numId="5" w16cid:durableId="1261454626">
    <w:abstractNumId w:val="3"/>
  </w:num>
  <w:num w:numId="6" w16cid:durableId="50078543">
    <w:abstractNumId w:val="2"/>
  </w:num>
  <w:num w:numId="7" w16cid:durableId="1484152510">
    <w:abstractNumId w:val="1"/>
  </w:num>
  <w:num w:numId="8" w16cid:durableId="1077895979">
    <w:abstractNumId w:val="0"/>
  </w:num>
  <w:num w:numId="9" w16cid:durableId="2141413244">
    <w:abstractNumId w:val="9"/>
  </w:num>
  <w:num w:numId="10" w16cid:durableId="2062553700">
    <w:abstractNumId w:val="7"/>
  </w:num>
  <w:num w:numId="11" w16cid:durableId="651059936">
    <w:abstractNumId w:val="6"/>
  </w:num>
  <w:num w:numId="12" w16cid:durableId="249583614">
    <w:abstractNumId w:val="5"/>
  </w:num>
  <w:num w:numId="13" w16cid:durableId="890926993">
    <w:abstractNumId w:val="4"/>
  </w:num>
  <w:num w:numId="14" w16cid:durableId="1273824266">
    <w:abstractNumId w:val="12"/>
  </w:num>
  <w:num w:numId="15" w16cid:durableId="111675609">
    <w:abstractNumId w:val="11"/>
  </w:num>
  <w:num w:numId="16" w16cid:durableId="853348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04"/>
    <w:rsid w:val="00017F94"/>
    <w:rsid w:val="00023842"/>
    <w:rsid w:val="000264E7"/>
    <w:rsid w:val="000305D3"/>
    <w:rsid w:val="000334F9"/>
    <w:rsid w:val="0007796D"/>
    <w:rsid w:val="000B7790"/>
    <w:rsid w:val="00111F2F"/>
    <w:rsid w:val="00132EA9"/>
    <w:rsid w:val="0014365E"/>
    <w:rsid w:val="00172E49"/>
    <w:rsid w:val="00176178"/>
    <w:rsid w:val="001F525A"/>
    <w:rsid w:val="00223272"/>
    <w:rsid w:val="0024779E"/>
    <w:rsid w:val="00256A98"/>
    <w:rsid w:val="00283190"/>
    <w:rsid w:val="002832AC"/>
    <w:rsid w:val="002D7C93"/>
    <w:rsid w:val="00441C3B"/>
    <w:rsid w:val="00446FE5"/>
    <w:rsid w:val="00452396"/>
    <w:rsid w:val="004E468C"/>
    <w:rsid w:val="005505B7"/>
    <w:rsid w:val="00573BE5"/>
    <w:rsid w:val="00584DC4"/>
    <w:rsid w:val="00586ED3"/>
    <w:rsid w:val="00596AA9"/>
    <w:rsid w:val="0068456F"/>
    <w:rsid w:val="0071601D"/>
    <w:rsid w:val="007A62E6"/>
    <w:rsid w:val="0080684C"/>
    <w:rsid w:val="008123E0"/>
    <w:rsid w:val="00871C75"/>
    <w:rsid w:val="008776DC"/>
    <w:rsid w:val="008B40CD"/>
    <w:rsid w:val="009705C8"/>
    <w:rsid w:val="009C1CF4"/>
    <w:rsid w:val="00A30353"/>
    <w:rsid w:val="00A81281"/>
    <w:rsid w:val="00AC3823"/>
    <w:rsid w:val="00AE323C"/>
    <w:rsid w:val="00B00181"/>
    <w:rsid w:val="00B00B0D"/>
    <w:rsid w:val="00B765F7"/>
    <w:rsid w:val="00BA0CA9"/>
    <w:rsid w:val="00C02897"/>
    <w:rsid w:val="00D10FFC"/>
    <w:rsid w:val="00D3439C"/>
    <w:rsid w:val="00DB1831"/>
    <w:rsid w:val="00DD3BFD"/>
    <w:rsid w:val="00DF6678"/>
    <w:rsid w:val="00EF2E22"/>
    <w:rsid w:val="00F01738"/>
    <w:rsid w:val="00F660DF"/>
    <w:rsid w:val="00F730C8"/>
    <w:rsid w:val="00F8340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8B14"/>
  <w15:docId w15:val="{3E6F64E6-3E0A-48F1-8E36-D5E2F690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0264E7"/>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0264E7"/>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7D19B-0241-495D-A467-41041B1C088A}"/>
</file>

<file path=customXml/itemProps2.xml><?xml version="1.0" encoding="utf-8"?>
<ds:datastoreItem xmlns:ds="http://schemas.openxmlformats.org/officeDocument/2006/customXml" ds:itemID="{BFA427F2-2B79-48B9-8DA3-14097382A630}"/>
</file>

<file path=docProps/app.xml><?xml version="1.0" encoding="utf-8"?>
<Properties xmlns="http://schemas.openxmlformats.org/officeDocument/2006/extended-properties" xmlns:vt="http://schemas.openxmlformats.org/officeDocument/2006/docPropsVTypes">
  <Template>ST.dotm</Template>
  <TotalTime>2</TotalTime>
  <Pages>2</Pages>
  <Words>496</Words>
  <Characters>2750</Characters>
  <Application>Microsoft Office Word</Application>
  <DocSecurity>0</DocSecurity>
  <Lines>58</Lines>
  <Paragraphs>27</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ST/SG/AC.10/C.3/2023/43</dc:title>
  <dc:subject/>
  <dc:creator>Christine CHAUTAGNAT</dc:creator>
  <cp:keywords/>
  <cp:lastModifiedBy>Christine CHAUTAGNAT</cp:lastModifiedBy>
  <cp:revision>3</cp:revision>
  <cp:lastPrinted>2023-10-09T08:58:00Z</cp:lastPrinted>
  <dcterms:created xsi:type="dcterms:W3CDTF">2023-10-09T08:58:00Z</dcterms:created>
  <dcterms:modified xsi:type="dcterms:W3CDTF">2023-10-09T08:59:00Z</dcterms:modified>
</cp:coreProperties>
</file>