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2E28C8" w14:textId="77777777" w:rsidTr="00387CD4">
        <w:trPr>
          <w:trHeight w:hRule="exact" w:val="851"/>
        </w:trPr>
        <w:tc>
          <w:tcPr>
            <w:tcW w:w="142" w:type="dxa"/>
            <w:tcBorders>
              <w:bottom w:val="single" w:sz="4" w:space="0" w:color="auto"/>
            </w:tcBorders>
          </w:tcPr>
          <w:p w14:paraId="319E4637" w14:textId="77777777" w:rsidR="002D5AAC" w:rsidRDefault="002D5AAC" w:rsidP="00BB6C5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FF87D9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AF66930" w14:textId="1D01AE20" w:rsidR="002D5AAC" w:rsidRDefault="00BB6C5A" w:rsidP="00BB6C5A">
            <w:pPr>
              <w:jc w:val="right"/>
            </w:pPr>
            <w:r w:rsidRPr="00BB6C5A">
              <w:rPr>
                <w:sz w:val="40"/>
              </w:rPr>
              <w:t>ECE</w:t>
            </w:r>
            <w:r>
              <w:t>/TRANS/WP.29/2023/98</w:t>
            </w:r>
          </w:p>
        </w:tc>
      </w:tr>
      <w:tr w:rsidR="002D5AAC" w:rsidRPr="00980EC4" w14:paraId="0F8EFC8C" w14:textId="77777777" w:rsidTr="00387CD4">
        <w:trPr>
          <w:trHeight w:hRule="exact" w:val="2835"/>
        </w:trPr>
        <w:tc>
          <w:tcPr>
            <w:tcW w:w="1280" w:type="dxa"/>
            <w:gridSpan w:val="2"/>
            <w:tcBorders>
              <w:top w:val="single" w:sz="4" w:space="0" w:color="auto"/>
              <w:bottom w:val="single" w:sz="12" w:space="0" w:color="auto"/>
            </w:tcBorders>
          </w:tcPr>
          <w:p w14:paraId="57DF7265" w14:textId="77777777" w:rsidR="002D5AAC" w:rsidRDefault="002E5067" w:rsidP="00387CD4">
            <w:pPr>
              <w:spacing w:before="120"/>
              <w:jc w:val="center"/>
            </w:pPr>
            <w:r>
              <w:rPr>
                <w:noProof/>
                <w:lang w:val="fr-CH" w:eastAsia="fr-CH"/>
              </w:rPr>
              <w:drawing>
                <wp:inline distT="0" distB="0" distL="0" distR="0" wp14:anchorId="61CD05CE" wp14:editId="1164A57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3482B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8D75E11" w14:textId="77777777" w:rsidR="002D5AAC" w:rsidRDefault="00BB6C5A" w:rsidP="00387CD4">
            <w:pPr>
              <w:spacing w:before="240"/>
              <w:rPr>
                <w:lang w:val="en-US"/>
              </w:rPr>
            </w:pPr>
            <w:r>
              <w:rPr>
                <w:lang w:val="en-US"/>
              </w:rPr>
              <w:t>Distr.: General</w:t>
            </w:r>
          </w:p>
          <w:p w14:paraId="4C8476FC" w14:textId="00F6E0E8" w:rsidR="00BB6C5A" w:rsidRDefault="003F6403" w:rsidP="00BB6C5A">
            <w:pPr>
              <w:spacing w:line="240" w:lineRule="exact"/>
              <w:rPr>
                <w:lang w:val="en-US"/>
              </w:rPr>
            </w:pPr>
            <w:r>
              <w:rPr>
                <w:lang w:val="en-US"/>
              </w:rPr>
              <w:t>24 August 2023</w:t>
            </w:r>
          </w:p>
          <w:p w14:paraId="644EF44B" w14:textId="77777777" w:rsidR="00BB6C5A" w:rsidRDefault="00BB6C5A" w:rsidP="00BB6C5A">
            <w:pPr>
              <w:spacing w:line="240" w:lineRule="exact"/>
              <w:rPr>
                <w:lang w:val="en-US"/>
              </w:rPr>
            </w:pPr>
            <w:r>
              <w:rPr>
                <w:lang w:val="en-US"/>
              </w:rPr>
              <w:t>Russian</w:t>
            </w:r>
          </w:p>
          <w:p w14:paraId="23871074" w14:textId="20E2CF91" w:rsidR="00BB6C5A" w:rsidRPr="008D53B6" w:rsidRDefault="00BB6C5A" w:rsidP="00BB6C5A">
            <w:pPr>
              <w:spacing w:line="240" w:lineRule="exact"/>
              <w:rPr>
                <w:lang w:val="en-US"/>
              </w:rPr>
            </w:pPr>
            <w:r>
              <w:rPr>
                <w:lang w:val="en-US"/>
              </w:rPr>
              <w:t>Original: English</w:t>
            </w:r>
          </w:p>
        </w:tc>
      </w:tr>
    </w:tbl>
    <w:p w14:paraId="7B7B487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5E9BB9" w14:textId="77777777" w:rsidR="00BB6C5A" w:rsidRPr="00901139" w:rsidRDefault="00BB6C5A" w:rsidP="00BB6C5A">
      <w:pPr>
        <w:spacing w:before="120"/>
        <w:rPr>
          <w:sz w:val="28"/>
          <w:szCs w:val="28"/>
        </w:rPr>
      </w:pPr>
      <w:r w:rsidRPr="00901139">
        <w:rPr>
          <w:sz w:val="28"/>
          <w:szCs w:val="28"/>
        </w:rPr>
        <w:t>Комитет по внутреннему транспорту</w:t>
      </w:r>
    </w:p>
    <w:p w14:paraId="3E01874B" w14:textId="3B141AC7" w:rsidR="00BB6C5A" w:rsidRPr="00BB6C5A" w:rsidRDefault="00BB6C5A" w:rsidP="00BB6C5A">
      <w:pPr>
        <w:spacing w:before="120"/>
        <w:rPr>
          <w:b/>
          <w:bCs/>
          <w:sz w:val="24"/>
          <w:szCs w:val="24"/>
        </w:rPr>
      </w:pPr>
      <w:r w:rsidRPr="00BB6C5A">
        <w:rPr>
          <w:b/>
          <w:bCs/>
          <w:sz w:val="24"/>
          <w:szCs w:val="24"/>
        </w:rPr>
        <w:t xml:space="preserve">Всемирный форум для согласования </w:t>
      </w:r>
      <w:r w:rsidRPr="00BB6C5A">
        <w:rPr>
          <w:b/>
          <w:bCs/>
          <w:sz w:val="24"/>
          <w:szCs w:val="24"/>
        </w:rPr>
        <w:br/>
        <w:t>правил в области транспортных средств</w:t>
      </w:r>
    </w:p>
    <w:p w14:paraId="5BB01532" w14:textId="68461FD6" w:rsidR="00BB6C5A" w:rsidRPr="00901139" w:rsidRDefault="00BB6C5A" w:rsidP="00BB6C5A">
      <w:pPr>
        <w:spacing w:before="120"/>
        <w:rPr>
          <w:b/>
        </w:rPr>
      </w:pPr>
      <w:r>
        <w:rPr>
          <w:b/>
          <w:bCs/>
        </w:rPr>
        <w:t>Сто девяносто первая сессия</w:t>
      </w:r>
    </w:p>
    <w:p w14:paraId="0D2A0DE9" w14:textId="290C2466" w:rsidR="00BB6C5A" w:rsidRPr="00901139" w:rsidRDefault="00BB6C5A" w:rsidP="00BB6C5A">
      <w:r>
        <w:t>Женева, 14–1</w:t>
      </w:r>
      <w:r w:rsidR="003F6403" w:rsidRPr="00980EC4">
        <w:t>6</w:t>
      </w:r>
      <w:r>
        <w:t xml:space="preserve"> ноября 2023 года</w:t>
      </w:r>
    </w:p>
    <w:p w14:paraId="216468F5" w14:textId="77777777" w:rsidR="00BB6C5A" w:rsidRPr="00901139" w:rsidRDefault="00BB6C5A" w:rsidP="00BB6C5A">
      <w:r>
        <w:t>Пункт 4.7.1 предварительной повестки дня</w:t>
      </w:r>
    </w:p>
    <w:p w14:paraId="241B3328" w14:textId="77777777" w:rsidR="00BB6C5A" w:rsidRPr="00901139" w:rsidRDefault="00BB6C5A" w:rsidP="00BB6C5A">
      <w:pPr>
        <w:rPr>
          <w:b/>
        </w:rPr>
      </w:pPr>
      <w:r>
        <w:rPr>
          <w:b/>
          <w:bCs/>
        </w:rPr>
        <w:t>Соглашение 1958 года:</w:t>
      </w:r>
    </w:p>
    <w:p w14:paraId="34B2B777" w14:textId="3C6331C1" w:rsidR="00BB6C5A" w:rsidRPr="00901139" w:rsidRDefault="00BB6C5A" w:rsidP="00BB6C5A">
      <w:pPr>
        <w:rPr>
          <w:b/>
          <w:bCs/>
        </w:rPr>
      </w:pPr>
      <w:r>
        <w:rPr>
          <w:b/>
          <w:bCs/>
        </w:rPr>
        <w:t>Рассмотрение проектов поправок к существующим</w:t>
      </w:r>
      <w:r w:rsidR="007C1CAF">
        <w:rPr>
          <w:b/>
          <w:bCs/>
        </w:rPr>
        <w:t xml:space="preserve"> </w:t>
      </w:r>
      <w:r w:rsidR="007C1CAF">
        <w:rPr>
          <w:b/>
          <w:bCs/>
        </w:rPr>
        <w:br/>
      </w:r>
      <w:r>
        <w:rPr>
          <w:b/>
          <w:bCs/>
        </w:rPr>
        <w:t>правилам ООН, представленных GRSG</w:t>
      </w:r>
    </w:p>
    <w:p w14:paraId="473521D4" w14:textId="671F3425" w:rsidR="00BB6C5A" w:rsidRPr="00901139" w:rsidRDefault="00BB6C5A" w:rsidP="00BB6C5A">
      <w:pPr>
        <w:pStyle w:val="HChG"/>
        <w:ind w:left="1124" w:right="1138" w:firstLine="0"/>
      </w:pPr>
      <w:r>
        <w:rPr>
          <w:bCs/>
        </w:rPr>
        <w:t xml:space="preserve">Предложение по поправкам серии 02 </w:t>
      </w:r>
      <w:r>
        <w:rPr>
          <w:bCs/>
        </w:rPr>
        <w:br/>
        <w:t>к Правилам № 160 ООН (регистратор данных о</w:t>
      </w:r>
      <w:r>
        <w:rPr>
          <w:bCs/>
          <w:lang w:val="fr-CH"/>
        </w:rPr>
        <w:t> </w:t>
      </w:r>
      <w:r>
        <w:rPr>
          <w:bCs/>
        </w:rPr>
        <w:t>событиях)</w:t>
      </w:r>
    </w:p>
    <w:p w14:paraId="5C5F946F" w14:textId="77777777" w:rsidR="00BB6C5A" w:rsidRPr="00901139" w:rsidRDefault="00BB6C5A" w:rsidP="00BB6C5A">
      <w:pPr>
        <w:pStyle w:val="H1G"/>
        <w:rPr>
          <w:szCs w:val="24"/>
        </w:rPr>
      </w:pPr>
      <w:r>
        <w:tab/>
      </w:r>
      <w:r>
        <w:tab/>
      </w:r>
      <w:r>
        <w:rPr>
          <w:bCs/>
        </w:rPr>
        <w:t>Представлено Рабочей группой по общим предписаниям, касающимся безопасности</w:t>
      </w:r>
      <w:r w:rsidRPr="00867E27">
        <w:rPr>
          <w:b w:val="0"/>
          <w:bCs/>
          <w:sz w:val="20"/>
        </w:rPr>
        <w:t>*</w:t>
      </w:r>
    </w:p>
    <w:p w14:paraId="59CE5F08" w14:textId="68DC5852" w:rsidR="00BB6C5A" w:rsidRPr="00901139" w:rsidRDefault="00BB6C5A" w:rsidP="00BB6C5A">
      <w:pPr>
        <w:pStyle w:val="SingleTxtG"/>
        <w:ind w:firstLine="567"/>
      </w:pPr>
      <w:r>
        <w:footnoteReference w:customMarkFollows="1" w:id="1"/>
        <w:t>Воспроизведенный ниже текст был принят Рабочей группой по общим предписаниям, касающимся безопасности (GRSG), на ее сто двадцать пятой сессии (ECE/TRANS/WP.29/GRSG/104, пункт</w:t>
      </w:r>
      <w:r w:rsidR="007A7AF8">
        <w:t> </w:t>
      </w:r>
      <w:r>
        <w:t>30). В его основу положен документ GRSG-125-02-Rev.2, воспроизведенный в приложении V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r w:rsidRPr="00901139">
        <w:br w:type="page"/>
      </w:r>
    </w:p>
    <w:p w14:paraId="5D20A7A5" w14:textId="77777777" w:rsidR="00BB6C5A" w:rsidRPr="00901139" w:rsidRDefault="00BB6C5A" w:rsidP="00BB6C5A">
      <w:pPr>
        <w:pStyle w:val="SingleTxtG"/>
        <w:rPr>
          <w:iCs/>
        </w:rPr>
      </w:pPr>
      <w:r>
        <w:rPr>
          <w:i/>
          <w:iCs/>
        </w:rPr>
        <w:lastRenderedPageBreak/>
        <w:t>Пункт 4.2</w:t>
      </w:r>
      <w:r>
        <w:t xml:space="preserve"> изменить следующим образом:</w:t>
      </w:r>
    </w:p>
    <w:p w14:paraId="48CC5ACE" w14:textId="502A2F85" w:rsidR="00BB6C5A" w:rsidRPr="00901139" w:rsidRDefault="00BB6C5A" w:rsidP="00867E27">
      <w:pPr>
        <w:spacing w:after="120"/>
        <w:ind w:left="2268" w:right="1134" w:hanging="1134"/>
        <w:jc w:val="both"/>
        <w:rPr>
          <w:iCs/>
        </w:rPr>
      </w:pPr>
      <w:r>
        <w:t>«4.2</w:t>
      </w:r>
      <w:r>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62C45FF5" w14:textId="77777777" w:rsidR="00BB6C5A" w:rsidRPr="00901139" w:rsidRDefault="00BB6C5A" w:rsidP="00BB6C5A">
      <w:pPr>
        <w:pStyle w:val="SingleTxtG"/>
      </w:pPr>
      <w:r>
        <w:rPr>
          <w:i/>
          <w:iCs/>
        </w:rPr>
        <w:t>Включить новый пункт 6</w:t>
      </w:r>
      <w:r>
        <w:t xml:space="preserve"> следующего содержания:</w:t>
      </w:r>
    </w:p>
    <w:p w14:paraId="22A23304" w14:textId="77777777" w:rsidR="00BB6C5A" w:rsidRPr="005C06D5" w:rsidRDefault="00BB6C5A" w:rsidP="00BB6C5A">
      <w:pPr>
        <w:keepNext/>
        <w:keepLines/>
        <w:tabs>
          <w:tab w:val="left" w:pos="2268"/>
        </w:tabs>
        <w:spacing w:before="360" w:after="240" w:line="300" w:lineRule="exact"/>
        <w:ind w:left="2268" w:right="1134" w:hanging="1134"/>
        <w:rPr>
          <w:b/>
          <w:sz w:val="28"/>
          <w:szCs w:val="28"/>
        </w:rPr>
      </w:pPr>
      <w:bookmarkStart w:id="0" w:name="_Toc354410594"/>
      <w:r w:rsidRPr="00867E27">
        <w:rPr>
          <w:sz w:val="28"/>
          <w:szCs w:val="28"/>
        </w:rPr>
        <w:t>«</w:t>
      </w:r>
      <w:r w:rsidRPr="005C06D5">
        <w:rPr>
          <w:b/>
          <w:bCs/>
          <w:sz w:val="28"/>
          <w:szCs w:val="28"/>
        </w:rPr>
        <w:t>6.</w:t>
      </w:r>
      <w:r w:rsidRPr="005C06D5">
        <w:rPr>
          <w:sz w:val="28"/>
          <w:szCs w:val="28"/>
        </w:rPr>
        <w:tab/>
      </w:r>
      <w:r w:rsidRPr="005C06D5">
        <w:rPr>
          <w:b/>
          <w:bCs/>
          <w:sz w:val="28"/>
          <w:szCs w:val="28"/>
        </w:rPr>
        <w:t>Процедуры проверки</w:t>
      </w:r>
    </w:p>
    <w:p w14:paraId="438BE157" w14:textId="77777777" w:rsidR="00BB6C5A" w:rsidRPr="00901139" w:rsidRDefault="00BB6C5A" w:rsidP="00BB6C5A">
      <w:pPr>
        <w:spacing w:after="120"/>
        <w:ind w:left="2268" w:right="1134" w:hanging="1134"/>
        <w:jc w:val="both"/>
      </w:pPr>
      <w:r>
        <w:t>6.1</w:t>
      </w:r>
      <w:r>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6850ABFB" w14:textId="7B543397" w:rsidR="00BB6C5A" w:rsidRPr="00901139" w:rsidRDefault="00BB6C5A" w:rsidP="00BB6C5A">
      <w:pPr>
        <w:spacing w:after="120"/>
        <w:ind w:left="2268" w:right="1134"/>
        <w:jc w:val="both"/>
      </w:pPr>
      <w:r w:rsidRPr="002C282E">
        <w:rPr>
          <w:rFonts w:ascii="Calibri" w:eastAsia="Calibri" w:hAnsi="Calibri"/>
          <w:noProof/>
          <w:sz w:val="22"/>
          <w:lang w:eastAsia="nl-NL"/>
        </w:rPr>
        <w:drawing>
          <wp:inline distT="0" distB="0" distL="0" distR="0" wp14:anchorId="4F61AE8A" wp14:editId="7171C16A">
            <wp:extent cx="1238250" cy="390525"/>
            <wp:effectExtent l="0" t="0" r="0" b="952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t xml:space="preserve">  ±2</w:t>
      </w:r>
      <w:r w:rsidR="00576D2E">
        <w:t> </w:t>
      </w:r>
      <w:r>
        <w:t>g</w:t>
      </w:r>
    </w:p>
    <w:p w14:paraId="79E2B32B" w14:textId="684C1A7E" w:rsidR="00BB6C5A" w:rsidRPr="00901139" w:rsidRDefault="00BB6C5A" w:rsidP="00BB6C5A">
      <w:pPr>
        <w:spacing w:before="120" w:after="120"/>
        <w:ind w:left="2276" w:right="1138" w:hanging="1138"/>
        <w:jc w:val="both"/>
      </w:pPr>
      <w:r>
        <w:t>6.1.1</w:t>
      </w:r>
      <w:r>
        <w:tab/>
        <w:t>Установка для испытания устройства должна быть оборудована датчиком ускорения с минимальным диапазоном ±500</w:t>
      </w:r>
      <w:r w:rsidR="00576D2E">
        <w:t> </w:t>
      </w:r>
      <w:r>
        <w:t>g и соответствующей системой сбора данных с частотой дискретизации 10</w:t>
      </w:r>
      <w:r w:rsidR="00E97D83">
        <w:t> </w:t>
      </w:r>
      <w:r>
        <w:t xml:space="preserve">кГц, настроенной на обнаружение ускорения в направлении движения испытательной установки.  </w:t>
      </w:r>
    </w:p>
    <w:p w14:paraId="0900638C" w14:textId="77777777" w:rsidR="00BB6C5A" w:rsidRPr="00901139" w:rsidRDefault="00BB6C5A" w:rsidP="00BB6C5A">
      <w:pPr>
        <w:spacing w:after="120"/>
        <w:ind w:left="2268" w:right="1134" w:hanging="1134"/>
        <w:jc w:val="both"/>
      </w:pPr>
      <w:r>
        <w:t>6.1.2</w:t>
      </w:r>
      <w:r>
        <w:tab/>
        <w:t>Электронный блок управления подушкой безопасности/РДС и соответствующие периферийные датчики — если они необходимы для генерирования сигнала на срабатывание подушки безопасности — 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6EF7AD20" w14:textId="77777777" w:rsidR="00BB6C5A" w:rsidRPr="00901139" w:rsidRDefault="00BB6C5A" w:rsidP="00BB6C5A">
      <w:pPr>
        <w:spacing w:after="120"/>
        <w:ind w:left="2268" w:right="1134" w:hanging="1134"/>
        <w:jc w:val="both"/>
      </w:pPr>
      <w:r>
        <w:t>6.1.3</w:t>
      </w:r>
      <w:r>
        <w:tab/>
        <w:t>Сигнал на срабатывание подушки безопасности регистрируется вместе с ускорением испытательной установки.</w:t>
      </w:r>
    </w:p>
    <w:p w14:paraId="2EB99877" w14:textId="77777777" w:rsidR="00BB6C5A" w:rsidRPr="00901139" w:rsidRDefault="00BB6C5A" w:rsidP="00BB6C5A">
      <w:pPr>
        <w:spacing w:after="120"/>
        <w:ind w:left="2268" w:right="1134" w:hanging="1134"/>
        <w:jc w:val="both"/>
      </w:pPr>
      <w:r>
        <w:t>6.1.4</w:t>
      </w:r>
      <w:r>
        <w:tab/>
        <w:t>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Баттерворта с частотой среза 150 Гц. Ниже приводится уравнение для фильтра Баттерворта с частотой среза 150 Гц:</w:t>
      </w:r>
    </w:p>
    <w:p w14:paraId="211AE02E" w14:textId="77777777" w:rsidR="00BB6C5A" w:rsidRPr="00C418EE" w:rsidRDefault="00BB6C5A" w:rsidP="00BB6C5A">
      <w:pPr>
        <w:tabs>
          <w:tab w:val="left" w:pos="4382"/>
        </w:tabs>
        <w:spacing w:line="240" w:lineRule="auto"/>
        <w:ind w:left="2268" w:right="1138"/>
        <w:jc w:val="both"/>
        <w:rPr>
          <w:color w:val="000000" w:themeColor="text1"/>
          <w:lang w:val="en-US"/>
        </w:rPr>
      </w:pPr>
      <w:r w:rsidRPr="00901139">
        <w:rPr>
          <w:lang w:val="en-US"/>
        </w:rPr>
        <w:t xml:space="preserve">a_ref_150Hzfilt(n) = </w:t>
      </w:r>
      <w:r w:rsidRPr="00901139">
        <w:rPr>
          <w:lang w:val="en-US"/>
        </w:rPr>
        <w:tab/>
      </w:r>
      <w:r w:rsidRPr="00C418EE">
        <w:rPr>
          <w:color w:val="000000" w:themeColor="text1"/>
          <w:lang w:val="en-US"/>
        </w:rPr>
        <w:t xml:space="preserve"> 0,00208057 * a_ref_raw(n) </w:t>
      </w:r>
    </w:p>
    <w:p w14:paraId="1F16FB1C" w14:textId="77777777" w:rsidR="00BB6C5A" w:rsidRPr="00C418EE" w:rsidRDefault="00BB6C5A" w:rsidP="00BB6C5A">
      <w:pPr>
        <w:spacing w:line="240" w:lineRule="auto"/>
        <w:ind w:left="3708" w:right="1138" w:firstLine="612"/>
        <w:jc w:val="both"/>
        <w:rPr>
          <w:color w:val="000000" w:themeColor="text1"/>
          <w:lang w:val="en-US"/>
        </w:rPr>
      </w:pPr>
      <w:r w:rsidRPr="00C418EE">
        <w:rPr>
          <w:color w:val="000000" w:themeColor="text1"/>
          <w:lang w:val="en-US"/>
        </w:rPr>
        <w:t>+0,00416113 * a_ref_raw(n-1)</w:t>
      </w:r>
    </w:p>
    <w:p w14:paraId="4FAC3611" w14:textId="4791FF30" w:rsidR="00BB6C5A" w:rsidRPr="00C418EE" w:rsidRDefault="00BB6C5A" w:rsidP="00BB6C5A">
      <w:pPr>
        <w:spacing w:line="240" w:lineRule="auto"/>
        <w:ind w:left="3708" w:right="1138" w:firstLine="612"/>
        <w:jc w:val="both"/>
        <w:rPr>
          <w:color w:val="000000" w:themeColor="text1"/>
          <w:lang w:val="en-US"/>
        </w:rPr>
      </w:pPr>
      <w:r w:rsidRPr="00C418EE">
        <w:rPr>
          <w:color w:val="000000" w:themeColor="text1"/>
          <w:lang w:val="en-US"/>
        </w:rPr>
        <w:t>+0,00208057 * a_ref_raw(n-2)</w:t>
      </w:r>
    </w:p>
    <w:p w14:paraId="1CA2FC4D" w14:textId="77777777" w:rsidR="00BB6C5A" w:rsidRPr="00C418EE" w:rsidRDefault="00BB6C5A" w:rsidP="00BB6C5A">
      <w:pPr>
        <w:spacing w:line="240" w:lineRule="auto"/>
        <w:ind w:left="3708" w:right="1138" w:firstLine="612"/>
        <w:jc w:val="both"/>
        <w:rPr>
          <w:color w:val="000000" w:themeColor="text1"/>
          <w:lang w:val="en-US"/>
        </w:rPr>
      </w:pPr>
      <w:r w:rsidRPr="00C418EE">
        <w:rPr>
          <w:color w:val="000000" w:themeColor="text1"/>
          <w:lang w:val="en-US"/>
        </w:rPr>
        <w:t>+1,86689228 * a_ref_150Hzfilt(n-1)</w:t>
      </w:r>
    </w:p>
    <w:p w14:paraId="33B5CC72" w14:textId="2F95D12C" w:rsidR="00BB6C5A" w:rsidRPr="00C418EE" w:rsidRDefault="00935DD5" w:rsidP="00BB6C5A">
      <w:pPr>
        <w:spacing w:after="120" w:line="240" w:lineRule="auto"/>
        <w:ind w:left="3715" w:right="1138" w:firstLine="619"/>
        <w:jc w:val="both"/>
        <w:rPr>
          <w:color w:val="000000" w:themeColor="text1"/>
          <w:lang w:val="en-US"/>
        </w:rPr>
      </w:pPr>
      <w:r w:rsidRPr="00C418EE">
        <w:rPr>
          <w:color w:val="000000" w:themeColor="text1"/>
        </w:rPr>
        <w:t>–</w:t>
      </w:r>
      <w:r w:rsidR="00BB6C5A" w:rsidRPr="00C418EE">
        <w:rPr>
          <w:color w:val="000000" w:themeColor="text1"/>
          <w:lang w:val="en-US"/>
        </w:rPr>
        <w:t>0,87521455 * a_ref_150Hzfilt(n-2)</w:t>
      </w:r>
    </w:p>
    <w:p w14:paraId="60710D46" w14:textId="77777777" w:rsidR="00BB6C5A" w:rsidRPr="00901139" w:rsidRDefault="00BB6C5A" w:rsidP="00BB6C5A">
      <w:pPr>
        <w:spacing w:after="120"/>
        <w:ind w:left="2268" w:right="1134"/>
        <w:jc w:val="both"/>
      </w:pPr>
      <w:r>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6C172ACA" w14:textId="6C93CBD8" w:rsidR="00BB6C5A" w:rsidRPr="00901139" w:rsidRDefault="00BB6C5A" w:rsidP="00BB6C5A">
      <w:pPr>
        <w:spacing w:after="120"/>
        <w:ind w:left="2268" w:right="1134" w:hanging="1134"/>
        <w:jc w:val="both"/>
      </w:pPr>
      <w:r>
        <w:t>6.1.5</w:t>
      </w:r>
      <w:r>
        <w:tab/>
        <w:t>Записанные в РДС значения кривой ускорения должны полностью укладываться в полосу, составляющую ±10</w:t>
      </w:r>
      <w:r w:rsidR="00576D2E">
        <w:t> </w:t>
      </w:r>
      <w:r>
        <w:t xml:space="preserve">%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4FD18AF5" w14:textId="4E99BF7E" w:rsidR="00BB6C5A" w:rsidRPr="00901139" w:rsidRDefault="00BB6C5A" w:rsidP="00BB6C5A">
      <w:pPr>
        <w:spacing w:after="120"/>
        <w:ind w:left="2268" w:right="1134"/>
        <w:jc w:val="both"/>
      </w:pPr>
      <w:r>
        <w:t>Например, если в устройстве управления, оснащенном функцией РДС, имеется акселерометр с диапазоном ±100</w:t>
      </w:r>
      <w:r w:rsidR="00576D2E">
        <w:t> </w:t>
      </w:r>
      <w:r>
        <w:t>g, то в отношении отфильтрованной кривой ускорения установки для испытания устройства будет применяться полоса ±10</w:t>
      </w:r>
      <w:r w:rsidR="00576D2E">
        <w:t> </w:t>
      </w:r>
      <w:r>
        <w:t>g. Кривая ускорения, записанная в РДС, должна полностью укладываться в эту полосу (см.</w:t>
      </w:r>
      <w:r w:rsidR="00576D2E">
        <w:t> </w:t>
      </w:r>
      <w:r>
        <w:t xml:space="preserve">рис.).  </w:t>
      </w:r>
    </w:p>
    <w:p w14:paraId="34CCB158" w14:textId="77777777" w:rsidR="00BB6C5A" w:rsidRPr="00901139" w:rsidRDefault="00BB6C5A" w:rsidP="00BB6C5A">
      <w:pPr>
        <w:spacing w:after="120"/>
        <w:ind w:left="2268" w:right="1134"/>
      </w:pPr>
      <w:r>
        <w:t>Полоса, соответствующая ±10 % от полного диапазона акселерометра</w:t>
      </w:r>
    </w:p>
    <w:p w14:paraId="2BBC5CBB" w14:textId="77777777" w:rsidR="00BB6C5A" w:rsidRPr="002C282E" w:rsidRDefault="00BB6C5A" w:rsidP="00BB6C5A">
      <w:pPr>
        <w:spacing w:after="120"/>
        <w:ind w:left="2268" w:right="1134"/>
        <w:jc w:val="both"/>
      </w:pPr>
      <w:r w:rsidRPr="002C282E">
        <w:rPr>
          <w:noProof/>
          <w:lang w:val="nl-NL" w:eastAsia="nl-NL"/>
        </w:rPr>
        <w:drawing>
          <wp:inline distT="0" distB="0" distL="0" distR="0" wp14:anchorId="3416052E" wp14:editId="4BD19159">
            <wp:extent cx="3914775" cy="2847975"/>
            <wp:effectExtent l="0" t="0" r="9525" b="9525"/>
            <wp:docPr id="9" name="Рисунок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847975"/>
                    </a:xfrm>
                    <a:prstGeom prst="rect">
                      <a:avLst/>
                    </a:prstGeom>
                    <a:noFill/>
                    <a:ln>
                      <a:noFill/>
                    </a:ln>
                  </pic:spPr>
                </pic:pic>
              </a:graphicData>
            </a:graphic>
          </wp:inline>
        </w:drawing>
      </w:r>
    </w:p>
    <w:p w14:paraId="743E2AA7" w14:textId="77777777" w:rsidR="00BB6C5A" w:rsidRPr="00901139" w:rsidRDefault="00BB6C5A" w:rsidP="00BB6C5A">
      <w:pPr>
        <w:spacing w:after="120"/>
        <w:ind w:left="2268" w:right="1134" w:hanging="1134"/>
        <w:jc w:val="both"/>
      </w:pPr>
      <w:r>
        <w:t>6.1.6</w:t>
      </w:r>
      <w:r>
        <w:tab/>
        <w:t>Для дальнейшей синхронизации данных кривая ускорения РДС, указанная в пункте 6.1.5, может сдвигаться по времени на величину, достигающую ±2 мс, что соответствует обратной величине частоты дискретизации 500 Гц. Минимальный шаг временнóго сдвига может быть равным обратной величине частоты дискретизации РДС.</w:t>
      </w:r>
    </w:p>
    <w:p w14:paraId="0FF735C4" w14:textId="77777777" w:rsidR="00BB6C5A" w:rsidRPr="00901139" w:rsidRDefault="00BB6C5A" w:rsidP="00BB6C5A">
      <w:pPr>
        <w:spacing w:after="120"/>
        <w:ind w:left="2268" w:right="1134" w:hanging="1134"/>
        <w:jc w:val="both"/>
      </w:pPr>
      <w:r>
        <w:t>6.1.7</w:t>
      </w:r>
      <w:r>
        <w:tab/>
        <w:t>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6.1.5, с учетом или без учета временнó‎го сдвига, указанного выше в пункте 6.1.6.</w:t>
      </w:r>
    </w:p>
    <w:p w14:paraId="19D665AA" w14:textId="4AA150AE" w:rsidR="00BB6C5A" w:rsidRPr="00901139" w:rsidRDefault="00BB6C5A" w:rsidP="00BB6C5A">
      <w:pPr>
        <w:spacing w:after="120"/>
        <w:ind w:left="2268" w:right="1134" w:hanging="1134"/>
        <w:jc w:val="both"/>
        <w:rPr>
          <w:rFonts w:eastAsia="DengXian"/>
        </w:rPr>
      </w:pPr>
      <w:r>
        <w:t>6.1.8</w:t>
      </w:r>
      <w:r>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bookmarkEnd w:id="0"/>
    <w:p w14:paraId="5106ECD8" w14:textId="1EEADAFA" w:rsidR="00BB6C5A" w:rsidRPr="00901139" w:rsidRDefault="00BB6C5A" w:rsidP="00BB6C5A">
      <w:pPr>
        <w:spacing w:after="120"/>
        <w:ind w:left="1138"/>
        <w:rPr>
          <w:rFonts w:eastAsia="MS Mincho"/>
          <w:iCs/>
        </w:rPr>
      </w:pPr>
      <w:r>
        <w:rPr>
          <w:i/>
          <w:iCs/>
        </w:rPr>
        <w:t>Пункты 6–11.4</w:t>
      </w:r>
      <w:r>
        <w:t>, изменить нумерацию на 7</w:t>
      </w:r>
      <w:r w:rsidR="00576D2E">
        <w:t>–</w:t>
      </w:r>
      <w:r>
        <w:t>12.4.</w:t>
      </w:r>
    </w:p>
    <w:p w14:paraId="11B8FC41" w14:textId="77777777" w:rsidR="00BB6C5A" w:rsidRPr="00901139" w:rsidRDefault="00BB6C5A" w:rsidP="00BB6C5A">
      <w:pPr>
        <w:spacing w:after="120"/>
        <w:ind w:left="1138"/>
        <w:rPr>
          <w:rFonts w:eastAsia="SimSun"/>
          <w:i/>
          <w:color w:val="000000" w:themeColor="text1"/>
        </w:rPr>
      </w:pPr>
      <w:r>
        <w:rPr>
          <w:i/>
          <w:iCs/>
        </w:rPr>
        <w:t>Пункт 11.5 (прежний)</w:t>
      </w:r>
      <w:r>
        <w:t>, изменить нумерацию на 12.5, а текст следующим образом:</w:t>
      </w:r>
    </w:p>
    <w:p w14:paraId="00B1FEAB" w14:textId="4D826320" w:rsidR="00BB6C5A" w:rsidRPr="00901139" w:rsidRDefault="00BB6C5A" w:rsidP="00BB6C5A">
      <w:pPr>
        <w:spacing w:after="120"/>
        <w:ind w:left="1138"/>
        <w:rPr>
          <w:iCs/>
          <w:color w:val="000000" w:themeColor="text1"/>
        </w:rPr>
      </w:pPr>
      <w:r>
        <w:t>«12.5</w:t>
      </w:r>
      <w:r>
        <w:tab/>
      </w:r>
      <w:r>
        <w:tab/>
        <w:t>Независимо от пункта 12.4 Договаривающиеся...»</w:t>
      </w:r>
    </w:p>
    <w:p w14:paraId="47838A50" w14:textId="77777777" w:rsidR="00BB6C5A" w:rsidRPr="00901139" w:rsidRDefault="00BB6C5A" w:rsidP="00BB6C5A">
      <w:pPr>
        <w:spacing w:after="120"/>
        <w:ind w:left="1138"/>
        <w:rPr>
          <w:iCs/>
          <w:color w:val="000000" w:themeColor="text1"/>
        </w:rPr>
      </w:pPr>
      <w:r>
        <w:rPr>
          <w:i/>
          <w:iCs/>
        </w:rPr>
        <w:t>Включить новые пункты 12.6–12.10</w:t>
      </w:r>
      <w:r>
        <w:t xml:space="preserve"> следующего содержания:</w:t>
      </w:r>
    </w:p>
    <w:p w14:paraId="1C5DEEA4" w14:textId="77777777" w:rsidR="00BB6C5A" w:rsidRPr="00901139" w:rsidRDefault="00BB6C5A" w:rsidP="00BB6C5A">
      <w:pPr>
        <w:spacing w:after="120"/>
        <w:ind w:left="2268" w:right="1134" w:hanging="1134"/>
        <w:jc w:val="both"/>
        <w:rPr>
          <w:iCs/>
          <w:color w:val="000000" w:themeColor="text1"/>
        </w:rPr>
      </w:pPr>
      <w:r>
        <w:t xml:space="preserve">«12.6 </w:t>
      </w:r>
      <w:r>
        <w:tab/>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02.</w:t>
      </w:r>
    </w:p>
    <w:p w14:paraId="5A98C4C5" w14:textId="3B2054DD" w:rsidR="00BB6C5A" w:rsidRPr="00901139" w:rsidRDefault="00BB6C5A" w:rsidP="00BB6C5A">
      <w:pPr>
        <w:spacing w:after="120"/>
        <w:ind w:left="2268" w:right="1134" w:hanging="1134"/>
        <w:jc w:val="both"/>
        <w:rPr>
          <w:color w:val="000000" w:themeColor="text1"/>
        </w:rPr>
      </w:pPr>
      <w:r>
        <w:t>12.7</w:t>
      </w:r>
      <w:r>
        <w:tab/>
        <w:t>Начиная с 1</w:t>
      </w:r>
      <w:r w:rsidR="00576D2E">
        <w:t> </w:t>
      </w:r>
      <w:r>
        <w:t>сентября 2024</w:t>
      </w:r>
      <w:r w:rsidR="00576D2E">
        <w:t> </w:t>
      </w:r>
      <w:r>
        <w:t xml:space="preserve">года Договаривающиеся стороны, применяющие настоящие Правила, не обязаны признавать официальные утверждения типа, предоставленные впервые после 1 сентября 2024 года на основании поправок серии 01 к настоящим Правилам. </w:t>
      </w:r>
    </w:p>
    <w:p w14:paraId="31C1A670" w14:textId="7121BE1A" w:rsidR="00BB6C5A" w:rsidRPr="00901139" w:rsidRDefault="00BB6C5A" w:rsidP="00BB6C5A">
      <w:pPr>
        <w:spacing w:after="120"/>
        <w:ind w:left="2268" w:right="1134" w:hanging="1134"/>
        <w:jc w:val="both"/>
        <w:rPr>
          <w:iCs/>
          <w:color w:val="000000" w:themeColor="text1"/>
        </w:rPr>
      </w:pPr>
      <w:r>
        <w:t>12.8</w:t>
      </w:r>
      <w:r>
        <w:tab/>
        <w:t>До 1 сентября 2026 года Договаривающиеся стороны, применяющие настоящие Правила, признают официальные утверждения типа, предоставленные впервые до 1</w:t>
      </w:r>
      <w:r w:rsidR="00576D2E">
        <w:t> </w:t>
      </w:r>
      <w:r>
        <w:t>сентября 2024</w:t>
      </w:r>
      <w:r w:rsidR="00576D2E">
        <w:t> </w:t>
      </w:r>
      <w:r>
        <w:t xml:space="preserve">года на основании поправок серии 01 к настоящим Правилам. </w:t>
      </w:r>
    </w:p>
    <w:p w14:paraId="6D1AED9A" w14:textId="54123DF5" w:rsidR="00BB6C5A" w:rsidRPr="00901139" w:rsidRDefault="00BB6C5A" w:rsidP="00BB6C5A">
      <w:pPr>
        <w:spacing w:after="120"/>
        <w:ind w:left="2268" w:right="1134" w:hanging="1134"/>
        <w:jc w:val="both"/>
        <w:rPr>
          <w:iCs/>
          <w:color w:val="000000" w:themeColor="text1"/>
        </w:rPr>
      </w:pPr>
      <w:r>
        <w:t>12.9</w:t>
      </w:r>
      <w:r>
        <w:tab/>
        <w:t>Начиная с 1</w:t>
      </w:r>
      <w:r w:rsidR="00576D2E">
        <w:t> </w:t>
      </w:r>
      <w:r>
        <w:t>сентября 2026</w:t>
      </w:r>
      <w:r w:rsidR="00576D2E">
        <w:t> </w:t>
      </w:r>
      <w:r>
        <w:t xml:space="preserve">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серии 01 к настоящим Правилам. </w:t>
      </w:r>
    </w:p>
    <w:p w14:paraId="3D1A21C2" w14:textId="77777777" w:rsidR="00BB6C5A" w:rsidRPr="00901139" w:rsidRDefault="00BB6C5A" w:rsidP="00BB6C5A">
      <w:pPr>
        <w:spacing w:after="120"/>
        <w:ind w:left="2268" w:right="1134" w:hanging="1134"/>
        <w:jc w:val="both"/>
        <w:rPr>
          <w:color w:val="000000" w:themeColor="text1"/>
        </w:rPr>
      </w:pPr>
      <w:r>
        <w:t>12.10</w:t>
      </w:r>
      <w:r>
        <w:tab/>
        <w:t>Независимо от пункта 12.9 Договаривающиеся стороны, применяющие настоящие Правила, продолжают признавать официальные утверждения типа, выданные на основании поправок серии 01 к настоящим Правилам и касающиеся транспортных средств, которые не затронуты изменениями, внесенными на основании поправок серии 02».</w:t>
      </w:r>
    </w:p>
    <w:p w14:paraId="2E8DF036" w14:textId="0D5562CA" w:rsidR="00BB6C5A" w:rsidRPr="00901139" w:rsidRDefault="00BB6C5A" w:rsidP="00BB6C5A">
      <w:pPr>
        <w:spacing w:after="120"/>
        <w:ind w:left="2268" w:right="1134" w:hanging="1134"/>
        <w:jc w:val="both"/>
        <w:rPr>
          <w:iCs/>
          <w:color w:val="000000" w:themeColor="text1"/>
        </w:rPr>
      </w:pPr>
      <w:r>
        <w:rPr>
          <w:i/>
          <w:iCs/>
        </w:rPr>
        <w:t>Пункт 11.6</w:t>
      </w:r>
      <w:r>
        <w:t xml:space="preserve"> </w:t>
      </w:r>
      <w:r>
        <w:rPr>
          <w:i/>
          <w:iCs/>
        </w:rPr>
        <w:t>(прежний)</w:t>
      </w:r>
      <w:r>
        <w:t>, изменить нумерацию на 12.11.</w:t>
      </w:r>
    </w:p>
    <w:p w14:paraId="16450E34" w14:textId="77777777" w:rsidR="00BB6C5A" w:rsidRPr="00901139" w:rsidRDefault="00BB6C5A" w:rsidP="00BB6C5A">
      <w:pPr>
        <w:spacing w:after="120"/>
        <w:ind w:left="2268" w:right="1134" w:hanging="1134"/>
        <w:jc w:val="both"/>
        <w:rPr>
          <w:iCs/>
          <w:color w:val="000000" w:themeColor="text1"/>
        </w:rPr>
      </w:pPr>
      <w:r>
        <w:rPr>
          <w:i/>
          <w:iCs/>
        </w:rPr>
        <w:t>Приложение 3</w:t>
      </w:r>
      <w:r>
        <w:t xml:space="preserve"> изменить следующим образом:</w:t>
      </w:r>
    </w:p>
    <w:p w14:paraId="723E9869" w14:textId="77777777" w:rsidR="00BB6C5A" w:rsidRPr="00AC49E8" w:rsidRDefault="00BB6C5A" w:rsidP="00BB6C5A">
      <w:pPr>
        <w:keepNext/>
        <w:keepLines/>
        <w:tabs>
          <w:tab w:val="right" w:pos="851"/>
        </w:tabs>
        <w:spacing w:before="360" w:after="240" w:line="300" w:lineRule="exact"/>
        <w:ind w:right="1134"/>
        <w:rPr>
          <w:b/>
          <w:sz w:val="28"/>
          <w:szCs w:val="28"/>
        </w:rPr>
      </w:pPr>
      <w:r w:rsidRPr="00F303E6">
        <w:rPr>
          <w:sz w:val="28"/>
          <w:szCs w:val="28"/>
        </w:rPr>
        <w:t>«</w:t>
      </w:r>
      <w:r w:rsidRPr="00AC49E8">
        <w:rPr>
          <w:b/>
          <w:bCs/>
          <w:sz w:val="28"/>
          <w:szCs w:val="28"/>
        </w:rPr>
        <w:t>Приложение 3</w:t>
      </w:r>
    </w:p>
    <w:p w14:paraId="6669E4D6" w14:textId="77777777" w:rsidR="00BB6C5A" w:rsidRPr="00AC49E8" w:rsidRDefault="00BB6C5A" w:rsidP="00BB6C5A">
      <w:pPr>
        <w:keepNext/>
        <w:keepLines/>
        <w:spacing w:before="360" w:after="240" w:line="300" w:lineRule="exact"/>
        <w:ind w:right="1134"/>
        <w:rPr>
          <w:b/>
          <w:bCs/>
          <w:sz w:val="28"/>
          <w:szCs w:val="28"/>
        </w:rPr>
      </w:pPr>
      <w:bookmarkStart w:id="1" w:name="_Toc108926533"/>
      <w:bookmarkStart w:id="2" w:name="_Toc354410602"/>
      <w:r>
        <w:tab/>
      </w:r>
      <w:r>
        <w:tab/>
      </w:r>
      <w:r w:rsidRPr="00AC49E8">
        <w:rPr>
          <w:b/>
          <w:bCs/>
          <w:sz w:val="28"/>
          <w:szCs w:val="28"/>
        </w:rPr>
        <w:t>Схемы знаков официального утверждения</w:t>
      </w:r>
      <w:bookmarkEnd w:id="1"/>
      <w:bookmarkEnd w:id="2"/>
    </w:p>
    <w:p w14:paraId="077CC6C7" w14:textId="77777777" w:rsidR="00BB6C5A" w:rsidRPr="00901139" w:rsidRDefault="00BB6C5A" w:rsidP="00BB6C5A">
      <w:pPr>
        <w:spacing w:after="120"/>
        <w:ind w:left="1134" w:right="1134"/>
        <w:jc w:val="both"/>
      </w:pPr>
      <w:r>
        <w:t>(см. пункты 4.4–4.4.2 настоящих Правил)</w:t>
      </w:r>
    </w:p>
    <w:p w14:paraId="58E27C62" w14:textId="04E8077F" w:rsidR="00BB6C5A" w:rsidRPr="00901139" w:rsidRDefault="00CC60DF" w:rsidP="00CC60DF">
      <w:pPr>
        <w:spacing w:after="120"/>
        <w:ind w:left="1134" w:right="1134"/>
        <w:jc w:val="both"/>
      </w:pPr>
      <w:r>
        <w:rPr>
          <w:noProof/>
        </w:rPr>
        <mc:AlternateContent>
          <mc:Choice Requires="wpg">
            <w:drawing>
              <wp:anchor distT="0" distB="0" distL="114300" distR="114300" simplePos="0" relativeHeight="251659264" behindDoc="0" locked="0" layoutInCell="1" allowOverlap="1" wp14:anchorId="54744A0F" wp14:editId="0C4A00C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5" name="Group 5"/>
                        <wpg:cNvGrpSpPr>
                          <a:grpSpLocks/>
                        </wpg:cNvGrpSpPr>
                        <wpg:grpSpPr bwMode="auto">
                          <a:xfrm>
                            <a:off x="540" y="0"/>
                            <a:ext cx="2409" cy="774"/>
                            <a:chOff x="540" y="0"/>
                            <a:chExt cx="2409" cy="774"/>
                          </a:xfrm>
                        </wpg:grpSpPr>
                        <wps:wsp>
                          <wps:cNvPr id="7" name="Text Box 20"/>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A02A7" w14:textId="77777777" w:rsidR="00CC60DF" w:rsidRDefault="00CC60DF" w:rsidP="00CC60DF"/>
                            </w:txbxContent>
                          </wps:txbx>
                          <wps:bodyPr rot="0" vert="horz" wrap="square" lIns="91440" tIns="45720" rIns="91440" bIns="45720" anchor="t" anchorCtr="0" upright="1">
                            <a:noAutofit/>
                          </wps:bodyPr>
                        </wps:wsp>
                        <wps:wsp>
                          <wps:cNvPr id="8" name="Text Box 21"/>
                          <wps:cNvSpPr txBox="1">
                            <a:spLocks noChangeArrowheads="1"/>
                          </wps:cNvSpPr>
                          <wps:spPr bwMode="auto">
                            <a:xfrm>
                              <a:off x="540" y="0"/>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4AE84" w14:textId="77777777" w:rsidR="00CC60DF" w:rsidRDefault="00CC60DF" w:rsidP="00CC60DF">
                                <w:pPr>
                                  <w:rPr>
                                    <w:sz w:val="32"/>
                                  </w:rPr>
                                </w:pPr>
                                <w:r>
                                  <w:rPr>
                                    <w:sz w:val="32"/>
                                  </w:rPr>
                                  <w:t>160R - 02185</w:t>
                                </w:r>
                              </w:p>
                            </w:txbxContent>
                          </wps:txbx>
                          <wps:bodyPr rot="0" vert="horz" wrap="square" lIns="91440" tIns="45720" rIns="91440" bIns="45720" anchor="t" anchorCtr="0" upright="1">
                            <a:noAutofit/>
                          </wps:bodyPr>
                        </wps:wsp>
                      </wpg:grpSp>
                      <wps:wsp>
                        <wps:cNvPr id="6" name="Line 22"/>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44A0F" id="Group 168" o:spid="_x0000_s1026" style="position:absolute;left:0;text-align:left;margin-left:171.8pt;margin-top:24.45pt;width:147.45pt;height:38.7pt;z-index:251659264"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">
                <v:group id="Group 5" o:spid="_x0000_s1027" style="position:absolute;left:540;width:2409;height:774" coordorigin="540"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0"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9EA02A7" w14:textId="77777777" w:rsidR="00CC60DF" w:rsidRDefault="00CC60DF" w:rsidP="00CC60DF"/>
                      </w:txbxContent>
                    </v:textbox>
                  </v:shape>
                  <v:shape id="Text Box 21" o:spid="_x0000_s1029" type="#_x0000_t202" style="position:absolute;left:540;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174AE84" w14:textId="77777777" w:rsidR="00CC60DF" w:rsidRDefault="00CC60DF" w:rsidP="00CC60DF">
                          <w:pPr>
                            <w:rPr>
                              <w:sz w:val="32"/>
                            </w:rPr>
                          </w:pPr>
                          <w:r>
                            <w:rPr>
                              <w:sz w:val="32"/>
                            </w:rPr>
                            <w:t>160R - 02185</w:t>
                          </w:r>
                        </w:p>
                      </w:txbxContent>
                    </v:textbox>
                  </v:shape>
                </v:group>
                <v:line id="Line 22"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bookmarkStart w:id="3" w:name="_MON_1339922715"/>
      <w:bookmarkEnd w:id="3"/>
      <w:r>
        <w:rPr>
          <w:lang w:val="fr-CH"/>
        </w:rPr>
        <w:object w:dxaOrig="6300" w:dyaOrig="1335" w14:anchorId="577D3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1pt;height:66.85pt" o:ole="">
            <v:imagedata r:id="rId10" o:title=""/>
          </v:shape>
          <o:OLEObject Type="Embed" ProgID="Word.Picture.8" ShapeID="_x0000_i1027" DrawAspect="Content" ObjectID="_1757420037" r:id="rId11"/>
        </w:object>
      </w:r>
    </w:p>
    <w:p w14:paraId="1FB26DC5" w14:textId="77777777" w:rsidR="00BB6C5A" w:rsidRPr="00901139" w:rsidRDefault="00BB6C5A" w:rsidP="00BB6C5A">
      <w:pPr>
        <w:spacing w:after="120"/>
        <w:ind w:left="1134" w:right="1134"/>
        <w:jc w:val="right"/>
      </w:pPr>
      <w:r>
        <w:t>a = 8 мм мин.</w:t>
      </w:r>
    </w:p>
    <w:p w14:paraId="1B29D4F8" w14:textId="63F2A4C9" w:rsidR="00BB6C5A" w:rsidRPr="00901139" w:rsidRDefault="00BB6C5A" w:rsidP="00BB6C5A">
      <w:pPr>
        <w:spacing w:after="120"/>
        <w:ind w:left="1134" w:right="1134" w:firstLine="567"/>
        <w:jc w:val="both"/>
      </w:pPr>
      <w: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его РДС в Германии (Е 1) на основании Правил</w:t>
      </w:r>
      <w:r w:rsidR="00CC60DF">
        <w:t> </w:t>
      </w:r>
      <w:r>
        <w:t>№</w:t>
      </w:r>
      <w:r w:rsidR="00CC60DF">
        <w:t> </w:t>
      </w:r>
      <w:r>
        <w:t>160 ООН. Первые две цифры (02) номера официального утверждения указывают, что официальное утверждение было предоставлено в соответствии с требованиями поправок серии 02 к Правилам № 160 ООН.</w:t>
      </w:r>
    </w:p>
    <w:p w14:paraId="2EDBDCA0" w14:textId="77777777" w:rsidR="00BB6C5A" w:rsidRPr="00901139" w:rsidRDefault="00BB6C5A" w:rsidP="00BB6C5A">
      <w:pPr>
        <w:spacing w:after="120"/>
        <w:ind w:left="1134" w:right="1134"/>
        <w:jc w:val="both"/>
      </w:pPr>
      <w:r>
        <w:t>...»</w:t>
      </w:r>
    </w:p>
    <w:p w14:paraId="43ABB83F" w14:textId="77777777" w:rsidR="00BB6C5A" w:rsidRPr="00901139" w:rsidRDefault="00BB6C5A" w:rsidP="00BB6C5A">
      <w:pPr>
        <w:spacing w:before="120" w:after="120"/>
        <w:ind w:left="1138"/>
        <w:rPr>
          <w:iCs/>
        </w:rPr>
      </w:pPr>
      <w:r>
        <w:rPr>
          <w:i/>
          <w:iCs/>
        </w:rPr>
        <w:t>Приложение 4, таблица 1, сноску 10</w:t>
      </w:r>
      <w:r>
        <w:t xml:space="preserve"> изменить следующим образом:</w:t>
      </w:r>
    </w:p>
    <w:p w14:paraId="2DC825B9" w14:textId="77777777" w:rsidR="00BB6C5A" w:rsidRPr="00901139" w:rsidRDefault="00BB6C5A" w:rsidP="00BB6C5A">
      <w:pPr>
        <w:pStyle w:val="ad"/>
        <w:ind w:left="2155"/>
      </w:pPr>
      <w:r>
        <w:t>«</w:t>
      </w:r>
      <w:r>
        <w:rPr>
          <w:vertAlign w:val="superscript"/>
        </w:rPr>
        <w:t>10</w:t>
      </w:r>
      <w:r>
        <w:tab/>
        <w:t>±10 % от полного диапазона показаний акселерометра, который используется в электронном блоке управления (ЭБУ), оснащенном функцией РДС, как указано в пункте 6.1.5».</w:t>
      </w:r>
      <w:bookmarkStart w:id="4" w:name="_Hlk121042371"/>
      <w:bookmarkEnd w:id="4"/>
    </w:p>
    <w:p w14:paraId="32328C8F" w14:textId="47148B50" w:rsidR="00E12C5F" w:rsidRPr="008D53B6" w:rsidRDefault="00BB6C5A" w:rsidP="00BB6C5A">
      <w:pPr>
        <w:spacing w:before="240"/>
        <w:jc w:val="center"/>
      </w:pPr>
      <w:r w:rsidRPr="00901139">
        <w:rPr>
          <w:u w:val="single"/>
        </w:rPr>
        <w:tab/>
      </w:r>
      <w:r w:rsidRPr="00901139">
        <w:rPr>
          <w:u w:val="single"/>
        </w:rPr>
        <w:tab/>
      </w:r>
      <w:r w:rsidRPr="00901139">
        <w:rPr>
          <w:u w:val="single"/>
        </w:rPr>
        <w:tab/>
      </w:r>
    </w:p>
    <w:sectPr w:rsidR="00E12C5F" w:rsidRPr="008D53B6" w:rsidSect="00BB6C5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29D5" w14:textId="77777777" w:rsidR="001905E8" w:rsidRPr="00A312BC" w:rsidRDefault="001905E8" w:rsidP="00A312BC"/>
  </w:endnote>
  <w:endnote w:type="continuationSeparator" w:id="0">
    <w:p w14:paraId="2DF42BCE" w14:textId="77777777" w:rsidR="001905E8" w:rsidRPr="00A312BC" w:rsidRDefault="001905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8E16" w14:textId="4A30863A" w:rsidR="00BB6C5A" w:rsidRPr="00BB6C5A" w:rsidRDefault="00BB6C5A">
    <w:pPr>
      <w:pStyle w:val="a8"/>
    </w:pPr>
    <w:r w:rsidRPr="00BB6C5A">
      <w:rPr>
        <w:b/>
        <w:sz w:val="18"/>
      </w:rPr>
      <w:fldChar w:fldCharType="begin"/>
    </w:r>
    <w:r w:rsidRPr="00BB6C5A">
      <w:rPr>
        <w:b/>
        <w:sz w:val="18"/>
      </w:rPr>
      <w:instrText xml:space="preserve"> PAGE  \* MERGEFORMAT </w:instrText>
    </w:r>
    <w:r w:rsidRPr="00BB6C5A">
      <w:rPr>
        <w:b/>
        <w:sz w:val="18"/>
      </w:rPr>
      <w:fldChar w:fldCharType="separate"/>
    </w:r>
    <w:r w:rsidRPr="00BB6C5A">
      <w:rPr>
        <w:b/>
        <w:noProof/>
        <w:sz w:val="18"/>
      </w:rPr>
      <w:t>2</w:t>
    </w:r>
    <w:r w:rsidRPr="00BB6C5A">
      <w:rPr>
        <w:b/>
        <w:sz w:val="18"/>
      </w:rPr>
      <w:fldChar w:fldCharType="end"/>
    </w:r>
    <w:r>
      <w:rPr>
        <w:b/>
        <w:sz w:val="18"/>
      </w:rPr>
      <w:tab/>
    </w:r>
    <w:r>
      <w:t>GE.23-16304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3CFD" w14:textId="681A88CD" w:rsidR="00BB6C5A" w:rsidRPr="00BB6C5A" w:rsidRDefault="00BB6C5A" w:rsidP="00BB6C5A">
    <w:pPr>
      <w:pStyle w:val="a8"/>
      <w:tabs>
        <w:tab w:val="clear" w:pos="9639"/>
        <w:tab w:val="right" w:pos="9638"/>
      </w:tabs>
      <w:rPr>
        <w:b/>
        <w:sz w:val="18"/>
      </w:rPr>
    </w:pPr>
    <w:r>
      <w:t>GE.23-16304</w:t>
    </w:r>
    <w:r>
      <w:tab/>
    </w:r>
    <w:r w:rsidRPr="00BB6C5A">
      <w:rPr>
        <w:b/>
        <w:sz w:val="18"/>
      </w:rPr>
      <w:fldChar w:fldCharType="begin"/>
    </w:r>
    <w:r w:rsidRPr="00BB6C5A">
      <w:rPr>
        <w:b/>
        <w:sz w:val="18"/>
      </w:rPr>
      <w:instrText xml:space="preserve"> PAGE  \* MERGEFORMAT </w:instrText>
    </w:r>
    <w:r w:rsidRPr="00BB6C5A">
      <w:rPr>
        <w:b/>
        <w:sz w:val="18"/>
      </w:rPr>
      <w:fldChar w:fldCharType="separate"/>
    </w:r>
    <w:r w:rsidRPr="00BB6C5A">
      <w:rPr>
        <w:b/>
        <w:noProof/>
        <w:sz w:val="18"/>
      </w:rPr>
      <w:t>3</w:t>
    </w:r>
    <w:r w:rsidRPr="00BB6C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9A88" w14:textId="139CBF17" w:rsidR="00042B72" w:rsidRPr="00BB6C5A" w:rsidRDefault="00BB6C5A" w:rsidP="00BB6C5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17C8764" wp14:editId="31E7AE4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23-16304  (R)</w:t>
    </w:r>
    <w:r>
      <w:rPr>
        <w:noProof/>
      </w:rPr>
      <w:drawing>
        <wp:anchor distT="0" distB="0" distL="114300" distR="114300" simplePos="0" relativeHeight="251659264" behindDoc="0" locked="0" layoutInCell="1" allowOverlap="1" wp14:anchorId="70D108E3" wp14:editId="6942F36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280823  280923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E895" w14:textId="77777777" w:rsidR="001905E8" w:rsidRPr="001075E9" w:rsidRDefault="001905E8" w:rsidP="001075E9">
      <w:pPr>
        <w:tabs>
          <w:tab w:val="right" w:pos="2155"/>
        </w:tabs>
        <w:spacing w:after="80" w:line="240" w:lineRule="auto"/>
        <w:ind w:left="680"/>
        <w:rPr>
          <w:u w:val="single"/>
        </w:rPr>
      </w:pPr>
      <w:r>
        <w:rPr>
          <w:u w:val="single"/>
        </w:rPr>
        <w:tab/>
      </w:r>
    </w:p>
  </w:footnote>
  <w:footnote w:type="continuationSeparator" w:id="0">
    <w:p w14:paraId="43A826B9" w14:textId="77777777" w:rsidR="001905E8" w:rsidRDefault="001905E8" w:rsidP="00407B78">
      <w:pPr>
        <w:tabs>
          <w:tab w:val="right" w:pos="2155"/>
        </w:tabs>
        <w:spacing w:after="80"/>
        <w:ind w:left="680"/>
        <w:rPr>
          <w:u w:val="single"/>
        </w:rPr>
      </w:pPr>
      <w:r>
        <w:rPr>
          <w:u w:val="single"/>
        </w:rPr>
        <w:tab/>
      </w:r>
    </w:p>
  </w:footnote>
  <w:footnote w:id="1">
    <w:p w14:paraId="45C9B638" w14:textId="0FBC1F75" w:rsidR="00BB6C5A" w:rsidRPr="00EA370C" w:rsidRDefault="00BB6C5A" w:rsidP="00867E27">
      <w:pPr>
        <w:pStyle w:val="ad"/>
      </w:pPr>
      <w:r>
        <w:tab/>
      </w:r>
      <w:r w:rsidRPr="00867E27">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867E27">
        <w:rPr>
          <w:lang w:val="fr-CH"/>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2D39" w14:textId="1D0D3375" w:rsidR="00BB6C5A" w:rsidRPr="00BB6C5A" w:rsidRDefault="005A353C">
    <w:pPr>
      <w:pStyle w:val="a5"/>
    </w:pPr>
    <w:r>
      <w:fldChar w:fldCharType="begin"/>
    </w:r>
    <w:r>
      <w:instrText xml:space="preserve"> TITLE  \* MERGEFORMAT </w:instrText>
    </w:r>
    <w:r>
      <w:fldChar w:fldCharType="separate"/>
    </w:r>
    <w:r w:rsidR="00BB36DE">
      <w:t>ECE/TRANS/WP.29/2023/98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2C51" w14:textId="0CBA6B72" w:rsidR="00BB6C5A" w:rsidRPr="00BB6C5A" w:rsidRDefault="005A353C" w:rsidP="00BB6C5A">
    <w:pPr>
      <w:pStyle w:val="a5"/>
      <w:jc w:val="right"/>
    </w:pPr>
    <w:r>
      <w:fldChar w:fldCharType="begin"/>
    </w:r>
    <w:r>
      <w:instrText xml:space="preserve"> TITLE  \* MERGEFORMAT </w:instrText>
    </w:r>
    <w:r>
      <w:fldChar w:fldCharType="separate"/>
    </w:r>
    <w:r w:rsidR="00BB36DE">
      <w:t>ECE/TRANS/WP.29/2023/98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93D2" w14:textId="77777777" w:rsidR="00BB6C5A" w:rsidRDefault="00BB6C5A" w:rsidP="00BB6C5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DA"/>
    <w:rsid w:val="00033EE1"/>
    <w:rsid w:val="00042B72"/>
    <w:rsid w:val="000558BD"/>
    <w:rsid w:val="000B57E7"/>
    <w:rsid w:val="000B6373"/>
    <w:rsid w:val="000E4E5B"/>
    <w:rsid w:val="000F09DF"/>
    <w:rsid w:val="000F61B2"/>
    <w:rsid w:val="001075E9"/>
    <w:rsid w:val="0014152F"/>
    <w:rsid w:val="00180183"/>
    <w:rsid w:val="0018024D"/>
    <w:rsid w:val="0018649F"/>
    <w:rsid w:val="001905E8"/>
    <w:rsid w:val="00196389"/>
    <w:rsid w:val="001B3EF6"/>
    <w:rsid w:val="001C7A89"/>
    <w:rsid w:val="00255343"/>
    <w:rsid w:val="0027151D"/>
    <w:rsid w:val="002A2EFC"/>
    <w:rsid w:val="002B0106"/>
    <w:rsid w:val="002B0353"/>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6403"/>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76D2E"/>
    <w:rsid w:val="005961C8"/>
    <w:rsid w:val="005966F1"/>
    <w:rsid w:val="005A353C"/>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0D89"/>
    <w:rsid w:val="00792497"/>
    <w:rsid w:val="007A7AF8"/>
    <w:rsid w:val="007C1CAF"/>
    <w:rsid w:val="007D2A21"/>
    <w:rsid w:val="00806737"/>
    <w:rsid w:val="00825F8D"/>
    <w:rsid w:val="00834B71"/>
    <w:rsid w:val="0086445C"/>
    <w:rsid w:val="00867E27"/>
    <w:rsid w:val="00894693"/>
    <w:rsid w:val="008A08D7"/>
    <w:rsid w:val="008A37C8"/>
    <w:rsid w:val="008B6909"/>
    <w:rsid w:val="008D53B6"/>
    <w:rsid w:val="008F7609"/>
    <w:rsid w:val="00906890"/>
    <w:rsid w:val="00911BE4"/>
    <w:rsid w:val="00935DD5"/>
    <w:rsid w:val="00951972"/>
    <w:rsid w:val="009608F3"/>
    <w:rsid w:val="00980EC4"/>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B36DE"/>
    <w:rsid w:val="00BB6C5A"/>
    <w:rsid w:val="00BC18B2"/>
    <w:rsid w:val="00BD33EE"/>
    <w:rsid w:val="00BD345D"/>
    <w:rsid w:val="00BE1CC7"/>
    <w:rsid w:val="00C106D6"/>
    <w:rsid w:val="00C119AE"/>
    <w:rsid w:val="00C418EE"/>
    <w:rsid w:val="00C60F0C"/>
    <w:rsid w:val="00C71E84"/>
    <w:rsid w:val="00C805C9"/>
    <w:rsid w:val="00C92939"/>
    <w:rsid w:val="00CA1679"/>
    <w:rsid w:val="00CB151C"/>
    <w:rsid w:val="00CC60DF"/>
    <w:rsid w:val="00CE5A1A"/>
    <w:rsid w:val="00CF55F6"/>
    <w:rsid w:val="00D33D63"/>
    <w:rsid w:val="00D5253A"/>
    <w:rsid w:val="00D873A8"/>
    <w:rsid w:val="00D90028"/>
    <w:rsid w:val="00D90138"/>
    <w:rsid w:val="00D9145B"/>
    <w:rsid w:val="00DD78D1"/>
    <w:rsid w:val="00DE32CD"/>
    <w:rsid w:val="00DF5767"/>
    <w:rsid w:val="00DF71B9"/>
    <w:rsid w:val="00E03DDA"/>
    <w:rsid w:val="00E12C5F"/>
    <w:rsid w:val="00E73F76"/>
    <w:rsid w:val="00E97D83"/>
    <w:rsid w:val="00EA2C9F"/>
    <w:rsid w:val="00EA420E"/>
    <w:rsid w:val="00ED0BDA"/>
    <w:rsid w:val="00EE142A"/>
    <w:rsid w:val="00EF1360"/>
    <w:rsid w:val="00EF3220"/>
    <w:rsid w:val="00F2523A"/>
    <w:rsid w:val="00F303E6"/>
    <w:rsid w:val="00F43903"/>
    <w:rsid w:val="00F73C9D"/>
    <w:rsid w:val="00F772DA"/>
    <w:rsid w:val="00F94155"/>
    <w:rsid w:val="00F9783F"/>
    <w:rsid w:val="00FB11B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2CFAE7"/>
  <w15:docId w15:val="{F31E1974-2D8A-40B8-908F-DF0BB017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B6C5A"/>
    <w:rPr>
      <w:lang w:val="ru-RU" w:eastAsia="en-US"/>
    </w:rPr>
  </w:style>
  <w:style w:type="character" w:customStyle="1" w:styleId="HChGChar">
    <w:name w:val="_ H _Ch_G Char"/>
    <w:link w:val="HChG"/>
    <w:locked/>
    <w:rsid w:val="00BB6C5A"/>
    <w:rPr>
      <w:b/>
      <w:sz w:val="28"/>
      <w:lang w:val="ru-RU" w:eastAsia="ru-RU"/>
    </w:rPr>
  </w:style>
  <w:style w:type="character" w:customStyle="1" w:styleId="H1GChar">
    <w:name w:val="_ H_1_G Char"/>
    <w:link w:val="H1G"/>
    <w:locked/>
    <w:rsid w:val="00BB6C5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21394-0D4F-41E0-A10F-728A8F94F156}"/>
</file>

<file path=customXml/itemProps2.xml><?xml version="1.0" encoding="utf-8"?>
<ds:datastoreItem xmlns:ds="http://schemas.openxmlformats.org/officeDocument/2006/customXml" ds:itemID="{085EE41D-B54E-4657-922D-E9889B2017DB}"/>
</file>

<file path=docProps/app.xml><?xml version="1.0" encoding="utf-8"?>
<Properties xmlns="http://schemas.openxmlformats.org/officeDocument/2006/extended-properties" xmlns:vt="http://schemas.openxmlformats.org/officeDocument/2006/docPropsVTypes">
  <Template>ECE.dotm</Template>
  <TotalTime>2</TotalTime>
  <Pages>4</Pages>
  <Words>942</Words>
  <Characters>6485</Characters>
  <Application>Microsoft Office Word</Application>
  <DocSecurity>0</DocSecurity>
  <Lines>150</Lines>
  <Paragraphs>59</Paragraphs>
  <ScaleCrop>false</ScaleCrop>
  <HeadingPairs>
    <vt:vector size="8" baseType="variant">
      <vt:variant>
        <vt:lpstr>Название</vt:lpstr>
      </vt:variant>
      <vt:variant>
        <vt:i4>1</vt:i4>
      </vt:variant>
      <vt:variant>
        <vt:lpstr>Заголовки</vt:lpstr>
      </vt:variant>
      <vt:variant>
        <vt:i4>2</vt:i4>
      </vt:variant>
      <vt:variant>
        <vt:lpstr>Title</vt:lpstr>
      </vt:variant>
      <vt:variant>
        <vt:i4>1</vt:i4>
      </vt:variant>
      <vt:variant>
        <vt:lpstr>Título</vt:lpstr>
      </vt:variant>
      <vt:variant>
        <vt:i4>1</vt:i4>
      </vt:variant>
    </vt:vector>
  </HeadingPairs>
  <TitlesOfParts>
    <vt:vector size="5" baseType="lpstr">
      <vt:lpstr>ECE/TRANS/WP.29/2023/98</vt:lpstr>
      <vt:lpstr>    Предложение по поправкам серии 02  к Правилам № 160 ООН (регистратор данных о со</vt:lpstr>
      <vt:lpstr>        Представлено Рабочей группой по общим предписаниям, касающимся безопасности*</vt:lpstr>
      <vt:lpstr>A/</vt:lpstr>
      <vt:lpstr>A/</vt:lpstr>
    </vt:vector>
  </TitlesOfParts>
  <Company>DCM</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ECE/TRANS/WP.29/2023/98</dc:title>
  <dc:subject/>
  <dc:creator>Olga OVTCHINNIKOVA</dc:creator>
  <cp:keywords/>
  <cp:lastModifiedBy>Olga Ovchinnikova</cp:lastModifiedBy>
  <cp:revision>4</cp:revision>
  <cp:lastPrinted>2023-09-28T13:25:00Z</cp:lastPrinted>
  <dcterms:created xsi:type="dcterms:W3CDTF">2023-09-28T13:25:00Z</dcterms:created>
  <dcterms:modified xsi:type="dcterms:W3CDTF">2023-09-28T13:27:00Z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