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406EEE3" w14:textId="77777777" w:rsidTr="00B20551">
        <w:trPr>
          <w:cantSplit/>
          <w:trHeight w:hRule="exact" w:val="851"/>
        </w:trPr>
        <w:tc>
          <w:tcPr>
            <w:tcW w:w="1276" w:type="dxa"/>
            <w:tcBorders>
              <w:bottom w:val="single" w:sz="4" w:space="0" w:color="auto"/>
            </w:tcBorders>
            <w:vAlign w:val="bottom"/>
          </w:tcPr>
          <w:p w14:paraId="4BE9F039" w14:textId="77777777" w:rsidR="009E6CB7" w:rsidRDefault="009E6CB7" w:rsidP="00B20551">
            <w:pPr>
              <w:spacing w:after="80"/>
            </w:pPr>
          </w:p>
        </w:tc>
        <w:tc>
          <w:tcPr>
            <w:tcW w:w="2268" w:type="dxa"/>
            <w:tcBorders>
              <w:bottom w:val="single" w:sz="4" w:space="0" w:color="auto"/>
            </w:tcBorders>
            <w:vAlign w:val="bottom"/>
          </w:tcPr>
          <w:p w14:paraId="68B18F00"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EC7DA19" w14:textId="5660A4CE" w:rsidR="009E6CB7" w:rsidRPr="00D47EEA" w:rsidRDefault="00B554D8" w:rsidP="00B554D8">
            <w:pPr>
              <w:jc w:val="right"/>
            </w:pPr>
            <w:r w:rsidRPr="00B554D8">
              <w:rPr>
                <w:sz w:val="40"/>
              </w:rPr>
              <w:t>ECE</w:t>
            </w:r>
            <w:r>
              <w:t>/MP.EIA/WG.2/202</w:t>
            </w:r>
            <w:r w:rsidR="00375947">
              <w:t>3</w:t>
            </w:r>
            <w:r>
              <w:t>/2</w:t>
            </w:r>
          </w:p>
        </w:tc>
      </w:tr>
      <w:tr w:rsidR="009E6CB7" w14:paraId="59E50EB0" w14:textId="77777777" w:rsidTr="00B20551">
        <w:trPr>
          <w:cantSplit/>
          <w:trHeight w:hRule="exact" w:val="2835"/>
        </w:trPr>
        <w:tc>
          <w:tcPr>
            <w:tcW w:w="1276" w:type="dxa"/>
            <w:tcBorders>
              <w:top w:val="single" w:sz="4" w:space="0" w:color="auto"/>
              <w:bottom w:val="single" w:sz="12" w:space="0" w:color="auto"/>
            </w:tcBorders>
          </w:tcPr>
          <w:p w14:paraId="29075368" w14:textId="77777777" w:rsidR="009E6CB7" w:rsidRDefault="00686A48" w:rsidP="00B20551">
            <w:pPr>
              <w:spacing w:before="120"/>
            </w:pPr>
            <w:r>
              <w:rPr>
                <w:noProof/>
                <w:lang w:val="fr-CH" w:eastAsia="fr-CH"/>
              </w:rPr>
              <w:drawing>
                <wp:inline distT="0" distB="0" distL="0" distR="0" wp14:anchorId="71472656" wp14:editId="5196A20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9178790" w14:textId="77777777" w:rsidR="009E6CB7" w:rsidRPr="002C529B" w:rsidRDefault="009E6CB7" w:rsidP="00B20551">
            <w:pPr>
              <w:spacing w:before="120" w:line="420" w:lineRule="exact"/>
              <w:rPr>
                <w:sz w:val="40"/>
                <w:szCs w:val="40"/>
              </w:rPr>
            </w:pPr>
            <w:r w:rsidRPr="002C529B">
              <w:rPr>
                <w:b/>
                <w:sz w:val="40"/>
                <w:szCs w:val="40"/>
              </w:rPr>
              <w:t>Economic and Social Council</w:t>
            </w:r>
          </w:p>
        </w:tc>
        <w:tc>
          <w:tcPr>
            <w:tcW w:w="2835" w:type="dxa"/>
            <w:tcBorders>
              <w:top w:val="single" w:sz="4" w:space="0" w:color="auto"/>
              <w:bottom w:val="single" w:sz="12" w:space="0" w:color="auto"/>
            </w:tcBorders>
          </w:tcPr>
          <w:p w14:paraId="2FB7E901" w14:textId="77777777" w:rsidR="009E6CB7" w:rsidRPr="002C529B" w:rsidRDefault="00B554D8" w:rsidP="00B554D8">
            <w:pPr>
              <w:spacing w:before="240" w:line="240" w:lineRule="exact"/>
            </w:pPr>
            <w:r w:rsidRPr="002C529B">
              <w:t>Distr.: General</w:t>
            </w:r>
          </w:p>
          <w:p w14:paraId="08D8C9AB" w14:textId="4C6B4EBE" w:rsidR="00B554D8" w:rsidRPr="002C529B" w:rsidRDefault="002C529B" w:rsidP="00B554D8">
            <w:pPr>
              <w:spacing w:line="240" w:lineRule="exact"/>
            </w:pPr>
            <w:r w:rsidRPr="002C529B">
              <w:t>13</w:t>
            </w:r>
            <w:r w:rsidR="00B554D8" w:rsidRPr="002C529B">
              <w:t xml:space="preserve"> J</w:t>
            </w:r>
            <w:r w:rsidR="00D90810" w:rsidRPr="002C529B">
              <w:t>u</w:t>
            </w:r>
            <w:r w:rsidR="00433E20" w:rsidRPr="002C529B">
              <w:t>ly</w:t>
            </w:r>
            <w:r w:rsidR="00B554D8" w:rsidRPr="002C529B">
              <w:t xml:space="preserve"> 2023</w:t>
            </w:r>
          </w:p>
          <w:p w14:paraId="1BF74E89" w14:textId="77777777" w:rsidR="00B554D8" w:rsidRPr="002C529B" w:rsidRDefault="00B554D8" w:rsidP="00B554D8">
            <w:pPr>
              <w:spacing w:line="240" w:lineRule="exact"/>
            </w:pPr>
          </w:p>
          <w:p w14:paraId="36B85D6E" w14:textId="798C9DD4" w:rsidR="00B554D8" w:rsidRPr="002C529B" w:rsidRDefault="00B554D8" w:rsidP="00B554D8">
            <w:pPr>
              <w:spacing w:line="240" w:lineRule="exact"/>
            </w:pPr>
            <w:r w:rsidRPr="002C529B">
              <w:t>Original: English</w:t>
            </w:r>
          </w:p>
        </w:tc>
      </w:tr>
    </w:tbl>
    <w:p w14:paraId="1FE266FD" w14:textId="77777777" w:rsidR="00B554D8" w:rsidRPr="00136A88" w:rsidRDefault="00B554D8" w:rsidP="0094684F">
      <w:pPr>
        <w:spacing w:before="120"/>
        <w:rPr>
          <w:b/>
          <w:sz w:val="28"/>
          <w:szCs w:val="28"/>
        </w:rPr>
      </w:pPr>
      <w:r w:rsidRPr="00136A88">
        <w:rPr>
          <w:b/>
          <w:sz w:val="28"/>
          <w:szCs w:val="28"/>
        </w:rPr>
        <w:t>Economic Commission for Europe</w:t>
      </w:r>
    </w:p>
    <w:p w14:paraId="4B95C53C" w14:textId="77777777" w:rsidR="00B554D8" w:rsidRPr="00136A88" w:rsidRDefault="00B554D8" w:rsidP="0094684F">
      <w:pPr>
        <w:spacing w:before="120"/>
        <w:rPr>
          <w:bCs/>
          <w:sz w:val="24"/>
          <w:szCs w:val="24"/>
        </w:rPr>
      </w:pPr>
      <w:r w:rsidRPr="00136A88">
        <w:rPr>
          <w:bCs/>
          <w:sz w:val="24"/>
          <w:szCs w:val="24"/>
        </w:rPr>
        <w:t xml:space="preserve">Meeting of the Parties to the Convention </w:t>
      </w:r>
      <w:r w:rsidRPr="00136A88">
        <w:rPr>
          <w:bCs/>
          <w:sz w:val="24"/>
          <w:szCs w:val="24"/>
        </w:rPr>
        <w:br/>
        <w:t xml:space="preserve">on Environmental Impact Assessment </w:t>
      </w:r>
      <w:r w:rsidRPr="00136A88">
        <w:rPr>
          <w:bCs/>
          <w:sz w:val="24"/>
          <w:szCs w:val="24"/>
        </w:rPr>
        <w:br/>
        <w:t>in a Transboundary Context</w:t>
      </w:r>
    </w:p>
    <w:p w14:paraId="4BBC7A05" w14:textId="77777777" w:rsidR="00B554D8" w:rsidRPr="00136A88" w:rsidRDefault="00B554D8" w:rsidP="0094684F">
      <w:pPr>
        <w:autoSpaceDE w:val="0"/>
        <w:autoSpaceDN w:val="0"/>
        <w:adjustRightInd w:val="0"/>
        <w:spacing w:before="120"/>
        <w:rPr>
          <w:sz w:val="24"/>
          <w:szCs w:val="24"/>
        </w:rPr>
      </w:pPr>
      <w:r w:rsidRPr="00136A88">
        <w:rPr>
          <w:sz w:val="24"/>
          <w:szCs w:val="24"/>
        </w:rPr>
        <w:t xml:space="preserve">Meeting of the Parties to the Convention </w:t>
      </w:r>
      <w:r w:rsidRPr="00136A88">
        <w:rPr>
          <w:sz w:val="24"/>
          <w:szCs w:val="24"/>
        </w:rPr>
        <w:br/>
        <w:t xml:space="preserve">on Environmental Impact Assessment in </w:t>
      </w:r>
      <w:r w:rsidRPr="00136A88">
        <w:rPr>
          <w:sz w:val="24"/>
          <w:szCs w:val="24"/>
        </w:rPr>
        <w:br/>
        <w:t xml:space="preserve">a Transboundary Context serving as the </w:t>
      </w:r>
      <w:r w:rsidRPr="00136A88">
        <w:rPr>
          <w:sz w:val="24"/>
          <w:szCs w:val="24"/>
        </w:rPr>
        <w:br/>
        <w:t xml:space="preserve">Meeting of the Parties to the Protocol on </w:t>
      </w:r>
      <w:r w:rsidRPr="00136A88">
        <w:rPr>
          <w:sz w:val="24"/>
          <w:szCs w:val="24"/>
        </w:rPr>
        <w:br/>
        <w:t>Strategic Environmental Assessment</w:t>
      </w:r>
    </w:p>
    <w:p w14:paraId="18A1E8E3" w14:textId="77777777" w:rsidR="00B554D8" w:rsidRPr="00136A88" w:rsidRDefault="00B554D8" w:rsidP="0094684F">
      <w:pPr>
        <w:spacing w:before="120"/>
        <w:rPr>
          <w:b/>
          <w:sz w:val="24"/>
          <w:szCs w:val="24"/>
        </w:rPr>
      </w:pPr>
      <w:r w:rsidRPr="00136A88">
        <w:rPr>
          <w:b/>
          <w:sz w:val="24"/>
          <w:szCs w:val="24"/>
        </w:rPr>
        <w:t>Working Group on Environmental Impact Assessment</w:t>
      </w:r>
      <w:r w:rsidRPr="00136A88">
        <w:rPr>
          <w:b/>
          <w:sz w:val="24"/>
          <w:szCs w:val="24"/>
        </w:rPr>
        <w:br/>
        <w:t>and Strategic Environmental Assessment</w:t>
      </w:r>
    </w:p>
    <w:p w14:paraId="1E150281" w14:textId="39E2DDAF" w:rsidR="00B554D8" w:rsidRPr="00B554D8" w:rsidRDefault="00D90810" w:rsidP="00B554D8">
      <w:pPr>
        <w:suppressAutoHyphens/>
        <w:spacing w:before="120"/>
        <w:rPr>
          <w:b/>
        </w:rPr>
      </w:pPr>
      <w:r>
        <w:rPr>
          <w:b/>
        </w:rPr>
        <w:t>Twelf</w:t>
      </w:r>
      <w:r w:rsidRPr="00B554D8">
        <w:rPr>
          <w:b/>
        </w:rPr>
        <w:t>th</w:t>
      </w:r>
      <w:r w:rsidR="00B554D8" w:rsidRPr="00B554D8">
        <w:rPr>
          <w:b/>
        </w:rPr>
        <w:t xml:space="preserve"> meeting</w:t>
      </w:r>
    </w:p>
    <w:p w14:paraId="3160CCA2" w14:textId="0D4811C2" w:rsidR="00995079" w:rsidRDefault="00B554D8" w:rsidP="00B554D8">
      <w:r w:rsidRPr="00B554D8">
        <w:t>Geneva, 1</w:t>
      </w:r>
      <w:r w:rsidR="00D90810">
        <w:t>3</w:t>
      </w:r>
      <w:r w:rsidRPr="00B554D8">
        <w:t>–</w:t>
      </w:r>
      <w:r w:rsidR="00D90810">
        <w:t>15 June</w:t>
      </w:r>
      <w:r w:rsidRPr="00B554D8">
        <w:t xml:space="preserve"> 202</w:t>
      </w:r>
      <w:r w:rsidR="00D90810">
        <w:t>3</w:t>
      </w:r>
    </w:p>
    <w:p w14:paraId="72B4CF8D" w14:textId="70E4F114" w:rsidR="00B554D8" w:rsidRPr="00B554D8" w:rsidRDefault="00B554D8" w:rsidP="00273B41">
      <w:pPr>
        <w:pStyle w:val="HChG"/>
        <w:rPr>
          <w:lang w:eastAsia="en-US"/>
        </w:rPr>
      </w:pPr>
      <w:r>
        <w:rPr>
          <w:lang w:eastAsia="en-US"/>
        </w:rPr>
        <w:tab/>
      </w:r>
      <w:r>
        <w:rPr>
          <w:lang w:eastAsia="en-US"/>
        </w:rPr>
        <w:tab/>
      </w:r>
      <w:r w:rsidRPr="00B554D8">
        <w:rPr>
          <w:lang w:eastAsia="en-US"/>
        </w:rPr>
        <w:t xml:space="preserve">Report </w:t>
      </w:r>
      <w:r w:rsidRPr="00B554D8">
        <w:t>of</w:t>
      </w:r>
      <w:r w:rsidRPr="00B554D8">
        <w:rPr>
          <w:lang w:eastAsia="en-US"/>
        </w:rPr>
        <w:t xml:space="preserve"> the </w:t>
      </w:r>
      <w:r w:rsidRPr="00273B41">
        <w:t>Working</w:t>
      </w:r>
      <w:r w:rsidRPr="00B554D8">
        <w:rPr>
          <w:lang w:eastAsia="en-US"/>
        </w:rPr>
        <w:t xml:space="preserve"> Group on Environmental Impact Assessment and Strategic Environmental Assessment on </w:t>
      </w:r>
      <w:r w:rsidRPr="00B554D8">
        <w:rPr>
          <w:lang w:eastAsia="en-US"/>
        </w:rPr>
        <w:br/>
        <w:t xml:space="preserve">its </w:t>
      </w:r>
      <w:r w:rsidR="002433B2">
        <w:rPr>
          <w:lang w:eastAsia="en-US"/>
        </w:rPr>
        <w:t>twelf</w:t>
      </w:r>
      <w:r w:rsidRPr="00B554D8">
        <w:rPr>
          <w:lang w:eastAsia="en-US"/>
        </w:rPr>
        <w:t>th meeting</w:t>
      </w:r>
    </w:p>
    <w:p w14:paraId="1D8B4C2F" w14:textId="77777777" w:rsidR="00B554D8" w:rsidRPr="00B554D8" w:rsidRDefault="00B554D8" w:rsidP="00273B41">
      <w:pPr>
        <w:pStyle w:val="HChG"/>
        <w:rPr>
          <w:lang w:eastAsia="en-US"/>
        </w:rPr>
      </w:pPr>
      <w:r w:rsidRPr="00B554D8">
        <w:rPr>
          <w:lang w:eastAsia="en-US"/>
        </w:rPr>
        <w:tab/>
        <w:t>I.</w:t>
      </w:r>
      <w:r w:rsidRPr="00B554D8">
        <w:rPr>
          <w:lang w:eastAsia="en-US"/>
        </w:rPr>
        <w:tab/>
      </w:r>
      <w:r w:rsidRPr="00273B41">
        <w:t>Introduction</w:t>
      </w:r>
    </w:p>
    <w:p w14:paraId="03F67993" w14:textId="48137340" w:rsidR="00B554D8" w:rsidRPr="00B554D8" w:rsidRDefault="00B554D8" w:rsidP="00273B41">
      <w:pPr>
        <w:pStyle w:val="SingleTxtG"/>
        <w:rPr>
          <w:lang w:eastAsia="en-US"/>
        </w:rPr>
      </w:pPr>
      <w:r w:rsidRPr="00B554D8">
        <w:rPr>
          <w:lang w:eastAsia="en-US"/>
        </w:rPr>
        <w:t>1.</w:t>
      </w:r>
      <w:r w:rsidRPr="00B554D8">
        <w:rPr>
          <w:lang w:eastAsia="en-US"/>
        </w:rPr>
        <w:tab/>
        <w:t xml:space="preserve">The </w:t>
      </w:r>
      <w:r w:rsidR="002433B2">
        <w:rPr>
          <w:lang w:eastAsia="en-US"/>
        </w:rPr>
        <w:t>twelfth</w:t>
      </w:r>
      <w:r w:rsidRPr="00B554D8">
        <w:rPr>
          <w:lang w:eastAsia="en-US"/>
        </w:rPr>
        <w:t xml:space="preserve"> meeting of the Working Group on Environmental Impact Assessment and Strategic Environmental Assessment under the Convention on Environmental Impact Assessment in a Transboundary Context (Espoo Convention) and its Protocol on Strategic Environmental Assessment was held in Geneva</w:t>
      </w:r>
      <w:r w:rsidR="00920D01">
        <w:rPr>
          <w:lang w:eastAsia="en-US"/>
        </w:rPr>
        <w:t>, in person,</w:t>
      </w:r>
      <w:r w:rsidRPr="00B554D8">
        <w:rPr>
          <w:lang w:eastAsia="en-US"/>
        </w:rPr>
        <w:t xml:space="preserve"> from 1</w:t>
      </w:r>
      <w:r w:rsidR="002433B2">
        <w:rPr>
          <w:lang w:eastAsia="en-US"/>
        </w:rPr>
        <w:t>3</w:t>
      </w:r>
      <w:r w:rsidRPr="00B554D8">
        <w:rPr>
          <w:lang w:eastAsia="en-US"/>
        </w:rPr>
        <w:t xml:space="preserve"> to 1</w:t>
      </w:r>
      <w:r w:rsidR="002433B2">
        <w:rPr>
          <w:lang w:eastAsia="en-US"/>
        </w:rPr>
        <w:t>5</w:t>
      </w:r>
      <w:r w:rsidRPr="00B554D8">
        <w:rPr>
          <w:lang w:eastAsia="en-US"/>
        </w:rPr>
        <w:t xml:space="preserve"> </w:t>
      </w:r>
      <w:r w:rsidR="002433B2">
        <w:rPr>
          <w:lang w:eastAsia="en-US"/>
        </w:rPr>
        <w:t>June</w:t>
      </w:r>
      <w:r w:rsidRPr="00B554D8">
        <w:rPr>
          <w:lang w:eastAsia="en-US"/>
        </w:rPr>
        <w:t xml:space="preserve"> 202</w:t>
      </w:r>
      <w:r w:rsidR="002433B2">
        <w:rPr>
          <w:lang w:eastAsia="en-US"/>
        </w:rPr>
        <w:t>3</w:t>
      </w:r>
      <w:r w:rsidRPr="00B554D8">
        <w:rPr>
          <w:lang w:eastAsia="en-US"/>
        </w:rPr>
        <w:t>.</w:t>
      </w:r>
    </w:p>
    <w:p w14:paraId="21A2AF5B" w14:textId="77777777" w:rsidR="00B554D8" w:rsidRPr="00B554D8" w:rsidRDefault="00B554D8" w:rsidP="00B554D8">
      <w:pPr>
        <w:pStyle w:val="H1G"/>
        <w:rPr>
          <w:lang w:eastAsia="en-US"/>
        </w:rPr>
      </w:pPr>
      <w:r w:rsidRPr="00B554D8">
        <w:rPr>
          <w:lang w:eastAsia="en-US"/>
        </w:rPr>
        <w:tab/>
        <w:t>A.</w:t>
      </w:r>
      <w:r w:rsidRPr="00B554D8">
        <w:rPr>
          <w:lang w:eastAsia="en-US"/>
        </w:rPr>
        <w:tab/>
      </w:r>
      <w:r w:rsidRPr="00B554D8">
        <w:t>Attendance</w:t>
      </w:r>
    </w:p>
    <w:p w14:paraId="792DFD50" w14:textId="07112ACF" w:rsidR="00B554D8" w:rsidRPr="00B554D8" w:rsidRDefault="00B554D8" w:rsidP="00B554D8">
      <w:pPr>
        <w:pStyle w:val="SingleTxtG"/>
        <w:rPr>
          <w:lang w:eastAsia="en-US"/>
        </w:rPr>
      </w:pPr>
      <w:r w:rsidRPr="00956857">
        <w:rPr>
          <w:lang w:eastAsia="en-US"/>
        </w:rPr>
        <w:t>2.</w:t>
      </w:r>
      <w:r w:rsidRPr="00956857">
        <w:rPr>
          <w:lang w:eastAsia="en-US"/>
        </w:rPr>
        <w:tab/>
        <w:t>The meeting was attended by delegations from the following Parties to the Convention and the Protocol and other member States of the United Nations Economic Commission for Europe (</w:t>
      </w:r>
      <w:r w:rsidRPr="00956857">
        <w:t>ECE</w:t>
      </w:r>
      <w:r w:rsidRPr="00956857">
        <w:rPr>
          <w:lang w:eastAsia="en-US"/>
        </w:rPr>
        <w:t xml:space="preserve">): Armenia, Austria, Azerbaijan, Belarus, Bulgaria, Croatia, Czechia, </w:t>
      </w:r>
      <w:r w:rsidRPr="00956857">
        <w:t>Estonia</w:t>
      </w:r>
      <w:r w:rsidRPr="00956857">
        <w:rPr>
          <w:lang w:eastAsia="en-US"/>
        </w:rPr>
        <w:t>, Finland, France, Georgia, Germany, Greece, Ireland, Italy, Kyrgyzstan, Latvia, Lithuania, Luxembourg, Malta, Montenegro, Netherlands, Norway, Poland, Portugal, Republic of Moldova, Romania, Slovakia, Slovenia, Spain, Sweden, Switzerland and Uzbekistan. The European Union was represented by the European Commission.</w:t>
      </w:r>
      <w:r w:rsidRPr="00BA79C3">
        <w:rPr>
          <w:lang w:eastAsia="en-US"/>
        </w:rPr>
        <w:t xml:space="preserve"> Statements on behalf of the European Uni</w:t>
      </w:r>
      <w:r w:rsidRPr="00B554D8">
        <w:rPr>
          <w:lang w:eastAsia="en-US"/>
        </w:rPr>
        <w:t xml:space="preserve">on and its member States were made by </w:t>
      </w:r>
      <w:r w:rsidR="00063E77">
        <w:rPr>
          <w:lang w:eastAsia="en-US"/>
        </w:rPr>
        <w:t>Sweden</w:t>
      </w:r>
      <w:r w:rsidRPr="00B554D8">
        <w:rPr>
          <w:lang w:eastAsia="en-US"/>
        </w:rPr>
        <w:t xml:space="preserve">, which held the presidency of the Council of the European Union in the </w:t>
      </w:r>
      <w:r w:rsidR="00063E77">
        <w:rPr>
          <w:lang w:eastAsia="en-US"/>
        </w:rPr>
        <w:t xml:space="preserve">first </w:t>
      </w:r>
      <w:r w:rsidRPr="00B554D8">
        <w:rPr>
          <w:lang w:eastAsia="en-US"/>
        </w:rPr>
        <w:t>half of 202</w:t>
      </w:r>
      <w:r w:rsidR="002433B2">
        <w:rPr>
          <w:lang w:eastAsia="en-US"/>
        </w:rPr>
        <w:t>3</w:t>
      </w:r>
      <w:r w:rsidRPr="00B554D8">
        <w:rPr>
          <w:lang w:eastAsia="en-US"/>
        </w:rPr>
        <w:t>.</w:t>
      </w:r>
    </w:p>
    <w:p w14:paraId="745BDC4C" w14:textId="5F19149E" w:rsidR="00B554D8" w:rsidRPr="00B554D8" w:rsidRDefault="00B554D8" w:rsidP="00273B41">
      <w:pPr>
        <w:pStyle w:val="SingleTxtG"/>
        <w:rPr>
          <w:lang w:eastAsia="en-US"/>
        </w:rPr>
      </w:pPr>
      <w:r w:rsidRPr="00B554D8">
        <w:rPr>
          <w:lang w:eastAsia="en-US"/>
        </w:rPr>
        <w:t>3.</w:t>
      </w:r>
      <w:r w:rsidRPr="00B554D8">
        <w:tab/>
      </w:r>
      <w:r w:rsidRPr="00B554D8">
        <w:rPr>
          <w:lang w:eastAsia="en-US"/>
        </w:rPr>
        <w:t xml:space="preserve">Representatives of the following United Nations bodies participated: the United Nations Development Programme and the World Health Organization (WHO). </w:t>
      </w:r>
      <w:r w:rsidR="00E37BBB">
        <w:rPr>
          <w:lang w:eastAsia="en-US"/>
        </w:rPr>
        <w:t xml:space="preserve">The </w:t>
      </w:r>
      <w:r w:rsidR="00F717C4">
        <w:rPr>
          <w:lang w:eastAsia="en-US"/>
        </w:rPr>
        <w:t>European Public Law Organi</w:t>
      </w:r>
      <w:r w:rsidR="00E37BBB">
        <w:rPr>
          <w:lang w:eastAsia="en-US"/>
        </w:rPr>
        <w:t>z</w:t>
      </w:r>
      <w:r w:rsidR="00F717C4">
        <w:rPr>
          <w:lang w:eastAsia="en-US"/>
        </w:rPr>
        <w:t xml:space="preserve">ation </w:t>
      </w:r>
      <w:r w:rsidR="00081F23">
        <w:rPr>
          <w:lang w:eastAsia="en-US"/>
        </w:rPr>
        <w:t xml:space="preserve">was also represented. </w:t>
      </w:r>
      <w:r w:rsidRPr="00B554D8">
        <w:rPr>
          <w:lang w:eastAsia="en-US"/>
        </w:rPr>
        <w:t xml:space="preserve">Representatives of the following non-governmental organizations (NGOs) were present: the </w:t>
      </w:r>
      <w:r w:rsidR="00EC7B02">
        <w:rPr>
          <w:lang w:eastAsia="en-US"/>
        </w:rPr>
        <w:t xml:space="preserve">Caucasus Environmental NGO Network; </w:t>
      </w:r>
      <w:r w:rsidR="00E37BBB">
        <w:rPr>
          <w:lang w:eastAsia="en-US"/>
        </w:rPr>
        <w:t xml:space="preserve">the </w:t>
      </w:r>
      <w:r w:rsidRPr="00B554D8">
        <w:rPr>
          <w:lang w:eastAsia="en-US"/>
        </w:rPr>
        <w:t>European ECO-Forum</w:t>
      </w:r>
      <w:r w:rsidR="003334BB">
        <w:rPr>
          <w:lang w:eastAsia="en-US"/>
        </w:rPr>
        <w:t xml:space="preserve">; </w:t>
      </w:r>
      <w:r w:rsidRPr="00B554D8">
        <w:rPr>
          <w:lang w:eastAsia="en-US"/>
        </w:rPr>
        <w:t xml:space="preserve">the International Association for Impact Assessment </w:t>
      </w:r>
      <w:r w:rsidRPr="00B554D8">
        <w:rPr>
          <w:lang w:eastAsia="en-US"/>
        </w:rPr>
        <w:lastRenderedPageBreak/>
        <w:t>(IAIA)</w:t>
      </w:r>
      <w:r w:rsidR="00E37BBB">
        <w:rPr>
          <w:lang w:eastAsia="en-US"/>
        </w:rPr>
        <w:t>;</w:t>
      </w:r>
      <w:r w:rsidRPr="00B554D8">
        <w:rPr>
          <w:lang w:eastAsia="en-US"/>
        </w:rPr>
        <w:t xml:space="preserve"> </w:t>
      </w:r>
      <w:r w:rsidR="007E5EBA">
        <w:rPr>
          <w:lang w:eastAsia="en-US"/>
        </w:rPr>
        <w:t xml:space="preserve">and </w:t>
      </w:r>
      <w:r w:rsidRPr="00B554D8">
        <w:rPr>
          <w:lang w:eastAsia="en-US"/>
        </w:rPr>
        <w:t>Nuclear Transparency Watch.</w:t>
      </w:r>
      <w:r w:rsidR="00ED22B1">
        <w:rPr>
          <w:lang w:eastAsia="en-US"/>
        </w:rPr>
        <w:t xml:space="preserve"> T</w:t>
      </w:r>
      <w:r w:rsidR="00E4706D">
        <w:rPr>
          <w:lang w:eastAsia="en-US"/>
        </w:rPr>
        <w:t xml:space="preserve">he meeting was also attended by </w:t>
      </w:r>
      <w:r w:rsidR="00251B1F">
        <w:rPr>
          <w:lang w:eastAsia="en-US"/>
        </w:rPr>
        <w:t>t</w:t>
      </w:r>
      <w:r w:rsidR="00ED22B1">
        <w:rPr>
          <w:lang w:eastAsia="en-US"/>
        </w:rPr>
        <w:t xml:space="preserve">wo consultants </w:t>
      </w:r>
      <w:r w:rsidR="009C4A52">
        <w:rPr>
          <w:lang w:eastAsia="en-US"/>
        </w:rPr>
        <w:t>to the secretariat.</w:t>
      </w:r>
    </w:p>
    <w:p w14:paraId="031F41BB" w14:textId="77777777" w:rsidR="00B554D8" w:rsidRPr="00B554D8" w:rsidRDefault="00B554D8" w:rsidP="00273B41">
      <w:pPr>
        <w:pStyle w:val="H1G"/>
        <w:rPr>
          <w:lang w:eastAsia="en-US"/>
        </w:rPr>
      </w:pPr>
      <w:r w:rsidRPr="00B554D8">
        <w:rPr>
          <w:lang w:eastAsia="en-US"/>
        </w:rPr>
        <w:tab/>
        <w:t>B.</w:t>
      </w:r>
      <w:r w:rsidRPr="00B554D8">
        <w:rPr>
          <w:lang w:eastAsia="en-US"/>
        </w:rPr>
        <w:tab/>
      </w:r>
      <w:r w:rsidRPr="00273B41">
        <w:t>Organizational</w:t>
      </w:r>
      <w:r w:rsidRPr="00B554D8">
        <w:rPr>
          <w:lang w:eastAsia="en-US"/>
        </w:rPr>
        <w:t xml:space="preserve"> matters</w:t>
      </w:r>
    </w:p>
    <w:p w14:paraId="6129489F" w14:textId="77777777" w:rsidR="00B554D8" w:rsidRPr="00B554D8" w:rsidRDefault="00B554D8" w:rsidP="00B554D8">
      <w:pPr>
        <w:pStyle w:val="SingleTxtG"/>
        <w:rPr>
          <w:lang w:eastAsia="en-US"/>
        </w:rPr>
      </w:pPr>
      <w:r w:rsidRPr="00B554D8">
        <w:rPr>
          <w:lang w:eastAsia="en-US"/>
        </w:rPr>
        <w:t>4.</w:t>
      </w:r>
      <w:r w:rsidRPr="00B554D8">
        <w:rPr>
          <w:lang w:eastAsia="en-US"/>
        </w:rPr>
        <w:tab/>
        <w:t xml:space="preserve">The Chair of the </w:t>
      </w:r>
      <w:r w:rsidRPr="00B554D8">
        <w:t>Working</w:t>
      </w:r>
      <w:r w:rsidRPr="00B554D8">
        <w:rPr>
          <w:lang w:eastAsia="en-US"/>
        </w:rPr>
        <w:t xml:space="preserve"> Group, Ms. Dorota Toryfter-Szumańska (Poland), opened the </w:t>
      </w:r>
      <w:r w:rsidRPr="00B554D8">
        <w:t>meeting</w:t>
      </w:r>
      <w:r w:rsidRPr="00B554D8">
        <w:rPr>
          <w:lang w:eastAsia="en-US"/>
        </w:rPr>
        <w:t>.</w:t>
      </w:r>
    </w:p>
    <w:p w14:paraId="07D3E39E" w14:textId="20857EDB" w:rsidR="00B554D8" w:rsidRPr="00B554D8" w:rsidRDefault="00B554D8" w:rsidP="00B554D8">
      <w:pPr>
        <w:pStyle w:val="SingleTxtG"/>
        <w:rPr>
          <w:lang w:eastAsia="en-US"/>
        </w:rPr>
      </w:pPr>
      <w:r w:rsidRPr="00B554D8">
        <w:rPr>
          <w:lang w:eastAsia="en-US"/>
        </w:rPr>
        <w:t>5.</w:t>
      </w:r>
      <w:r w:rsidRPr="00B554D8">
        <w:rPr>
          <w:lang w:eastAsia="en-US"/>
        </w:rPr>
        <w:tab/>
        <w:t xml:space="preserve">The </w:t>
      </w:r>
      <w:r w:rsidRPr="00B554D8">
        <w:t>Working</w:t>
      </w:r>
      <w:r w:rsidRPr="00B554D8">
        <w:rPr>
          <w:lang w:eastAsia="en-US"/>
        </w:rPr>
        <w:t xml:space="preserve"> Group adopted its agenda </w:t>
      </w:r>
      <w:bookmarkStart w:id="0" w:name="_Hlk27668062"/>
      <w:r w:rsidRPr="00B554D8">
        <w:rPr>
          <w:lang w:eastAsia="en-US"/>
        </w:rPr>
        <w:t>for the meeting (ECE/MP.EIA/WG.2/202</w:t>
      </w:r>
      <w:r w:rsidR="0001527E">
        <w:rPr>
          <w:lang w:eastAsia="en-US"/>
        </w:rPr>
        <w:t>3</w:t>
      </w:r>
      <w:r w:rsidRPr="00B554D8">
        <w:rPr>
          <w:lang w:eastAsia="en-US"/>
        </w:rPr>
        <w:t>/1</w:t>
      </w:r>
      <w:bookmarkEnd w:id="0"/>
      <w:r w:rsidRPr="00B554D8">
        <w:rPr>
          <w:lang w:eastAsia="en-US"/>
        </w:rPr>
        <w:t>).</w:t>
      </w:r>
      <w:r w:rsidRPr="00B554D8">
        <w:rPr>
          <w:sz w:val="18"/>
          <w:vertAlign w:val="superscript"/>
          <w:lang w:eastAsia="en-US"/>
        </w:rPr>
        <w:footnoteReference w:id="2"/>
      </w:r>
    </w:p>
    <w:p w14:paraId="66CFE56F" w14:textId="77777777" w:rsidR="00B554D8" w:rsidRPr="00B554D8" w:rsidRDefault="00B554D8" w:rsidP="00B554D8">
      <w:pPr>
        <w:pStyle w:val="HChG"/>
      </w:pPr>
      <w:r w:rsidRPr="00B554D8">
        <w:tab/>
        <w:t>II.</w:t>
      </w:r>
      <w:r w:rsidRPr="00B554D8">
        <w:tab/>
        <w:t>Status of ratification</w:t>
      </w:r>
    </w:p>
    <w:p w14:paraId="50A1C6A3" w14:textId="3C606197" w:rsidR="00B554D8" w:rsidRPr="00B554D8" w:rsidRDefault="00B554D8" w:rsidP="008B6A40">
      <w:pPr>
        <w:pStyle w:val="SingleTxtG"/>
      </w:pPr>
      <w:r w:rsidRPr="00B554D8">
        <w:t>6.</w:t>
      </w:r>
      <w:r w:rsidRPr="00B554D8">
        <w:tab/>
        <w:t xml:space="preserve">The secretariat reported on the status of ratification of the Convention, its two amendments and the Protocol </w:t>
      </w:r>
      <w:bookmarkStart w:id="1" w:name="_Hlk27756290"/>
      <w:r w:rsidRPr="00B554D8">
        <w:t>(</w:t>
      </w:r>
      <w:bookmarkStart w:id="2" w:name="_Hlk29385916"/>
      <w:r w:rsidRPr="00B554D8">
        <w:t>ECE/MP.EIA/WG.2/202</w:t>
      </w:r>
      <w:r w:rsidR="00C2798D">
        <w:t>3</w:t>
      </w:r>
      <w:r w:rsidRPr="00B554D8">
        <w:t>/INF</w:t>
      </w:r>
      <w:r w:rsidRPr="00AF394B">
        <w:t>.</w:t>
      </w:r>
      <w:bookmarkEnd w:id="2"/>
      <w:r w:rsidRPr="00AF394B">
        <w:t>2)</w:t>
      </w:r>
      <w:bookmarkEnd w:id="1"/>
      <w:r w:rsidRPr="00AF394B">
        <w:t xml:space="preserve">. The Working Group recalled that </w:t>
      </w:r>
      <w:r w:rsidR="003439B7" w:rsidRPr="00AF394B">
        <w:t>the</w:t>
      </w:r>
      <w:r w:rsidRPr="00AF394B">
        <w:t xml:space="preserve"> treaties’ wider implementation </w:t>
      </w:r>
      <w:r w:rsidR="00AF394B" w:rsidRPr="00AF394B">
        <w:t>and their unified application were priority goals under the Long-term strategy adopted in 2020</w:t>
      </w:r>
      <w:r w:rsidRPr="00AF394B">
        <w:t>.</w:t>
      </w:r>
      <w:r w:rsidRPr="00AF394B">
        <w:rPr>
          <w:sz w:val="18"/>
          <w:vertAlign w:val="superscript"/>
        </w:rPr>
        <w:footnoteReference w:id="3"/>
      </w:r>
    </w:p>
    <w:p w14:paraId="37A7999E" w14:textId="588CA303" w:rsidR="00E66A66" w:rsidRDefault="00B554D8" w:rsidP="00A24DEB">
      <w:pPr>
        <w:pStyle w:val="SingleTxtG"/>
      </w:pPr>
      <w:r w:rsidRPr="00DD288F">
        <w:t>7.</w:t>
      </w:r>
      <w:r w:rsidRPr="00DD288F">
        <w:tab/>
        <w:t>The Working Group welcomed the</w:t>
      </w:r>
      <w:r w:rsidR="00B442F9" w:rsidRPr="00DD288F">
        <w:t xml:space="preserve"> ratification by U</w:t>
      </w:r>
      <w:r w:rsidR="00C61A51">
        <w:t xml:space="preserve">kraine </w:t>
      </w:r>
      <w:r w:rsidR="00B442F9" w:rsidRPr="00DD288F">
        <w:t>of the two Convention amendments</w:t>
      </w:r>
      <w:r w:rsidR="005E63DB">
        <w:t xml:space="preserve"> (in</w:t>
      </w:r>
      <w:r w:rsidR="00B442F9" w:rsidRPr="00DD288F">
        <w:t xml:space="preserve"> force for</w:t>
      </w:r>
      <w:r w:rsidR="005078FD">
        <w:t xml:space="preserve"> it</w:t>
      </w:r>
      <w:r w:rsidR="004167D3">
        <w:t xml:space="preserve"> </w:t>
      </w:r>
      <w:r w:rsidR="00AC7A69">
        <w:t xml:space="preserve">since </w:t>
      </w:r>
      <w:r w:rsidR="00B442F9" w:rsidRPr="00DD288F">
        <w:t>15 March 2023</w:t>
      </w:r>
      <w:r w:rsidR="00AC7A69">
        <w:t>)</w:t>
      </w:r>
      <w:r w:rsidR="00B442F9" w:rsidRPr="00DD288F">
        <w:t>, and by I</w:t>
      </w:r>
      <w:r w:rsidR="00C61A51">
        <w:t>reland</w:t>
      </w:r>
      <w:r w:rsidR="00B442F9" w:rsidRPr="00DD288F">
        <w:t xml:space="preserve"> of the first amendment (in force </w:t>
      </w:r>
      <w:r w:rsidR="002F08A2">
        <w:t xml:space="preserve">for it </w:t>
      </w:r>
      <w:r w:rsidR="00B442F9" w:rsidRPr="00DD288F">
        <w:t>since 20 April 2023</w:t>
      </w:r>
      <w:r w:rsidR="00BE7DA0">
        <w:t>)</w:t>
      </w:r>
      <w:r w:rsidRPr="00DD288F">
        <w:t xml:space="preserve">. </w:t>
      </w:r>
      <w:r w:rsidR="007F4BDF">
        <w:t xml:space="preserve">It noted </w:t>
      </w:r>
      <w:bookmarkStart w:id="3" w:name="_Hlk123563068"/>
      <w:r w:rsidR="00536ED0">
        <w:t>the</w:t>
      </w:r>
      <w:r w:rsidR="00BA3031">
        <w:t xml:space="preserve"> information</w:t>
      </w:r>
      <w:r w:rsidR="007D1B68">
        <w:t xml:space="preserve"> from</w:t>
      </w:r>
      <w:r w:rsidR="00C61A51" w:rsidRPr="002772E9">
        <w:t xml:space="preserve"> </w:t>
      </w:r>
      <w:r w:rsidR="00536ED0">
        <w:t xml:space="preserve">the </w:t>
      </w:r>
      <w:r w:rsidR="005C033B">
        <w:t xml:space="preserve">representative of </w:t>
      </w:r>
      <w:r w:rsidR="00C61A51" w:rsidRPr="002772E9">
        <w:t xml:space="preserve">Kyrgyzstan and </w:t>
      </w:r>
      <w:r w:rsidR="00BA3031">
        <w:t xml:space="preserve">the written report from </w:t>
      </w:r>
      <w:r w:rsidR="00C61A51" w:rsidRPr="002772E9">
        <w:t>Bel</w:t>
      </w:r>
      <w:r w:rsidR="00875EFA">
        <w:t>gium</w:t>
      </w:r>
      <w:r w:rsidR="00C61A51" w:rsidRPr="002772E9">
        <w:t xml:space="preserve"> on the </w:t>
      </w:r>
      <w:r w:rsidR="00A30ED9">
        <w:t xml:space="preserve">steps taken </w:t>
      </w:r>
      <w:r w:rsidR="00C61A51" w:rsidRPr="002772E9">
        <w:t>towards ratification of the amendments, with the ratification process in Bel</w:t>
      </w:r>
      <w:r w:rsidR="00875EFA">
        <w:t>gium</w:t>
      </w:r>
      <w:r w:rsidR="00C61A51" w:rsidRPr="002772E9">
        <w:t xml:space="preserve"> </w:t>
      </w:r>
      <w:r w:rsidR="009C1090">
        <w:t>having advanced the furthest</w:t>
      </w:r>
      <w:r w:rsidR="00C61A51" w:rsidRPr="002772E9">
        <w:t xml:space="preserve"> regarding the first amendment.</w:t>
      </w:r>
      <w:r w:rsidR="002772E9">
        <w:t xml:space="preserve"> </w:t>
      </w:r>
      <w:bookmarkEnd w:id="3"/>
      <w:r w:rsidRPr="002772E9">
        <w:t xml:space="preserve">The Working Group </w:t>
      </w:r>
      <w:r w:rsidR="002D7C60">
        <w:t>r</w:t>
      </w:r>
      <w:r w:rsidR="002772E9">
        <w:t>egretted the lack of any information from A</w:t>
      </w:r>
      <w:r w:rsidR="002D7C60">
        <w:t>rmenia</w:t>
      </w:r>
      <w:r w:rsidR="002772E9">
        <w:t>, B</w:t>
      </w:r>
      <w:r w:rsidR="002D7C60">
        <w:t>elarus</w:t>
      </w:r>
      <w:r w:rsidR="002772E9">
        <w:t>, B</w:t>
      </w:r>
      <w:r w:rsidR="002D7C60">
        <w:t>osnia and Herzegovina</w:t>
      </w:r>
      <w:r w:rsidR="002772E9">
        <w:t>, K</w:t>
      </w:r>
      <w:r w:rsidR="002D7C60">
        <w:t>azakhstan</w:t>
      </w:r>
      <w:r w:rsidR="002772E9">
        <w:t xml:space="preserve">, </w:t>
      </w:r>
      <w:r w:rsidR="00D80B95">
        <w:t>North Macedonia</w:t>
      </w:r>
      <w:r w:rsidR="002772E9">
        <w:t xml:space="preserve"> and the U</w:t>
      </w:r>
      <w:r w:rsidR="00D80B95">
        <w:t xml:space="preserve">nited </w:t>
      </w:r>
      <w:r w:rsidR="002772E9">
        <w:t>K</w:t>
      </w:r>
      <w:r w:rsidR="00D80B95">
        <w:t>ingdom</w:t>
      </w:r>
      <w:r w:rsidR="00FB464B">
        <w:t xml:space="preserve"> of </w:t>
      </w:r>
      <w:r w:rsidR="00745EFA">
        <w:t xml:space="preserve">Great Britain and </w:t>
      </w:r>
      <w:r w:rsidR="00FB464B">
        <w:t xml:space="preserve">Northern Ireland </w:t>
      </w:r>
      <w:r w:rsidR="00BE088C">
        <w:t>in th</w:t>
      </w:r>
      <w:r w:rsidR="00E37BBB">
        <w:t>at</w:t>
      </w:r>
      <w:r w:rsidR="00BE088C">
        <w:t xml:space="preserve"> respect</w:t>
      </w:r>
      <w:r w:rsidR="002772E9">
        <w:t>.</w:t>
      </w:r>
    </w:p>
    <w:p w14:paraId="0008904A" w14:textId="7609AF71" w:rsidR="008B6A40" w:rsidRPr="00B554D8" w:rsidRDefault="00EA48A1" w:rsidP="008B6A40">
      <w:pPr>
        <w:pStyle w:val="SingleTxtG"/>
      </w:pPr>
      <w:r>
        <w:t>8.</w:t>
      </w:r>
      <w:r>
        <w:tab/>
        <w:t>Overall, the Working Group</w:t>
      </w:r>
      <w:r w:rsidR="002772E9">
        <w:t xml:space="preserve"> </w:t>
      </w:r>
      <w:r w:rsidR="00E37BBB">
        <w:t xml:space="preserve">expressed </w:t>
      </w:r>
      <w:r w:rsidR="002772E9">
        <w:t>regret that</w:t>
      </w:r>
      <w:r w:rsidR="00E37BBB">
        <w:t xml:space="preserve">, to date, some </w:t>
      </w:r>
      <w:r w:rsidR="002772E9">
        <w:t xml:space="preserve">Parties had </w:t>
      </w:r>
      <w:r w:rsidR="00E37BBB">
        <w:t xml:space="preserve">not yet </w:t>
      </w:r>
      <w:r w:rsidR="002772E9">
        <w:t>ratified the Convention amendments</w:t>
      </w:r>
      <w:r w:rsidR="007107B0">
        <w:t xml:space="preserve"> that </w:t>
      </w:r>
      <w:r w:rsidR="002772E9">
        <w:t xml:space="preserve">they had adopted </w:t>
      </w:r>
      <w:r w:rsidR="007D1B68">
        <w:t xml:space="preserve">some </w:t>
      </w:r>
      <w:r w:rsidR="002772E9">
        <w:t xml:space="preserve">20 years </w:t>
      </w:r>
      <w:r w:rsidR="00EB2CE5">
        <w:t>previously</w:t>
      </w:r>
      <w:r w:rsidR="002772E9" w:rsidRPr="0011784E">
        <w:t>.</w:t>
      </w:r>
      <w:r w:rsidR="002573D2">
        <w:t xml:space="preserve"> </w:t>
      </w:r>
      <w:r w:rsidR="008B6A40">
        <w:t xml:space="preserve">It also recalled that, at the Bureau’s request, the Executive Secretary of the </w:t>
      </w:r>
      <w:r w:rsidR="008B6A40" w:rsidRPr="00E0640B">
        <w:t>United Nations Economic Commission for Europe (ECE)</w:t>
      </w:r>
      <w:r w:rsidR="008B6A40">
        <w:t xml:space="preserve"> had </w:t>
      </w:r>
      <w:r w:rsidR="00021C72">
        <w:t xml:space="preserve">last </w:t>
      </w:r>
      <w:r w:rsidR="008B6A40">
        <w:t xml:space="preserve">written to the ministers for environment and ministers </w:t>
      </w:r>
      <w:r w:rsidR="00E37BBB">
        <w:t>for</w:t>
      </w:r>
      <w:r w:rsidR="008B6A40">
        <w:t xml:space="preserve"> foreign affairs of all concerned countries</w:t>
      </w:r>
      <w:r w:rsidR="00447180">
        <w:t xml:space="preserve"> in December 2022</w:t>
      </w:r>
      <w:r w:rsidR="008B6A40">
        <w:t xml:space="preserve"> to </w:t>
      </w:r>
      <w:r w:rsidR="00E37BBB">
        <w:t>raise the issue of</w:t>
      </w:r>
      <w:r w:rsidR="008B6A40">
        <w:t xml:space="preserve"> the missing ratifications.</w:t>
      </w:r>
      <w:r w:rsidR="00AD24CD">
        <w:rPr>
          <w:rStyle w:val="FootnoteReference"/>
        </w:rPr>
        <w:footnoteReference w:id="4"/>
      </w:r>
    </w:p>
    <w:p w14:paraId="5C8D58A4" w14:textId="31DF6A1D" w:rsidR="002573D2" w:rsidRDefault="00447180" w:rsidP="002135AE">
      <w:pPr>
        <w:pStyle w:val="SingleTxtG"/>
      </w:pPr>
      <w:r>
        <w:t>9.</w:t>
      </w:r>
      <w:r>
        <w:tab/>
        <w:t xml:space="preserve">The Working Group once </w:t>
      </w:r>
      <w:r w:rsidR="00B554D8" w:rsidRPr="0011784E">
        <w:t>again</w:t>
      </w:r>
      <w:r w:rsidR="00580BBD" w:rsidRPr="0011784E">
        <w:t xml:space="preserve"> urged A</w:t>
      </w:r>
      <w:r w:rsidR="00FF7E3B" w:rsidRPr="0011784E">
        <w:t>rmenia</w:t>
      </w:r>
      <w:r w:rsidR="00580BBD" w:rsidRPr="0011784E">
        <w:t>, B</w:t>
      </w:r>
      <w:r w:rsidR="00FF7E3B" w:rsidRPr="0011784E">
        <w:t>elgium</w:t>
      </w:r>
      <w:r w:rsidR="00580BBD" w:rsidRPr="0011784E">
        <w:t xml:space="preserve">, </w:t>
      </w:r>
      <w:r w:rsidR="00FF7E3B" w:rsidRPr="0011784E">
        <w:t>North Macedonia</w:t>
      </w:r>
      <w:r w:rsidR="00580BBD" w:rsidRPr="0011784E">
        <w:t xml:space="preserve"> and </w:t>
      </w:r>
      <w:r w:rsidR="00FF7E3B" w:rsidRPr="0011784E">
        <w:t xml:space="preserve">the </w:t>
      </w:r>
      <w:r w:rsidR="00580BBD" w:rsidRPr="0011784E">
        <w:t>U</w:t>
      </w:r>
      <w:r w:rsidR="00FF7E3B" w:rsidRPr="0011784E">
        <w:t>nited Kingdom</w:t>
      </w:r>
      <w:r w:rsidR="00580BBD" w:rsidRPr="0011784E">
        <w:t xml:space="preserve"> </w:t>
      </w:r>
      <w:r w:rsidR="001851C6">
        <w:t xml:space="preserve">of Great Britain and Northern Ireland </w:t>
      </w:r>
      <w:r w:rsidR="00580BBD" w:rsidRPr="0011784E">
        <w:t xml:space="preserve">to complete their ratification of the </w:t>
      </w:r>
      <w:r w:rsidR="00C3618F" w:rsidRPr="0011784E">
        <w:t>first</w:t>
      </w:r>
      <w:r w:rsidR="00580BBD" w:rsidRPr="0011784E">
        <w:t xml:space="preserve"> amendment by the next</w:t>
      </w:r>
      <w:r w:rsidR="002D0428">
        <w:t xml:space="preserve"> sessions of the</w:t>
      </w:r>
      <w:r w:rsidR="00580BBD" w:rsidRPr="0011784E">
        <w:t xml:space="preserve"> M</w:t>
      </w:r>
      <w:r w:rsidR="00C3618F" w:rsidRPr="0011784E">
        <w:t>eeting</w:t>
      </w:r>
      <w:r w:rsidR="00603AB2">
        <w:t>s</w:t>
      </w:r>
      <w:r w:rsidR="00C3618F" w:rsidRPr="0011784E">
        <w:t xml:space="preserve"> of the Parties</w:t>
      </w:r>
      <w:r w:rsidR="00827578">
        <w:t xml:space="preserve">, </w:t>
      </w:r>
      <w:r w:rsidR="00603AB2">
        <w:t xml:space="preserve">(Geneva, 12–15 </w:t>
      </w:r>
      <w:r w:rsidR="00827578">
        <w:t>December 2023</w:t>
      </w:r>
      <w:r w:rsidR="003E0742">
        <w:t>)</w:t>
      </w:r>
      <w:r w:rsidR="00827578">
        <w:t>,</w:t>
      </w:r>
      <w:r w:rsidR="00580BBD" w:rsidRPr="0011784E">
        <w:t xml:space="preserve"> to allow for the global opening of the Convention</w:t>
      </w:r>
      <w:r w:rsidR="005F7BF4">
        <w:t xml:space="preserve">, which the </w:t>
      </w:r>
      <w:r w:rsidR="003E7B30">
        <w:t xml:space="preserve">Meetings of the Parties </w:t>
      </w:r>
      <w:r w:rsidR="005F7BF4">
        <w:t xml:space="preserve">had decided on </w:t>
      </w:r>
      <w:r w:rsidR="00580BBD" w:rsidRPr="0011784E">
        <w:t>in 2001</w:t>
      </w:r>
      <w:r w:rsidR="002135AE">
        <w:t>.</w:t>
      </w:r>
      <w:r w:rsidR="00EB2CE5" w:rsidRPr="00A5064F">
        <w:rPr>
          <w:rStyle w:val="FootnoteReference"/>
        </w:rPr>
        <w:footnoteReference w:id="5"/>
      </w:r>
      <w:r w:rsidR="007A08FF" w:rsidRPr="0011784E">
        <w:t xml:space="preserve"> </w:t>
      </w:r>
      <w:r w:rsidR="0043149D" w:rsidRPr="0043149D">
        <w:t>It reiterated its expectation that, by 2024–2026, the Convention would become a global instrument.</w:t>
      </w:r>
    </w:p>
    <w:p w14:paraId="243E78D7" w14:textId="62F6B32C" w:rsidR="00D5743A" w:rsidRDefault="00567EE8" w:rsidP="00974286">
      <w:pPr>
        <w:pStyle w:val="SingleTxtG"/>
      </w:pPr>
      <w:r>
        <w:t>10.</w:t>
      </w:r>
      <w:r>
        <w:tab/>
      </w:r>
      <w:r w:rsidR="00974286">
        <w:t>The Working Group</w:t>
      </w:r>
      <w:r w:rsidR="00905109">
        <w:t xml:space="preserve"> also once again urged </w:t>
      </w:r>
      <w:r w:rsidR="00580BBD" w:rsidRPr="0011784E">
        <w:t>A</w:t>
      </w:r>
      <w:r w:rsidR="007A08FF" w:rsidRPr="0011784E">
        <w:t>rmenia</w:t>
      </w:r>
      <w:r w:rsidR="004B1636">
        <w:t>,</w:t>
      </w:r>
      <w:r w:rsidR="00580BBD" w:rsidRPr="0011784E">
        <w:t xml:space="preserve"> B</w:t>
      </w:r>
      <w:r w:rsidR="007A08FF" w:rsidRPr="0011784E">
        <w:t>elarus</w:t>
      </w:r>
      <w:r w:rsidR="00580BBD" w:rsidRPr="0011784E">
        <w:t>, B</w:t>
      </w:r>
      <w:r w:rsidR="007A08FF" w:rsidRPr="0011784E">
        <w:t>elgium</w:t>
      </w:r>
      <w:r w:rsidR="003353AB">
        <w:t>,</w:t>
      </w:r>
      <w:r w:rsidR="00580BBD" w:rsidRPr="0011784E">
        <w:t xml:space="preserve"> B</w:t>
      </w:r>
      <w:r w:rsidR="007A08FF" w:rsidRPr="0011784E">
        <w:t>osnia and Herzegovina</w:t>
      </w:r>
      <w:r w:rsidR="00580BBD" w:rsidRPr="0011784E">
        <w:t>, K</w:t>
      </w:r>
      <w:r w:rsidR="007A08FF" w:rsidRPr="0011784E">
        <w:t>azakhstan</w:t>
      </w:r>
      <w:r w:rsidR="00580BBD" w:rsidRPr="0011784E">
        <w:t>, K</w:t>
      </w:r>
      <w:r w:rsidR="007A08FF" w:rsidRPr="0011784E">
        <w:t>yrgyzstan</w:t>
      </w:r>
      <w:r w:rsidR="00580BBD" w:rsidRPr="0011784E">
        <w:t xml:space="preserve">, </w:t>
      </w:r>
      <w:r w:rsidR="000A30F2" w:rsidRPr="0011784E">
        <w:t>North Macedonia</w:t>
      </w:r>
      <w:r w:rsidR="00580BBD" w:rsidRPr="0011784E">
        <w:t xml:space="preserve"> and </w:t>
      </w:r>
      <w:r w:rsidR="000A30F2" w:rsidRPr="0011784E">
        <w:t xml:space="preserve">the United Kingdom </w:t>
      </w:r>
      <w:r w:rsidR="008A5771">
        <w:t xml:space="preserve">of Great Britain and Northern Ireland </w:t>
      </w:r>
      <w:r w:rsidR="00580BBD" w:rsidRPr="0011784E">
        <w:t>to ratify the second amendment within the same timeline to ensure unified application of the Convention</w:t>
      </w:r>
      <w:r w:rsidR="000A30F2" w:rsidRPr="0011784E">
        <w:t>.</w:t>
      </w:r>
    </w:p>
    <w:p w14:paraId="77BFDF71" w14:textId="2D449A9E" w:rsidR="00F15206" w:rsidRDefault="004F2648" w:rsidP="00536BD4">
      <w:pPr>
        <w:pStyle w:val="SingleTxtG"/>
      </w:pPr>
      <w:r w:rsidRPr="00E77567">
        <w:t>11.</w:t>
      </w:r>
      <w:r w:rsidRPr="00E77567">
        <w:tab/>
      </w:r>
      <w:r w:rsidR="00036370" w:rsidRPr="00974286">
        <w:t>Failing th</w:t>
      </w:r>
      <w:r w:rsidR="00004B56" w:rsidRPr="00E77567">
        <w:t>e completion of the ratifications by</w:t>
      </w:r>
      <w:r w:rsidR="00F34896" w:rsidRPr="00E77567">
        <w:t xml:space="preserve"> </w:t>
      </w:r>
      <w:r w:rsidR="00E05F91" w:rsidRPr="00E77567">
        <w:t xml:space="preserve">the timeline </w:t>
      </w:r>
      <w:r w:rsidR="00974286" w:rsidRPr="00E77567">
        <w:t>set out in paragraphs 9 and 10 above</w:t>
      </w:r>
      <w:r w:rsidR="00036370" w:rsidRPr="00974286">
        <w:t xml:space="preserve">, the </w:t>
      </w:r>
      <w:r w:rsidR="00D5743A" w:rsidRPr="00974286">
        <w:t>W</w:t>
      </w:r>
      <w:r w:rsidR="00036370" w:rsidRPr="00974286">
        <w:t xml:space="preserve">orking Group asked the concerned countries to announce </w:t>
      </w:r>
      <w:r w:rsidR="009955D5" w:rsidRPr="00E77567">
        <w:t xml:space="preserve">during the next sessions of the Working Group </w:t>
      </w:r>
      <w:r w:rsidR="00036370" w:rsidRPr="00974286">
        <w:t xml:space="preserve">their firm commitment, with </w:t>
      </w:r>
      <w:r w:rsidR="00411CBB">
        <w:t xml:space="preserve">a </w:t>
      </w:r>
      <w:r w:rsidR="00036370" w:rsidRPr="00974286">
        <w:t xml:space="preserve">clear timeline, </w:t>
      </w:r>
      <w:r w:rsidR="003353AB" w:rsidRPr="00974286">
        <w:t>to take the necessary steps</w:t>
      </w:r>
      <w:r w:rsidR="00036370" w:rsidRPr="00974286">
        <w:t xml:space="preserve"> in the next intersessional period (2024–2026).</w:t>
      </w:r>
    </w:p>
    <w:p w14:paraId="2BF07A4C" w14:textId="405D9DA6" w:rsidR="004E5FA0" w:rsidRPr="002772E9" w:rsidRDefault="007C2895" w:rsidP="00536BD4">
      <w:pPr>
        <w:pStyle w:val="SingleTxtG"/>
      </w:pPr>
      <w:r>
        <w:t>1</w:t>
      </w:r>
      <w:r w:rsidR="00974286">
        <w:t>2</w:t>
      </w:r>
      <w:r w:rsidR="00194BA4">
        <w:t>.</w:t>
      </w:r>
      <w:r w:rsidR="00194BA4">
        <w:tab/>
        <w:t xml:space="preserve">The </w:t>
      </w:r>
      <w:r w:rsidR="00190183">
        <w:t xml:space="preserve">Working Group </w:t>
      </w:r>
      <w:r w:rsidR="007C0068">
        <w:t>also regretted th</w:t>
      </w:r>
      <w:r w:rsidR="00194BA4">
        <w:t xml:space="preserve">at several signatories to the Protocol </w:t>
      </w:r>
      <w:r w:rsidR="00194BA4" w:rsidRPr="0011784E">
        <w:t>were yet to become Parties</w:t>
      </w:r>
      <w:r w:rsidR="00194BA4">
        <w:t xml:space="preserve"> to th</w:t>
      </w:r>
      <w:r w:rsidR="00031A90">
        <w:t>e Protocol</w:t>
      </w:r>
      <w:r w:rsidR="006E5EF0">
        <w:t xml:space="preserve">, </w:t>
      </w:r>
      <w:r w:rsidR="00945F8D">
        <w:t xml:space="preserve">and </w:t>
      </w:r>
      <w:r w:rsidR="00036370" w:rsidRPr="0011784E">
        <w:t>u</w:t>
      </w:r>
      <w:r w:rsidR="00036370" w:rsidRPr="00036370">
        <w:t>rg</w:t>
      </w:r>
      <w:r w:rsidR="00945F8D">
        <w:t>ed</w:t>
      </w:r>
      <w:r w:rsidR="00036370" w:rsidRPr="00036370">
        <w:t xml:space="preserve"> B</w:t>
      </w:r>
      <w:r w:rsidR="0011784E">
        <w:t>elgium</w:t>
      </w:r>
      <w:r w:rsidR="00036370" w:rsidRPr="00036370">
        <w:t>, F</w:t>
      </w:r>
      <w:r w:rsidR="0011784E">
        <w:t>rance</w:t>
      </w:r>
      <w:r w:rsidR="00036370" w:rsidRPr="00036370">
        <w:t xml:space="preserve">, </w:t>
      </w:r>
      <w:r w:rsidR="0011784E" w:rsidRPr="00036370">
        <w:t>G</w:t>
      </w:r>
      <w:r w:rsidR="0011784E">
        <w:t>eorgia</w:t>
      </w:r>
      <w:r w:rsidR="00036370" w:rsidRPr="00036370">
        <w:t>, G</w:t>
      </w:r>
      <w:r w:rsidR="0011784E">
        <w:t>reece</w:t>
      </w:r>
      <w:r w:rsidR="00036370" w:rsidRPr="00036370">
        <w:t>, I</w:t>
      </w:r>
      <w:r w:rsidR="0011784E">
        <w:t>reland</w:t>
      </w:r>
      <w:r w:rsidR="00036370" w:rsidRPr="00036370">
        <w:t xml:space="preserve"> </w:t>
      </w:r>
      <w:r w:rsidR="0011784E">
        <w:t xml:space="preserve">and the </w:t>
      </w:r>
      <w:r w:rsidR="0011784E">
        <w:lastRenderedPageBreak/>
        <w:t>United Kingdom</w:t>
      </w:r>
      <w:r w:rsidR="00036370" w:rsidRPr="00036370">
        <w:t xml:space="preserve"> </w:t>
      </w:r>
      <w:r w:rsidR="00D24E6B">
        <w:t xml:space="preserve">of Great Britain and Northern Ireland </w:t>
      </w:r>
      <w:r w:rsidR="00036370" w:rsidRPr="00036370">
        <w:t>to ratify that instrumen</w:t>
      </w:r>
      <w:r w:rsidR="00474E15">
        <w:t>t. It noted t</w:t>
      </w:r>
      <w:r w:rsidR="004E5FA0" w:rsidRPr="002772E9">
        <w:t>he aim of F</w:t>
      </w:r>
      <w:r w:rsidR="004E5FA0">
        <w:t xml:space="preserve">rance </w:t>
      </w:r>
      <w:r w:rsidR="004E5FA0" w:rsidRPr="002772E9">
        <w:t>and G</w:t>
      </w:r>
      <w:r w:rsidR="004E5FA0">
        <w:t xml:space="preserve">reece </w:t>
      </w:r>
      <w:r w:rsidR="004E5FA0" w:rsidRPr="002772E9">
        <w:t>to become Parties to the Protocol by December 2023</w:t>
      </w:r>
      <w:r w:rsidR="004E5FA0">
        <w:t>.</w:t>
      </w:r>
      <w:r w:rsidR="004E5FA0" w:rsidRPr="002772E9">
        <w:t xml:space="preserve"> </w:t>
      </w:r>
      <w:r w:rsidR="001A5000">
        <w:t>It also recalled</w:t>
      </w:r>
      <w:r w:rsidR="00F05CE0">
        <w:t xml:space="preserve"> th</w:t>
      </w:r>
      <w:r w:rsidR="00A73E24">
        <w:t>at</w:t>
      </w:r>
      <w:r w:rsidR="003353AB">
        <w:t>,</w:t>
      </w:r>
      <w:r w:rsidR="00A73E24">
        <w:t xml:space="preserve"> at </w:t>
      </w:r>
      <w:r w:rsidR="00BC4D7A">
        <w:t xml:space="preserve">the </w:t>
      </w:r>
      <w:r w:rsidR="003353AB">
        <w:t>p</w:t>
      </w:r>
      <w:r w:rsidR="00BC4D7A">
        <w:t xml:space="preserve">ast meeting of the Working Group, </w:t>
      </w:r>
      <w:r w:rsidR="00F05CE0">
        <w:t xml:space="preserve">Kazakhstan </w:t>
      </w:r>
      <w:r w:rsidR="00BC4D7A">
        <w:t xml:space="preserve">had announced its plans </w:t>
      </w:r>
      <w:r w:rsidR="00F05CE0">
        <w:t>to accede to the Protocol in 2024</w:t>
      </w:r>
      <w:r w:rsidR="001634EE">
        <w:t>.</w:t>
      </w:r>
      <w:r w:rsidR="003353AB">
        <w:rPr>
          <w:rStyle w:val="FootnoteReference"/>
        </w:rPr>
        <w:footnoteReference w:id="6"/>
      </w:r>
    </w:p>
    <w:p w14:paraId="1A8C6629" w14:textId="4F6D316C" w:rsidR="00CA00FB" w:rsidRDefault="00B554D8" w:rsidP="002034E2">
      <w:pPr>
        <w:pStyle w:val="SingleTxtG"/>
      </w:pPr>
      <w:r w:rsidRPr="0027669A">
        <w:t>1</w:t>
      </w:r>
      <w:r w:rsidR="00974286">
        <w:t>3</w:t>
      </w:r>
      <w:r w:rsidRPr="0027669A">
        <w:t>.</w:t>
      </w:r>
      <w:r w:rsidRPr="0027669A">
        <w:tab/>
      </w:r>
      <w:r w:rsidR="007D1B68">
        <w:t xml:space="preserve">The </w:t>
      </w:r>
      <w:r w:rsidR="00F6255A">
        <w:t>Working Group</w:t>
      </w:r>
      <w:r w:rsidR="00CE43E3">
        <w:t xml:space="preserve"> </w:t>
      </w:r>
      <w:r w:rsidR="00004805">
        <w:t>s</w:t>
      </w:r>
      <w:r w:rsidR="00F6255A" w:rsidRPr="00F6255A">
        <w:t>trongly encouraged beneficiary countries of technical assistance and capacity-building in Eastern Europe, the Caucasus and Central Asia to accede to the Convention and/or the Protocol</w:t>
      </w:r>
      <w:r w:rsidR="00260548">
        <w:t xml:space="preserve">. It </w:t>
      </w:r>
      <w:r w:rsidR="00F6255A" w:rsidRPr="00F6255A">
        <w:t>not</w:t>
      </w:r>
      <w:r w:rsidR="00260548">
        <w:t>ed</w:t>
      </w:r>
      <w:r w:rsidR="00F6255A" w:rsidRPr="00F6255A">
        <w:t xml:space="preserve"> the </w:t>
      </w:r>
      <w:r w:rsidR="003163FD">
        <w:t xml:space="preserve">national preparatory </w:t>
      </w:r>
      <w:r w:rsidR="00F6255A" w:rsidRPr="00F6255A">
        <w:t xml:space="preserve">steps </w:t>
      </w:r>
      <w:r w:rsidR="00260548">
        <w:t xml:space="preserve">reported </w:t>
      </w:r>
      <w:r w:rsidR="005D21A1">
        <w:t xml:space="preserve">on </w:t>
      </w:r>
      <w:r w:rsidR="00260548">
        <w:t>by the delegation</w:t>
      </w:r>
      <w:r w:rsidR="00900553">
        <w:t>s</w:t>
      </w:r>
      <w:r w:rsidR="00260548">
        <w:t xml:space="preserve"> of </w:t>
      </w:r>
      <w:r w:rsidR="00F6255A" w:rsidRPr="00F6255A">
        <w:t>A</w:t>
      </w:r>
      <w:r w:rsidR="00F6255A">
        <w:t>zerbaijan</w:t>
      </w:r>
      <w:r w:rsidR="00BC10D7">
        <w:t xml:space="preserve"> towards </w:t>
      </w:r>
      <w:r w:rsidR="00636340">
        <w:t>acceding to the Protocol</w:t>
      </w:r>
      <w:r w:rsidR="00F6255A" w:rsidRPr="00F6255A">
        <w:t xml:space="preserve"> and </w:t>
      </w:r>
      <w:r w:rsidR="00900553">
        <w:t xml:space="preserve">of </w:t>
      </w:r>
      <w:r w:rsidR="00F6255A" w:rsidRPr="00F6255A">
        <w:t>U</w:t>
      </w:r>
      <w:r w:rsidR="00F6255A">
        <w:t>zbekistan</w:t>
      </w:r>
      <w:r w:rsidR="00F6255A" w:rsidRPr="00F6255A">
        <w:t xml:space="preserve"> to</w:t>
      </w:r>
      <w:r w:rsidR="003353AB">
        <w:t>wards acceding to</w:t>
      </w:r>
      <w:r w:rsidR="00636340">
        <w:t xml:space="preserve"> both instruments.</w:t>
      </w:r>
    </w:p>
    <w:p w14:paraId="10356DD7" w14:textId="20B00FBC" w:rsidR="00BB6843" w:rsidRDefault="00CA00FB" w:rsidP="002034E2">
      <w:pPr>
        <w:pStyle w:val="SingleTxtG"/>
      </w:pPr>
      <w:r>
        <w:t>1</w:t>
      </w:r>
      <w:r w:rsidR="00974286">
        <w:t>4</w:t>
      </w:r>
      <w:r>
        <w:t>.</w:t>
      </w:r>
      <w:r>
        <w:tab/>
        <w:t>The Working Group</w:t>
      </w:r>
      <w:r w:rsidR="00BB6843">
        <w:t xml:space="preserve"> requested that</w:t>
      </w:r>
      <w:r w:rsidR="00A97977">
        <w:t>,</w:t>
      </w:r>
      <w:r w:rsidR="00BB6843">
        <w:t xml:space="preserve"> </w:t>
      </w:r>
      <w:r w:rsidR="00A97977">
        <w:t xml:space="preserve">in </w:t>
      </w:r>
      <w:r w:rsidR="003353AB">
        <w:t>the</w:t>
      </w:r>
      <w:r w:rsidR="00A97977">
        <w:t xml:space="preserve"> invitation letters to the next sessions of the Meetings of the Parties, </w:t>
      </w:r>
      <w:r w:rsidR="00BB6843">
        <w:t xml:space="preserve">the </w:t>
      </w:r>
      <w:r w:rsidR="0006059B">
        <w:t xml:space="preserve">ECE </w:t>
      </w:r>
      <w:r w:rsidR="00BB6843">
        <w:t xml:space="preserve">Executive Secretary convey the Working Group’s </w:t>
      </w:r>
      <w:r w:rsidR="000F2FA1">
        <w:t xml:space="preserve">above conclusions </w:t>
      </w:r>
      <w:r w:rsidR="00BB6843">
        <w:t xml:space="preserve">to the </w:t>
      </w:r>
      <w:r w:rsidR="003353AB">
        <w:t xml:space="preserve">ministers for </w:t>
      </w:r>
      <w:r w:rsidR="00BB6843">
        <w:t xml:space="preserve">environment and </w:t>
      </w:r>
      <w:r w:rsidR="00F42AD8">
        <w:t xml:space="preserve">the ministers </w:t>
      </w:r>
      <w:r w:rsidR="003353AB">
        <w:t xml:space="preserve">for </w:t>
      </w:r>
      <w:r w:rsidR="00BB6843">
        <w:t xml:space="preserve">foreign </w:t>
      </w:r>
      <w:r w:rsidR="00F42AD8">
        <w:t xml:space="preserve">affairs </w:t>
      </w:r>
      <w:r w:rsidR="00BE244C">
        <w:t>of the concerned Parties, urging the</w:t>
      </w:r>
      <w:r w:rsidR="00900553">
        <w:t xml:space="preserve">ir countries </w:t>
      </w:r>
      <w:r w:rsidR="00BE244C">
        <w:t>to complete their ratifications</w:t>
      </w:r>
      <w:r w:rsidR="00674FB7">
        <w:t>.</w:t>
      </w:r>
    </w:p>
    <w:p w14:paraId="22379485" w14:textId="4B02FDC9" w:rsidR="00BB6843" w:rsidRPr="00B554D8" w:rsidRDefault="00BC15F6" w:rsidP="00BB6843">
      <w:pPr>
        <w:pStyle w:val="SingleTxtG"/>
      </w:pPr>
      <w:r>
        <w:t>1</w:t>
      </w:r>
      <w:r w:rsidR="00974286">
        <w:t>5</w:t>
      </w:r>
      <w:r>
        <w:t>.</w:t>
      </w:r>
      <w:r>
        <w:tab/>
        <w:t>The Working Group thanked Romania</w:t>
      </w:r>
      <w:r w:rsidR="00BB6843">
        <w:t xml:space="preserve"> for </w:t>
      </w:r>
      <w:r w:rsidR="006A5054">
        <w:t>its</w:t>
      </w:r>
      <w:r w:rsidR="00BB6843">
        <w:t xml:space="preserve"> report on the ratification status of the </w:t>
      </w:r>
      <w:r w:rsidR="00EC72C6">
        <w:t>Multilateral agreement among the countries of</w:t>
      </w:r>
      <w:r w:rsidR="00370D34">
        <w:t xml:space="preserve"> South-East</w:t>
      </w:r>
      <w:r w:rsidR="00FE4C01">
        <w:t>ern</w:t>
      </w:r>
      <w:r w:rsidR="00370D34">
        <w:t xml:space="preserve"> Europe</w:t>
      </w:r>
      <w:r w:rsidR="00FE4C01">
        <w:t xml:space="preserve"> for implementation of the Convention on Environmental Impact Assessment in a Transboundary Context</w:t>
      </w:r>
      <w:r w:rsidR="00370D34">
        <w:t xml:space="preserve"> (</w:t>
      </w:r>
      <w:r w:rsidR="00BB6843">
        <w:t>Bucharest Agreement</w:t>
      </w:r>
      <w:r w:rsidR="00370D34">
        <w:t>)</w:t>
      </w:r>
      <w:r w:rsidR="00900553">
        <w:t xml:space="preserve">. It </w:t>
      </w:r>
      <w:r w:rsidR="00373A96">
        <w:t>invit</w:t>
      </w:r>
      <w:r w:rsidR="00900553">
        <w:t>ed</w:t>
      </w:r>
      <w:r w:rsidR="00373A96">
        <w:t xml:space="preserve"> </w:t>
      </w:r>
      <w:r>
        <w:t>Croatia</w:t>
      </w:r>
      <w:r w:rsidR="00BB6843">
        <w:t xml:space="preserve"> and </w:t>
      </w:r>
      <w:r>
        <w:t>Greece</w:t>
      </w:r>
      <w:r w:rsidR="00BB6843">
        <w:t xml:space="preserve"> to </w:t>
      </w:r>
      <w:r w:rsidR="00900553">
        <w:t xml:space="preserve">ratify </w:t>
      </w:r>
      <w:r w:rsidR="00BB6843">
        <w:t xml:space="preserve">the </w:t>
      </w:r>
      <w:r w:rsidR="00540AAC">
        <w:t xml:space="preserve">Bucharest </w:t>
      </w:r>
      <w:r w:rsidR="00BB6843">
        <w:t>Agreement</w:t>
      </w:r>
      <w:r w:rsidR="00900553">
        <w:t xml:space="preserve"> and noted their plans to do so (in the case of Croatia, possibly before the </w:t>
      </w:r>
      <w:r w:rsidR="00540AAC">
        <w:t xml:space="preserve">next sessions of the </w:t>
      </w:r>
      <w:r w:rsidR="00900553">
        <w:t xml:space="preserve">Meetings of the Parties). The Working Group also </w:t>
      </w:r>
      <w:r w:rsidR="00BB6843">
        <w:t>encourag</w:t>
      </w:r>
      <w:r w:rsidR="00900553">
        <w:t>ed</w:t>
      </w:r>
      <w:r w:rsidR="00BB6843">
        <w:t xml:space="preserve"> </w:t>
      </w:r>
      <w:r w:rsidRPr="0011784E">
        <w:t>Bosnia and Herzegovina</w:t>
      </w:r>
      <w:r w:rsidR="00BB6843">
        <w:t xml:space="preserve"> to accede to </w:t>
      </w:r>
      <w:r w:rsidR="00900553">
        <w:t>the Agreement.</w:t>
      </w:r>
    </w:p>
    <w:p w14:paraId="5B7AC172" w14:textId="77777777" w:rsidR="00B554D8" w:rsidRPr="00B554D8" w:rsidRDefault="00B554D8" w:rsidP="00B554D8">
      <w:pPr>
        <w:pStyle w:val="HChG"/>
        <w:rPr>
          <w:lang w:eastAsia="en-US"/>
        </w:rPr>
      </w:pPr>
      <w:r w:rsidRPr="00B554D8">
        <w:tab/>
        <w:t>III.</w:t>
      </w:r>
      <w:r w:rsidRPr="00B554D8">
        <w:tab/>
      </w:r>
      <w:r w:rsidRPr="00B554D8">
        <w:rPr>
          <w:lang w:eastAsia="en-US"/>
        </w:rPr>
        <w:t>Financial arrangements</w:t>
      </w:r>
    </w:p>
    <w:p w14:paraId="3EB9E070" w14:textId="7D88FBD4" w:rsidR="00EA009C" w:rsidRPr="008A6475" w:rsidRDefault="002A0132" w:rsidP="00CF2B97">
      <w:pPr>
        <w:pStyle w:val="H1G"/>
      </w:pPr>
      <w:r w:rsidRPr="002A0132">
        <w:tab/>
      </w:r>
      <w:r w:rsidRPr="008A6475">
        <w:t>A.</w:t>
      </w:r>
      <w:r w:rsidRPr="008A6475">
        <w:tab/>
      </w:r>
      <w:r w:rsidR="00034E30" w:rsidRPr="008A6475">
        <w:t xml:space="preserve">Status of </w:t>
      </w:r>
      <w:r w:rsidRPr="008A6475">
        <w:t>the tru</w:t>
      </w:r>
      <w:r w:rsidR="00980294" w:rsidRPr="008A6475">
        <w:t xml:space="preserve">st fund </w:t>
      </w:r>
      <w:r w:rsidRPr="008A6475">
        <w:t>2021–2023</w:t>
      </w:r>
    </w:p>
    <w:p w14:paraId="30BA6F77" w14:textId="150E6A21" w:rsidR="00146264" w:rsidRDefault="00B554D8" w:rsidP="00982FD1">
      <w:pPr>
        <w:pStyle w:val="SingleTxtG"/>
      </w:pPr>
      <w:r w:rsidRPr="00A80481">
        <w:t>1</w:t>
      </w:r>
      <w:r w:rsidR="00974286">
        <w:t>6</w:t>
      </w:r>
      <w:r w:rsidRPr="00A80481">
        <w:t>.</w:t>
      </w:r>
      <w:r w:rsidRPr="00A80481">
        <w:tab/>
        <w:t>The Working Group recalled that, at their past sessions (Vilnius (online), 8–11 December 2020), the Meetings of the Parties had decided that all Parties had a duty to contribute to the sharing of the workplan costs not covered by the United Nations regular budget.</w:t>
      </w:r>
      <w:r w:rsidRPr="00A80481">
        <w:rPr>
          <w:vertAlign w:val="superscript"/>
        </w:rPr>
        <w:footnoteReference w:id="7"/>
      </w:r>
      <w:r w:rsidR="00A10652">
        <w:t xml:space="preserve"> It </w:t>
      </w:r>
      <w:r w:rsidRPr="00A80481">
        <w:t xml:space="preserve">took note of the information from the secretariat on contributions to the trust fund under the Convention and the Protocol </w:t>
      </w:r>
      <w:r w:rsidR="00170307">
        <w:t xml:space="preserve">received </w:t>
      </w:r>
      <w:r w:rsidRPr="00A80481">
        <w:t>until 1</w:t>
      </w:r>
      <w:r w:rsidR="00D457C8" w:rsidRPr="00A80481">
        <w:t>9</w:t>
      </w:r>
      <w:r w:rsidRPr="00A80481">
        <w:t xml:space="preserve"> </w:t>
      </w:r>
      <w:r w:rsidR="00D457C8" w:rsidRPr="00A80481">
        <w:t>May</w:t>
      </w:r>
      <w:r w:rsidRPr="00A80481">
        <w:t xml:space="preserve"> 202</w:t>
      </w:r>
      <w:r w:rsidR="00D457C8" w:rsidRPr="00A80481">
        <w:t>3</w:t>
      </w:r>
      <w:r w:rsidR="00170307">
        <w:t xml:space="preserve"> from</w:t>
      </w:r>
      <w:r w:rsidR="00986C0B">
        <w:t xml:space="preserve"> 35 </w:t>
      </w:r>
      <w:r w:rsidR="00170307">
        <w:t xml:space="preserve">of the 45 Convention Parties </w:t>
      </w:r>
      <w:r w:rsidRPr="00A80481">
        <w:t>(ECE/MP.EIA/WG.2/202</w:t>
      </w:r>
      <w:r w:rsidR="00767039" w:rsidRPr="00A80481">
        <w:t>3</w:t>
      </w:r>
      <w:r w:rsidRPr="00A80481">
        <w:t>/IN</w:t>
      </w:r>
      <w:r w:rsidRPr="006143E4">
        <w:t>F.3)</w:t>
      </w:r>
      <w:r w:rsidR="0026324F">
        <w:t>,</w:t>
      </w:r>
      <w:r w:rsidR="00D64510">
        <w:t xml:space="preserve"> </w:t>
      </w:r>
      <w:r w:rsidR="00350B63">
        <w:t>which</w:t>
      </w:r>
      <w:r w:rsidR="00183B33">
        <w:t xml:space="preserve"> </w:t>
      </w:r>
      <w:r w:rsidR="00823426">
        <w:t>were</w:t>
      </w:r>
      <w:r w:rsidR="00183B33">
        <w:t xml:space="preserve"> mostly small</w:t>
      </w:r>
      <w:r w:rsidR="00F1723B">
        <w:t xml:space="preserve">, with </w:t>
      </w:r>
      <w:r w:rsidR="00F33870">
        <w:t>only 3 Parties cover</w:t>
      </w:r>
      <w:r w:rsidR="00F1723B">
        <w:t>ing</w:t>
      </w:r>
      <w:r w:rsidR="00F33870">
        <w:t xml:space="preserve"> </w:t>
      </w:r>
      <w:r w:rsidR="00305772">
        <w:t xml:space="preserve">half of the </w:t>
      </w:r>
      <w:r w:rsidR="00350B63">
        <w:t xml:space="preserve">total </w:t>
      </w:r>
      <w:r w:rsidR="00305772">
        <w:t>revenue</w:t>
      </w:r>
      <w:r w:rsidR="008F69DD">
        <w:t xml:space="preserve"> and </w:t>
      </w:r>
      <w:r w:rsidR="00077B56">
        <w:t>6</w:t>
      </w:r>
      <w:r w:rsidR="00287C79">
        <w:t xml:space="preserve"> Parties</w:t>
      </w:r>
      <w:r w:rsidR="00540AAC">
        <w:t xml:space="preserve"> covering</w:t>
      </w:r>
      <w:r w:rsidR="00287C79">
        <w:t xml:space="preserve"> </w:t>
      </w:r>
      <w:r w:rsidR="008F69DD">
        <w:t xml:space="preserve">70 per cent </w:t>
      </w:r>
      <w:r w:rsidR="00287C79">
        <w:t xml:space="preserve">of it. </w:t>
      </w:r>
      <w:r w:rsidR="00F002A1">
        <w:t xml:space="preserve">It was informed </w:t>
      </w:r>
      <w:r w:rsidR="008066CA">
        <w:t xml:space="preserve">that </w:t>
      </w:r>
      <w:r w:rsidR="00F002A1">
        <w:t>a</w:t>
      </w:r>
      <w:r w:rsidR="003D3481">
        <w:t xml:space="preserve"> </w:t>
      </w:r>
      <w:r w:rsidR="00A923C3">
        <w:t>large</w:t>
      </w:r>
      <w:r w:rsidR="00336029">
        <w:t xml:space="preserve"> budgetary deficit </w:t>
      </w:r>
      <w:r w:rsidR="003D3481">
        <w:t xml:space="preserve">was </w:t>
      </w:r>
      <w:r w:rsidR="00413D3D">
        <w:t xml:space="preserve">to be </w:t>
      </w:r>
      <w:r w:rsidR="00A923C3">
        <w:t xml:space="preserve">expected </w:t>
      </w:r>
      <w:r w:rsidR="00336029">
        <w:t xml:space="preserve">at the end of the </w:t>
      </w:r>
      <w:r w:rsidR="003D3481">
        <w:t>period</w:t>
      </w:r>
      <w:r w:rsidR="004A634D">
        <w:t xml:space="preserve"> 2021–2023</w:t>
      </w:r>
      <w:r w:rsidR="00101677">
        <w:t>.</w:t>
      </w:r>
    </w:p>
    <w:p w14:paraId="7D4F783F" w14:textId="650A3A45" w:rsidR="00CD5E7F" w:rsidRDefault="00115FD7" w:rsidP="0039714F">
      <w:pPr>
        <w:pStyle w:val="SingleTxtG"/>
      </w:pPr>
      <w:r>
        <w:t>1</w:t>
      </w:r>
      <w:r w:rsidR="00974286">
        <w:t>7</w:t>
      </w:r>
      <w:r>
        <w:t>.</w:t>
      </w:r>
      <w:r>
        <w:tab/>
      </w:r>
      <w:r w:rsidR="00B3724D">
        <w:t xml:space="preserve">The Working Group </w:t>
      </w:r>
      <w:r w:rsidR="00540AAC">
        <w:t xml:space="preserve">expressed </w:t>
      </w:r>
      <w:r w:rsidR="00B3724D">
        <w:t>r</w:t>
      </w:r>
      <w:r w:rsidR="006143E4">
        <w:t>egret</w:t>
      </w:r>
      <w:r w:rsidR="00540AAC">
        <w:t xml:space="preserve"> at</w:t>
      </w:r>
      <w:r w:rsidR="00B3724D">
        <w:t xml:space="preserve"> </w:t>
      </w:r>
      <w:r w:rsidR="006143E4">
        <w:t>the persisting uneven distribution of the burden of cost sharing</w:t>
      </w:r>
      <w:r w:rsidR="00491125">
        <w:t xml:space="preserve">, </w:t>
      </w:r>
      <w:r w:rsidR="006143E4">
        <w:t>and the overall insufficiency and unpredictability of the contributions.</w:t>
      </w:r>
      <w:r w:rsidR="00DD2CA7" w:rsidRPr="00DD2CA7">
        <w:t xml:space="preserve"> </w:t>
      </w:r>
      <w:r w:rsidR="00DD2CA7">
        <w:t xml:space="preserve">It confirmed its </w:t>
      </w:r>
      <w:r w:rsidR="00DD2CA7" w:rsidRPr="00F064F2">
        <w:t>previous conclusion</w:t>
      </w:r>
      <w:r w:rsidR="00DD2CA7">
        <w:t xml:space="preserve"> that the financial scheme adopted in 2020 </w:t>
      </w:r>
      <w:r w:rsidR="00B21796">
        <w:t>had not been</w:t>
      </w:r>
      <w:r w:rsidR="00DD2CA7">
        <w:t xml:space="preserve"> successful in remedying the </w:t>
      </w:r>
      <w:r w:rsidR="00982FD1" w:rsidRPr="00982FD1">
        <w:t>long-standing and increasingly critical resource constraints under the Convention and the Protocol.</w:t>
      </w:r>
      <w:r w:rsidR="00F064F2">
        <w:rPr>
          <w:rStyle w:val="FootnoteReference"/>
        </w:rPr>
        <w:footnoteReference w:id="8"/>
      </w:r>
      <w:r w:rsidRPr="00115FD7">
        <w:t xml:space="preserve"> </w:t>
      </w:r>
      <w:r w:rsidRPr="00FB1187">
        <w:t>The Working Group invited the</w:t>
      </w:r>
      <w:r>
        <w:t xml:space="preserve"> following</w:t>
      </w:r>
      <w:r w:rsidRPr="00FB1187">
        <w:t xml:space="preserve"> 10 Parties that</w:t>
      </w:r>
      <w:r w:rsidR="008066CA">
        <w:t xml:space="preserve"> </w:t>
      </w:r>
      <w:r w:rsidRPr="00FB1187">
        <w:t xml:space="preserve">had </w:t>
      </w:r>
      <w:r w:rsidR="008066CA">
        <w:t xml:space="preserve">thus far </w:t>
      </w:r>
      <w:r w:rsidRPr="00FB1187">
        <w:t xml:space="preserve">not yet contributed in </w:t>
      </w:r>
      <w:r>
        <w:t xml:space="preserve">the present period </w:t>
      </w:r>
      <w:r w:rsidRPr="00FB1187">
        <w:t>2021</w:t>
      </w:r>
      <w:r>
        <w:t>–</w:t>
      </w:r>
      <w:r w:rsidRPr="00FB1187">
        <w:t>2023</w:t>
      </w:r>
      <w:r w:rsidR="00B66691">
        <w:t>,</w:t>
      </w:r>
      <w:r w:rsidR="008066CA">
        <w:t xml:space="preserve"> </w:t>
      </w:r>
      <w:r w:rsidRPr="00FB1187">
        <w:t>Belarus, Bosnia and Herzegovina, Croatia, Greece, Kazakhstan, Kyrgyzstan, Liechtenstein, Serbia, Ukraine and the United Kingdom</w:t>
      </w:r>
      <w:r>
        <w:t xml:space="preserve"> of Great Britain and Northern Ireland</w:t>
      </w:r>
      <w:r w:rsidR="00B66691">
        <w:t>,</w:t>
      </w:r>
      <w:r w:rsidRPr="00FB1187">
        <w:t xml:space="preserve"> to do so, as per decision VIII/1–</w:t>
      </w:r>
      <w:r w:rsidR="00D56D9D">
        <w:t>V</w:t>
      </w:r>
      <w:r w:rsidRPr="00FB1187">
        <w:t>I/1</w:t>
      </w:r>
      <w:r>
        <w:t xml:space="preserve"> (ECE/MP.EIA/30/Add.1–ECE/MP.EIA/SEA/13/Add.1)</w:t>
      </w:r>
      <w:r w:rsidRPr="00FB1187">
        <w:t>, contacting the secretariat as soon as possi</w:t>
      </w:r>
      <w:r>
        <w:t xml:space="preserve">ble, if </w:t>
      </w:r>
      <w:r w:rsidR="00540AAC">
        <w:t xml:space="preserve">they had </w:t>
      </w:r>
      <w:r>
        <w:t>not yet done</w:t>
      </w:r>
      <w:r w:rsidR="00540AAC">
        <w:t xml:space="preserve"> so</w:t>
      </w:r>
      <w:r>
        <w:t>. It noted the information from the secretariat that the contributions from Croatia, Greece and Ukraine were on the way.</w:t>
      </w:r>
    </w:p>
    <w:p w14:paraId="5AB613E3" w14:textId="567026EC" w:rsidR="00B554D8" w:rsidRDefault="00CD5E7F" w:rsidP="0039714F">
      <w:pPr>
        <w:pStyle w:val="SingleTxtG"/>
      </w:pPr>
      <w:r>
        <w:t>1</w:t>
      </w:r>
      <w:r w:rsidR="00974286">
        <w:t>8</w:t>
      </w:r>
      <w:r>
        <w:t>.</w:t>
      </w:r>
      <w:r>
        <w:tab/>
      </w:r>
      <w:r w:rsidR="008066CA">
        <w:t>The Working Group also invited all P</w:t>
      </w:r>
      <w:r w:rsidR="00A74195" w:rsidRPr="00A74195">
        <w:t>arties to pay their pledged contributions</w:t>
      </w:r>
      <w:r w:rsidR="00D56D9D">
        <w:t xml:space="preserve"> in</w:t>
      </w:r>
      <w:r w:rsidR="00A74195" w:rsidRPr="00A74195">
        <w:t xml:space="preserve"> full</w:t>
      </w:r>
      <w:r w:rsidR="0039714F">
        <w:t xml:space="preserve">, </w:t>
      </w:r>
      <w:r w:rsidR="009803C4">
        <w:t xml:space="preserve">avoiding arrears, </w:t>
      </w:r>
      <w:r w:rsidR="0039714F">
        <w:t>and</w:t>
      </w:r>
      <w:r w:rsidR="008066CA">
        <w:t>,</w:t>
      </w:r>
      <w:r w:rsidR="0039714F">
        <w:t xml:space="preserve"> if </w:t>
      </w:r>
      <w:r w:rsidR="00811958">
        <w:t>possible,</w:t>
      </w:r>
      <w:r w:rsidR="0039714F">
        <w:t xml:space="preserve"> t</w:t>
      </w:r>
      <w:r w:rsidR="00053D44">
        <w:t>o make additional unpledged contributions</w:t>
      </w:r>
      <w:r w:rsidR="007E2854">
        <w:t xml:space="preserve"> in the </w:t>
      </w:r>
      <w:r w:rsidR="00D56D9D">
        <w:t xml:space="preserve">current </w:t>
      </w:r>
      <w:r w:rsidR="007E2854">
        <w:t>period</w:t>
      </w:r>
      <w:r w:rsidR="00A81CC3">
        <w:t>.</w:t>
      </w:r>
      <w:r w:rsidR="00C36ECF">
        <w:t xml:space="preserve"> To </w:t>
      </w:r>
      <w:r w:rsidR="00C70E45">
        <w:t>streamline</w:t>
      </w:r>
      <w:r w:rsidR="00DE0EDE">
        <w:t xml:space="preserve"> and simplify</w:t>
      </w:r>
      <w:r w:rsidR="00C70E45">
        <w:t xml:space="preserve"> </w:t>
      </w:r>
      <w:r w:rsidR="00AF0401">
        <w:t xml:space="preserve">the </w:t>
      </w:r>
      <w:r w:rsidR="00737F0A">
        <w:t xml:space="preserve">practice regarding </w:t>
      </w:r>
      <w:r w:rsidR="00DE0EDE">
        <w:t xml:space="preserve">invoicing, </w:t>
      </w:r>
      <w:r w:rsidR="009803C4">
        <w:t>the Working Group agreed that</w:t>
      </w:r>
      <w:r w:rsidR="00811958">
        <w:t xml:space="preserve">, in </w:t>
      </w:r>
      <w:r w:rsidR="004874D5">
        <w:t xml:space="preserve">the future, </w:t>
      </w:r>
      <w:r w:rsidR="008066CA">
        <w:t xml:space="preserve">starting from </w:t>
      </w:r>
      <w:r w:rsidR="00811958">
        <w:t>the next period,</w:t>
      </w:r>
      <w:r w:rsidR="009803C4">
        <w:t xml:space="preserve"> the secretariat should </w:t>
      </w:r>
      <w:r w:rsidR="005B731A">
        <w:t xml:space="preserve">send out </w:t>
      </w:r>
      <w:r w:rsidR="00F541DC">
        <w:t xml:space="preserve">annual </w:t>
      </w:r>
      <w:r w:rsidR="00AF0401">
        <w:t>payment request</w:t>
      </w:r>
      <w:r w:rsidR="00F541DC">
        <w:t>s</w:t>
      </w:r>
      <w:r w:rsidR="00AF0401">
        <w:t xml:space="preserve"> </w:t>
      </w:r>
      <w:r w:rsidR="00F541DC" w:rsidRPr="00F541DC">
        <w:t>automatically to all Parties at the same time</w:t>
      </w:r>
      <w:r w:rsidR="00F541DC">
        <w:t xml:space="preserve">, </w:t>
      </w:r>
      <w:r w:rsidR="00F541DC" w:rsidRPr="00F541DC">
        <w:t>and no longer upon request by Parties.</w:t>
      </w:r>
    </w:p>
    <w:p w14:paraId="534B5A50" w14:textId="3A9745C6" w:rsidR="00034E30" w:rsidRDefault="00034E30" w:rsidP="0039714F">
      <w:pPr>
        <w:pStyle w:val="SingleTxtG"/>
      </w:pPr>
      <w:r>
        <w:lastRenderedPageBreak/>
        <w:t>1</w:t>
      </w:r>
      <w:r w:rsidR="00974286">
        <w:t>9</w:t>
      </w:r>
      <w:r>
        <w:t>.</w:t>
      </w:r>
      <w:r>
        <w:tab/>
      </w:r>
      <w:r w:rsidRPr="00FC3EF0">
        <w:t>The Working Group i</w:t>
      </w:r>
      <w:r>
        <w:t xml:space="preserve">nvited the secretariat to prepare the financial report for 2021–2023 for the next </w:t>
      </w:r>
      <w:r w:rsidR="00D56D9D">
        <w:t xml:space="preserve">sessions of the </w:t>
      </w:r>
      <w:r>
        <w:t>Meeting</w:t>
      </w:r>
      <w:r w:rsidR="007E2854">
        <w:t>s</w:t>
      </w:r>
      <w:r>
        <w:t xml:space="preserve"> of the Parties</w:t>
      </w:r>
      <w:r w:rsidR="0055526F">
        <w:t>.</w:t>
      </w:r>
    </w:p>
    <w:p w14:paraId="2A57C2DC" w14:textId="3F08D5C8" w:rsidR="002A0132" w:rsidRPr="008A6475" w:rsidRDefault="00980294" w:rsidP="00CF2B97">
      <w:pPr>
        <w:pStyle w:val="H1G"/>
      </w:pPr>
      <w:r w:rsidRPr="008A6475">
        <w:tab/>
        <w:t>B.</w:t>
      </w:r>
      <w:r w:rsidRPr="008A6475">
        <w:tab/>
        <w:t>Secretariat</w:t>
      </w:r>
      <w:r w:rsidR="00F14FCE" w:rsidRPr="008A6475">
        <w:t xml:space="preserve"> staffing resources</w:t>
      </w:r>
    </w:p>
    <w:p w14:paraId="601C204C" w14:textId="0CA1C551" w:rsidR="008504EB" w:rsidRDefault="00974286" w:rsidP="00CF2B97">
      <w:pPr>
        <w:pStyle w:val="SingleTxtG"/>
      </w:pPr>
      <w:r>
        <w:t>20</w:t>
      </w:r>
      <w:r w:rsidR="00B554D8" w:rsidRPr="00FB1187">
        <w:t>.</w:t>
      </w:r>
      <w:r w:rsidR="00B554D8" w:rsidRPr="00FB1187">
        <w:tab/>
      </w:r>
      <w:r w:rsidR="004178CC" w:rsidRPr="00A80481">
        <w:t>The</w:t>
      </w:r>
      <w:r w:rsidR="00A62841">
        <w:t xml:space="preserve"> secretariat</w:t>
      </w:r>
      <w:r w:rsidR="00472DD5">
        <w:t xml:space="preserve"> </w:t>
      </w:r>
      <w:r w:rsidR="00727821">
        <w:t xml:space="preserve">reported on </w:t>
      </w:r>
      <w:r w:rsidR="00F56ED6">
        <w:t xml:space="preserve">its staffing </w:t>
      </w:r>
      <w:r w:rsidR="008D6349">
        <w:t>resources</w:t>
      </w:r>
      <w:r w:rsidR="00F56ED6">
        <w:t>,</w:t>
      </w:r>
      <w:r w:rsidR="003A4F9D">
        <w:t xml:space="preserve"> pointing out</w:t>
      </w:r>
      <w:r w:rsidR="00F56ED6">
        <w:t xml:space="preserve"> that</w:t>
      </w:r>
      <w:r w:rsidR="00693F28">
        <w:t>, since 2001,</w:t>
      </w:r>
      <w:r w:rsidR="00F56ED6">
        <w:t xml:space="preserve"> </w:t>
      </w:r>
      <w:r w:rsidR="003A4F9D">
        <w:t>Parties</w:t>
      </w:r>
      <w:r w:rsidR="008645E3">
        <w:t xml:space="preserve"> </w:t>
      </w:r>
      <w:r w:rsidR="008A06AC">
        <w:t xml:space="preserve">had </w:t>
      </w:r>
      <w:r w:rsidR="009E01DE">
        <w:t>fund</w:t>
      </w:r>
      <w:r w:rsidR="008645E3">
        <w:t>ed</w:t>
      </w:r>
      <w:r w:rsidR="0072553C">
        <w:t xml:space="preserve"> </w:t>
      </w:r>
      <w:r w:rsidR="00D57363">
        <w:t xml:space="preserve">only </w:t>
      </w:r>
      <w:r w:rsidR="009E01DE">
        <w:t>one professional staff position and no administrative support</w:t>
      </w:r>
      <w:r w:rsidR="00DF13F1">
        <w:t xml:space="preserve"> </w:t>
      </w:r>
      <w:r w:rsidR="00D26508">
        <w:t>for the</w:t>
      </w:r>
      <w:r w:rsidR="00AB2B37">
        <w:t xml:space="preserve"> </w:t>
      </w:r>
      <w:r w:rsidR="005036A1">
        <w:t>deliver</w:t>
      </w:r>
      <w:r w:rsidR="00D26508">
        <w:t xml:space="preserve">y of </w:t>
      </w:r>
      <w:r w:rsidR="005036A1">
        <w:t xml:space="preserve">the core secretariat functions </w:t>
      </w:r>
      <w:r w:rsidR="00D26508">
        <w:t xml:space="preserve">under the </w:t>
      </w:r>
      <w:r w:rsidR="00AB2B37">
        <w:t>Convention and the Protocol</w:t>
      </w:r>
      <w:r w:rsidR="004F6E86">
        <w:t>.</w:t>
      </w:r>
      <w:r w:rsidR="00E20DFD">
        <w:t xml:space="preserve"> </w:t>
      </w:r>
      <w:r w:rsidR="0054440D">
        <w:t>I</w:t>
      </w:r>
      <w:r w:rsidR="00F92FA9">
        <w:t xml:space="preserve">n the </w:t>
      </w:r>
      <w:r w:rsidR="006E659F">
        <w:t xml:space="preserve">current </w:t>
      </w:r>
      <w:r w:rsidR="00F92FA9">
        <w:t>period, e</w:t>
      </w:r>
      <w:r w:rsidR="005F66FE">
        <w:t xml:space="preserve">xtended </w:t>
      </w:r>
      <w:r w:rsidR="0029360D">
        <w:t>sick leaves</w:t>
      </w:r>
      <w:r w:rsidR="004C53EB">
        <w:t xml:space="preserve"> </w:t>
      </w:r>
      <w:r w:rsidR="00B73F68">
        <w:t>of a staff member</w:t>
      </w:r>
      <w:r w:rsidR="00CE3676">
        <w:t xml:space="preserve"> </w:t>
      </w:r>
      <w:r w:rsidR="006F2F75">
        <w:t>a</w:t>
      </w:r>
      <w:r w:rsidR="00CE3676">
        <w:t>nd</w:t>
      </w:r>
      <w:r w:rsidR="00077928">
        <w:t xml:space="preserve"> </w:t>
      </w:r>
      <w:r w:rsidR="00FB620B">
        <w:t xml:space="preserve">a </w:t>
      </w:r>
      <w:r w:rsidR="008F2E3C">
        <w:t xml:space="preserve">staff change </w:t>
      </w:r>
      <w:r w:rsidR="00FB620B">
        <w:t>through</w:t>
      </w:r>
      <w:r w:rsidR="008F2E3C">
        <w:t xml:space="preserve"> </w:t>
      </w:r>
      <w:r w:rsidR="0020265D">
        <w:t xml:space="preserve">temporary </w:t>
      </w:r>
      <w:r w:rsidR="0028423E">
        <w:t xml:space="preserve">contractual </w:t>
      </w:r>
      <w:r w:rsidR="00192936">
        <w:t xml:space="preserve">arrangements </w:t>
      </w:r>
      <w:r w:rsidR="00B16354">
        <w:t xml:space="preserve">had </w:t>
      </w:r>
      <w:r w:rsidR="00192936">
        <w:t>added</w:t>
      </w:r>
      <w:r w:rsidR="00B25856">
        <w:t xml:space="preserve"> </w:t>
      </w:r>
      <w:r w:rsidR="00684127">
        <w:t xml:space="preserve">further </w:t>
      </w:r>
      <w:r w:rsidR="001055EF">
        <w:t>challenge</w:t>
      </w:r>
      <w:r w:rsidR="006E659F">
        <w:t>s</w:t>
      </w:r>
      <w:r w:rsidR="003E7A61">
        <w:t xml:space="preserve">, </w:t>
      </w:r>
      <w:r w:rsidR="00B17216">
        <w:t xml:space="preserve">particularly </w:t>
      </w:r>
      <w:r w:rsidR="00745432">
        <w:t>for</w:t>
      </w:r>
      <w:r w:rsidR="003D1284">
        <w:t xml:space="preserve"> </w:t>
      </w:r>
      <w:r w:rsidR="00FD2465">
        <w:t>the servicing of the</w:t>
      </w:r>
      <w:r w:rsidR="00E34414">
        <w:t xml:space="preserve"> </w:t>
      </w:r>
      <w:r w:rsidR="00FD2465">
        <w:t>compliance</w:t>
      </w:r>
      <w:r w:rsidR="006E659F">
        <w:t>-</w:t>
      </w:r>
      <w:r w:rsidR="00FD2465">
        <w:t xml:space="preserve"> and </w:t>
      </w:r>
      <w:r w:rsidR="00090D66">
        <w:t>implementation</w:t>
      </w:r>
      <w:r w:rsidR="006E659F">
        <w:t>-</w:t>
      </w:r>
      <w:r w:rsidR="00090D66">
        <w:t xml:space="preserve">related </w:t>
      </w:r>
      <w:r w:rsidR="00E34414">
        <w:t>work</w:t>
      </w:r>
      <w:r w:rsidR="004D3672">
        <w:t>.</w:t>
      </w:r>
      <w:r w:rsidR="009C3876">
        <w:t xml:space="preserve"> </w:t>
      </w:r>
      <w:r w:rsidR="009003D6">
        <w:t xml:space="preserve">To </w:t>
      </w:r>
      <w:r w:rsidR="008066CA">
        <w:t xml:space="preserve">maintain </w:t>
      </w:r>
      <w:r w:rsidR="007551A1">
        <w:t xml:space="preserve">secretariat services </w:t>
      </w:r>
      <w:r w:rsidR="00F64316">
        <w:t xml:space="preserve">to the treaties </w:t>
      </w:r>
      <w:r w:rsidR="007551A1">
        <w:t xml:space="preserve">and </w:t>
      </w:r>
      <w:r w:rsidR="006A538E">
        <w:t xml:space="preserve">to </w:t>
      </w:r>
      <w:r w:rsidR="007551A1">
        <w:t xml:space="preserve">avoid </w:t>
      </w:r>
      <w:r w:rsidR="004F78E0">
        <w:t>cancel</w:t>
      </w:r>
      <w:r w:rsidR="006E659F">
        <w:t>lation</w:t>
      </w:r>
      <w:r w:rsidR="004F78E0">
        <w:t xml:space="preserve"> </w:t>
      </w:r>
      <w:r w:rsidR="009003D6">
        <w:t xml:space="preserve">of </w:t>
      </w:r>
      <w:r w:rsidR="008066CA">
        <w:t xml:space="preserve">activities and </w:t>
      </w:r>
      <w:r w:rsidR="004F78E0">
        <w:t>meetings, including t</w:t>
      </w:r>
      <w:r w:rsidR="00F36C16">
        <w:t xml:space="preserve">he </w:t>
      </w:r>
      <w:r w:rsidR="006E659F">
        <w:t xml:space="preserve">next sessions of the </w:t>
      </w:r>
      <w:r w:rsidR="00F36C16">
        <w:t>Meetings of the Parties</w:t>
      </w:r>
      <w:r w:rsidR="0049122E">
        <w:t xml:space="preserve">, </w:t>
      </w:r>
      <w:r w:rsidR="008066CA">
        <w:t xml:space="preserve">the following </w:t>
      </w:r>
      <w:r w:rsidR="00A0574F">
        <w:t xml:space="preserve">temporary emergency measures </w:t>
      </w:r>
      <w:r w:rsidR="00A60FEE">
        <w:t>until the end of the year</w:t>
      </w:r>
      <w:r w:rsidR="008066CA">
        <w:t xml:space="preserve"> </w:t>
      </w:r>
      <w:r w:rsidR="006E659F">
        <w:t>had been</w:t>
      </w:r>
      <w:r w:rsidR="008066CA">
        <w:t xml:space="preserve"> taken</w:t>
      </w:r>
      <w:r w:rsidR="00A0574F">
        <w:t>:</w:t>
      </w:r>
      <w:r w:rsidR="001506C9">
        <w:t xml:space="preserve"> </w:t>
      </w:r>
      <w:r w:rsidR="001055EF">
        <w:t>an</w:t>
      </w:r>
      <w:r w:rsidR="001506C9">
        <w:t xml:space="preserve"> individual contractor </w:t>
      </w:r>
      <w:r w:rsidR="006E659F">
        <w:t>had been</w:t>
      </w:r>
      <w:r w:rsidR="001C1748">
        <w:t xml:space="preserve"> e</w:t>
      </w:r>
      <w:r w:rsidR="001055EF">
        <w:t>ngaged</w:t>
      </w:r>
      <w:r w:rsidR="00785560" w:rsidRPr="00785560">
        <w:t xml:space="preserve"> </w:t>
      </w:r>
      <w:r w:rsidR="00785560">
        <w:t>with funding from Italy</w:t>
      </w:r>
      <w:r w:rsidR="008D6CB6">
        <w:t>,</w:t>
      </w:r>
      <w:r w:rsidR="001055EF">
        <w:t xml:space="preserve"> </w:t>
      </w:r>
      <w:r w:rsidR="00E134FF">
        <w:t>and, a</w:t>
      </w:r>
      <w:r w:rsidR="00DF0B90" w:rsidRPr="00DF0B90">
        <w:t xml:space="preserve">s of 1 March, </w:t>
      </w:r>
      <w:r w:rsidR="002F1815">
        <w:t>a</w:t>
      </w:r>
      <w:r w:rsidR="00AA4079">
        <w:t>n</w:t>
      </w:r>
      <w:r w:rsidR="002F1815">
        <w:t xml:space="preserve"> </w:t>
      </w:r>
      <w:r w:rsidR="00A66A89">
        <w:t xml:space="preserve">ECE </w:t>
      </w:r>
      <w:r w:rsidR="002F1815">
        <w:t xml:space="preserve">staff member </w:t>
      </w:r>
      <w:r w:rsidR="00785560">
        <w:t xml:space="preserve">from another team </w:t>
      </w:r>
      <w:r w:rsidR="006E659F">
        <w:t>had been</w:t>
      </w:r>
      <w:r w:rsidR="00F64316">
        <w:t xml:space="preserve"> </w:t>
      </w:r>
      <w:r w:rsidR="00A66A89">
        <w:t xml:space="preserve">assigned </w:t>
      </w:r>
      <w:r w:rsidR="00434781">
        <w:t>part-time</w:t>
      </w:r>
      <w:r w:rsidR="00640766">
        <w:t xml:space="preserve"> </w:t>
      </w:r>
      <w:r w:rsidR="00F67A9B">
        <w:t xml:space="preserve">to </w:t>
      </w:r>
      <w:r w:rsidR="00AF3442" w:rsidRPr="00DF0B90">
        <w:t>support</w:t>
      </w:r>
      <w:r w:rsidR="008D6CB6">
        <w:t xml:space="preserve"> </w:t>
      </w:r>
      <w:r w:rsidR="00434781">
        <w:t>the secretariat</w:t>
      </w:r>
      <w:r w:rsidR="00134B32">
        <w:t>.</w:t>
      </w:r>
      <w:r w:rsidR="00251009">
        <w:t xml:space="preserve"> Over a few months,</w:t>
      </w:r>
      <w:r w:rsidR="00A645F8">
        <w:t xml:space="preserve"> an intern </w:t>
      </w:r>
      <w:r w:rsidR="006E659F">
        <w:t xml:space="preserve">had </w:t>
      </w:r>
      <w:r w:rsidR="00236C65">
        <w:t xml:space="preserve">also </w:t>
      </w:r>
      <w:r w:rsidR="006E659F">
        <w:t xml:space="preserve">been </w:t>
      </w:r>
      <w:r w:rsidR="00A645F8">
        <w:t xml:space="preserve">charged with </w:t>
      </w:r>
      <w:r w:rsidR="00B66691">
        <w:t>certain</w:t>
      </w:r>
      <w:r w:rsidR="00A645F8">
        <w:t xml:space="preserve"> </w:t>
      </w:r>
      <w:r w:rsidR="00327120">
        <w:t>administrative tasks</w:t>
      </w:r>
      <w:r w:rsidR="008E4351">
        <w:t xml:space="preserve">. </w:t>
      </w:r>
      <w:r w:rsidR="00CE1060">
        <w:t>T</w:t>
      </w:r>
      <w:r w:rsidR="0076166E">
        <w:t>he</w:t>
      </w:r>
      <w:r w:rsidR="0053517F">
        <w:t xml:space="preserve"> secretariat </w:t>
      </w:r>
      <w:r w:rsidR="00CE1060">
        <w:t xml:space="preserve">emphasized the temporary </w:t>
      </w:r>
      <w:r w:rsidR="008E4351">
        <w:t>and in</w:t>
      </w:r>
      <w:r w:rsidR="00067F26">
        <w:t>adequate</w:t>
      </w:r>
      <w:r w:rsidR="008E4351">
        <w:t xml:space="preserve"> </w:t>
      </w:r>
      <w:r w:rsidR="00CE1060">
        <w:t>nature of those</w:t>
      </w:r>
      <w:r w:rsidR="00B250F8">
        <w:t xml:space="preserve"> solutions</w:t>
      </w:r>
      <w:r w:rsidR="00F40B72">
        <w:t xml:space="preserve"> for the conduct of its </w:t>
      </w:r>
      <w:r w:rsidR="00502299">
        <w:t>regular core work.</w:t>
      </w:r>
      <w:r w:rsidR="00675244">
        <w:t xml:space="preserve"> </w:t>
      </w:r>
      <w:r w:rsidR="00DD3B38">
        <w:t>B</w:t>
      </w:r>
      <w:r w:rsidR="00711F5F">
        <w:t xml:space="preserve">y March 2024, </w:t>
      </w:r>
      <w:r w:rsidR="00C32697">
        <w:t xml:space="preserve">with the closure of </w:t>
      </w:r>
      <w:r w:rsidR="002B59B5">
        <w:t>the</w:t>
      </w:r>
      <w:r w:rsidR="007E2D90">
        <w:t xml:space="preserve"> </w:t>
      </w:r>
      <w:r w:rsidR="002B59B5">
        <w:t>European Union</w:t>
      </w:r>
      <w:r w:rsidR="006E659F">
        <w:t>-</w:t>
      </w:r>
      <w:r w:rsidR="002B59B5">
        <w:t>funded EU4Environment project</w:t>
      </w:r>
      <w:r w:rsidR="00E42012">
        <w:t xml:space="preserve">, the </w:t>
      </w:r>
      <w:r w:rsidR="00C313E8">
        <w:t xml:space="preserve">employment of the </w:t>
      </w:r>
      <w:r w:rsidR="00E42012">
        <w:t>projec</w:t>
      </w:r>
      <w:r w:rsidR="00E6073E">
        <w:t xml:space="preserve">t manager and the </w:t>
      </w:r>
      <w:r w:rsidR="00755F07">
        <w:t xml:space="preserve">project </w:t>
      </w:r>
      <w:r w:rsidR="00E6073E">
        <w:t>assistant would</w:t>
      </w:r>
      <w:r w:rsidR="002B59B5">
        <w:t xml:space="preserve"> </w:t>
      </w:r>
      <w:r w:rsidR="00755F07">
        <w:t xml:space="preserve">also end, </w:t>
      </w:r>
      <w:r w:rsidR="006443AC">
        <w:t>and the secretariat’s</w:t>
      </w:r>
      <w:r w:rsidR="00755F07">
        <w:t xml:space="preserve"> capacity</w:t>
      </w:r>
      <w:r w:rsidR="006E659F">
        <w:t>-</w:t>
      </w:r>
      <w:r w:rsidR="00755F07">
        <w:t xml:space="preserve">building work </w:t>
      </w:r>
      <w:r w:rsidR="006E659F">
        <w:t xml:space="preserve">would </w:t>
      </w:r>
      <w:r w:rsidR="001F43CC">
        <w:t xml:space="preserve">be </w:t>
      </w:r>
      <w:r w:rsidR="00755F07">
        <w:t xml:space="preserve">phased out. </w:t>
      </w:r>
      <w:r w:rsidR="009E799C">
        <w:t xml:space="preserve">On the positive side, </w:t>
      </w:r>
      <w:r w:rsidR="0024060F">
        <w:t>the secretariat</w:t>
      </w:r>
      <w:r w:rsidR="008066CA">
        <w:t xml:space="preserve"> expressed its thanks </w:t>
      </w:r>
      <w:r w:rsidR="0024060F">
        <w:t xml:space="preserve">to </w:t>
      </w:r>
      <w:r w:rsidR="00BA752F">
        <w:t xml:space="preserve">Italy </w:t>
      </w:r>
      <w:r w:rsidR="0024060F">
        <w:t>for its recent</w:t>
      </w:r>
      <w:r w:rsidR="00AF45C8">
        <w:t>ly announced</w:t>
      </w:r>
      <w:r w:rsidR="0024060F">
        <w:t xml:space="preserve"> decision to </w:t>
      </w:r>
      <w:r w:rsidR="006E7ACC">
        <w:t xml:space="preserve">sponsor a </w:t>
      </w:r>
      <w:r w:rsidR="006E659F">
        <w:t>J</w:t>
      </w:r>
      <w:r w:rsidR="007F034B">
        <w:t xml:space="preserve">unior </w:t>
      </w:r>
      <w:r w:rsidR="006E659F">
        <w:t>P</w:t>
      </w:r>
      <w:r w:rsidR="007F034B">
        <w:t xml:space="preserve">rofessional </w:t>
      </w:r>
      <w:r w:rsidR="006E659F">
        <w:t>O</w:t>
      </w:r>
      <w:r w:rsidR="007F034B">
        <w:t xml:space="preserve">fficer </w:t>
      </w:r>
      <w:r w:rsidR="001825A0">
        <w:t>to the se</w:t>
      </w:r>
      <w:r w:rsidR="00A407C1">
        <w:t xml:space="preserve">cretariat for </w:t>
      </w:r>
      <w:r w:rsidR="00AF45C8">
        <w:t>1</w:t>
      </w:r>
      <w:r w:rsidR="006E659F">
        <w:t>–</w:t>
      </w:r>
      <w:r w:rsidR="00AF45C8">
        <w:t>2</w:t>
      </w:r>
      <w:r w:rsidR="00A407C1">
        <w:t xml:space="preserve"> years</w:t>
      </w:r>
      <w:r w:rsidR="00DE3BC8">
        <w:t>.</w:t>
      </w:r>
    </w:p>
    <w:p w14:paraId="1DD837D4" w14:textId="1110B0A6" w:rsidR="006410E4" w:rsidRDefault="00974286" w:rsidP="00CF2B97">
      <w:pPr>
        <w:pStyle w:val="SingleTxtG"/>
      </w:pPr>
      <w:r>
        <w:t>21</w:t>
      </w:r>
      <w:r w:rsidR="00391882">
        <w:t>.</w:t>
      </w:r>
      <w:r w:rsidR="00391882">
        <w:tab/>
      </w:r>
      <w:r w:rsidR="00FA6AFC">
        <w:t>Th</w:t>
      </w:r>
      <w:r w:rsidR="003B4120">
        <w:t xml:space="preserve">e </w:t>
      </w:r>
      <w:r w:rsidR="008504EB">
        <w:t xml:space="preserve">Chair of the Working Group </w:t>
      </w:r>
      <w:r w:rsidR="00C1431E">
        <w:t xml:space="preserve">thanked the secretariat for its professionalism and </w:t>
      </w:r>
      <w:r w:rsidR="006375EB" w:rsidRPr="006375EB">
        <w:t>resilience</w:t>
      </w:r>
      <w:r w:rsidR="00391882">
        <w:t>,</w:t>
      </w:r>
      <w:r w:rsidR="00B54DEF">
        <w:t xml:space="preserve"> </w:t>
      </w:r>
      <w:r w:rsidR="008E7704">
        <w:t xml:space="preserve">having </w:t>
      </w:r>
      <w:r w:rsidR="00B54DEF">
        <w:t>be</w:t>
      </w:r>
      <w:r w:rsidR="008E7704">
        <w:t xml:space="preserve">en </w:t>
      </w:r>
      <w:r w:rsidR="006375EB" w:rsidRPr="006375EB">
        <w:t xml:space="preserve">permanently </w:t>
      </w:r>
      <w:r w:rsidR="006375EB">
        <w:t xml:space="preserve">overstretched and </w:t>
      </w:r>
      <w:r w:rsidR="006375EB" w:rsidRPr="006375EB">
        <w:t xml:space="preserve">under pressure for </w:t>
      </w:r>
      <w:r w:rsidR="002429D1">
        <w:t>such a long period of time</w:t>
      </w:r>
      <w:r w:rsidR="006375EB" w:rsidRPr="006375EB">
        <w:t xml:space="preserve">. </w:t>
      </w:r>
      <w:r w:rsidR="00981C66">
        <w:t>She noted that</w:t>
      </w:r>
      <w:r w:rsidR="00B22CFF" w:rsidRPr="00B22CFF">
        <w:t xml:space="preserve"> </w:t>
      </w:r>
      <w:r w:rsidR="00B22CFF">
        <w:t>fulfilling the core mandate of a two-treaty secretariat</w:t>
      </w:r>
      <w:r w:rsidR="00981C66">
        <w:t xml:space="preserve"> objectively took more than two professionals,</w:t>
      </w:r>
      <w:r w:rsidR="000C7D09">
        <w:t xml:space="preserve"> </w:t>
      </w:r>
      <w:r w:rsidR="00981C66">
        <w:t xml:space="preserve">as </w:t>
      </w:r>
      <w:r w:rsidR="00C11B44">
        <w:t xml:space="preserve">was </w:t>
      </w:r>
      <w:r w:rsidR="00981C66">
        <w:t xml:space="preserve">also </w:t>
      </w:r>
      <w:r w:rsidR="002429D1">
        <w:t xml:space="preserve">demonstrated </w:t>
      </w:r>
      <w:r w:rsidR="002E21ED">
        <w:t xml:space="preserve">by </w:t>
      </w:r>
      <w:r w:rsidR="00F32B7D">
        <w:t xml:space="preserve">the comparison with </w:t>
      </w:r>
      <w:r w:rsidR="002E21ED">
        <w:t>t</w:t>
      </w:r>
      <w:r w:rsidR="00981C66">
        <w:t xml:space="preserve">he other ECE </w:t>
      </w:r>
      <w:r w:rsidR="002429D1">
        <w:t>m</w:t>
      </w:r>
      <w:r w:rsidR="00981C66">
        <w:t xml:space="preserve">ultilateral </w:t>
      </w:r>
      <w:r w:rsidR="002429D1">
        <w:t>e</w:t>
      </w:r>
      <w:r w:rsidR="00981C66">
        <w:t xml:space="preserve">nvironmental </w:t>
      </w:r>
      <w:r w:rsidR="002429D1">
        <w:t>a</w:t>
      </w:r>
      <w:r w:rsidR="00981C66">
        <w:t>greement secretariats</w:t>
      </w:r>
      <w:r w:rsidR="002429D1">
        <w:t>, which</w:t>
      </w:r>
      <w:r w:rsidR="00C11B44">
        <w:t xml:space="preserve"> </w:t>
      </w:r>
      <w:r w:rsidR="00981C66">
        <w:t>had 3</w:t>
      </w:r>
      <w:r w:rsidR="007B406E">
        <w:t>–</w:t>
      </w:r>
      <w:r w:rsidR="00981C66">
        <w:t xml:space="preserve">8 times more </w:t>
      </w:r>
      <w:r w:rsidR="007B406E">
        <w:t>human resources</w:t>
      </w:r>
      <w:r w:rsidR="00981C66">
        <w:t xml:space="preserve">. </w:t>
      </w:r>
      <w:r w:rsidR="005F67F5">
        <w:t xml:space="preserve">She understood </w:t>
      </w:r>
      <w:r w:rsidR="005A2243" w:rsidRPr="005A2243">
        <w:t xml:space="preserve">that </w:t>
      </w:r>
      <w:r w:rsidR="009604F2">
        <w:t xml:space="preserve">the </w:t>
      </w:r>
      <w:r w:rsidR="005A2243" w:rsidRPr="005A2243">
        <w:t>secretariat’s</w:t>
      </w:r>
      <w:r w:rsidR="00836544">
        <w:t xml:space="preserve"> extensive</w:t>
      </w:r>
      <w:r w:rsidR="005A2243" w:rsidRPr="005A2243">
        <w:t xml:space="preserve"> tasks </w:t>
      </w:r>
      <w:r w:rsidR="00236CD5">
        <w:t>w</w:t>
      </w:r>
      <w:r w:rsidR="009604F2">
        <w:t>ere</w:t>
      </w:r>
      <w:r w:rsidR="005A2243" w:rsidRPr="005A2243">
        <w:t xml:space="preserve"> no</w:t>
      </w:r>
      <w:r w:rsidR="00392E9C">
        <w:t xml:space="preserve"> longer</w:t>
      </w:r>
      <w:r w:rsidR="005A2243" w:rsidRPr="005A2243">
        <w:t xml:space="preserve"> manageable without stable additional staffing.</w:t>
      </w:r>
    </w:p>
    <w:p w14:paraId="77E38E54" w14:textId="351B79BC" w:rsidR="004F089F" w:rsidRDefault="00F31F84" w:rsidP="00CF2B97">
      <w:pPr>
        <w:pStyle w:val="SingleTxtG"/>
      </w:pPr>
      <w:r>
        <w:t>2</w:t>
      </w:r>
      <w:r w:rsidR="00974286">
        <w:t>2</w:t>
      </w:r>
      <w:r w:rsidR="006410E4">
        <w:t>.</w:t>
      </w:r>
      <w:r w:rsidR="006410E4">
        <w:tab/>
      </w:r>
      <w:r w:rsidR="00FC13C5">
        <w:t xml:space="preserve">The </w:t>
      </w:r>
      <w:r w:rsidR="004178CC" w:rsidRPr="00A80481">
        <w:t>Working Group</w:t>
      </w:r>
      <w:r w:rsidR="009345B0">
        <w:t xml:space="preserve"> </w:t>
      </w:r>
      <w:r w:rsidR="004178CC">
        <w:t>a</w:t>
      </w:r>
      <w:r w:rsidR="003E213A">
        <w:t xml:space="preserve">cknowledged that secretariat resources were critically low and unstable, hindering the </w:t>
      </w:r>
      <w:r w:rsidR="00050533">
        <w:t xml:space="preserve">preparations of the </w:t>
      </w:r>
      <w:r w:rsidR="007B406E">
        <w:t xml:space="preserve">sessions of the </w:t>
      </w:r>
      <w:r w:rsidR="003E213A">
        <w:t>M</w:t>
      </w:r>
      <w:r w:rsidR="004178CC">
        <w:t>eeting</w:t>
      </w:r>
      <w:r w:rsidR="00050533">
        <w:t>s</w:t>
      </w:r>
      <w:r w:rsidR="004178CC">
        <w:t xml:space="preserve"> of the Parties</w:t>
      </w:r>
      <w:r w:rsidR="003E213A">
        <w:t xml:space="preserve">, and, as of </w:t>
      </w:r>
      <w:r w:rsidR="00DA013F">
        <w:t>2024</w:t>
      </w:r>
      <w:r w:rsidR="003E213A">
        <w:t xml:space="preserve">, preventing the </w:t>
      </w:r>
      <w:r w:rsidR="008626A3">
        <w:t>fulfilment</w:t>
      </w:r>
      <w:r w:rsidR="003E213A">
        <w:t xml:space="preserve"> of the secretariat’s core mandate</w:t>
      </w:r>
      <w:r w:rsidR="004178CC">
        <w:t>.</w:t>
      </w:r>
      <w:r w:rsidR="006410E4">
        <w:t xml:space="preserve"> It </w:t>
      </w:r>
      <w:r w:rsidR="004178CC">
        <w:t>t</w:t>
      </w:r>
      <w:r w:rsidR="003E213A">
        <w:t xml:space="preserve">hanked Italy for its plans to sponsor a </w:t>
      </w:r>
      <w:r w:rsidR="00DA013F">
        <w:t>J</w:t>
      </w:r>
      <w:r w:rsidR="001E0D44">
        <w:t xml:space="preserve">unior </w:t>
      </w:r>
      <w:r w:rsidR="00DA013F">
        <w:t>P</w:t>
      </w:r>
      <w:r w:rsidR="001E0D44">
        <w:t xml:space="preserve">rofessional </w:t>
      </w:r>
      <w:r w:rsidR="00DA013F">
        <w:t>O</w:t>
      </w:r>
      <w:r w:rsidR="001E0D44">
        <w:t>fficer f</w:t>
      </w:r>
      <w:r w:rsidR="003E213A">
        <w:t>or 1</w:t>
      </w:r>
      <w:r w:rsidR="002E2A0D">
        <w:t>–</w:t>
      </w:r>
      <w:r w:rsidR="003E213A">
        <w:t xml:space="preserve">2 years and encouraged other Parties to follow </w:t>
      </w:r>
      <w:r w:rsidR="001E0D44">
        <w:t>that</w:t>
      </w:r>
      <w:r w:rsidR="003E213A">
        <w:t xml:space="preserve"> example</w:t>
      </w:r>
      <w:r w:rsidR="004178CC">
        <w:t xml:space="preserve">. </w:t>
      </w:r>
      <w:r w:rsidR="00643735">
        <w:t xml:space="preserve">The Working Group </w:t>
      </w:r>
      <w:r w:rsidR="004178CC">
        <w:t>r</w:t>
      </w:r>
      <w:r w:rsidR="003E213A">
        <w:t>ecognized</w:t>
      </w:r>
      <w:r w:rsidR="00643735">
        <w:t>, however,</w:t>
      </w:r>
      <w:r w:rsidR="003E213A">
        <w:t xml:space="preserve"> that temporary solutions for filling staffing gaps were not sustainable, noting also that hiring consultants </w:t>
      </w:r>
      <w:r w:rsidR="00DA013F" w:rsidRPr="00CA2AF1">
        <w:t>to carry out</w:t>
      </w:r>
      <w:r w:rsidR="00DA013F">
        <w:t xml:space="preserve"> </w:t>
      </w:r>
      <w:r w:rsidR="00FE2A9D">
        <w:t xml:space="preserve">the </w:t>
      </w:r>
      <w:r w:rsidR="003E213A">
        <w:t>secretariat’s core tasks was not permitted by the U</w:t>
      </w:r>
      <w:r w:rsidR="009B52BE">
        <w:t>nited Nations</w:t>
      </w:r>
      <w:r w:rsidR="004178CC">
        <w:t>. It al</w:t>
      </w:r>
      <w:r w:rsidR="003E213A">
        <w:t>so recognized that</w:t>
      </w:r>
      <w:r w:rsidR="005635CA">
        <w:t xml:space="preserve"> </w:t>
      </w:r>
      <w:r w:rsidR="003E213A">
        <w:t>donor</w:t>
      </w:r>
      <w:r w:rsidR="00DA013F">
        <w:t>-</w:t>
      </w:r>
      <w:r w:rsidR="003E213A">
        <w:t>funded capacity</w:t>
      </w:r>
      <w:r w:rsidR="00DA013F">
        <w:t>-</w:t>
      </w:r>
      <w:r w:rsidR="003E213A">
        <w:t>building projects could not</w:t>
      </w:r>
      <w:r w:rsidR="00AF45C8">
        <w:t xml:space="preserve"> </w:t>
      </w:r>
      <w:r w:rsidR="00720F9B">
        <w:t>finance the delivery of</w:t>
      </w:r>
      <w:r w:rsidR="00AF45C8">
        <w:t xml:space="preserve"> </w:t>
      </w:r>
      <w:r w:rsidR="003E213A">
        <w:t xml:space="preserve">the core secretariat functions and </w:t>
      </w:r>
      <w:r w:rsidR="005635CA">
        <w:t xml:space="preserve">would </w:t>
      </w:r>
      <w:r w:rsidR="003E213A">
        <w:t>also add burden on the secretariat</w:t>
      </w:r>
      <w:r w:rsidR="00257BA3">
        <w:t>,</w:t>
      </w:r>
      <w:r w:rsidR="00C41F32">
        <w:t xml:space="preserve"> implying tasks that would exceed</w:t>
      </w:r>
      <w:r w:rsidR="007F62F6">
        <w:t xml:space="preserve"> its current capacities</w:t>
      </w:r>
      <w:r w:rsidR="000D735C">
        <w:t xml:space="preserve">, such as fundraising, project preparation, </w:t>
      </w:r>
      <w:r w:rsidR="00176AD3">
        <w:t>recrui</w:t>
      </w:r>
      <w:r w:rsidR="00A52D53">
        <w:t>tment</w:t>
      </w:r>
      <w:r w:rsidR="00AF45C8">
        <w:t xml:space="preserve"> and</w:t>
      </w:r>
      <w:r w:rsidR="00176AD3">
        <w:t xml:space="preserve"> </w:t>
      </w:r>
      <w:r w:rsidR="00AF45C8">
        <w:t>training of staff</w:t>
      </w:r>
      <w:r w:rsidR="00DA013F">
        <w:t>,</w:t>
      </w:r>
      <w:r w:rsidR="00AF45C8">
        <w:t xml:space="preserve"> as well as </w:t>
      </w:r>
      <w:r w:rsidR="000D735C">
        <w:t>reporting, audit</w:t>
      </w:r>
      <w:r w:rsidR="00176AD3">
        <w:t xml:space="preserve"> and evaluation</w:t>
      </w:r>
      <w:r w:rsidR="007622C8">
        <w:t xml:space="preserve"> requirements by the donor</w:t>
      </w:r>
      <w:r w:rsidR="003E213A">
        <w:t>.</w:t>
      </w:r>
      <w:r w:rsidR="00186197">
        <w:t xml:space="preserve"> Consequently, </w:t>
      </w:r>
      <w:r w:rsidR="00AF45C8">
        <w:t xml:space="preserve">the Working Group acknowledged </w:t>
      </w:r>
      <w:r w:rsidR="000B646D">
        <w:t xml:space="preserve">that </w:t>
      </w:r>
      <w:r w:rsidR="003D2FD5">
        <w:t xml:space="preserve">the secretariat could no longer </w:t>
      </w:r>
      <w:r w:rsidR="00536CE1">
        <w:t>fund</w:t>
      </w:r>
      <w:r w:rsidR="00F31E04">
        <w:t>rais</w:t>
      </w:r>
      <w:r w:rsidR="00FC6ED9">
        <w:t>e</w:t>
      </w:r>
      <w:r w:rsidR="00F31E04">
        <w:t xml:space="preserve"> </w:t>
      </w:r>
      <w:r w:rsidR="00A136D7">
        <w:t xml:space="preserve">or </w:t>
      </w:r>
      <w:r w:rsidR="00483C8D">
        <w:t xml:space="preserve">implement </w:t>
      </w:r>
      <w:r w:rsidR="00F31E04">
        <w:t>activities for capacity</w:t>
      </w:r>
      <w:r w:rsidR="00DA013F">
        <w:t>-</w:t>
      </w:r>
      <w:r w:rsidR="00F31E04">
        <w:t>building</w:t>
      </w:r>
      <w:r w:rsidR="00AF45C8">
        <w:t xml:space="preserve"> purposes</w:t>
      </w:r>
      <w:r w:rsidR="004F089F">
        <w:t>.</w:t>
      </w:r>
    </w:p>
    <w:p w14:paraId="4C313558" w14:textId="4EEF4BF3" w:rsidR="006B4753" w:rsidRDefault="00F31F84" w:rsidP="00CF2B97">
      <w:pPr>
        <w:pStyle w:val="SingleTxtG"/>
      </w:pPr>
      <w:r>
        <w:t>2</w:t>
      </w:r>
      <w:r w:rsidR="00974286">
        <w:t>3</w:t>
      </w:r>
      <w:r w:rsidR="004F089F">
        <w:t>.</w:t>
      </w:r>
      <w:r w:rsidR="004F089F">
        <w:tab/>
        <w:t>The Working Group r</w:t>
      </w:r>
      <w:r w:rsidR="003E213A">
        <w:t xml:space="preserve">eiterated </w:t>
      </w:r>
      <w:r w:rsidR="005524AF">
        <w:t>its conclusions from its previous meeting (Geneva,</w:t>
      </w:r>
      <w:r w:rsidR="008F271C">
        <w:t xml:space="preserve"> 19–21 December 2022)</w:t>
      </w:r>
      <w:r w:rsidR="003E213A">
        <w:t xml:space="preserve"> that</w:t>
      </w:r>
      <w:r w:rsidR="00F43ED0">
        <w:t>, by</w:t>
      </w:r>
      <w:r w:rsidR="0048354A">
        <w:t xml:space="preserve"> the next intersessional period</w:t>
      </w:r>
      <w:r w:rsidR="00045750">
        <w:t xml:space="preserve"> 2024–</w:t>
      </w:r>
      <w:r w:rsidR="00523A75">
        <w:t>2026</w:t>
      </w:r>
      <w:r w:rsidR="0048354A">
        <w:t xml:space="preserve">, </w:t>
      </w:r>
      <w:r w:rsidR="003E213A">
        <w:t xml:space="preserve">Parties should collectively fund at least </w:t>
      </w:r>
      <w:r w:rsidR="00DA013F">
        <w:t>one</w:t>
      </w:r>
      <w:r w:rsidR="003E213A">
        <w:t xml:space="preserve"> </w:t>
      </w:r>
      <w:r w:rsidR="00DA013F">
        <w:t xml:space="preserve">additional </w:t>
      </w:r>
      <w:r w:rsidR="00FA6B73">
        <w:t xml:space="preserve">professional staff </w:t>
      </w:r>
      <w:r w:rsidR="003E213A">
        <w:t xml:space="preserve">post and part-time </w:t>
      </w:r>
      <w:r w:rsidR="00BF7BE5">
        <w:t>administrative</w:t>
      </w:r>
      <w:r w:rsidR="003E213A">
        <w:t xml:space="preserve"> support for the</w:t>
      </w:r>
      <w:r w:rsidR="00A82E84">
        <w:t xml:space="preserve"> performance of the</w:t>
      </w:r>
      <w:r w:rsidR="003E213A">
        <w:t xml:space="preserve"> </w:t>
      </w:r>
      <w:r w:rsidR="00B51B4E">
        <w:t xml:space="preserve">core </w:t>
      </w:r>
      <w:r w:rsidR="003E213A">
        <w:t>secretariat</w:t>
      </w:r>
      <w:r w:rsidR="00B51B4E">
        <w:t xml:space="preserve"> functions</w:t>
      </w:r>
      <w:r w:rsidR="003E213A">
        <w:t>; and</w:t>
      </w:r>
      <w:r w:rsidR="00DA013F">
        <w:t>, should that prove not to be</w:t>
      </w:r>
      <w:r w:rsidR="003E213A">
        <w:t xml:space="preserve"> </w:t>
      </w:r>
      <w:r w:rsidR="00493317">
        <w:t>achievable</w:t>
      </w:r>
      <w:r w:rsidR="00AF45C8">
        <w:t xml:space="preserve"> to the Parties</w:t>
      </w:r>
      <w:r w:rsidR="00523A75">
        <w:t>,</w:t>
      </w:r>
      <w:r w:rsidR="00CA1133">
        <w:t xml:space="preserve"> due to other national funding priorities</w:t>
      </w:r>
      <w:r w:rsidR="00335C42">
        <w:t xml:space="preserve">, they </w:t>
      </w:r>
      <w:r w:rsidR="003E213A">
        <w:t>should cut the secretariat’s tasks under the workplan 2024–2026</w:t>
      </w:r>
      <w:r w:rsidR="00FF01A7">
        <w:t xml:space="preserve"> to better align them with its limited resources</w:t>
      </w:r>
      <w:r w:rsidR="005524AF">
        <w:t>.</w:t>
      </w:r>
      <w:r w:rsidR="00267F45">
        <w:rPr>
          <w:rStyle w:val="FootnoteReference"/>
        </w:rPr>
        <w:footnoteReference w:id="9"/>
      </w:r>
    </w:p>
    <w:p w14:paraId="526DA31B" w14:textId="3B0582F5" w:rsidR="00F14FCE" w:rsidRPr="008A6475" w:rsidRDefault="00021C89" w:rsidP="00CF2B97">
      <w:pPr>
        <w:pStyle w:val="H1G"/>
      </w:pPr>
      <w:r>
        <w:tab/>
      </w:r>
      <w:r w:rsidRPr="008A6475">
        <w:t>C.</w:t>
      </w:r>
      <w:r w:rsidRPr="008A6475">
        <w:tab/>
      </w:r>
      <w:r w:rsidR="00B54AA4" w:rsidRPr="008A6475">
        <w:t>Pledges for funding</w:t>
      </w:r>
      <w:r w:rsidRPr="008A6475">
        <w:t xml:space="preserve"> and financial arrangements for 2024–202</w:t>
      </w:r>
      <w:r w:rsidR="00B54AA4" w:rsidRPr="008A6475">
        <w:t>6</w:t>
      </w:r>
    </w:p>
    <w:p w14:paraId="1096D1FD" w14:textId="335287A8" w:rsidR="00F274DE" w:rsidRDefault="00C0734F" w:rsidP="004917DC">
      <w:pPr>
        <w:pStyle w:val="SingleTxtG"/>
      </w:pPr>
      <w:r>
        <w:t>2</w:t>
      </w:r>
      <w:r w:rsidR="00974286">
        <w:t>4</w:t>
      </w:r>
      <w:r>
        <w:t>.</w:t>
      </w:r>
      <w:r>
        <w:tab/>
      </w:r>
      <w:r w:rsidR="00932B77" w:rsidRPr="00695EAB">
        <w:t xml:space="preserve">The </w:t>
      </w:r>
      <w:r w:rsidR="00D75453">
        <w:t xml:space="preserve">secretariat </w:t>
      </w:r>
      <w:r w:rsidR="00574346">
        <w:t xml:space="preserve">and </w:t>
      </w:r>
      <w:r w:rsidR="00703A67">
        <w:t>several d</w:t>
      </w:r>
      <w:r w:rsidR="00574346">
        <w:t xml:space="preserve">elegations </w:t>
      </w:r>
      <w:r w:rsidR="00703A67">
        <w:t>provided i</w:t>
      </w:r>
      <w:r w:rsidR="00D75453" w:rsidRPr="009869CA">
        <w:t xml:space="preserve">nitial information </w:t>
      </w:r>
      <w:r w:rsidR="00703A67">
        <w:t>o</w:t>
      </w:r>
      <w:r w:rsidR="00303D8D">
        <w:t>n</w:t>
      </w:r>
      <w:r w:rsidR="009B38B9">
        <w:t xml:space="preserve"> Parties</w:t>
      </w:r>
      <w:r w:rsidR="00703A67">
        <w:t>’</w:t>
      </w:r>
      <w:r w:rsidR="009B38B9">
        <w:t xml:space="preserve"> </w:t>
      </w:r>
      <w:r w:rsidR="00D75453" w:rsidRPr="009869CA">
        <w:t xml:space="preserve">expected funding for </w:t>
      </w:r>
      <w:r w:rsidR="009B38B9">
        <w:t xml:space="preserve">the next intersessional period </w:t>
      </w:r>
      <w:r w:rsidR="00D75453" w:rsidRPr="009869CA">
        <w:t>2024</w:t>
      </w:r>
      <w:r w:rsidR="009B38B9">
        <w:softHyphen/>
      </w:r>
      <w:r w:rsidR="006F0125">
        <w:t>–</w:t>
      </w:r>
      <w:r w:rsidR="00D75453" w:rsidRPr="009869CA">
        <w:t>2026</w:t>
      </w:r>
      <w:r w:rsidR="00AF6A83">
        <w:t xml:space="preserve">. </w:t>
      </w:r>
      <w:r w:rsidR="00286E39">
        <w:t xml:space="preserve">The </w:t>
      </w:r>
      <w:r w:rsidR="00932B77" w:rsidRPr="00695EAB">
        <w:t>Working Group</w:t>
      </w:r>
      <w:r w:rsidR="00286E39">
        <w:t xml:space="preserve"> t</w:t>
      </w:r>
      <w:r w:rsidR="009869CA" w:rsidRPr="009869CA">
        <w:t xml:space="preserve">hanked </w:t>
      </w:r>
      <w:r w:rsidR="00D9267F">
        <w:t xml:space="preserve">the </w:t>
      </w:r>
      <w:r w:rsidR="009869CA" w:rsidRPr="009869CA">
        <w:t xml:space="preserve">26 out of 45 Parties </w:t>
      </w:r>
      <w:r w:rsidR="00B8784F">
        <w:t xml:space="preserve">for </w:t>
      </w:r>
      <w:bookmarkStart w:id="4" w:name="_Hlk139460647"/>
      <w:r w:rsidR="00D9267F">
        <w:t xml:space="preserve">the </w:t>
      </w:r>
      <w:r w:rsidR="00756F88">
        <w:t xml:space="preserve">information </w:t>
      </w:r>
      <w:r w:rsidR="00623E10">
        <w:t xml:space="preserve">they had </w:t>
      </w:r>
      <w:r w:rsidR="00756F88">
        <w:t xml:space="preserve">provided </w:t>
      </w:r>
      <w:bookmarkEnd w:id="4"/>
      <w:r w:rsidR="009869CA" w:rsidRPr="009869CA">
        <w:t xml:space="preserve">before and during the </w:t>
      </w:r>
      <w:r w:rsidR="00DA013F">
        <w:t>curr</w:t>
      </w:r>
      <w:r w:rsidR="00DA013F" w:rsidRPr="009869CA">
        <w:t xml:space="preserve">ent </w:t>
      </w:r>
      <w:r w:rsidR="009869CA" w:rsidRPr="009869CA">
        <w:t xml:space="preserve">meeting. </w:t>
      </w:r>
      <w:r w:rsidR="005735E0">
        <w:t xml:space="preserve">It noted, however, </w:t>
      </w:r>
      <w:r w:rsidR="00932B77">
        <w:t>that</w:t>
      </w:r>
      <w:r w:rsidR="00623E10">
        <w:t xml:space="preserve"> the</w:t>
      </w:r>
      <w:r w:rsidR="00932B77">
        <w:t xml:space="preserve"> funding pledged</w:t>
      </w:r>
      <w:r w:rsidR="00155361">
        <w:t xml:space="preserve"> by Parties</w:t>
      </w:r>
      <w:r w:rsidR="00932B77">
        <w:t xml:space="preserve"> t</w:t>
      </w:r>
      <w:r w:rsidR="00DA013F">
        <w:t>o date</w:t>
      </w:r>
      <w:r w:rsidR="004C7492" w:rsidRPr="004C7492">
        <w:t xml:space="preserve"> </w:t>
      </w:r>
      <w:r w:rsidR="004C7492">
        <w:t xml:space="preserve">for </w:t>
      </w:r>
      <w:r w:rsidR="00DA013F">
        <w:t xml:space="preserve">the period </w:t>
      </w:r>
      <w:r w:rsidR="004C7492">
        <w:t>2024–2026</w:t>
      </w:r>
      <w:r w:rsidR="00932B77">
        <w:t xml:space="preserve"> amounted </w:t>
      </w:r>
      <w:r w:rsidR="006704F0">
        <w:t xml:space="preserve">to </w:t>
      </w:r>
      <w:r w:rsidR="00DA013F">
        <w:t xml:space="preserve">only </w:t>
      </w:r>
      <w:r w:rsidR="00932B77">
        <w:t xml:space="preserve">around </w:t>
      </w:r>
      <w:r w:rsidR="00DA013F">
        <w:t>$</w:t>
      </w:r>
      <w:r w:rsidR="00932B77">
        <w:t>1</w:t>
      </w:r>
      <w:r w:rsidR="00DA013F">
        <w:t>.</w:t>
      </w:r>
      <w:r w:rsidR="00932B77">
        <w:t>1 million</w:t>
      </w:r>
      <w:r w:rsidR="00EE7C5B">
        <w:t xml:space="preserve">, </w:t>
      </w:r>
      <w:r w:rsidR="00E25854">
        <w:t xml:space="preserve">which </w:t>
      </w:r>
      <w:r w:rsidR="00DA013F">
        <w:t xml:space="preserve">still </w:t>
      </w:r>
      <w:r w:rsidR="007922FF">
        <w:t>fell</w:t>
      </w:r>
      <w:r w:rsidR="00623E10">
        <w:t xml:space="preserve"> </w:t>
      </w:r>
      <w:r w:rsidR="002F08A6">
        <w:t>considerab</w:t>
      </w:r>
      <w:r w:rsidR="006D1C77">
        <w:t>l</w:t>
      </w:r>
      <w:r w:rsidR="004B2EB8">
        <w:t xml:space="preserve">y short of </w:t>
      </w:r>
      <w:r w:rsidR="009732F8">
        <w:t xml:space="preserve">the </w:t>
      </w:r>
      <w:r w:rsidR="00E3102A">
        <w:t xml:space="preserve">proposed budget of </w:t>
      </w:r>
      <w:r w:rsidR="00EE7C5B">
        <w:t>$</w:t>
      </w:r>
      <w:r w:rsidR="00A1238C">
        <w:t>1,928,610</w:t>
      </w:r>
      <w:r w:rsidR="00E3102A">
        <w:t xml:space="preserve"> </w:t>
      </w:r>
      <w:r w:rsidR="00316B3C">
        <w:t>for</w:t>
      </w:r>
      <w:r w:rsidR="00CC7A13">
        <w:t xml:space="preserve"> </w:t>
      </w:r>
      <w:r w:rsidR="000473F6">
        <w:t>cover</w:t>
      </w:r>
      <w:r w:rsidR="00316B3C">
        <w:t>ing</w:t>
      </w:r>
      <w:r w:rsidR="000473F6">
        <w:t xml:space="preserve"> the </w:t>
      </w:r>
      <w:r w:rsidR="00F8336D">
        <w:t>resource</w:t>
      </w:r>
      <w:r w:rsidR="002D2D86">
        <w:t xml:space="preserve"> requirements for the workplan</w:t>
      </w:r>
      <w:r w:rsidR="00932B77">
        <w:t xml:space="preserve"> </w:t>
      </w:r>
      <w:r w:rsidR="00DA17A4">
        <w:t xml:space="preserve">for </w:t>
      </w:r>
      <w:r w:rsidR="00932B77">
        <w:t>2024</w:t>
      </w:r>
      <w:r w:rsidR="00EE7C5B">
        <w:softHyphen/>
        <w:t>–</w:t>
      </w:r>
      <w:r w:rsidR="00932B77">
        <w:t>2026</w:t>
      </w:r>
      <w:r w:rsidR="00CD1219">
        <w:t xml:space="preserve"> (ECE/MP.EIA/WG.2/2023/3</w:t>
      </w:r>
      <w:r w:rsidR="00E3102A">
        <w:t xml:space="preserve">, </w:t>
      </w:r>
      <w:r w:rsidR="005B5D2C">
        <w:t>decision IX/2–V/2</w:t>
      </w:r>
      <w:r w:rsidR="00155361">
        <w:t>, annex II)</w:t>
      </w:r>
      <w:r w:rsidR="00932B77">
        <w:t>.</w:t>
      </w:r>
    </w:p>
    <w:p w14:paraId="2AEAEB9D" w14:textId="0CDB4666" w:rsidR="00060818" w:rsidRDefault="00A66F9B" w:rsidP="004917DC">
      <w:pPr>
        <w:pStyle w:val="SingleTxtG"/>
      </w:pPr>
      <w:r>
        <w:t>2</w:t>
      </w:r>
      <w:r w:rsidR="00974286">
        <w:t>5</w:t>
      </w:r>
      <w:r>
        <w:t>.</w:t>
      </w:r>
      <w:r>
        <w:tab/>
        <w:t xml:space="preserve">The Working Group </w:t>
      </w:r>
      <w:r w:rsidR="00DA17A4">
        <w:t xml:space="preserve">expressed </w:t>
      </w:r>
      <w:r w:rsidR="00932B77">
        <w:t>regret</w:t>
      </w:r>
      <w:r w:rsidR="00DA17A4">
        <w:t xml:space="preserve"> regarding</w:t>
      </w:r>
      <w:r w:rsidR="00932B77">
        <w:t xml:space="preserve"> the missing information </w:t>
      </w:r>
      <w:r w:rsidR="00623E10">
        <w:t xml:space="preserve">from the remaining </w:t>
      </w:r>
      <w:r w:rsidR="00995A29">
        <w:t>19 Pa</w:t>
      </w:r>
      <w:r w:rsidR="00623E10">
        <w:t xml:space="preserve">rties </w:t>
      </w:r>
      <w:r w:rsidR="00932B77">
        <w:t>on the</w:t>
      </w:r>
      <w:r w:rsidR="00623E10">
        <w:t>ir</w:t>
      </w:r>
      <w:r w:rsidR="00932B77">
        <w:t xml:space="preserve"> expected contributions, which complicated and delayed the preparation of a realistic workplan that would match the funding available</w:t>
      </w:r>
      <w:r w:rsidR="008853BB">
        <w:t xml:space="preserve">. </w:t>
      </w:r>
      <w:r w:rsidR="00060818">
        <w:t xml:space="preserve">It invited those Parties (Albania, Armenia, Belgium, Belarus, Bosnia and Herzegovina, Cyprus, Czechia, Finland, Kazakhstan, Kyrgyzstan, Liechtenstein, </w:t>
      </w:r>
      <w:r w:rsidR="00055312">
        <w:t xml:space="preserve">Montenegro, </w:t>
      </w:r>
      <w:r w:rsidR="00060818">
        <w:t>North Macedonia, Poland, Portugal, Serbia, Slovakia, Ukraine and the United Kingdom of Great Britain and Northern Ireland) to inform the secretariat of their pledges for funding as early as possible in advance of the next sessions of the Meetings of the Parties, and by no later than 15 October 2023, so that Parties could agree on a workplan that matche</w:t>
      </w:r>
      <w:r w:rsidR="00055312">
        <w:t>d</w:t>
      </w:r>
      <w:r w:rsidR="00060818">
        <w:t xml:space="preserve"> the resources available</w:t>
      </w:r>
      <w:r w:rsidR="00CF2B97">
        <w:t>.</w:t>
      </w:r>
    </w:p>
    <w:p w14:paraId="06827BE6" w14:textId="4D5262F5" w:rsidR="004D682F" w:rsidRDefault="00060818" w:rsidP="00CF2B97">
      <w:pPr>
        <w:pStyle w:val="SingleTxtG"/>
      </w:pPr>
      <w:r>
        <w:t>2</w:t>
      </w:r>
      <w:r w:rsidR="00974286">
        <w:t>6</w:t>
      </w:r>
      <w:r>
        <w:t>.</w:t>
      </w:r>
      <w:r>
        <w:tab/>
        <w:t xml:space="preserve">The Working Group </w:t>
      </w:r>
      <w:r w:rsidR="00932B77">
        <w:t xml:space="preserve">also </w:t>
      </w:r>
      <w:r w:rsidR="00A52D53">
        <w:t xml:space="preserve">expressed </w:t>
      </w:r>
      <w:r w:rsidR="00932B77">
        <w:t>regret</w:t>
      </w:r>
      <w:r w:rsidR="00A52D53">
        <w:t xml:space="preserve"> at</w:t>
      </w:r>
      <w:r w:rsidR="00932B77">
        <w:t xml:space="preserve"> the </w:t>
      </w:r>
      <w:r w:rsidR="00623E10">
        <w:t xml:space="preserve">lack </w:t>
      </w:r>
      <w:r w:rsidR="004D75D1">
        <w:t>of</w:t>
      </w:r>
      <w:r w:rsidR="00A52D53">
        <w:t>.</w:t>
      </w:r>
      <w:r w:rsidR="004D75D1">
        <w:t xml:space="preserve"> </w:t>
      </w:r>
      <w:r w:rsidR="00623E10">
        <w:t xml:space="preserve">or only </w:t>
      </w:r>
      <w:r w:rsidR="00932B77">
        <w:t xml:space="preserve">limited increase </w:t>
      </w:r>
      <w:r w:rsidR="00623E10">
        <w:t>in</w:t>
      </w:r>
      <w:r w:rsidR="00A52D53">
        <w:t>,</w:t>
      </w:r>
      <w:r w:rsidR="00932B77">
        <w:t xml:space="preserve"> the </w:t>
      </w:r>
      <w:r w:rsidR="00623E10">
        <w:t>amounts of the</w:t>
      </w:r>
      <w:r w:rsidR="004D75D1">
        <w:t xml:space="preserve"> pledges that</w:t>
      </w:r>
      <w:r w:rsidR="00623E10">
        <w:t xml:space="preserve"> Parties</w:t>
      </w:r>
      <w:r w:rsidR="004D75D1">
        <w:t xml:space="preserve"> had made</w:t>
      </w:r>
      <w:r w:rsidR="00932B77">
        <w:t xml:space="preserve"> </w:t>
      </w:r>
      <w:r w:rsidR="00995A29">
        <w:t>thus far</w:t>
      </w:r>
      <w:r w:rsidR="004D75D1">
        <w:t>,</w:t>
      </w:r>
      <w:r w:rsidR="00995A29">
        <w:t xml:space="preserve"> </w:t>
      </w:r>
      <w:r w:rsidR="00623E10">
        <w:t>in comparison with the</w:t>
      </w:r>
      <w:r w:rsidR="004D75D1">
        <w:t>ir</w:t>
      </w:r>
      <w:r w:rsidR="00623E10">
        <w:t xml:space="preserve"> previous years</w:t>
      </w:r>
      <w:r w:rsidR="00995A29">
        <w:t>’ contributions</w:t>
      </w:r>
      <w:r w:rsidR="00623E10">
        <w:t>, with a few exceptions</w:t>
      </w:r>
      <w:r w:rsidR="00995A29">
        <w:t xml:space="preserve"> (</w:t>
      </w:r>
      <w:r w:rsidR="00623E10">
        <w:t>including</w:t>
      </w:r>
      <w:r w:rsidR="004D75D1">
        <w:t>, in particular,</w:t>
      </w:r>
      <w:r w:rsidR="00623E10">
        <w:t xml:space="preserve"> </w:t>
      </w:r>
      <w:r w:rsidR="00995A29">
        <w:t xml:space="preserve">that of </w:t>
      </w:r>
      <w:r w:rsidR="00623E10">
        <w:t>France</w:t>
      </w:r>
      <w:r w:rsidR="00995A29">
        <w:t>)</w:t>
      </w:r>
      <w:r w:rsidR="004D75D1">
        <w:t>, despite the pleas from the Bureau and the Working Group, and the letters sent by the ECE Executive Secretary</w:t>
      </w:r>
      <w:r>
        <w:t xml:space="preserve"> to Parties (</w:t>
      </w:r>
      <w:r w:rsidRPr="0097424E">
        <w:t>letters of 7 December 2022</w:t>
      </w:r>
      <w:r>
        <w:t>)</w:t>
      </w:r>
      <w:r w:rsidR="00995A29">
        <w:t xml:space="preserve">. </w:t>
      </w:r>
      <w:r w:rsidR="00055312">
        <w:t>C</w:t>
      </w:r>
      <w:r>
        <w:t>onsequen</w:t>
      </w:r>
      <w:r w:rsidR="00055312">
        <w:t>tly</w:t>
      </w:r>
      <w:r>
        <w:t>, the expected</w:t>
      </w:r>
      <w:r w:rsidR="00995A29">
        <w:t xml:space="preserve"> </w:t>
      </w:r>
      <w:r>
        <w:t>revenue for</w:t>
      </w:r>
      <w:r w:rsidR="004D75D1">
        <w:t xml:space="preserve"> the next period </w:t>
      </w:r>
      <w:r>
        <w:t xml:space="preserve">was likely to be </w:t>
      </w:r>
      <w:r w:rsidR="004D75D1">
        <w:t xml:space="preserve">insufficient </w:t>
      </w:r>
      <w:r w:rsidR="00932B77">
        <w:t>to cover the proposed budget</w:t>
      </w:r>
      <w:r w:rsidR="00995A29">
        <w:t>ary requirements</w:t>
      </w:r>
      <w:r w:rsidR="004D75D1">
        <w:t xml:space="preserve"> for that period</w:t>
      </w:r>
      <w:r w:rsidR="00932B77">
        <w:t>.</w:t>
      </w:r>
      <w:r w:rsidR="004D75D1">
        <w:t xml:space="preserve"> </w:t>
      </w:r>
      <w:r w:rsidR="004D682F">
        <w:t>T</w:t>
      </w:r>
      <w:r w:rsidR="00727E5E">
        <w:t>he</w:t>
      </w:r>
      <w:r>
        <w:t>refore, the</w:t>
      </w:r>
      <w:r w:rsidR="00727E5E">
        <w:t xml:space="preserve"> Working Group t</w:t>
      </w:r>
      <w:r w:rsidR="004D682F">
        <w:t>hanked the national focal points for their efforts to mobilize further funding within their Governments and encouraged the</w:t>
      </w:r>
      <w:r w:rsidR="00FB2F12">
        <w:t xml:space="preserve">m to </w:t>
      </w:r>
      <w:r w:rsidR="004D682F">
        <w:t>continu</w:t>
      </w:r>
      <w:r w:rsidR="00630275">
        <w:t>e th</w:t>
      </w:r>
      <w:r>
        <w:t>ose</w:t>
      </w:r>
      <w:r w:rsidR="00630275">
        <w:t xml:space="preserve"> </w:t>
      </w:r>
      <w:r w:rsidR="004D682F">
        <w:t>efforts with a view to increasing their pledges for 2024</w:t>
      </w:r>
      <w:r w:rsidR="00630275">
        <w:t>–</w:t>
      </w:r>
      <w:r w:rsidR="004D682F">
        <w:t xml:space="preserve">2026. </w:t>
      </w:r>
      <w:r w:rsidR="003240F3">
        <w:t>Moreover, i</w:t>
      </w:r>
      <w:r w:rsidR="004D682F">
        <w:t xml:space="preserve">f feasible, </w:t>
      </w:r>
      <w:r w:rsidR="00AF5F4F">
        <w:t xml:space="preserve">in order </w:t>
      </w:r>
      <w:r w:rsidR="004D682F">
        <w:t>to improve</w:t>
      </w:r>
      <w:r w:rsidR="009C723B">
        <w:t xml:space="preserve"> </w:t>
      </w:r>
      <w:r w:rsidR="004D682F">
        <w:t>predictability</w:t>
      </w:r>
      <w:r w:rsidR="00AF5F4F">
        <w:t xml:space="preserve"> </w:t>
      </w:r>
      <w:r w:rsidR="00AF5F4F" w:rsidRPr="00C5262B">
        <w:t>of funding</w:t>
      </w:r>
      <w:r w:rsidR="004D682F">
        <w:t xml:space="preserve"> and</w:t>
      </w:r>
      <w:r w:rsidR="00F448CE">
        <w:t xml:space="preserve"> to</w:t>
      </w:r>
      <w:r w:rsidR="004D682F">
        <w:t xml:space="preserve"> reduce </w:t>
      </w:r>
      <w:r w:rsidR="00AF5F4F">
        <w:t xml:space="preserve">the </w:t>
      </w:r>
      <w:r w:rsidR="004D682F">
        <w:t xml:space="preserve">administrative burden and costs, </w:t>
      </w:r>
      <w:r w:rsidR="00F448CE">
        <w:t xml:space="preserve">it </w:t>
      </w:r>
      <w:r w:rsidR="004D682F">
        <w:t>recommended that</w:t>
      </w:r>
      <w:r w:rsidR="003240F3">
        <w:t xml:space="preserve"> </w:t>
      </w:r>
      <w:r>
        <w:t xml:space="preserve">the Working Group invite </w:t>
      </w:r>
      <w:r w:rsidR="004D682F">
        <w:t xml:space="preserve">Parties </w:t>
      </w:r>
      <w:r>
        <w:t xml:space="preserve">to </w:t>
      </w:r>
      <w:r w:rsidR="004D1940">
        <w:t xml:space="preserve">consider </w:t>
      </w:r>
      <w:r w:rsidR="004D682F">
        <w:t>mak</w:t>
      </w:r>
      <w:r w:rsidR="001F5355">
        <w:t>ing</w:t>
      </w:r>
      <w:r w:rsidR="004D682F">
        <w:t xml:space="preserve"> multi</w:t>
      </w:r>
      <w:r w:rsidR="00AF5F4F">
        <w:t>-</w:t>
      </w:r>
      <w:r w:rsidR="004D682F">
        <w:t xml:space="preserve">year </w:t>
      </w:r>
      <w:r w:rsidR="00780D93">
        <w:t xml:space="preserve">contributions </w:t>
      </w:r>
      <w:r w:rsidR="003240F3">
        <w:t xml:space="preserve">in 2024 </w:t>
      </w:r>
      <w:r w:rsidR="004D682F">
        <w:t>(</w:t>
      </w:r>
      <w:r w:rsidR="00780D93">
        <w:t xml:space="preserve">i.e. </w:t>
      </w:r>
      <w:r w:rsidR="003240F3">
        <w:t xml:space="preserve">issuing </w:t>
      </w:r>
      <w:r w:rsidR="00205041">
        <w:t xml:space="preserve">single payments </w:t>
      </w:r>
      <w:r w:rsidR="00586C2E">
        <w:t>cover</w:t>
      </w:r>
      <w:r w:rsidR="004D1940">
        <w:t>ing</w:t>
      </w:r>
      <w:r w:rsidR="00586C2E">
        <w:t xml:space="preserve"> </w:t>
      </w:r>
      <w:r w:rsidR="00325D82">
        <w:t>the</w:t>
      </w:r>
      <w:r w:rsidR="00780D93">
        <w:t xml:space="preserve"> </w:t>
      </w:r>
      <w:r w:rsidR="003240F3">
        <w:t xml:space="preserve">contributions for the </w:t>
      </w:r>
      <w:r w:rsidR="007A1B8E">
        <w:t xml:space="preserve">years </w:t>
      </w:r>
      <w:r w:rsidR="004D682F">
        <w:t>2024</w:t>
      </w:r>
      <w:r w:rsidR="007A1B8E">
        <w:t>, 2025 and 2026</w:t>
      </w:r>
      <w:r w:rsidR="004D682F">
        <w:t>).</w:t>
      </w:r>
    </w:p>
    <w:p w14:paraId="4AF2F466" w14:textId="1115915E" w:rsidR="00194E48" w:rsidRPr="00CF3F70" w:rsidRDefault="004D682F" w:rsidP="0057078C">
      <w:pPr>
        <w:pStyle w:val="SingleTxtG"/>
        <w:rPr>
          <w:highlight w:val="yellow"/>
        </w:rPr>
      </w:pPr>
      <w:r>
        <w:t>2</w:t>
      </w:r>
      <w:r w:rsidR="00974286">
        <w:t>7</w:t>
      </w:r>
      <w:r>
        <w:t>.</w:t>
      </w:r>
      <w:r>
        <w:tab/>
        <w:t xml:space="preserve">The Working Group </w:t>
      </w:r>
      <w:r w:rsidR="003240F3">
        <w:t xml:space="preserve">then </w:t>
      </w:r>
      <w:r>
        <w:t>r</w:t>
      </w:r>
      <w:r w:rsidR="00194E48">
        <w:t>eviewed and agreed on the text of draft decision IX/1</w:t>
      </w:r>
      <w:r w:rsidR="0057078C">
        <w:t>–</w:t>
      </w:r>
      <w:r w:rsidR="00194E48">
        <w:t xml:space="preserve">V/1, as revised, and </w:t>
      </w:r>
      <w:r w:rsidR="00AE461E">
        <w:t xml:space="preserve">invited the secretariat to </w:t>
      </w:r>
      <w:r w:rsidR="00194E48">
        <w:t xml:space="preserve">forward it to the Meetings of the Parties at their next sessions. </w:t>
      </w:r>
      <w:r w:rsidR="00591C1F">
        <w:t>It again</w:t>
      </w:r>
      <w:r w:rsidR="00AE461E">
        <w:t xml:space="preserve"> </w:t>
      </w:r>
      <w:r w:rsidR="00691842">
        <w:t xml:space="preserve">reiterated </w:t>
      </w:r>
      <w:r w:rsidR="00194E48">
        <w:t xml:space="preserve">that the draft workplan for the period 2024–2026 </w:t>
      </w:r>
      <w:r w:rsidR="00E81786">
        <w:t>should correspond</w:t>
      </w:r>
      <w:r w:rsidR="00194E48">
        <w:t xml:space="preserve"> to the expected future funding for its implementation to ensure that the demand for activities and services matche</w:t>
      </w:r>
      <w:r w:rsidR="008971DE">
        <w:t>d</w:t>
      </w:r>
      <w:r w:rsidR="00194E48">
        <w:t xml:space="preserve"> the offer of resources</w:t>
      </w:r>
      <w:r>
        <w:t xml:space="preserve"> and</w:t>
      </w:r>
      <w:r w:rsidR="00194E48">
        <w:t xml:space="preserve"> that</w:t>
      </w:r>
      <w:r w:rsidR="003240F3">
        <w:t>,</w:t>
      </w:r>
      <w:r w:rsidR="00194E48">
        <w:t xml:space="preserve"> pending</w:t>
      </w:r>
      <w:r w:rsidR="003240F3">
        <w:t xml:space="preserve"> </w:t>
      </w:r>
      <w:r w:rsidR="00194E48">
        <w:t>receipt of the required additional resources</w:t>
      </w:r>
      <w:r w:rsidR="003240F3">
        <w:t>,</w:t>
      </w:r>
      <w:r w:rsidR="00194E48">
        <w:t xml:space="preserve"> only </w:t>
      </w:r>
      <w:r w:rsidR="00A52D53">
        <w:t xml:space="preserve">a </w:t>
      </w:r>
      <w:r w:rsidR="00194E48">
        <w:t xml:space="preserve">reduced </w:t>
      </w:r>
      <w:r w:rsidR="003240F3">
        <w:t>amount</w:t>
      </w:r>
      <w:r w:rsidR="00A52D53">
        <w:t xml:space="preserve"> of</w:t>
      </w:r>
      <w:r w:rsidR="003240F3">
        <w:t xml:space="preserve"> </w:t>
      </w:r>
      <w:r w:rsidR="00194E48">
        <w:t>activities</w:t>
      </w:r>
      <w:r w:rsidR="003240F3">
        <w:t xml:space="preserve"> and services</w:t>
      </w:r>
      <w:r w:rsidR="00194E48">
        <w:t xml:space="preserve"> could be delivered</w:t>
      </w:r>
      <w:r>
        <w:t>.</w:t>
      </w:r>
    </w:p>
    <w:p w14:paraId="64BD2DB1" w14:textId="3DBE1899" w:rsidR="00E8323A" w:rsidRDefault="000A57F3" w:rsidP="00CF3CF0">
      <w:pPr>
        <w:pStyle w:val="SingleTxtG"/>
      </w:pPr>
      <w:r>
        <w:t>2</w:t>
      </w:r>
      <w:r w:rsidR="00974286">
        <w:t>8</w:t>
      </w:r>
      <w:r>
        <w:t>.</w:t>
      </w:r>
      <w:r>
        <w:tab/>
      </w:r>
      <w:r w:rsidR="00551444">
        <w:t xml:space="preserve">The delegation of </w:t>
      </w:r>
      <w:r>
        <w:t xml:space="preserve">Belarus made a unilateral statement, in which it “pointed out the impact of the unprecedented unilateral coercive measures against </w:t>
      </w:r>
      <w:r w:rsidRPr="00BA37C4">
        <w:t xml:space="preserve">its country, politization of this forum and non-engagement of its country to the workplan activities on the possibilities of </w:t>
      </w:r>
      <w:r w:rsidR="00BA237E" w:rsidRPr="00BA37C4">
        <w:t xml:space="preserve">Belarus </w:t>
      </w:r>
      <w:r w:rsidRPr="00BA37C4">
        <w:t>to contribute financially or in-kind in the current intersessional period</w:t>
      </w:r>
      <w:r>
        <w:t xml:space="preserve">”. </w:t>
      </w:r>
      <w:r w:rsidR="00732BDF">
        <w:t xml:space="preserve">The delegation </w:t>
      </w:r>
      <w:r>
        <w:t>requested</w:t>
      </w:r>
      <w:r w:rsidR="00B912EE">
        <w:t xml:space="preserve"> that</w:t>
      </w:r>
      <w:r>
        <w:t xml:space="preserve"> its statement be included in the report on the meeting.</w:t>
      </w:r>
    </w:p>
    <w:p w14:paraId="56FD0424" w14:textId="012D3177" w:rsidR="00786A74" w:rsidRDefault="00B554D8" w:rsidP="00CF3CF0">
      <w:pPr>
        <w:pStyle w:val="HChG"/>
      </w:pPr>
      <w:r w:rsidRPr="00B554D8">
        <w:tab/>
        <w:t>IV.</w:t>
      </w:r>
      <w:r w:rsidRPr="00B554D8">
        <w:tab/>
      </w:r>
      <w:r w:rsidR="00786A74" w:rsidRPr="00844362">
        <w:rPr>
          <w:lang w:eastAsia="en-US"/>
        </w:rPr>
        <w:t>Preparations for the next sessions of the Meetings of the Parties</w:t>
      </w:r>
    </w:p>
    <w:p w14:paraId="46770D40" w14:textId="77777777" w:rsidR="00091F9F" w:rsidRPr="00B554D8" w:rsidRDefault="00091F9F" w:rsidP="00CF3CF0">
      <w:pPr>
        <w:pStyle w:val="H1G"/>
      </w:pPr>
      <w:r w:rsidRPr="00B554D8">
        <w:tab/>
        <w:t>A.</w:t>
      </w:r>
      <w:r w:rsidRPr="00B554D8">
        <w:tab/>
        <w:t xml:space="preserve">Practical </w:t>
      </w:r>
      <w:r w:rsidRPr="00CF3CF0">
        <w:t>arrangements</w:t>
      </w:r>
    </w:p>
    <w:p w14:paraId="604423F1" w14:textId="22C10C69" w:rsidR="00091F9F" w:rsidRPr="00B2499A" w:rsidRDefault="00B912EE" w:rsidP="00CF3CF0">
      <w:pPr>
        <w:pStyle w:val="SingleTxtG"/>
      </w:pPr>
      <w:r>
        <w:t>2</w:t>
      </w:r>
      <w:r w:rsidR="00974286">
        <w:t>9</w:t>
      </w:r>
      <w:r w:rsidR="00091F9F" w:rsidRPr="00B2499A">
        <w:t>.</w:t>
      </w:r>
      <w:r w:rsidR="00091F9F" w:rsidRPr="00B2499A">
        <w:tab/>
        <w:t>The Working Group considered practical arrangements for the ninth session of the Meeting of the Parties to the Convention and the fifth session of the Meeting of the Parties to the Protocol</w:t>
      </w:r>
      <w:r w:rsidR="002A37C1">
        <w:t>,</w:t>
      </w:r>
      <w:r w:rsidR="006B158F">
        <w:t xml:space="preserve"> scheduled </w:t>
      </w:r>
      <w:r w:rsidR="006F4C15">
        <w:t xml:space="preserve">to </w:t>
      </w:r>
      <w:r w:rsidR="006833F9">
        <w:t>start on Tuesday</w:t>
      </w:r>
      <w:r w:rsidR="00026266">
        <w:t>,</w:t>
      </w:r>
      <w:r w:rsidR="006833F9">
        <w:t xml:space="preserve"> </w:t>
      </w:r>
      <w:r w:rsidR="00091F9F" w:rsidRPr="00B2499A">
        <w:t>12</w:t>
      </w:r>
      <w:r w:rsidR="006833F9">
        <w:t xml:space="preserve"> December at </w:t>
      </w:r>
      <w:r w:rsidR="00AB3E77">
        <w:t xml:space="preserve">10 a.m. and </w:t>
      </w:r>
      <w:r w:rsidR="002A37C1">
        <w:t xml:space="preserve">to </w:t>
      </w:r>
      <w:r w:rsidR="00AB3E77">
        <w:t>clos</w:t>
      </w:r>
      <w:r w:rsidR="00EE03AD">
        <w:t>e</w:t>
      </w:r>
      <w:r w:rsidR="00AB3E77">
        <w:t xml:space="preserve"> on </w:t>
      </w:r>
      <w:r w:rsidR="00026266">
        <w:t>Friday, 1</w:t>
      </w:r>
      <w:r w:rsidR="00091F9F" w:rsidRPr="00B2499A">
        <w:t>5 December 2023</w:t>
      </w:r>
      <w:r w:rsidR="006B16FD">
        <w:t>, at 1 p.m</w:t>
      </w:r>
      <w:r w:rsidR="002716BB">
        <w:t>.</w:t>
      </w:r>
      <w:r w:rsidR="00EE03AD">
        <w:t xml:space="preserve">, with the high-level segment </w:t>
      </w:r>
      <w:r w:rsidR="00415F7B">
        <w:t>taking place on</w:t>
      </w:r>
      <w:r w:rsidR="009C0A5E">
        <w:t xml:space="preserve"> Thursday, 14 December </w:t>
      </w:r>
      <w:r w:rsidR="00347838">
        <w:t xml:space="preserve">from </w:t>
      </w:r>
      <w:r w:rsidR="00B43F70">
        <w:t>1</w:t>
      </w:r>
      <w:r w:rsidR="00702BE7">
        <w:t xml:space="preserve"> to </w:t>
      </w:r>
      <w:r w:rsidR="00B43F70">
        <w:t xml:space="preserve">3 p.m. and on Friday, 15 December </w:t>
      </w:r>
      <w:r w:rsidR="00347838">
        <w:t xml:space="preserve">from </w:t>
      </w:r>
      <w:r w:rsidR="00120367">
        <w:t>10 a.m.</w:t>
      </w:r>
      <w:r w:rsidR="00261338">
        <w:t xml:space="preserve"> to </w:t>
      </w:r>
      <w:r w:rsidR="00120367">
        <w:t>1 p.m.</w:t>
      </w:r>
      <w:r w:rsidR="00EE03AD">
        <w:t xml:space="preserve"> </w:t>
      </w:r>
      <w:r w:rsidR="00091F9F" w:rsidRPr="00B2499A">
        <w:t xml:space="preserve">It noted that the sessions would be held </w:t>
      </w:r>
      <w:r w:rsidR="00A52D53">
        <w:t>at</w:t>
      </w:r>
      <w:r w:rsidR="00576445">
        <w:t xml:space="preserve"> the Palais des Nations</w:t>
      </w:r>
      <w:r w:rsidR="002A37C1">
        <w:t>,</w:t>
      </w:r>
      <w:r w:rsidR="00576445">
        <w:t xml:space="preserve"> </w:t>
      </w:r>
      <w:r w:rsidR="00A52D53">
        <w:t xml:space="preserve">Geneva, </w:t>
      </w:r>
      <w:r w:rsidR="00091F9F" w:rsidRPr="00B2499A">
        <w:t>as no Party had offered to host them.</w:t>
      </w:r>
    </w:p>
    <w:p w14:paraId="0520B323" w14:textId="6305DFA0" w:rsidR="008A6475" w:rsidRDefault="00974286" w:rsidP="00CF3CF0">
      <w:pPr>
        <w:pStyle w:val="SingleTxtG"/>
      </w:pPr>
      <w:r>
        <w:t>30</w:t>
      </w:r>
      <w:r w:rsidR="00091F9F" w:rsidRPr="009D21A4">
        <w:t>.</w:t>
      </w:r>
      <w:r w:rsidR="00091F9F" w:rsidRPr="009D21A4">
        <w:tab/>
        <w:t xml:space="preserve">The </w:t>
      </w:r>
      <w:r w:rsidR="00F36571">
        <w:t xml:space="preserve">secretariat presented </w:t>
      </w:r>
      <w:r w:rsidR="0039371F">
        <w:t>information</w:t>
      </w:r>
      <w:r w:rsidR="006E1AB0" w:rsidRPr="009D21A4">
        <w:t xml:space="preserve"> </w:t>
      </w:r>
      <w:r w:rsidR="00547348">
        <w:t xml:space="preserve">on the </w:t>
      </w:r>
      <w:r w:rsidR="006E1AB0" w:rsidRPr="009D21A4">
        <w:t>preparations for</w:t>
      </w:r>
      <w:r w:rsidR="00844362">
        <w:t xml:space="preserve"> the next sessions of the</w:t>
      </w:r>
      <w:r w:rsidR="006E1AB0" w:rsidRPr="009D21A4">
        <w:t xml:space="preserve"> </w:t>
      </w:r>
      <w:r w:rsidR="003F23C5">
        <w:t>Meetings of the Parties</w:t>
      </w:r>
      <w:r w:rsidR="00695CC0" w:rsidRPr="009D21A4">
        <w:t xml:space="preserve"> </w:t>
      </w:r>
      <w:r w:rsidR="006E1AB0" w:rsidRPr="009D21A4">
        <w:t>and their related time</w:t>
      </w:r>
      <w:r w:rsidR="00844362">
        <w:t xml:space="preserve"> </w:t>
      </w:r>
      <w:r w:rsidR="006E1AB0" w:rsidRPr="009D21A4">
        <w:t>schedule, as well as the provisional list of draft decisions and document</w:t>
      </w:r>
      <w:r w:rsidR="006E1AB0">
        <w:t>s</w:t>
      </w:r>
      <w:r w:rsidR="002A37C1">
        <w:t xml:space="preserve"> (</w:t>
      </w:r>
      <w:r w:rsidR="00E31A68">
        <w:t>ECE/MP.EIA/WG.2/2023/INF.4</w:t>
      </w:r>
      <w:r w:rsidR="002A37C1">
        <w:t>)</w:t>
      </w:r>
      <w:r w:rsidR="009D21A4">
        <w:t>.</w:t>
      </w:r>
      <w:r w:rsidR="004D18B4">
        <w:t xml:space="preserve"> The Working Group took note of the information. </w:t>
      </w:r>
      <w:r w:rsidR="00C2477B">
        <w:t xml:space="preserve">It also </w:t>
      </w:r>
      <w:r w:rsidR="005D6692">
        <w:t>n</w:t>
      </w:r>
      <w:r w:rsidR="006E1AB0">
        <w:t xml:space="preserve">oted </w:t>
      </w:r>
      <w:r w:rsidR="0072219B">
        <w:t>the</w:t>
      </w:r>
      <w:r w:rsidR="006E1AB0">
        <w:t xml:space="preserve"> Bureau meeting scheduled </w:t>
      </w:r>
      <w:r w:rsidR="00844362">
        <w:t xml:space="preserve">to be held </w:t>
      </w:r>
      <w:r w:rsidR="006E1AB0">
        <w:t xml:space="preserve">back-to-back </w:t>
      </w:r>
      <w:r w:rsidR="00844362">
        <w:t>with</w:t>
      </w:r>
      <w:r w:rsidR="006E1AB0">
        <w:t xml:space="preserve"> the </w:t>
      </w:r>
      <w:r w:rsidR="00844362">
        <w:t xml:space="preserve">sessions of the </w:t>
      </w:r>
      <w:r w:rsidR="006E1AB0">
        <w:t>M</w:t>
      </w:r>
      <w:r w:rsidR="009D21A4">
        <w:t>eeting</w:t>
      </w:r>
      <w:r w:rsidR="00844362">
        <w:t>s</w:t>
      </w:r>
      <w:r w:rsidR="009D21A4">
        <w:t xml:space="preserve"> of the Parties</w:t>
      </w:r>
      <w:r w:rsidR="006E1AB0">
        <w:t>, on Monday, 11 December 2023, to address any last-minute issues in connection with the sessions, including delegations’ comments on the documentation</w:t>
      </w:r>
      <w:r w:rsidR="00594A5C">
        <w:t>.</w:t>
      </w:r>
    </w:p>
    <w:p w14:paraId="2EE7556D" w14:textId="274B90C9" w:rsidR="00091F9F" w:rsidRPr="00B554D8" w:rsidRDefault="00974286" w:rsidP="00CF3CF0">
      <w:pPr>
        <w:pStyle w:val="SingleTxtG"/>
      </w:pPr>
      <w:r>
        <w:t>31</w:t>
      </w:r>
      <w:r w:rsidR="008A6475">
        <w:t>.</w:t>
      </w:r>
      <w:r w:rsidR="008A6475">
        <w:tab/>
      </w:r>
      <w:r w:rsidR="00594A5C">
        <w:t xml:space="preserve">The Working Group </w:t>
      </w:r>
      <w:r w:rsidR="005D6692">
        <w:t>a</w:t>
      </w:r>
      <w:r w:rsidR="006E1AB0">
        <w:t>greed that comments to the official documents</w:t>
      </w:r>
      <w:r w:rsidR="000D3CEC">
        <w:t xml:space="preserve"> should be </w:t>
      </w:r>
      <w:r w:rsidR="00BC2BAD">
        <w:t xml:space="preserve">provided </w:t>
      </w:r>
      <w:r w:rsidR="006E1AB0">
        <w:t>by 16 November</w:t>
      </w:r>
      <w:r w:rsidR="009D21A4">
        <w:t xml:space="preserve"> 2023</w:t>
      </w:r>
      <w:r w:rsidR="006E1AB0">
        <w:t xml:space="preserve"> (</w:t>
      </w:r>
      <w:r w:rsidR="009D21A4">
        <w:t>three</w:t>
      </w:r>
      <w:r w:rsidR="006E1AB0">
        <w:t xml:space="preserve"> weeks before the </w:t>
      </w:r>
      <w:r w:rsidR="000D3CEC">
        <w:t>s</w:t>
      </w:r>
      <w:r w:rsidR="006E1AB0">
        <w:t>essions).</w:t>
      </w:r>
      <w:r w:rsidR="00091F9F" w:rsidRPr="00B554D8">
        <w:t xml:space="preserve"> </w:t>
      </w:r>
      <w:r w:rsidR="00BC2BAD">
        <w:t>Th</w:t>
      </w:r>
      <w:r w:rsidR="003E3115">
        <w:t>e</w:t>
      </w:r>
      <w:r w:rsidR="002A37C1">
        <w:t xml:space="preserve"> Chair recalled that the</w:t>
      </w:r>
      <w:r w:rsidR="003E3115">
        <w:t xml:space="preserve"> </w:t>
      </w:r>
      <w:r w:rsidR="00950E76">
        <w:t>timely submission of comments would h</w:t>
      </w:r>
      <w:r w:rsidR="00B759DB" w:rsidRPr="006261F2">
        <w:rPr>
          <w:lang w:eastAsia="en-US"/>
        </w:rPr>
        <w:t xml:space="preserve">elp delegations </w:t>
      </w:r>
      <w:r w:rsidR="00A52D53">
        <w:rPr>
          <w:lang w:eastAsia="en-US"/>
        </w:rPr>
        <w:t xml:space="preserve">to </w:t>
      </w:r>
      <w:r w:rsidR="00B759DB" w:rsidRPr="006261F2">
        <w:rPr>
          <w:lang w:eastAsia="en-US"/>
        </w:rPr>
        <w:t xml:space="preserve">prepare and coordinate their views </w:t>
      </w:r>
      <w:r w:rsidR="002A37C1">
        <w:rPr>
          <w:lang w:eastAsia="en-US"/>
        </w:rPr>
        <w:t>ahead of the sessions</w:t>
      </w:r>
      <w:r w:rsidR="00B759DB" w:rsidRPr="006261F2">
        <w:rPr>
          <w:lang w:eastAsia="en-US"/>
        </w:rPr>
        <w:t xml:space="preserve">, to ensure efficient preparation of the </w:t>
      </w:r>
      <w:r w:rsidR="002A37C1">
        <w:rPr>
          <w:lang w:eastAsia="en-US"/>
        </w:rPr>
        <w:t>items on the agenda</w:t>
      </w:r>
      <w:r w:rsidR="00B759DB" w:rsidRPr="006261F2">
        <w:rPr>
          <w:lang w:eastAsia="en-US"/>
        </w:rPr>
        <w:t xml:space="preserve"> and to facilitate </w:t>
      </w:r>
      <w:r w:rsidR="00844362">
        <w:rPr>
          <w:lang w:eastAsia="en-US"/>
        </w:rPr>
        <w:t xml:space="preserve">the </w:t>
      </w:r>
      <w:r w:rsidR="0063107A">
        <w:rPr>
          <w:lang w:eastAsia="en-US"/>
        </w:rPr>
        <w:t>reaching</w:t>
      </w:r>
      <w:r w:rsidR="00844362">
        <w:rPr>
          <w:lang w:eastAsia="en-US"/>
        </w:rPr>
        <w:t xml:space="preserve"> of a </w:t>
      </w:r>
      <w:r w:rsidR="00B759DB" w:rsidRPr="006261F2">
        <w:rPr>
          <w:lang w:eastAsia="en-US"/>
        </w:rPr>
        <w:t>consensus on outstanding issues</w:t>
      </w:r>
      <w:r w:rsidR="00950E76">
        <w:t>.</w:t>
      </w:r>
    </w:p>
    <w:p w14:paraId="7BC4F037" w14:textId="63D4EE8C" w:rsidR="00091F9F" w:rsidRPr="00B554D8" w:rsidRDefault="00091F9F" w:rsidP="00CF3CF0">
      <w:pPr>
        <w:pStyle w:val="H1G"/>
      </w:pPr>
      <w:r w:rsidRPr="00B554D8">
        <w:tab/>
        <w:t>B.</w:t>
      </w:r>
      <w:r w:rsidRPr="00B554D8">
        <w:tab/>
      </w:r>
      <w:r w:rsidR="00BD2CCD" w:rsidRPr="00CF3CF0">
        <w:t>Provisional</w:t>
      </w:r>
      <w:r w:rsidR="00BD2CCD">
        <w:t xml:space="preserve"> agenda </w:t>
      </w:r>
    </w:p>
    <w:p w14:paraId="55FFE393" w14:textId="4E189CB1" w:rsidR="004B57E7" w:rsidRDefault="004B57E7" w:rsidP="004B57E7">
      <w:pPr>
        <w:pStyle w:val="SingleTxtG"/>
      </w:pPr>
      <w:r>
        <w:t>3</w:t>
      </w:r>
      <w:r w:rsidR="00974286">
        <w:t>2</w:t>
      </w:r>
      <w:r w:rsidR="00033207">
        <w:t>.</w:t>
      </w:r>
      <w:r w:rsidR="00033207">
        <w:tab/>
      </w:r>
      <w:r>
        <w:t xml:space="preserve">The Working Group </w:t>
      </w:r>
      <w:r w:rsidR="00B5133C">
        <w:t xml:space="preserve">reviewed and </w:t>
      </w:r>
      <w:r>
        <w:t xml:space="preserve">agreed on the provisional annotated agenda for the </w:t>
      </w:r>
      <w:r w:rsidR="00844362">
        <w:t xml:space="preserve">next sessions of the </w:t>
      </w:r>
      <w:r>
        <w:t>M</w:t>
      </w:r>
      <w:r w:rsidR="00C6116B">
        <w:t>eeting</w:t>
      </w:r>
      <w:r w:rsidR="00B5133C">
        <w:t>s</w:t>
      </w:r>
      <w:r w:rsidR="00C6116B">
        <w:t xml:space="preserve"> of the Parties</w:t>
      </w:r>
      <w:r w:rsidR="002A37C1">
        <w:t xml:space="preserve"> </w:t>
      </w:r>
      <w:r w:rsidR="00844362">
        <w:t>(</w:t>
      </w:r>
      <w:r w:rsidR="008D4F54">
        <w:t>ECE/MP.EIA/WG.2/2023/INF.</w:t>
      </w:r>
      <w:r w:rsidR="00A47BD8">
        <w:t>5</w:t>
      </w:r>
      <w:r w:rsidR="00844362">
        <w:t>)</w:t>
      </w:r>
      <w:r w:rsidR="002A37C1">
        <w:t>,</w:t>
      </w:r>
      <w:r w:rsidR="00A47BD8">
        <w:t xml:space="preserve"> </w:t>
      </w:r>
      <w:r>
        <w:t>and invited the secretariat to process it as an official documen</w:t>
      </w:r>
      <w:r w:rsidR="00B5133C">
        <w:t>t ahead of the sessions.</w:t>
      </w:r>
    </w:p>
    <w:p w14:paraId="754A57FB" w14:textId="2140180E" w:rsidR="004B57E7" w:rsidRDefault="00DE5406" w:rsidP="004312EA">
      <w:pPr>
        <w:pStyle w:val="SingleTxtG"/>
      </w:pPr>
      <w:r>
        <w:t>3</w:t>
      </w:r>
      <w:r w:rsidR="00974286">
        <w:t>3</w:t>
      </w:r>
      <w:r>
        <w:t>.</w:t>
      </w:r>
      <w:r>
        <w:tab/>
        <w:t xml:space="preserve">The Working Group </w:t>
      </w:r>
      <w:r w:rsidR="00DE78B8">
        <w:t>the</w:t>
      </w:r>
      <w:r w:rsidR="00770095">
        <w:t>n</w:t>
      </w:r>
      <w:r w:rsidR="00DE78B8">
        <w:t xml:space="preserve"> focused on discussing </w:t>
      </w:r>
      <w:r w:rsidR="00682313">
        <w:t>the</w:t>
      </w:r>
      <w:r w:rsidR="009601C3">
        <w:t xml:space="preserve"> sessions’</w:t>
      </w:r>
      <w:r w:rsidR="00682313">
        <w:t xml:space="preserve"> high-level thematic event on the role of the Convention and the Protocol regarding energy transition, circular economy and green financing. It </w:t>
      </w:r>
      <w:r>
        <w:t>t</w:t>
      </w:r>
      <w:r w:rsidR="004B57E7">
        <w:t>hanked Italy for funding the preparation</w:t>
      </w:r>
      <w:r w:rsidR="00855CA6">
        <w:t xml:space="preserve"> of</w:t>
      </w:r>
      <w:r w:rsidR="00682313">
        <w:t xml:space="preserve"> th</w:t>
      </w:r>
      <w:r w:rsidR="00770095">
        <w:t>e</w:t>
      </w:r>
      <w:r w:rsidR="00682313">
        <w:t xml:space="preserve"> event</w:t>
      </w:r>
      <w:r w:rsidR="00D8701F">
        <w:t xml:space="preserve"> and its </w:t>
      </w:r>
      <w:r w:rsidR="004B57E7">
        <w:t xml:space="preserve">background paper, with </w:t>
      </w:r>
      <w:r w:rsidR="00855CA6">
        <w:t xml:space="preserve">the </w:t>
      </w:r>
      <w:r w:rsidR="004B57E7">
        <w:t xml:space="preserve">support of </w:t>
      </w:r>
      <w:r w:rsidR="00682313">
        <w:t xml:space="preserve">two </w:t>
      </w:r>
      <w:r w:rsidR="004B57E7">
        <w:t>consultants to the secretariat</w:t>
      </w:r>
      <w:r>
        <w:t xml:space="preserve">. </w:t>
      </w:r>
      <w:r w:rsidR="0051795B">
        <w:t>The Chair r</w:t>
      </w:r>
      <w:r w:rsidR="0051795B" w:rsidRPr="0051795B">
        <w:t>ecall</w:t>
      </w:r>
      <w:r w:rsidR="0051795B">
        <w:t>ed</w:t>
      </w:r>
      <w:r w:rsidR="0051795B" w:rsidRPr="0051795B">
        <w:t xml:space="preserve"> that</w:t>
      </w:r>
      <w:r w:rsidR="0063107A">
        <w:t>,</w:t>
      </w:r>
      <w:r w:rsidR="0051795B" w:rsidRPr="0051795B">
        <w:t xml:space="preserve"> initially</w:t>
      </w:r>
      <w:r w:rsidR="002A6171">
        <w:t>,</w:t>
      </w:r>
      <w:r w:rsidR="0051795B" w:rsidRPr="0051795B">
        <w:t xml:space="preserve"> at </w:t>
      </w:r>
      <w:r w:rsidR="0051795B" w:rsidRPr="009D0660">
        <w:t xml:space="preserve">its </w:t>
      </w:r>
      <w:r w:rsidR="00735655" w:rsidRPr="009D0660">
        <w:t>p</w:t>
      </w:r>
      <w:r w:rsidR="0051795B" w:rsidRPr="009D0660">
        <w:t>ast meeting, the Working</w:t>
      </w:r>
      <w:r w:rsidR="0051795B" w:rsidRPr="0051795B">
        <w:t xml:space="preserve"> Group had considered the organization of two separate thematic events during the</w:t>
      </w:r>
      <w:r w:rsidR="00735655">
        <w:t xml:space="preserve"> sessions of the</w:t>
      </w:r>
      <w:r w:rsidR="0051795B" w:rsidRPr="0051795B">
        <w:t xml:space="preserve"> </w:t>
      </w:r>
      <w:r w:rsidR="000C563E">
        <w:t>Meetings of the Parties</w:t>
      </w:r>
      <w:r w:rsidR="0051795B" w:rsidRPr="0051795B">
        <w:t xml:space="preserve">, </w:t>
      </w:r>
      <w:r w:rsidR="00ED7BEE">
        <w:t xml:space="preserve">including one </w:t>
      </w:r>
      <w:r w:rsidR="00855CA6">
        <w:t>during</w:t>
      </w:r>
      <w:r w:rsidR="0051795B" w:rsidRPr="0051795B">
        <w:t xml:space="preserve"> the high-level segment on energy transition and circular economy and another one during the </w:t>
      </w:r>
      <w:r w:rsidR="0081436B">
        <w:t xml:space="preserve">general </w:t>
      </w:r>
      <w:r w:rsidR="0051795B" w:rsidRPr="0051795B">
        <w:t>segment on green financing.</w:t>
      </w:r>
      <w:r w:rsidR="004E7BE5">
        <w:rPr>
          <w:rStyle w:val="FootnoteReference"/>
        </w:rPr>
        <w:footnoteReference w:id="10"/>
      </w:r>
      <w:r w:rsidR="00855CA6">
        <w:t xml:space="preserve"> T</w:t>
      </w:r>
      <w:r w:rsidR="0051795B" w:rsidRPr="0051795B">
        <w:t xml:space="preserve">he Bureau </w:t>
      </w:r>
      <w:r w:rsidR="00052684">
        <w:t>had</w:t>
      </w:r>
      <w:r w:rsidR="00735655">
        <w:t>,</w:t>
      </w:r>
      <w:r w:rsidR="00052684">
        <w:t xml:space="preserve"> </w:t>
      </w:r>
      <w:r w:rsidR="0051795B" w:rsidRPr="0051795B">
        <w:t>however</w:t>
      </w:r>
      <w:r w:rsidR="00735655">
        <w:t>,</w:t>
      </w:r>
      <w:r w:rsidR="0051795B" w:rsidRPr="0051795B">
        <w:t xml:space="preserve"> decided </w:t>
      </w:r>
      <w:r w:rsidR="007169A1">
        <w:t xml:space="preserve">to propose </w:t>
      </w:r>
      <w:r w:rsidR="0051795B" w:rsidRPr="0051795B">
        <w:t>that</w:t>
      </w:r>
      <w:r w:rsidR="00735655">
        <w:t>,</w:t>
      </w:r>
      <w:r w:rsidR="0051795B" w:rsidRPr="0051795B">
        <w:t xml:space="preserve"> </w:t>
      </w:r>
      <w:r w:rsidR="00A06054">
        <w:t xml:space="preserve">in </w:t>
      </w:r>
      <w:r w:rsidR="00735655">
        <w:t xml:space="preserve">the </w:t>
      </w:r>
      <w:r w:rsidR="00A06054">
        <w:t>absence of a volunteering</w:t>
      </w:r>
      <w:r w:rsidR="0051795B" w:rsidRPr="0051795B">
        <w:t xml:space="preserve"> lead country or organization </w:t>
      </w:r>
      <w:r w:rsidR="00364F72">
        <w:t>for</w:t>
      </w:r>
      <w:r w:rsidR="0051795B" w:rsidRPr="0051795B">
        <w:t xml:space="preserve"> </w:t>
      </w:r>
      <w:r w:rsidR="00CF472E">
        <w:t xml:space="preserve">the </w:t>
      </w:r>
      <w:r w:rsidR="0051795B" w:rsidRPr="0051795B">
        <w:t>general segment event</w:t>
      </w:r>
      <w:r w:rsidR="00357CFE">
        <w:t xml:space="preserve">, </w:t>
      </w:r>
      <w:r w:rsidR="00357CFE" w:rsidRPr="00357CFE">
        <w:t xml:space="preserve">only the high-level segment </w:t>
      </w:r>
      <w:r w:rsidR="00CF472E">
        <w:t xml:space="preserve">should </w:t>
      </w:r>
      <w:r w:rsidR="00357CFE" w:rsidRPr="00357CFE">
        <w:t>be held</w:t>
      </w:r>
      <w:r w:rsidR="00735655">
        <w:t>,</w:t>
      </w:r>
      <w:r w:rsidR="00CF472E">
        <w:t xml:space="preserve"> </w:t>
      </w:r>
      <w:r w:rsidR="00855CA6">
        <w:t>with a</w:t>
      </w:r>
      <w:r w:rsidR="00357CFE" w:rsidRPr="00357CFE">
        <w:t xml:space="preserve"> focus </w:t>
      </w:r>
      <w:r w:rsidR="00357CFE">
        <w:t xml:space="preserve">on </w:t>
      </w:r>
      <w:r w:rsidR="00855CA6">
        <w:t>all</w:t>
      </w:r>
      <w:r w:rsidR="00357CFE">
        <w:t xml:space="preserve"> three interlinked </w:t>
      </w:r>
      <w:r w:rsidR="004312EA">
        <w:t>topics.</w:t>
      </w:r>
    </w:p>
    <w:p w14:paraId="2C19B5B0" w14:textId="32E79E30" w:rsidR="00365F31" w:rsidRDefault="00DE5406" w:rsidP="00CF3CF0">
      <w:pPr>
        <w:pStyle w:val="SingleTxtG"/>
      </w:pPr>
      <w:r>
        <w:t>3</w:t>
      </w:r>
      <w:r w:rsidR="00974286">
        <w:t>4</w:t>
      </w:r>
      <w:r>
        <w:t>.</w:t>
      </w:r>
      <w:r>
        <w:tab/>
        <w:t>The</w:t>
      </w:r>
      <w:r w:rsidR="00760D6C">
        <w:t xml:space="preserve"> consultants presented </w:t>
      </w:r>
      <w:r w:rsidR="004B57E7">
        <w:t>outline</w:t>
      </w:r>
      <w:r w:rsidR="00DE282B">
        <w:t>s</w:t>
      </w:r>
      <w:r w:rsidR="004B57E7">
        <w:t xml:space="preserve"> of </w:t>
      </w:r>
      <w:r w:rsidR="001B6751">
        <w:t>the background</w:t>
      </w:r>
      <w:r w:rsidR="004B57E7">
        <w:t xml:space="preserve"> paper</w:t>
      </w:r>
      <w:r w:rsidR="001257DF" w:rsidRPr="001257DF">
        <w:t xml:space="preserve"> </w:t>
      </w:r>
      <w:r w:rsidR="001257DF">
        <w:t>and the programme</w:t>
      </w:r>
      <w:r w:rsidR="005B1E40">
        <w:t xml:space="preserve"> </w:t>
      </w:r>
      <w:r w:rsidR="00DE282B">
        <w:t xml:space="preserve">for the high-level event </w:t>
      </w:r>
      <w:bookmarkStart w:id="5" w:name="_Hlk139469272"/>
      <w:r w:rsidR="00606C09">
        <w:t>(ECE/MP.EIA/W</w:t>
      </w:r>
      <w:r w:rsidR="00B8087F">
        <w:t>G.2/2023/INF.6)</w:t>
      </w:r>
      <w:r w:rsidR="00855CA6">
        <w:t xml:space="preserve">, which </w:t>
      </w:r>
      <w:bookmarkEnd w:id="5"/>
      <w:r w:rsidR="00CF0BC2">
        <w:t>they had</w:t>
      </w:r>
      <w:r w:rsidR="00977544">
        <w:t xml:space="preserve"> </w:t>
      </w:r>
      <w:r w:rsidR="00B8087F">
        <w:t>prepared</w:t>
      </w:r>
      <w:r w:rsidR="00A7668A">
        <w:t xml:space="preserve"> taking into account the recommendations from the Bureau and the Working Group and in consultation with </w:t>
      </w:r>
      <w:r w:rsidR="00365F31">
        <w:t>representatives of volunteering Parties and stakeholders</w:t>
      </w:r>
      <w:r w:rsidR="00033207">
        <w:t>.</w:t>
      </w:r>
    </w:p>
    <w:p w14:paraId="3CD2ABA8" w14:textId="7AAC6DC0" w:rsidR="00033207" w:rsidRDefault="00F92BA0" w:rsidP="00CF0BC2">
      <w:pPr>
        <w:pStyle w:val="SingleTxtG"/>
      </w:pPr>
      <w:r>
        <w:t>3</w:t>
      </w:r>
      <w:r w:rsidR="00974286">
        <w:t>5</w:t>
      </w:r>
      <w:r>
        <w:t>.</w:t>
      </w:r>
      <w:r>
        <w:tab/>
      </w:r>
      <w:r w:rsidR="00CF0BC2">
        <w:t>T</w:t>
      </w:r>
      <w:r w:rsidR="00033207">
        <w:t xml:space="preserve">he representative </w:t>
      </w:r>
      <w:r w:rsidR="004E7BE5">
        <w:t>o</w:t>
      </w:r>
      <w:r w:rsidR="00033207">
        <w:t>f</w:t>
      </w:r>
      <w:r w:rsidR="004E7BE5">
        <w:t xml:space="preserve"> </w:t>
      </w:r>
      <w:r w:rsidR="00033207">
        <w:t>Spain welcomed the</w:t>
      </w:r>
      <w:r w:rsidR="00372175">
        <w:t xml:space="preserve"> </w:t>
      </w:r>
      <w:r w:rsidR="00033207">
        <w:t xml:space="preserve">points </w:t>
      </w:r>
      <w:r w:rsidR="00371D14">
        <w:t xml:space="preserve">of discussion </w:t>
      </w:r>
      <w:r w:rsidR="00D731BA">
        <w:t xml:space="preserve">suggested </w:t>
      </w:r>
      <w:r w:rsidR="00371D14">
        <w:t xml:space="preserve">in the paper </w:t>
      </w:r>
      <w:r w:rsidR="00033207">
        <w:t>and stated the</w:t>
      </w:r>
      <w:r w:rsidR="00DE2A87">
        <w:t xml:space="preserve"> country’s</w:t>
      </w:r>
      <w:r w:rsidR="00033207">
        <w:t xml:space="preserve"> intention to address the issues</w:t>
      </w:r>
      <w:r w:rsidR="00DE2A87">
        <w:t xml:space="preserve"> </w:t>
      </w:r>
      <w:r w:rsidR="00494E39">
        <w:t xml:space="preserve">in the second half of 2023, </w:t>
      </w:r>
      <w:r w:rsidR="0011186E">
        <w:t xml:space="preserve">when it would hold the </w:t>
      </w:r>
      <w:r w:rsidR="00033207">
        <w:t xml:space="preserve">Presidency of the </w:t>
      </w:r>
      <w:r w:rsidR="0011186E">
        <w:t xml:space="preserve">Council of the </w:t>
      </w:r>
      <w:r w:rsidR="00033207">
        <w:t>European Union. The</w:t>
      </w:r>
      <w:r w:rsidR="004336E5">
        <w:t xml:space="preserve"> Chair of the Bureau</w:t>
      </w:r>
      <w:r w:rsidR="0028059E">
        <w:t xml:space="preserve"> </w:t>
      </w:r>
      <w:r w:rsidR="004E7BE5">
        <w:t>(</w:t>
      </w:r>
      <w:r w:rsidR="0028059E">
        <w:t>Greece</w:t>
      </w:r>
      <w:r w:rsidR="004E7BE5">
        <w:t>)</w:t>
      </w:r>
      <w:r w:rsidR="00033207">
        <w:t xml:space="preserve"> welcomed the work and emphasi</w:t>
      </w:r>
      <w:r w:rsidR="00CB24D3">
        <w:t>z</w:t>
      </w:r>
      <w:r w:rsidR="00033207">
        <w:t>ed the need to highlight the importance of the Convention and the Protocol in addressing the issues raised in the background paper at the high-level event in December. In addition</w:t>
      </w:r>
      <w:r w:rsidR="00033207" w:rsidRPr="002105E9">
        <w:t xml:space="preserve">, </w:t>
      </w:r>
      <w:r w:rsidR="00301B22">
        <w:t>the Chair of the Bureau</w:t>
      </w:r>
      <w:r w:rsidR="00DC020E">
        <w:t>,</w:t>
      </w:r>
      <w:r w:rsidR="00B64D55">
        <w:t xml:space="preserve"> </w:t>
      </w:r>
      <w:r w:rsidR="00D0127B">
        <w:t xml:space="preserve">as well as </w:t>
      </w:r>
      <w:r w:rsidR="00033207">
        <w:t xml:space="preserve">the Chair </w:t>
      </w:r>
      <w:r w:rsidR="00B53E92">
        <w:t xml:space="preserve">of the meeting </w:t>
      </w:r>
      <w:r w:rsidR="00033207">
        <w:t>and</w:t>
      </w:r>
      <w:r w:rsidR="00B64D55">
        <w:t xml:space="preserve"> the representative of</w:t>
      </w:r>
      <w:r w:rsidR="00033207">
        <w:t xml:space="preserve"> IAIA</w:t>
      </w:r>
      <w:r w:rsidR="006B3BB4">
        <w:t>,</w:t>
      </w:r>
      <w:r w:rsidR="00033207">
        <w:t xml:space="preserve"> recommended that emphasis </w:t>
      </w:r>
      <w:r w:rsidR="001A7B24">
        <w:t>be</w:t>
      </w:r>
      <w:r w:rsidR="00033207">
        <w:t xml:space="preserve"> placed on the role and contribution of the Protocol. The rationale to support th</w:t>
      </w:r>
      <w:r w:rsidR="005B47D4">
        <w:t>at</w:t>
      </w:r>
      <w:r w:rsidR="00033207">
        <w:t xml:space="preserve"> </w:t>
      </w:r>
      <w:r w:rsidR="004E7BE5">
        <w:t xml:space="preserve">proposal </w:t>
      </w:r>
      <w:r w:rsidR="00033207">
        <w:t xml:space="preserve">included the need to develop climate plans and renewable energy plans subject to social acceptance, the alignment of the Protocol with strategic green financing decisions, </w:t>
      </w:r>
      <w:r w:rsidR="00033207" w:rsidRPr="0064750E">
        <w:t xml:space="preserve">and also when planning to rebuild Ukraine once the </w:t>
      </w:r>
      <w:r w:rsidR="004E7BE5" w:rsidRPr="0064750E">
        <w:t xml:space="preserve">ongoing </w:t>
      </w:r>
      <w:r w:rsidR="00033207" w:rsidRPr="0064750E">
        <w:t>military aggression</w:t>
      </w:r>
      <w:r w:rsidR="004E7BE5" w:rsidRPr="0064750E">
        <w:t xml:space="preserve"> of the Russian Federation against that country had</w:t>
      </w:r>
      <w:r w:rsidR="00033207">
        <w:t xml:space="preserve"> ended. </w:t>
      </w:r>
      <w:r w:rsidR="005B47D4">
        <w:t>The</w:t>
      </w:r>
      <w:r w:rsidR="004E7BE5">
        <w:t xml:space="preserve"> representative of </w:t>
      </w:r>
      <w:r w:rsidR="00033207">
        <w:t xml:space="preserve">IAIA further recommended the conduct of a higher-level strategic environmental assessment spanning sectoral </w:t>
      </w:r>
      <w:r w:rsidR="00B86963">
        <w:t>strategic environmental assessments</w:t>
      </w:r>
      <w:r w:rsidR="00033207">
        <w:t xml:space="preserve">. </w:t>
      </w:r>
      <w:r w:rsidR="005B47D4">
        <w:t xml:space="preserve">The </w:t>
      </w:r>
      <w:r w:rsidR="00735A29">
        <w:t>representative of WHO</w:t>
      </w:r>
      <w:r w:rsidR="005B47D4">
        <w:t xml:space="preserve"> </w:t>
      </w:r>
      <w:r w:rsidR="00033207">
        <w:t xml:space="preserve">welcomed the background paper and indicated willingness to support </w:t>
      </w:r>
      <w:r w:rsidR="005B47D4">
        <w:t>the paper’s</w:t>
      </w:r>
      <w:r w:rsidR="00033207">
        <w:t xml:space="preserve"> further development, including an emphasis on health issues.</w:t>
      </w:r>
    </w:p>
    <w:p w14:paraId="79102A23" w14:textId="76EEF34B" w:rsidR="00033207" w:rsidRDefault="00C678BC" w:rsidP="00033207">
      <w:pPr>
        <w:pStyle w:val="SingleTxtG"/>
      </w:pPr>
      <w:r>
        <w:t>3</w:t>
      </w:r>
      <w:r w:rsidR="00974286">
        <w:t>6</w:t>
      </w:r>
      <w:r w:rsidR="00033207">
        <w:t>.</w:t>
      </w:r>
      <w:r w:rsidR="00033207">
        <w:tab/>
        <w:t xml:space="preserve">The </w:t>
      </w:r>
      <w:r w:rsidR="00101051">
        <w:t xml:space="preserve">Chair of the Bureau </w:t>
      </w:r>
      <w:r w:rsidR="00101051" w:rsidRPr="00101051">
        <w:t>cautioned that the questions, as currently framed in the background paper, might require proposals to amend the Convention and Protocol and/or the introduction of guidance, in order to positively respond to them.</w:t>
      </w:r>
    </w:p>
    <w:p w14:paraId="6AF9A822" w14:textId="346C62F4" w:rsidR="00475B32" w:rsidRDefault="00475B32" w:rsidP="00033207">
      <w:pPr>
        <w:pStyle w:val="SingleTxtG"/>
      </w:pPr>
      <w:r>
        <w:t>3</w:t>
      </w:r>
      <w:r w:rsidR="00974286">
        <w:t>7</w:t>
      </w:r>
      <w:r>
        <w:t>.</w:t>
      </w:r>
      <w:r>
        <w:tab/>
        <w:t xml:space="preserve">Following discussions, the </w:t>
      </w:r>
      <w:r w:rsidRPr="00475B32">
        <w:t>Working</w:t>
      </w:r>
      <w:r>
        <w:t xml:space="preserve"> Group w</w:t>
      </w:r>
      <w:r w:rsidRPr="00475B32">
        <w:t>elcom</w:t>
      </w:r>
      <w:r>
        <w:t>ed</w:t>
      </w:r>
      <w:r w:rsidRPr="00475B32">
        <w:t xml:space="preserve"> the background paper and invit</w:t>
      </w:r>
      <w:r w:rsidR="00C55FB5">
        <w:t>ed</w:t>
      </w:r>
      <w:r w:rsidRPr="00475B32">
        <w:t xml:space="preserve"> the consultants to take into account the comments made in its further development. No specific suggestions were made for changes to the key questions associated with the role of the instruments in relation to the topics of the energy transition, circular economy and green financing.</w:t>
      </w:r>
    </w:p>
    <w:p w14:paraId="7DB3F862" w14:textId="53CF3A36" w:rsidR="00C55FB5" w:rsidRDefault="00C678BC" w:rsidP="00033207">
      <w:pPr>
        <w:pStyle w:val="SingleTxtG"/>
      </w:pPr>
      <w:r>
        <w:t>3</w:t>
      </w:r>
      <w:r w:rsidR="00974286">
        <w:t>8</w:t>
      </w:r>
      <w:r w:rsidR="00033207">
        <w:t>.</w:t>
      </w:r>
      <w:r w:rsidR="00033207">
        <w:tab/>
      </w:r>
      <w:r w:rsidR="00D367AA">
        <w:t>The Working Group n</w:t>
      </w:r>
      <w:r w:rsidR="00033207">
        <w:t xml:space="preserve">oted the following proposed panellists </w:t>
      </w:r>
      <w:r w:rsidR="003E778B">
        <w:t xml:space="preserve">for the high-level event </w:t>
      </w:r>
      <w:r w:rsidR="00033207">
        <w:t xml:space="preserve">from: </w:t>
      </w:r>
      <w:r w:rsidR="003E778B">
        <w:t>Italy</w:t>
      </w:r>
      <w:r w:rsidR="002C6F0F">
        <w:t xml:space="preserve">, </w:t>
      </w:r>
      <w:r w:rsidR="00033207">
        <w:t>the Republic of Moldova</w:t>
      </w:r>
      <w:r w:rsidR="00A80E28">
        <w:t xml:space="preserve"> and </w:t>
      </w:r>
      <w:r w:rsidR="008253A3">
        <w:t>an</w:t>
      </w:r>
      <w:r w:rsidR="00033207">
        <w:t xml:space="preserve"> NGO</w:t>
      </w:r>
      <w:r w:rsidR="005B47D4">
        <w:t xml:space="preserve"> (</w:t>
      </w:r>
      <w:r w:rsidR="000D5094">
        <w:t>t</w:t>
      </w:r>
      <w:r w:rsidR="00CB6770">
        <w:t xml:space="preserve">o be nominated by the NGOs active under the Convention and the Protocol to </w:t>
      </w:r>
      <w:r w:rsidR="001A062E">
        <w:t>present their coordinated views</w:t>
      </w:r>
      <w:r w:rsidR="005B47D4">
        <w:t>)</w:t>
      </w:r>
      <w:r w:rsidR="00033207">
        <w:t xml:space="preserve">, as well as statements from the floor </w:t>
      </w:r>
      <w:r w:rsidR="00ED7FD6">
        <w:t>(</w:t>
      </w:r>
      <w:r w:rsidR="000D5094">
        <w:t xml:space="preserve">with a recommended time limit of 3 minutes) </w:t>
      </w:r>
      <w:r w:rsidR="00033207">
        <w:t xml:space="preserve">from Switzerland and </w:t>
      </w:r>
      <w:r w:rsidR="005B47D4">
        <w:t>WHO</w:t>
      </w:r>
      <w:r w:rsidR="00033207">
        <w:t>. It also noted the indicative timeline for the preparatory steps</w:t>
      </w:r>
      <w:r w:rsidR="000100DA">
        <w:t>,</w:t>
      </w:r>
      <w:r w:rsidR="00033207">
        <w:t xml:space="preserve"> including the deadline</w:t>
      </w:r>
      <w:r w:rsidR="000100DA">
        <w:t>s</w:t>
      </w:r>
      <w:r w:rsidR="00033207">
        <w:t xml:space="preserve"> of 19 September 2023 for finalizing </w:t>
      </w:r>
      <w:r w:rsidR="008253A3">
        <w:t>the</w:t>
      </w:r>
      <w:r w:rsidR="00033207">
        <w:t xml:space="preserve"> background document and 29 September 2023 for finalizing </w:t>
      </w:r>
      <w:r w:rsidR="00A432D1">
        <w:t xml:space="preserve">the </w:t>
      </w:r>
      <w:r w:rsidR="00033207">
        <w:t>high-level event programme.</w:t>
      </w:r>
    </w:p>
    <w:p w14:paraId="7C2D864F" w14:textId="01C13664" w:rsidR="00033207" w:rsidRDefault="004A39AF" w:rsidP="00033207">
      <w:pPr>
        <w:pStyle w:val="SingleTxtG"/>
      </w:pPr>
      <w:r>
        <w:t>3</w:t>
      </w:r>
      <w:r w:rsidR="00974286">
        <w:t>9</w:t>
      </w:r>
      <w:r>
        <w:t>.</w:t>
      </w:r>
      <w:r>
        <w:tab/>
      </w:r>
      <w:r w:rsidR="00033207">
        <w:t>The Working Group invited delegations to suggest further panellists and statements from the floor.</w:t>
      </w:r>
    </w:p>
    <w:p w14:paraId="7E157514" w14:textId="1A327D04" w:rsidR="006D1656" w:rsidRPr="006D1656" w:rsidRDefault="00CF3CF0" w:rsidP="00CF3CF0">
      <w:pPr>
        <w:pStyle w:val="H1G"/>
      </w:pPr>
      <w:r>
        <w:tab/>
      </w:r>
      <w:r w:rsidR="00091F9F" w:rsidRPr="006D1656">
        <w:t>C.</w:t>
      </w:r>
      <w:r w:rsidR="00091F9F" w:rsidRPr="006D1656">
        <w:tab/>
      </w:r>
      <w:r w:rsidR="000A7361" w:rsidRPr="006D1656">
        <w:t xml:space="preserve">Draft workplan for 2024–2026 </w:t>
      </w:r>
    </w:p>
    <w:p w14:paraId="39C0D0F1" w14:textId="1DF2C405" w:rsidR="008867DD" w:rsidRDefault="00974286" w:rsidP="00CF3CF0">
      <w:pPr>
        <w:pStyle w:val="SingleTxtG"/>
      </w:pPr>
      <w:r>
        <w:t>40</w:t>
      </w:r>
      <w:r w:rsidR="006D1656" w:rsidRPr="00B554D8">
        <w:t>.</w:t>
      </w:r>
      <w:r w:rsidR="006D1656" w:rsidRPr="00B554D8">
        <w:tab/>
      </w:r>
      <w:r w:rsidR="003E782B" w:rsidRPr="003E782B">
        <w:t xml:space="preserve">The secretariat presented </w:t>
      </w:r>
      <w:r w:rsidR="00B31A26" w:rsidRPr="00B31A26">
        <w:t>draft decision IX/2–V/2 on the workplan for 2024–2026 and its annexes I and II containing workplan activities and the corresponding resource requirements</w:t>
      </w:r>
      <w:r w:rsidR="00B31A26">
        <w:t>,</w:t>
      </w:r>
      <w:r w:rsidR="00BA6D1E">
        <w:t xml:space="preserve"> respectively,</w:t>
      </w:r>
      <w:r w:rsidR="006F6737">
        <w:t xml:space="preserve"> p</w:t>
      </w:r>
      <w:r w:rsidR="003E782B" w:rsidRPr="003E782B">
        <w:t>repared by the Bureau, with support from the secretariat</w:t>
      </w:r>
      <w:r w:rsidR="00780D88">
        <w:t xml:space="preserve"> (</w:t>
      </w:r>
      <w:bookmarkStart w:id="6" w:name="_Hlk139531096"/>
      <w:r w:rsidR="00780D88">
        <w:t>ECE/MP.EIA/</w:t>
      </w:r>
      <w:r w:rsidR="00521E10">
        <w:t>WG</w:t>
      </w:r>
      <w:r w:rsidR="00C26343">
        <w:t>.2/2023/3</w:t>
      </w:r>
      <w:bookmarkEnd w:id="6"/>
      <w:r w:rsidR="00C26343">
        <w:t>)</w:t>
      </w:r>
      <w:r w:rsidR="00416AEC">
        <w:t>.</w:t>
      </w:r>
      <w:r w:rsidR="006F6737">
        <w:t xml:space="preserve"> </w:t>
      </w:r>
      <w:r w:rsidR="00EF76C8">
        <w:t>Following</w:t>
      </w:r>
      <w:r w:rsidR="00D05279">
        <w:t xml:space="preserve"> deliberations</w:t>
      </w:r>
      <w:r w:rsidR="00FD3AAC">
        <w:t>, t</w:t>
      </w:r>
      <w:r w:rsidR="006D1656" w:rsidRPr="00B554D8">
        <w:t xml:space="preserve">he Working Group </w:t>
      </w:r>
      <w:r w:rsidR="00C33014">
        <w:t>agreed</w:t>
      </w:r>
      <w:r w:rsidR="00B63854">
        <w:t xml:space="preserve"> </w:t>
      </w:r>
      <w:r w:rsidR="00C33014">
        <w:t>on the</w:t>
      </w:r>
      <w:r w:rsidR="00FD3AAC">
        <w:t xml:space="preserve"> draft decision and its annexes</w:t>
      </w:r>
      <w:r w:rsidR="00CD1334">
        <w:t xml:space="preserve">, </w:t>
      </w:r>
      <w:r w:rsidR="00BA6D1E">
        <w:t>as revised</w:t>
      </w:r>
      <w:r w:rsidR="00B1419A">
        <w:t xml:space="preserve">, including </w:t>
      </w:r>
      <w:r w:rsidR="00803101">
        <w:t>s</w:t>
      </w:r>
      <w:r w:rsidR="00BA6D1E">
        <w:t>pecif</w:t>
      </w:r>
      <w:r w:rsidR="00B1419A">
        <w:t>ying</w:t>
      </w:r>
      <w:r w:rsidR="00803101">
        <w:t xml:space="preserve"> </w:t>
      </w:r>
      <w:r w:rsidR="00C33014">
        <w:t>cuts in</w:t>
      </w:r>
      <w:r w:rsidR="00170D4B">
        <w:t xml:space="preserve"> the</w:t>
      </w:r>
      <w:r w:rsidR="00C33014">
        <w:t xml:space="preserve"> secretariat tasks </w:t>
      </w:r>
      <w:r w:rsidR="00757CD7">
        <w:t xml:space="preserve">starting from </w:t>
      </w:r>
      <w:r w:rsidR="00C33014">
        <w:t xml:space="preserve">2024, </w:t>
      </w:r>
      <w:r w:rsidR="00A81A71">
        <w:t xml:space="preserve">should </w:t>
      </w:r>
      <w:r w:rsidR="00C33014">
        <w:t>Parties fail</w:t>
      </w:r>
      <w:r w:rsidR="00A81A71">
        <w:t xml:space="preserve"> </w:t>
      </w:r>
      <w:r w:rsidR="00C33014">
        <w:t xml:space="preserve">to fund additional </w:t>
      </w:r>
      <w:r w:rsidR="00045FA5">
        <w:t xml:space="preserve">staffing </w:t>
      </w:r>
      <w:r w:rsidR="00C33014">
        <w:t>resources</w:t>
      </w:r>
      <w:r w:rsidR="00045FA5">
        <w:t xml:space="preserve"> (</w:t>
      </w:r>
      <w:r w:rsidR="008842C4">
        <w:t>at least</w:t>
      </w:r>
      <w:r w:rsidR="00E90782">
        <w:t xml:space="preserve"> </w:t>
      </w:r>
      <w:r w:rsidR="00E86D79">
        <w:t>one</w:t>
      </w:r>
      <w:r w:rsidR="008867DD">
        <w:t xml:space="preserve"> </w:t>
      </w:r>
      <w:r w:rsidR="00E90782">
        <w:t xml:space="preserve">professional </w:t>
      </w:r>
      <w:r w:rsidR="00EF052D">
        <w:t xml:space="preserve">staff member and administrative support at </w:t>
      </w:r>
      <w:r w:rsidR="00B513B3">
        <w:t>50 per cent</w:t>
      </w:r>
      <w:r w:rsidR="00045FA5">
        <w:t>)</w:t>
      </w:r>
      <w:r w:rsidR="008867DD">
        <w:t>.</w:t>
      </w:r>
    </w:p>
    <w:p w14:paraId="6ED42B6C" w14:textId="6A3DA1F3" w:rsidR="00C33014" w:rsidRDefault="00974286" w:rsidP="00CF3CF0">
      <w:pPr>
        <w:pStyle w:val="SingleTxtG"/>
      </w:pPr>
      <w:r>
        <w:t>41</w:t>
      </w:r>
      <w:r w:rsidR="008867DD">
        <w:t>.</w:t>
      </w:r>
      <w:r w:rsidR="008867DD">
        <w:tab/>
      </w:r>
      <w:r w:rsidR="008867DD" w:rsidRPr="00B554D8">
        <w:t>The Working Group</w:t>
      </w:r>
      <w:r w:rsidR="008867DD">
        <w:t xml:space="preserve"> r</w:t>
      </w:r>
      <w:r w:rsidR="00C33014">
        <w:t>equested the secretariat to forward the draft</w:t>
      </w:r>
      <w:r w:rsidR="00534F28">
        <w:t xml:space="preserve"> decision on the</w:t>
      </w:r>
      <w:r w:rsidR="00C33014">
        <w:t xml:space="preserve"> </w:t>
      </w:r>
      <w:r w:rsidR="00561847" w:rsidRPr="00561847">
        <w:t>workplan for 2024–2026</w:t>
      </w:r>
      <w:r w:rsidR="00B1419A">
        <w:t xml:space="preserve"> with its annexes</w:t>
      </w:r>
      <w:r w:rsidR="00561847" w:rsidRPr="00561847">
        <w:t xml:space="preserve"> </w:t>
      </w:r>
      <w:r w:rsidR="00C33014">
        <w:t>to the Meetings of the Parties as an official document</w:t>
      </w:r>
      <w:r w:rsidR="008867DD">
        <w:t>.</w:t>
      </w:r>
      <w:r w:rsidR="00C33014">
        <w:t xml:space="preserve"> </w:t>
      </w:r>
      <w:r w:rsidR="00103DB1">
        <w:t xml:space="preserve">It </w:t>
      </w:r>
      <w:r w:rsidR="0091249A">
        <w:t xml:space="preserve">reiterated </w:t>
      </w:r>
      <w:r w:rsidR="00C33014">
        <w:t>that</w:t>
      </w:r>
      <w:r w:rsidR="00E86D79">
        <w:t>, in order</w:t>
      </w:r>
      <w:r w:rsidR="00C33014">
        <w:t xml:space="preserve"> for </w:t>
      </w:r>
      <w:r w:rsidR="004F2236">
        <w:t xml:space="preserve">the Meetings of the Parties to adopt </w:t>
      </w:r>
      <w:r w:rsidR="00C33014">
        <w:t>a realistic and implementable workplan</w:t>
      </w:r>
      <w:r w:rsidR="00DB5F25">
        <w:t xml:space="preserve">, </w:t>
      </w:r>
      <w:r w:rsidR="00C33014">
        <w:t xml:space="preserve">it was necessary to know </w:t>
      </w:r>
      <w:r w:rsidR="00961E3D">
        <w:t xml:space="preserve">well </w:t>
      </w:r>
      <w:r w:rsidR="00E86D79">
        <w:t xml:space="preserve">in advance </w:t>
      </w:r>
      <w:r w:rsidR="00C33014">
        <w:t xml:space="preserve">whether </w:t>
      </w:r>
      <w:r w:rsidR="00B65628">
        <w:t xml:space="preserve">the workplan would be </w:t>
      </w:r>
      <w:r w:rsidR="00C33014">
        <w:t>backed by matching resources</w:t>
      </w:r>
      <w:r w:rsidR="002B1FF8">
        <w:t>. It</w:t>
      </w:r>
      <w:r w:rsidR="00C33014">
        <w:t xml:space="preserve"> again urged all Parties to provide information on their contributions by 15 October</w:t>
      </w:r>
      <w:r w:rsidR="002B1FF8">
        <w:t xml:space="preserve"> 2023</w:t>
      </w:r>
      <w:r w:rsidR="00C33014">
        <w:t>.</w:t>
      </w:r>
    </w:p>
    <w:p w14:paraId="3A699AD2" w14:textId="1183FB39" w:rsidR="006D1656" w:rsidRPr="00B554D8" w:rsidRDefault="002B1FF8" w:rsidP="00CF3CF0">
      <w:pPr>
        <w:pStyle w:val="SingleTxtG"/>
      </w:pPr>
      <w:r>
        <w:t>4</w:t>
      </w:r>
      <w:r w:rsidR="00974286">
        <w:t>2</w:t>
      </w:r>
      <w:r>
        <w:t>.</w:t>
      </w:r>
      <w:r>
        <w:tab/>
      </w:r>
      <w:r w:rsidR="00576A20" w:rsidRPr="00B554D8">
        <w:t>The Working Group</w:t>
      </w:r>
      <w:r w:rsidR="00576A20">
        <w:t xml:space="preserve"> n</w:t>
      </w:r>
      <w:r w:rsidR="00C33014">
        <w:t xml:space="preserve">oted </w:t>
      </w:r>
      <w:r w:rsidR="00AE3AE4">
        <w:t xml:space="preserve">the information from the secretariat </w:t>
      </w:r>
      <w:r w:rsidR="00C33014">
        <w:t>that the proposed</w:t>
      </w:r>
      <w:r w:rsidR="00B1419A">
        <w:t>, somewhat</w:t>
      </w:r>
      <w:r w:rsidR="00C33014">
        <w:t xml:space="preserve"> increased</w:t>
      </w:r>
      <w:r w:rsidR="00B1419A">
        <w:t>,</w:t>
      </w:r>
      <w:r w:rsidR="00C33014">
        <w:t xml:space="preserve"> joint budget for the Espoo Convention and its Protocol was by far the smallest of all the</w:t>
      </w:r>
      <w:r w:rsidR="00B1419A">
        <w:t xml:space="preserve"> budgets of the </w:t>
      </w:r>
      <w:r w:rsidR="00C33014">
        <w:t xml:space="preserve">ECE </w:t>
      </w:r>
      <w:r w:rsidR="00E86D79">
        <w:t>m</w:t>
      </w:r>
      <w:r w:rsidR="00B1419A">
        <w:t xml:space="preserve">ultilateral </w:t>
      </w:r>
      <w:r w:rsidR="00E86D79">
        <w:t>e</w:t>
      </w:r>
      <w:r w:rsidR="00B1419A">
        <w:t xml:space="preserve">nvironmental </w:t>
      </w:r>
      <w:r w:rsidR="00E86D79">
        <w:t>a</w:t>
      </w:r>
      <w:r w:rsidR="00B1419A">
        <w:t xml:space="preserve">greements </w:t>
      </w:r>
      <w:r w:rsidR="00E941A1">
        <w:t>(</w:t>
      </w:r>
      <w:r w:rsidR="00B70114">
        <w:t xml:space="preserve">with </w:t>
      </w:r>
      <w:r w:rsidR="00E941A1">
        <w:t xml:space="preserve">the </w:t>
      </w:r>
      <w:r w:rsidR="00302573">
        <w:t xml:space="preserve">aggregated </w:t>
      </w:r>
      <w:r w:rsidR="00E941A1">
        <w:t>budgets of the other Conventions and their Protocols</w:t>
      </w:r>
      <w:r w:rsidR="00B70114">
        <w:t xml:space="preserve"> being</w:t>
      </w:r>
      <w:r w:rsidR="00273655">
        <w:t xml:space="preserve"> up to </w:t>
      </w:r>
      <w:r w:rsidR="00684206">
        <w:t>10</w:t>
      </w:r>
      <w:r w:rsidR="00273655">
        <w:t xml:space="preserve"> times larger</w:t>
      </w:r>
      <w:r w:rsidR="00E941A1">
        <w:t>)</w:t>
      </w:r>
      <w:r w:rsidR="00576A20">
        <w:t>.</w:t>
      </w:r>
      <w:r w:rsidR="008B2C83">
        <w:t xml:space="preserve"> </w:t>
      </w:r>
    </w:p>
    <w:p w14:paraId="6CC4C0A3" w14:textId="322D72F1" w:rsidR="00091F9F" w:rsidRPr="00B554D8" w:rsidRDefault="00091F9F" w:rsidP="00CF3CF0">
      <w:pPr>
        <w:pStyle w:val="H1G"/>
      </w:pPr>
      <w:r w:rsidRPr="00B554D8">
        <w:tab/>
        <w:t>D.</w:t>
      </w:r>
      <w:r w:rsidRPr="00B554D8">
        <w:tab/>
      </w:r>
      <w:r w:rsidR="000A7361" w:rsidRPr="007D306E">
        <w:t xml:space="preserve">Draft </w:t>
      </w:r>
      <w:r w:rsidR="000A7361" w:rsidRPr="00CF3CF0">
        <w:t>declaration</w:t>
      </w:r>
    </w:p>
    <w:p w14:paraId="5B082A73" w14:textId="5949B384" w:rsidR="006D1656" w:rsidRPr="00B554D8" w:rsidRDefault="00576A20" w:rsidP="00CF3CF0">
      <w:pPr>
        <w:pStyle w:val="SingleTxtG"/>
      </w:pPr>
      <w:r>
        <w:t>4</w:t>
      </w:r>
      <w:r w:rsidR="00974286">
        <w:t>3</w:t>
      </w:r>
      <w:r w:rsidRPr="00B554D8">
        <w:t>.</w:t>
      </w:r>
      <w:r w:rsidRPr="00B554D8">
        <w:tab/>
      </w:r>
      <w:r w:rsidR="003269BC">
        <w:t xml:space="preserve">The Working Group </w:t>
      </w:r>
      <w:r w:rsidR="001211DD">
        <w:t xml:space="preserve">reviewed </w:t>
      </w:r>
      <w:r w:rsidR="00B1419A">
        <w:t xml:space="preserve">the </w:t>
      </w:r>
      <w:r w:rsidR="001211DD">
        <w:t>draft Geneva declaration p</w:t>
      </w:r>
      <w:r w:rsidR="00C072E6">
        <w:t>repared by the Bureau with support from the secretariat (ECE/MP.EIA/WG.2/2023/</w:t>
      </w:r>
      <w:r w:rsidR="00FD316C">
        <w:t>4)</w:t>
      </w:r>
      <w:r w:rsidR="00B1419A">
        <w:t xml:space="preserve">, and </w:t>
      </w:r>
      <w:r w:rsidR="00E81EFD">
        <w:t xml:space="preserve">considered </w:t>
      </w:r>
      <w:r w:rsidR="00286CDB">
        <w:t xml:space="preserve">changes </w:t>
      </w:r>
      <w:r w:rsidR="00D8010E">
        <w:t xml:space="preserve">to its text </w:t>
      </w:r>
      <w:r w:rsidR="00286CDB">
        <w:t>pr</w:t>
      </w:r>
      <w:r w:rsidR="005512A5">
        <w:t xml:space="preserve">oposed by </w:t>
      </w:r>
      <w:r w:rsidR="00FD316C">
        <w:t>the</w:t>
      </w:r>
      <w:r w:rsidR="00B1419A">
        <w:t xml:space="preserve"> delegations of the</w:t>
      </w:r>
      <w:r w:rsidR="00FD316C">
        <w:t xml:space="preserve"> European Union and its </w:t>
      </w:r>
      <w:r w:rsidR="00E86D79">
        <w:t>m</w:t>
      </w:r>
      <w:r w:rsidR="00FD316C">
        <w:t xml:space="preserve">ember States, </w:t>
      </w:r>
      <w:r w:rsidR="003269BC">
        <w:t xml:space="preserve">the </w:t>
      </w:r>
      <w:r w:rsidR="00DF535B">
        <w:t xml:space="preserve">European </w:t>
      </w:r>
      <w:r w:rsidR="00E81EFD">
        <w:t>E</w:t>
      </w:r>
      <w:r w:rsidR="00E86D79">
        <w:t>CO-F</w:t>
      </w:r>
      <w:r w:rsidR="00E81EFD">
        <w:t>orum</w:t>
      </w:r>
      <w:r w:rsidR="00B1419A">
        <w:t>,</w:t>
      </w:r>
      <w:r w:rsidR="00E81EFD">
        <w:t xml:space="preserve"> </w:t>
      </w:r>
      <w:r w:rsidR="003269BC">
        <w:t xml:space="preserve">Nuclear Transparency </w:t>
      </w:r>
      <w:r w:rsidR="000739A6">
        <w:t>Wat</w:t>
      </w:r>
      <w:r w:rsidR="005A5C40">
        <w:t>ch</w:t>
      </w:r>
      <w:r w:rsidR="00E81EFD">
        <w:t xml:space="preserve"> </w:t>
      </w:r>
      <w:r w:rsidR="00B1419A">
        <w:t xml:space="preserve">and </w:t>
      </w:r>
      <w:r w:rsidR="005A5C40">
        <w:t>WHO</w:t>
      </w:r>
      <w:r w:rsidR="00E81EFD">
        <w:t>.</w:t>
      </w:r>
    </w:p>
    <w:p w14:paraId="63515AFC" w14:textId="3B13C1F3" w:rsidR="006D1656" w:rsidRDefault="003A50C0" w:rsidP="00CF3CF0">
      <w:pPr>
        <w:pStyle w:val="SingleTxtG"/>
      </w:pPr>
      <w:r>
        <w:t>4</w:t>
      </w:r>
      <w:r w:rsidR="00974286">
        <w:t>4</w:t>
      </w:r>
      <w:r w:rsidR="006D1656" w:rsidRPr="00B554D8">
        <w:t>.</w:t>
      </w:r>
      <w:r w:rsidR="006D1656" w:rsidRPr="00B554D8">
        <w:tab/>
      </w:r>
      <w:r w:rsidR="00F875C2">
        <w:t xml:space="preserve">The delegation of </w:t>
      </w:r>
      <w:r>
        <w:t>B</w:t>
      </w:r>
      <w:r w:rsidR="00BE7527">
        <w:t>e</w:t>
      </w:r>
      <w:r>
        <w:t>larus</w:t>
      </w:r>
      <w:r w:rsidR="00BE7527">
        <w:t xml:space="preserve"> </w:t>
      </w:r>
      <w:r>
        <w:t>expressed its concerns “</w:t>
      </w:r>
      <w:r w:rsidRPr="00D470C1">
        <w:t>in regard to the politicized, unjustified and unbalanced wording of several parts of the draft declaration</w:t>
      </w:r>
      <w:r>
        <w:t xml:space="preserve"> (preamble and para. 7)</w:t>
      </w:r>
      <w:r w:rsidR="00BE7527">
        <w:t>,</w:t>
      </w:r>
      <w:r>
        <w:t>” stressing that</w:t>
      </w:r>
      <w:r w:rsidR="00E86D79">
        <w:t>,</w:t>
      </w:r>
      <w:r>
        <w:t xml:space="preserve"> for th</w:t>
      </w:r>
      <w:r w:rsidR="00E4573A">
        <w:t>at</w:t>
      </w:r>
      <w:r>
        <w:t xml:space="preserve"> reason</w:t>
      </w:r>
      <w:r w:rsidR="00E86D79">
        <w:t>,</w:t>
      </w:r>
      <w:r>
        <w:t xml:space="preserve"> it could not support the draft </w:t>
      </w:r>
      <w:r w:rsidR="00747E20">
        <w:t xml:space="preserve">declaration </w:t>
      </w:r>
      <w:r>
        <w:t>as presented</w:t>
      </w:r>
      <w:r w:rsidR="006D1656" w:rsidRPr="00B554D8">
        <w:t>.</w:t>
      </w:r>
    </w:p>
    <w:p w14:paraId="1C042AA6" w14:textId="2032D608" w:rsidR="00561EAA" w:rsidRPr="00B554D8" w:rsidRDefault="00561EAA" w:rsidP="00245089">
      <w:pPr>
        <w:pStyle w:val="SingleTxtG"/>
      </w:pPr>
      <w:r>
        <w:t>4</w:t>
      </w:r>
      <w:r w:rsidR="00974286">
        <w:t>5</w:t>
      </w:r>
      <w:r>
        <w:t>.</w:t>
      </w:r>
      <w:r>
        <w:tab/>
        <w:t xml:space="preserve">Following </w:t>
      </w:r>
      <w:r w:rsidR="007C4D74">
        <w:t>extensive deliberations</w:t>
      </w:r>
      <w:r>
        <w:t xml:space="preserve">, the </w:t>
      </w:r>
      <w:r w:rsidRPr="00B554D8">
        <w:t xml:space="preserve">Working Group </w:t>
      </w:r>
      <w:r>
        <w:t>agreed on the text of the draft declaration, as revised, to be forwarded</w:t>
      </w:r>
      <w:r w:rsidR="00B1419A">
        <w:t>,</w:t>
      </w:r>
      <w:r>
        <w:t xml:space="preserve"> </w:t>
      </w:r>
      <w:r w:rsidR="00A810AA">
        <w:t>with a few remaining square brackets</w:t>
      </w:r>
      <w:r w:rsidR="00B1419A">
        <w:t>,</w:t>
      </w:r>
      <w:r w:rsidR="00245089">
        <w:t xml:space="preserve"> </w:t>
      </w:r>
      <w:r w:rsidR="00A810AA">
        <w:t xml:space="preserve">for consideration of </w:t>
      </w:r>
      <w:r>
        <w:t>the Meetings of the Parties</w:t>
      </w:r>
      <w:r w:rsidR="00245089">
        <w:t>.</w:t>
      </w:r>
    </w:p>
    <w:p w14:paraId="5FFE84EE" w14:textId="38978617" w:rsidR="00091F9F" w:rsidRDefault="00091F9F" w:rsidP="00CF3CF0">
      <w:pPr>
        <w:pStyle w:val="H1G"/>
      </w:pPr>
      <w:r w:rsidRPr="00B554D8">
        <w:tab/>
        <w:t>E.</w:t>
      </w:r>
      <w:r w:rsidRPr="00B554D8">
        <w:tab/>
      </w:r>
      <w:r w:rsidR="00820DCB" w:rsidRPr="00820DCB">
        <w:t xml:space="preserve">Chairs of </w:t>
      </w:r>
      <w:r w:rsidR="00820DCB" w:rsidRPr="00CF3CF0">
        <w:t>the</w:t>
      </w:r>
      <w:r w:rsidR="00820DCB" w:rsidRPr="00820DCB">
        <w:t xml:space="preserve"> sessions</w:t>
      </w:r>
    </w:p>
    <w:p w14:paraId="60F4EB90" w14:textId="5253D2E4" w:rsidR="00BE27FA" w:rsidRPr="00B554D8" w:rsidRDefault="00BE7527" w:rsidP="004A03D3">
      <w:pPr>
        <w:pStyle w:val="SingleTxtG"/>
      </w:pPr>
      <w:r>
        <w:t>4</w:t>
      </w:r>
      <w:r w:rsidR="00974286">
        <w:t>6</w:t>
      </w:r>
      <w:r w:rsidR="00BE27FA" w:rsidRPr="00B554D8">
        <w:t>.</w:t>
      </w:r>
      <w:r w:rsidR="00BE27FA" w:rsidRPr="00B554D8">
        <w:tab/>
        <w:t xml:space="preserve">The Working Group welcomed the </w:t>
      </w:r>
      <w:r w:rsidR="00245089">
        <w:t xml:space="preserve">proposed </w:t>
      </w:r>
      <w:r w:rsidR="00316047">
        <w:t xml:space="preserve">nominations </w:t>
      </w:r>
      <w:r w:rsidR="00BE27FA" w:rsidRPr="00B554D8">
        <w:t xml:space="preserve">of the current Chair of the Bureau for Convention </w:t>
      </w:r>
      <w:r w:rsidR="00E86D79">
        <w:t>M</w:t>
      </w:r>
      <w:r w:rsidR="00BE27FA" w:rsidRPr="00B554D8">
        <w:t xml:space="preserve">atters, Mr. </w:t>
      </w:r>
      <w:r w:rsidR="00E86D79">
        <w:t xml:space="preserve">George </w:t>
      </w:r>
      <w:proofErr w:type="spellStart"/>
      <w:r w:rsidR="00BE27FA" w:rsidRPr="00B554D8">
        <w:t>Kremlis</w:t>
      </w:r>
      <w:proofErr w:type="spellEnd"/>
      <w:r w:rsidR="00BE27FA" w:rsidRPr="00B554D8">
        <w:t xml:space="preserve"> </w:t>
      </w:r>
      <w:r w:rsidR="001912B8">
        <w:t>(</w:t>
      </w:r>
      <w:r w:rsidR="00BE27FA" w:rsidRPr="00B554D8">
        <w:t>Greece</w:t>
      </w:r>
      <w:r w:rsidR="001912B8">
        <w:t>)</w:t>
      </w:r>
      <w:r w:rsidR="00BE27FA" w:rsidRPr="00B554D8">
        <w:t xml:space="preserve">, as a candidate for the </w:t>
      </w:r>
      <w:r w:rsidR="001D52D6">
        <w:t xml:space="preserve">post of </w:t>
      </w:r>
      <w:r w:rsidR="00E86D79">
        <w:t>C</w:t>
      </w:r>
      <w:r w:rsidR="004666F3">
        <w:t xml:space="preserve">hair </w:t>
      </w:r>
      <w:r w:rsidR="00295651">
        <w:t>of the</w:t>
      </w:r>
      <w:r w:rsidR="00BE27FA" w:rsidRPr="00B554D8">
        <w:t xml:space="preserve"> general segment of the </w:t>
      </w:r>
      <w:r w:rsidR="00E86D79">
        <w:t xml:space="preserve">sessions of the </w:t>
      </w:r>
      <w:r w:rsidR="00BE27FA" w:rsidRPr="00B554D8">
        <w:t>Meetings of the Parties</w:t>
      </w:r>
      <w:r w:rsidR="007B31B3">
        <w:t>, and</w:t>
      </w:r>
      <w:r w:rsidR="004666F3">
        <w:t>,</w:t>
      </w:r>
      <w:r w:rsidR="007B31B3">
        <w:t xml:space="preserve"> as needed</w:t>
      </w:r>
      <w:r w:rsidR="00E86D79">
        <w:t>,</w:t>
      </w:r>
      <w:r w:rsidR="004A03D3">
        <w:t xml:space="preserve"> </w:t>
      </w:r>
      <w:r w:rsidR="00295651">
        <w:t xml:space="preserve">of </w:t>
      </w:r>
      <w:r w:rsidR="004A03D3">
        <w:t xml:space="preserve">the Chair of the Bureau for Protocol </w:t>
      </w:r>
      <w:r w:rsidR="00E86D79">
        <w:t>M</w:t>
      </w:r>
      <w:r w:rsidR="004A03D3">
        <w:t xml:space="preserve">atters, Ms. </w:t>
      </w:r>
      <w:r w:rsidR="00E86D79">
        <w:t xml:space="preserve">Vesna </w:t>
      </w:r>
      <w:r w:rsidR="004A03D3">
        <w:t>Kolar-</w:t>
      </w:r>
      <w:proofErr w:type="spellStart"/>
      <w:r w:rsidR="004A03D3">
        <w:t>Planinšič</w:t>
      </w:r>
      <w:proofErr w:type="spellEnd"/>
      <w:r w:rsidR="004A03D3">
        <w:t xml:space="preserve"> (Slovenia), as a </w:t>
      </w:r>
      <w:r w:rsidR="00684206">
        <w:t>C</w:t>
      </w:r>
      <w:r w:rsidR="00BF30E2">
        <w:t>o-</w:t>
      </w:r>
      <w:r w:rsidR="00684206">
        <w:t>C</w:t>
      </w:r>
      <w:r w:rsidR="00BF30E2">
        <w:t xml:space="preserve">hair </w:t>
      </w:r>
      <w:r w:rsidR="004A03D3">
        <w:t xml:space="preserve">candidate </w:t>
      </w:r>
      <w:r w:rsidR="00DC1C2B">
        <w:t xml:space="preserve">responsible for Protocol </w:t>
      </w:r>
      <w:r w:rsidR="00684206">
        <w:t>M</w:t>
      </w:r>
      <w:r w:rsidR="00DC1C2B">
        <w:t>atters,</w:t>
      </w:r>
      <w:r w:rsidR="004A03D3">
        <w:t xml:space="preserve"> </w:t>
      </w:r>
      <w:r w:rsidR="00E86D79">
        <w:t>should</w:t>
      </w:r>
      <w:r w:rsidR="004A03D3">
        <w:t xml:space="preserve"> Greece </w:t>
      </w:r>
      <w:r w:rsidR="00E86D79">
        <w:t>still not be</w:t>
      </w:r>
      <w:r w:rsidR="004A03D3">
        <w:t xml:space="preserve"> a Party to the Protocol</w:t>
      </w:r>
      <w:r w:rsidR="00DC1C2B">
        <w:t xml:space="preserve"> by th</w:t>
      </w:r>
      <w:r w:rsidR="00E86D79">
        <w:t>at time</w:t>
      </w:r>
      <w:r w:rsidR="004A03D3">
        <w:t>.</w:t>
      </w:r>
    </w:p>
    <w:p w14:paraId="2EFDED13" w14:textId="74CE51A9" w:rsidR="00BE27FA" w:rsidRPr="00B554D8" w:rsidRDefault="001912B8" w:rsidP="001912B8">
      <w:pPr>
        <w:pStyle w:val="SingleTxtG"/>
      </w:pPr>
      <w:r>
        <w:t>4</w:t>
      </w:r>
      <w:r w:rsidR="00974286">
        <w:t>7</w:t>
      </w:r>
      <w:r w:rsidR="00BE27FA" w:rsidRPr="00B554D8">
        <w:t>.</w:t>
      </w:r>
      <w:r w:rsidR="00BE27FA" w:rsidRPr="00B554D8">
        <w:tab/>
      </w:r>
      <w:r w:rsidR="000C5366">
        <w:t xml:space="preserve">The Working Group noted that </w:t>
      </w:r>
      <w:r>
        <w:t>Spain</w:t>
      </w:r>
      <w:r w:rsidR="000B52E6">
        <w:t xml:space="preserve"> </w:t>
      </w:r>
      <w:r w:rsidR="00E86D79">
        <w:t xml:space="preserve">had </w:t>
      </w:r>
      <w:r>
        <w:t>withdr</w:t>
      </w:r>
      <w:r w:rsidR="00E86D79">
        <w:t>a</w:t>
      </w:r>
      <w:r>
        <w:t>w</w:t>
      </w:r>
      <w:r w:rsidR="00E86D79">
        <w:t>n</w:t>
      </w:r>
      <w:r>
        <w:t xml:space="preserve"> </w:t>
      </w:r>
      <w:r w:rsidR="000C5366">
        <w:t>its</w:t>
      </w:r>
      <w:r w:rsidR="003D0A98">
        <w:t xml:space="preserve"> </w:t>
      </w:r>
      <w:r w:rsidR="00AF2715">
        <w:t xml:space="preserve">previously announced </w:t>
      </w:r>
      <w:r>
        <w:t>candidacy</w:t>
      </w:r>
      <w:r w:rsidR="000C5366">
        <w:t xml:space="preserve"> </w:t>
      </w:r>
      <w:r>
        <w:t>for chairing the high-level segment</w:t>
      </w:r>
      <w:r w:rsidR="003D0A98">
        <w:t>,</w:t>
      </w:r>
      <w:r>
        <w:t xml:space="preserve"> due to </w:t>
      </w:r>
      <w:r w:rsidR="00AF2715">
        <w:t>the country’s</w:t>
      </w:r>
      <w:r>
        <w:t xml:space="preserve"> general elections</w:t>
      </w:r>
      <w:r w:rsidR="00AE261A">
        <w:t xml:space="preserve">. </w:t>
      </w:r>
      <w:r>
        <w:t>It invited other Parties to explore opportunities to chair the high-level segment.</w:t>
      </w:r>
    </w:p>
    <w:p w14:paraId="10E9AA4C" w14:textId="391F434E" w:rsidR="00091F9F" w:rsidRDefault="00091F9F" w:rsidP="00CF3CF0">
      <w:pPr>
        <w:pStyle w:val="H1G"/>
      </w:pPr>
      <w:r w:rsidRPr="00B554D8">
        <w:tab/>
        <w:t>F.</w:t>
      </w:r>
      <w:r w:rsidRPr="00B554D8">
        <w:tab/>
      </w:r>
      <w:r w:rsidR="00E1458C" w:rsidRPr="00B554D8">
        <w:t xml:space="preserve">Officers for the </w:t>
      </w:r>
      <w:r w:rsidR="00E1458C" w:rsidRPr="00CF3CF0">
        <w:t>next</w:t>
      </w:r>
      <w:r w:rsidR="00E1458C" w:rsidRPr="00B554D8">
        <w:t xml:space="preserve"> intersessional period</w:t>
      </w:r>
    </w:p>
    <w:p w14:paraId="7C47DF7D" w14:textId="60D59F1D" w:rsidR="00B40A64" w:rsidRDefault="00CE2190" w:rsidP="006932D4">
      <w:pPr>
        <w:pStyle w:val="SingleTxtG"/>
      </w:pPr>
      <w:r>
        <w:t>4</w:t>
      </w:r>
      <w:r w:rsidR="00974286">
        <w:t>8</w:t>
      </w:r>
      <w:r w:rsidR="00BE27FA" w:rsidRPr="00B554D8">
        <w:t>.</w:t>
      </w:r>
      <w:r w:rsidR="00BE27FA" w:rsidRPr="00B554D8">
        <w:tab/>
        <w:t xml:space="preserve">The Working Group welcomed </w:t>
      </w:r>
      <w:r w:rsidR="00B40A64">
        <w:t xml:space="preserve">the </w:t>
      </w:r>
      <w:r w:rsidR="00EC3702" w:rsidRPr="00EC3702">
        <w:t>nominations of officers to be elected by the Meetings of the Parties for the next intersessional period that Parties had put forward thus far</w:t>
      </w:r>
      <w:r w:rsidR="00EC3702">
        <w:t xml:space="preserve"> (</w:t>
      </w:r>
      <w:r w:rsidR="004F51E4">
        <w:t>ECE/MP.EIA/</w:t>
      </w:r>
      <w:r w:rsidR="009A72C3">
        <w:t>WG.2/</w:t>
      </w:r>
      <w:r w:rsidR="008D5D35">
        <w:t>2023/INF.7)</w:t>
      </w:r>
      <w:r w:rsidR="00B40A64">
        <w:t>, including the willingness for the current Bureau and Working Group Chairs to continue</w:t>
      </w:r>
      <w:r w:rsidR="007F3494">
        <w:t xml:space="preserve"> in their roles</w:t>
      </w:r>
      <w:r w:rsidR="00B40A64">
        <w:t>, if needed</w:t>
      </w:r>
      <w:r w:rsidR="00B8632D">
        <w:t>.</w:t>
      </w:r>
      <w:r w:rsidR="00B40A64">
        <w:t xml:space="preserve"> </w:t>
      </w:r>
      <w:r w:rsidR="000B522B">
        <w:t>In addition, w</w:t>
      </w:r>
      <w:r w:rsidR="00B8632D">
        <w:t xml:space="preserve">ith regards to </w:t>
      </w:r>
      <w:r w:rsidR="00B40A64">
        <w:t xml:space="preserve">the </w:t>
      </w:r>
      <w:r w:rsidR="0024400F">
        <w:t>I</w:t>
      </w:r>
      <w:r w:rsidR="00B40A64">
        <w:t>mplementation Committee</w:t>
      </w:r>
      <w:r w:rsidR="000B522B">
        <w:t xml:space="preserve"> membership</w:t>
      </w:r>
      <w:r w:rsidR="00C5204B">
        <w:t>, the Working Group n</w:t>
      </w:r>
      <w:r w:rsidR="00B40A64">
        <w:t>oted that P</w:t>
      </w:r>
      <w:r w:rsidR="00C5204B">
        <w:t xml:space="preserve">oland </w:t>
      </w:r>
      <w:r w:rsidR="00B40A64">
        <w:t xml:space="preserve">was considering nominating an alternate member </w:t>
      </w:r>
      <w:r w:rsidR="002173E5">
        <w:t>for Protocol matters to the member that</w:t>
      </w:r>
      <w:r w:rsidR="00B40A64">
        <w:t xml:space="preserve"> </w:t>
      </w:r>
      <w:r w:rsidR="00B40A64" w:rsidRPr="000F737B">
        <w:t xml:space="preserve">Canada </w:t>
      </w:r>
      <w:r w:rsidR="002173E5" w:rsidRPr="004838E0">
        <w:t xml:space="preserve">had nominated for Convention </w:t>
      </w:r>
      <w:r w:rsidR="00B40A64" w:rsidRPr="000F737B">
        <w:t>matters</w:t>
      </w:r>
      <w:r w:rsidR="00A03DC2">
        <w:t xml:space="preserve">, but that information was to be confirmed at a later stage, </w:t>
      </w:r>
      <w:r w:rsidR="00C5204B">
        <w:t xml:space="preserve">and </w:t>
      </w:r>
      <w:r w:rsidR="00A03DC2">
        <w:t xml:space="preserve">also </w:t>
      </w:r>
      <w:r w:rsidR="00B40A64">
        <w:t xml:space="preserve">that </w:t>
      </w:r>
      <w:r w:rsidR="00C5204B">
        <w:t>Montenegro</w:t>
      </w:r>
      <w:r w:rsidR="00B40A64">
        <w:t xml:space="preserve"> would confirm its candidacy for the </w:t>
      </w:r>
      <w:r w:rsidR="00C5204B">
        <w:t>Implementation Committee</w:t>
      </w:r>
      <w:r w:rsidR="00B40A64">
        <w:t xml:space="preserve"> a</w:t>
      </w:r>
      <w:r>
        <w:t>s soon as possible</w:t>
      </w:r>
      <w:r w:rsidR="00803145">
        <w:t>.</w:t>
      </w:r>
      <w:r w:rsidR="00EA5056">
        <w:rPr>
          <w:rStyle w:val="FootnoteReference"/>
        </w:rPr>
        <w:footnoteReference w:id="11"/>
      </w:r>
    </w:p>
    <w:p w14:paraId="1F5FC513" w14:textId="7E46173D" w:rsidR="00CE2190" w:rsidRDefault="00792205" w:rsidP="006932D4">
      <w:pPr>
        <w:pStyle w:val="SingleTxtG"/>
      </w:pPr>
      <w:r>
        <w:t>4</w:t>
      </w:r>
      <w:r w:rsidR="00974286">
        <w:t>9</w:t>
      </w:r>
      <w:r w:rsidR="00CE2190">
        <w:t>.</w:t>
      </w:r>
      <w:r w:rsidR="00CE2190">
        <w:tab/>
      </w:r>
      <w:r w:rsidR="00CE2190" w:rsidRPr="00B554D8">
        <w:t>The Working Group</w:t>
      </w:r>
      <w:r w:rsidR="00CE2190">
        <w:t xml:space="preserve"> </w:t>
      </w:r>
      <w:r w:rsidR="00C5204B">
        <w:t>i</w:t>
      </w:r>
      <w:r w:rsidR="00B40A64">
        <w:t>nvited Parties to submit to the secretariat</w:t>
      </w:r>
      <w:r w:rsidR="00607797">
        <w:t>, at the</w:t>
      </w:r>
      <w:r w:rsidR="00B40A64">
        <w:t xml:space="preserve"> </w:t>
      </w:r>
      <w:r w:rsidR="000B522B">
        <w:t xml:space="preserve">latest </w:t>
      </w:r>
      <w:r w:rsidR="00B40A64">
        <w:t>by 15 October</w:t>
      </w:r>
      <w:r w:rsidR="001F596A" w:rsidRPr="001F596A">
        <w:t xml:space="preserve"> </w:t>
      </w:r>
      <w:r w:rsidR="001F596A">
        <w:t>2023</w:t>
      </w:r>
      <w:r>
        <w:t>,</w:t>
      </w:r>
      <w:r w:rsidR="001F596A">
        <w:t xml:space="preserve"> </w:t>
      </w:r>
      <w:r w:rsidR="00B40A64">
        <w:t xml:space="preserve">the missing nominations for officers to be elected, including, </w:t>
      </w:r>
      <w:r w:rsidR="00566BBD">
        <w:t xml:space="preserve">one member </w:t>
      </w:r>
      <w:r w:rsidR="00B40A64">
        <w:t xml:space="preserve">for the </w:t>
      </w:r>
      <w:r w:rsidR="001F596A">
        <w:t>Implementation Commit</w:t>
      </w:r>
      <w:r w:rsidR="005B0A2B">
        <w:t>tee</w:t>
      </w:r>
      <w:r w:rsidR="00566BBD">
        <w:t xml:space="preserve">, and, </w:t>
      </w:r>
      <w:r w:rsidR="00BC51BF">
        <w:t xml:space="preserve">if the candidacy of Poland </w:t>
      </w:r>
      <w:r w:rsidR="000B522B">
        <w:t>was</w:t>
      </w:r>
      <w:r w:rsidR="00BC51BF">
        <w:t xml:space="preserve"> not confirmed, </w:t>
      </w:r>
      <w:r w:rsidR="00EC7C09">
        <w:t>one</w:t>
      </w:r>
      <w:r w:rsidR="00B40A64">
        <w:t xml:space="preserve"> member for Protocol matters</w:t>
      </w:r>
      <w:r w:rsidR="00EC7C09">
        <w:t>.</w:t>
      </w:r>
    </w:p>
    <w:p w14:paraId="2952BD2D" w14:textId="7B0BAA70" w:rsidR="00091F9F" w:rsidRPr="00B554D8" w:rsidRDefault="00091F9F" w:rsidP="006932D4">
      <w:pPr>
        <w:pStyle w:val="H1G"/>
      </w:pPr>
      <w:r w:rsidRPr="00B554D8">
        <w:tab/>
        <w:t>G.</w:t>
      </w:r>
      <w:r w:rsidRPr="00B554D8">
        <w:tab/>
      </w:r>
      <w:r w:rsidR="00C97BF9" w:rsidRPr="006932D4">
        <w:t>Provisional</w:t>
      </w:r>
      <w:r w:rsidR="00C97BF9" w:rsidRPr="00C97BF9">
        <w:t xml:space="preserve"> schedule of meetings 2024–2026</w:t>
      </w:r>
    </w:p>
    <w:p w14:paraId="39B21DC7" w14:textId="1B6A007A" w:rsidR="00786A74" w:rsidRPr="00E015A6" w:rsidRDefault="00974286" w:rsidP="006932D4">
      <w:pPr>
        <w:pStyle w:val="SingleTxtG"/>
      </w:pPr>
      <w:r>
        <w:t>50</w:t>
      </w:r>
      <w:r w:rsidR="00E015A6">
        <w:t>.</w:t>
      </w:r>
      <w:r w:rsidR="00E015A6">
        <w:tab/>
        <w:t>The Working Group n</w:t>
      </w:r>
      <w:r w:rsidR="00E015A6" w:rsidRPr="00E015A6">
        <w:t>oted the indicative schedule of meetings</w:t>
      </w:r>
      <w:r w:rsidR="00320520">
        <w:t xml:space="preserve"> for </w:t>
      </w:r>
      <w:r w:rsidR="009209B2">
        <w:t xml:space="preserve">2024–2026 </w:t>
      </w:r>
      <w:r w:rsidR="002C7728" w:rsidRPr="00E015A6">
        <w:t>to be held subject to the availability of resources</w:t>
      </w:r>
      <w:r w:rsidR="002C7728">
        <w:t xml:space="preserve"> </w:t>
      </w:r>
      <w:r w:rsidR="009209B2">
        <w:t>(</w:t>
      </w:r>
      <w:r w:rsidR="002C7728" w:rsidRPr="006261F2">
        <w:rPr>
          <w:lang w:eastAsia="en-US"/>
        </w:rPr>
        <w:t>ECE/MP.EIA/WG.2/202</w:t>
      </w:r>
      <w:r w:rsidR="002C7728">
        <w:rPr>
          <w:lang w:eastAsia="en-US"/>
        </w:rPr>
        <w:t>3</w:t>
      </w:r>
      <w:r w:rsidR="002C7728" w:rsidRPr="006261F2">
        <w:rPr>
          <w:lang w:eastAsia="en-US"/>
        </w:rPr>
        <w:t>/INF.</w:t>
      </w:r>
      <w:r w:rsidR="002C7728">
        <w:rPr>
          <w:lang w:eastAsia="en-US"/>
        </w:rPr>
        <w:t>8</w:t>
      </w:r>
      <w:r w:rsidR="002C7728" w:rsidRPr="006261F2">
        <w:rPr>
          <w:lang w:eastAsia="en-US"/>
        </w:rPr>
        <w:t>)</w:t>
      </w:r>
      <w:r w:rsidR="000B522B">
        <w:rPr>
          <w:lang w:eastAsia="en-US"/>
        </w:rPr>
        <w:t>, and a</w:t>
      </w:r>
      <w:r w:rsidR="00705D9B">
        <w:t>sk</w:t>
      </w:r>
      <w:r w:rsidR="000B522B">
        <w:t>ed</w:t>
      </w:r>
      <w:r w:rsidR="00ED56DC">
        <w:t xml:space="preserve"> the secretariat</w:t>
      </w:r>
      <w:r w:rsidR="00705D9B">
        <w:t xml:space="preserve"> to </w:t>
      </w:r>
      <w:r w:rsidR="00E015A6" w:rsidRPr="00E015A6">
        <w:t>forward it to the Meetings of the Parties</w:t>
      </w:r>
      <w:r w:rsidR="00676A48">
        <w:t xml:space="preserve">, </w:t>
      </w:r>
      <w:r w:rsidR="00E015A6" w:rsidRPr="00E015A6">
        <w:t>with the 2024 meetings of the W</w:t>
      </w:r>
      <w:r w:rsidR="00705D9B">
        <w:t>orking Group</w:t>
      </w:r>
      <w:r w:rsidR="00E015A6" w:rsidRPr="00E015A6">
        <w:t xml:space="preserve"> and the Bureau in </w:t>
      </w:r>
      <w:r w:rsidR="008A0CF1">
        <w:t xml:space="preserve">between </w:t>
      </w:r>
      <w:r w:rsidR="00E015A6" w:rsidRPr="00E015A6">
        <w:t>square brackets</w:t>
      </w:r>
      <w:r w:rsidR="00705D9B">
        <w:t>.</w:t>
      </w:r>
    </w:p>
    <w:p w14:paraId="43E6CE4B" w14:textId="513BC92C" w:rsidR="00B554D8" w:rsidRPr="00B554D8" w:rsidRDefault="006932D4" w:rsidP="006932D4">
      <w:pPr>
        <w:pStyle w:val="HChG"/>
      </w:pPr>
      <w:r>
        <w:tab/>
      </w:r>
      <w:r w:rsidR="00F36F3D">
        <w:t>V.</w:t>
      </w:r>
      <w:r w:rsidR="00F36F3D">
        <w:tab/>
      </w:r>
      <w:r w:rsidR="00B554D8" w:rsidRPr="00B554D8">
        <w:t>Compliance and implementation</w:t>
      </w:r>
    </w:p>
    <w:p w14:paraId="0884FD33" w14:textId="256FB983" w:rsidR="00B554D8" w:rsidRPr="00B554D8" w:rsidRDefault="00B554D8" w:rsidP="006932D4">
      <w:pPr>
        <w:pStyle w:val="H1G"/>
      </w:pPr>
      <w:r w:rsidRPr="00B554D8">
        <w:tab/>
      </w:r>
      <w:r w:rsidR="00BE27FA">
        <w:t>A.</w:t>
      </w:r>
      <w:r w:rsidRPr="00B554D8">
        <w:tab/>
        <w:t>Review of compliance</w:t>
      </w:r>
      <w:r w:rsidR="00E6502A">
        <w:t xml:space="preserve"> and related draft decisions</w:t>
      </w:r>
    </w:p>
    <w:p w14:paraId="57DC9F17" w14:textId="5AD268E0" w:rsidR="003641C7" w:rsidRPr="00B554D8" w:rsidRDefault="00974286" w:rsidP="006932D4">
      <w:pPr>
        <w:pStyle w:val="SingleTxtG"/>
      </w:pPr>
      <w:r>
        <w:t>51</w:t>
      </w:r>
      <w:r w:rsidR="003641C7" w:rsidRPr="00B554D8">
        <w:t>.</w:t>
      </w:r>
      <w:r w:rsidR="003641C7" w:rsidRPr="00B554D8">
        <w:tab/>
        <w:t>The Chair of the Implementation Committee reported on the main outcomes of the Committee’s fifty-</w:t>
      </w:r>
      <w:r w:rsidR="003641C7">
        <w:t>fifth and fifty-sixth sessions</w:t>
      </w:r>
      <w:r w:rsidR="003641C7" w:rsidRPr="00B554D8">
        <w:t xml:space="preserve"> (Geneva (online), 31 </w:t>
      </w:r>
      <w:r w:rsidR="003641C7">
        <w:t>January–3 February</w:t>
      </w:r>
      <w:r w:rsidR="00684206">
        <w:t>,</w:t>
      </w:r>
      <w:r w:rsidR="003641C7">
        <w:t xml:space="preserve"> </w:t>
      </w:r>
      <w:r w:rsidR="003641C7" w:rsidRPr="00B554D8">
        <w:t>and Geneva</w:t>
      </w:r>
      <w:r w:rsidR="003641C7">
        <w:t xml:space="preserve">, 2–5 May 2023) </w:t>
      </w:r>
      <w:r w:rsidR="003641C7" w:rsidRPr="00B554D8">
        <w:t>respectively)</w:t>
      </w:r>
      <w:r w:rsidR="003641C7" w:rsidRPr="00B554D8">
        <w:rPr>
          <w:sz w:val="18"/>
          <w:vertAlign w:val="superscript"/>
        </w:rPr>
        <w:footnoteReference w:id="12"/>
      </w:r>
      <w:r w:rsidR="003641C7" w:rsidRPr="00B554D8">
        <w:t xml:space="preserve"> and the main objectives for the Committee’s fifty-</w:t>
      </w:r>
      <w:r w:rsidR="003641C7">
        <w:t>seventh</w:t>
      </w:r>
      <w:r w:rsidR="003641C7" w:rsidRPr="00B554D8">
        <w:t xml:space="preserve"> session (Geneva</w:t>
      </w:r>
      <w:r w:rsidR="003641C7">
        <w:t>, 29 August–1 September</w:t>
      </w:r>
      <w:r w:rsidR="003641C7" w:rsidRPr="00B554D8">
        <w:t xml:space="preserve"> 2023). </w:t>
      </w:r>
      <w:r w:rsidR="003641C7">
        <w:t>He presented initial draft decision</w:t>
      </w:r>
      <w:r w:rsidR="00E95DA8">
        <w:t>s</w:t>
      </w:r>
      <w:r w:rsidR="003641C7">
        <w:t xml:space="preserve"> on compliance </w:t>
      </w:r>
      <w:r w:rsidR="003641C7" w:rsidRPr="000F0CDC">
        <w:t>with the Convention and the Protocol</w:t>
      </w:r>
      <w:r w:rsidR="003641C7">
        <w:t xml:space="preserve"> (</w:t>
      </w:r>
      <w:r w:rsidR="003641C7" w:rsidRPr="006261F2">
        <w:rPr>
          <w:lang w:eastAsia="en-US"/>
        </w:rPr>
        <w:t>ECE/MP.EIA/WG.2/202</w:t>
      </w:r>
      <w:r w:rsidR="003641C7">
        <w:rPr>
          <w:lang w:eastAsia="en-US"/>
        </w:rPr>
        <w:t>3</w:t>
      </w:r>
      <w:r w:rsidR="003641C7" w:rsidRPr="006261F2">
        <w:rPr>
          <w:lang w:eastAsia="en-US"/>
        </w:rPr>
        <w:t>/INF.1</w:t>
      </w:r>
      <w:r w:rsidR="003641C7">
        <w:rPr>
          <w:lang w:eastAsia="en-US"/>
        </w:rPr>
        <w:t>0</w:t>
      </w:r>
      <w:r w:rsidR="003641C7" w:rsidRPr="006261F2">
        <w:rPr>
          <w:lang w:eastAsia="en-US"/>
        </w:rPr>
        <w:t>), for possible comments by the delegations</w:t>
      </w:r>
      <w:r w:rsidR="003641C7">
        <w:rPr>
          <w:lang w:eastAsia="en-US"/>
        </w:rPr>
        <w:t xml:space="preserve">. He </w:t>
      </w:r>
      <w:r w:rsidR="00C93FA1">
        <w:rPr>
          <w:lang w:eastAsia="en-US"/>
        </w:rPr>
        <w:t xml:space="preserve">pointed out </w:t>
      </w:r>
      <w:r w:rsidR="003641C7">
        <w:rPr>
          <w:lang w:eastAsia="en-US"/>
        </w:rPr>
        <w:t>that th</w:t>
      </w:r>
      <w:r w:rsidR="00E95DA8">
        <w:rPr>
          <w:lang w:eastAsia="en-US"/>
        </w:rPr>
        <w:t>ose</w:t>
      </w:r>
      <w:r w:rsidR="003641C7">
        <w:rPr>
          <w:lang w:eastAsia="en-US"/>
        </w:rPr>
        <w:t xml:space="preserve"> draft decision</w:t>
      </w:r>
      <w:r w:rsidR="00E95DA8">
        <w:rPr>
          <w:lang w:eastAsia="en-US"/>
        </w:rPr>
        <w:t>s</w:t>
      </w:r>
      <w:r w:rsidR="003641C7">
        <w:rPr>
          <w:lang w:eastAsia="en-US"/>
        </w:rPr>
        <w:t xml:space="preserve"> would be complemented</w:t>
      </w:r>
      <w:r w:rsidR="003641C7">
        <w:t xml:space="preserve"> with a few remaining ones to be completed by the Committee at its fifty-seventh session, upon receipt of </w:t>
      </w:r>
      <w:r w:rsidR="00086A5B">
        <w:t xml:space="preserve">information </w:t>
      </w:r>
      <w:r w:rsidR="003641C7">
        <w:t xml:space="preserve">still pending from Parties. </w:t>
      </w:r>
      <w:r w:rsidR="003641C7">
        <w:rPr>
          <w:lang w:eastAsia="en-US"/>
        </w:rPr>
        <w:t>He</w:t>
      </w:r>
      <w:r w:rsidR="003641C7">
        <w:t xml:space="preserve"> also presented initial </w:t>
      </w:r>
      <w:r w:rsidR="003641C7" w:rsidRPr="000F0CDC">
        <w:t xml:space="preserve">amendment proposals to the Committee’s structure and functions and </w:t>
      </w:r>
      <w:r w:rsidR="00086A5B">
        <w:t xml:space="preserve">its </w:t>
      </w:r>
      <w:r w:rsidR="003641C7" w:rsidRPr="000F0CDC">
        <w:t>operating rules</w:t>
      </w:r>
      <w:r w:rsidR="003641C7">
        <w:t xml:space="preserve"> (</w:t>
      </w:r>
      <w:r w:rsidR="003641C7" w:rsidRPr="00172695">
        <w:rPr>
          <w:lang w:eastAsia="en-US"/>
        </w:rPr>
        <w:t>ECE/MP.EIA/WG.2/2023/INF.10/Add.1</w:t>
      </w:r>
      <w:r w:rsidR="003641C7" w:rsidRPr="006261F2">
        <w:rPr>
          <w:lang w:eastAsia="en-US"/>
        </w:rPr>
        <w:t>)</w:t>
      </w:r>
      <w:r w:rsidR="003641C7">
        <w:rPr>
          <w:lang w:eastAsia="en-US"/>
        </w:rPr>
        <w:t xml:space="preserve"> for information and possible comments by the Working Group. The amendment proposals </w:t>
      </w:r>
      <w:r w:rsidR="003641C7">
        <w:t>aim</w:t>
      </w:r>
      <w:r w:rsidR="00820E3C">
        <w:t>ed</w:t>
      </w:r>
      <w:r w:rsidR="003641C7">
        <w:t xml:space="preserve"> </w:t>
      </w:r>
      <w:r w:rsidR="003843CD">
        <w:t xml:space="preserve">to </w:t>
      </w:r>
      <w:r w:rsidR="003641C7" w:rsidRPr="00B554D8">
        <w:rPr>
          <w:lang w:val="en-US"/>
        </w:rPr>
        <w:t>improv</w:t>
      </w:r>
      <w:r w:rsidR="003843CD">
        <w:rPr>
          <w:lang w:val="en-US"/>
        </w:rPr>
        <w:t xml:space="preserve">e </w:t>
      </w:r>
      <w:r w:rsidR="003641C7">
        <w:rPr>
          <w:lang w:val="en-US"/>
        </w:rPr>
        <w:t>the Committee’s</w:t>
      </w:r>
      <w:r w:rsidR="003641C7" w:rsidRPr="00B554D8">
        <w:rPr>
          <w:lang w:val="en-US"/>
        </w:rPr>
        <w:t xml:space="preserve"> work methods and practice in the light of its experience, including regarding issues of conflict of interest and quorum, transparency and efficiency of its communications and the use of videoconferencing/online meetings</w:t>
      </w:r>
      <w:r w:rsidR="003641C7">
        <w:rPr>
          <w:lang w:val="en-US"/>
        </w:rPr>
        <w:t>.</w:t>
      </w:r>
    </w:p>
    <w:p w14:paraId="45D02D2A" w14:textId="550E4845" w:rsidR="003641C7" w:rsidRDefault="00F933C0" w:rsidP="006932D4">
      <w:pPr>
        <w:pStyle w:val="SingleTxtG"/>
        <w:rPr>
          <w:lang w:val="en-US"/>
        </w:rPr>
      </w:pPr>
      <w:r>
        <w:t>5</w:t>
      </w:r>
      <w:r w:rsidR="00974286">
        <w:t>2</w:t>
      </w:r>
      <w:r w:rsidR="003641C7" w:rsidRPr="00B554D8">
        <w:t>.</w:t>
      </w:r>
      <w:r w:rsidR="003641C7" w:rsidRPr="00B554D8">
        <w:tab/>
        <w:t xml:space="preserve">The Working Group took note of the report of the Committee’s Chair, welcoming the </w:t>
      </w:r>
      <w:r w:rsidR="003641C7" w:rsidRPr="00B554D8">
        <w:rPr>
          <w:lang w:val="en-US"/>
        </w:rPr>
        <w:t xml:space="preserve">progress made and acknowledging the </w:t>
      </w:r>
      <w:r w:rsidR="0000111C">
        <w:rPr>
          <w:lang w:val="en-US"/>
        </w:rPr>
        <w:t xml:space="preserve">volume </w:t>
      </w:r>
      <w:r w:rsidR="003641C7" w:rsidRPr="00B554D8">
        <w:rPr>
          <w:lang w:val="en-US"/>
        </w:rPr>
        <w:t xml:space="preserve">of the Committee’s workload </w:t>
      </w:r>
      <w:r w:rsidR="00A433B7">
        <w:rPr>
          <w:lang w:val="en-US"/>
        </w:rPr>
        <w:t xml:space="preserve">ahead of the next sessions of </w:t>
      </w:r>
      <w:r w:rsidR="003641C7" w:rsidRPr="00B554D8">
        <w:rPr>
          <w:lang w:val="en-US"/>
        </w:rPr>
        <w:t xml:space="preserve">the Meetings of the Parties. </w:t>
      </w:r>
    </w:p>
    <w:p w14:paraId="5E618F1B" w14:textId="1FF75250" w:rsidR="003641C7" w:rsidRDefault="00F933C0" w:rsidP="003641C7">
      <w:pPr>
        <w:pStyle w:val="SingleTxtG"/>
      </w:pPr>
      <w:r>
        <w:t>5</w:t>
      </w:r>
      <w:r w:rsidR="00974286">
        <w:t>3</w:t>
      </w:r>
      <w:r w:rsidR="003641C7">
        <w:t>.</w:t>
      </w:r>
      <w:r w:rsidR="003641C7">
        <w:tab/>
        <w:t xml:space="preserve">The Working Group </w:t>
      </w:r>
      <w:r w:rsidR="00703AA9">
        <w:t xml:space="preserve">also </w:t>
      </w:r>
      <w:r w:rsidR="003641C7">
        <w:t xml:space="preserve">took note of the statements and revision proposals to the draft decisions on compliance provided by </w:t>
      </w:r>
      <w:r w:rsidR="00703AA9">
        <w:t xml:space="preserve">the delegations of </w:t>
      </w:r>
      <w:r w:rsidR="003641C7">
        <w:t>Azerbaijan, Belarus, Bulgaria, the E</w:t>
      </w:r>
      <w:r w:rsidR="007D5FD8">
        <w:t xml:space="preserve">uropean </w:t>
      </w:r>
      <w:r w:rsidR="003641C7">
        <w:t>U</w:t>
      </w:r>
      <w:r w:rsidR="007D5FD8">
        <w:t>nion</w:t>
      </w:r>
      <w:r w:rsidR="003641C7">
        <w:t xml:space="preserve"> and its member States and Montenegro</w:t>
      </w:r>
      <w:r w:rsidR="00820E3C">
        <w:t xml:space="preserve">. It </w:t>
      </w:r>
      <w:r w:rsidR="003641C7">
        <w:t>invited the Implementation Committee to take th</w:t>
      </w:r>
      <w:r w:rsidR="00820E3C">
        <w:t>ose inputs</w:t>
      </w:r>
      <w:r w:rsidR="003641C7">
        <w:t xml:space="preserve"> into account, as relevant, in the finalization of the draft decisions on compliance and the amendment proposals to the Committee’s structure and functions and </w:t>
      </w:r>
      <w:r w:rsidR="00086A5B">
        <w:t xml:space="preserve">its </w:t>
      </w:r>
      <w:r w:rsidR="003641C7">
        <w:t>operating rules at its fifty-seventh session</w:t>
      </w:r>
      <w:r w:rsidR="00086A5B">
        <w:t>,</w:t>
      </w:r>
      <w:r w:rsidR="009223E9">
        <w:t xml:space="preserve"> </w:t>
      </w:r>
      <w:r w:rsidR="003641C7">
        <w:t>prior to forwarding them to the Meetings of the Parties at their next sessions.</w:t>
      </w:r>
    </w:p>
    <w:p w14:paraId="0A2044DA" w14:textId="63D5E867" w:rsidR="00B554D8" w:rsidRPr="00B554D8" w:rsidRDefault="00B554D8" w:rsidP="00BE27FA">
      <w:pPr>
        <w:pStyle w:val="H1G"/>
      </w:pPr>
      <w:r>
        <w:tab/>
      </w:r>
      <w:r w:rsidR="00BE27FA">
        <w:t>B.</w:t>
      </w:r>
      <w:r w:rsidRPr="00B554D8">
        <w:tab/>
        <w:t>Reporting and review of implementation</w:t>
      </w:r>
    </w:p>
    <w:p w14:paraId="7F6E7B62" w14:textId="0181BF1E" w:rsidR="00CA01DA" w:rsidRPr="00B059FB" w:rsidRDefault="00F933C0" w:rsidP="006932D4">
      <w:pPr>
        <w:pStyle w:val="SingleTxtG"/>
      </w:pPr>
      <w:r>
        <w:t>5</w:t>
      </w:r>
      <w:r w:rsidR="00974286">
        <w:t>4</w:t>
      </w:r>
      <w:r w:rsidR="00CA01DA" w:rsidRPr="00B554D8">
        <w:t>.</w:t>
      </w:r>
      <w:r w:rsidR="00CA01DA">
        <w:tab/>
      </w:r>
      <w:r w:rsidR="00CA01DA" w:rsidRPr="00B554D8">
        <w:t xml:space="preserve">The Working Group </w:t>
      </w:r>
      <w:r w:rsidR="00CA01DA" w:rsidRPr="00B059FB">
        <w:t>r</w:t>
      </w:r>
      <w:r w:rsidR="00CA01DA" w:rsidRPr="00680398">
        <w:t>eviewed</w:t>
      </w:r>
      <w:r w:rsidR="00CA01DA" w:rsidRPr="00B059FB">
        <w:t>, revised and</w:t>
      </w:r>
      <w:r w:rsidR="00CA01DA" w:rsidRPr="00680398">
        <w:t xml:space="preserve"> agreed on draft decision</w:t>
      </w:r>
      <w:r w:rsidR="00CA01DA" w:rsidRPr="00B059FB">
        <w:t>s</w:t>
      </w:r>
      <w:r w:rsidR="00CA01DA" w:rsidRPr="00680398">
        <w:t xml:space="preserve"> IX/5</w:t>
      </w:r>
      <w:r w:rsidR="00684206">
        <w:t>,</w:t>
      </w:r>
      <w:r w:rsidR="00CA01DA" w:rsidRPr="00B059FB">
        <w:t xml:space="preserve"> on reporting and review of implementation of the Convention (ECE/MP.EIA/WG.2/2023/5)</w:t>
      </w:r>
      <w:r w:rsidR="00684206">
        <w:t>,</w:t>
      </w:r>
      <w:r w:rsidR="00CA01DA" w:rsidRPr="00B059FB">
        <w:t xml:space="preserve"> and </w:t>
      </w:r>
      <w:r w:rsidR="00CA01DA" w:rsidRPr="00680398">
        <w:t>V/5</w:t>
      </w:r>
      <w:r w:rsidR="00684206">
        <w:t>,</w:t>
      </w:r>
      <w:r w:rsidR="00CA01DA" w:rsidRPr="00B059FB">
        <w:t xml:space="preserve"> on reporting and review of implementation of the Protocol (ECE/MP.EIA/WG.2/2023/6)</w:t>
      </w:r>
      <w:r w:rsidR="00CA01DA" w:rsidRPr="00680398">
        <w:t>, to be forwarded to the Meeting</w:t>
      </w:r>
      <w:r w:rsidR="00CA01DA" w:rsidRPr="00B059FB">
        <w:t xml:space="preserve">s </w:t>
      </w:r>
      <w:r w:rsidR="00CA01DA" w:rsidRPr="00680398">
        <w:t xml:space="preserve">of the Parties </w:t>
      </w:r>
      <w:r w:rsidR="00CA01DA" w:rsidRPr="00B059FB">
        <w:t>at their next sessions.</w:t>
      </w:r>
    </w:p>
    <w:p w14:paraId="3B2C628F" w14:textId="775D98E8" w:rsidR="00535371" w:rsidRDefault="00F933C0" w:rsidP="006932D4">
      <w:pPr>
        <w:pStyle w:val="SingleTxtG"/>
      </w:pPr>
      <w:r>
        <w:t>5</w:t>
      </w:r>
      <w:r w:rsidR="00974286">
        <w:t>5</w:t>
      </w:r>
      <w:r w:rsidR="00CA01DA">
        <w:t>.</w:t>
      </w:r>
      <w:r w:rsidR="00CA01DA">
        <w:tab/>
      </w:r>
      <w:r w:rsidR="00CA01DA" w:rsidRPr="00B059FB">
        <w:t xml:space="preserve">The Working Group </w:t>
      </w:r>
      <w:r w:rsidR="00135A55">
        <w:t xml:space="preserve">recalled that it </w:t>
      </w:r>
      <w:r w:rsidR="00CA01DA" w:rsidRPr="00B059FB">
        <w:t xml:space="preserve">had agreed on the draft </w:t>
      </w:r>
      <w:r w:rsidR="00C472F1">
        <w:t xml:space="preserve">seventh </w:t>
      </w:r>
      <w:r w:rsidR="00CA01DA" w:rsidRPr="00B059FB">
        <w:t>review of</w:t>
      </w:r>
      <w:r w:rsidR="00A367BA">
        <w:t xml:space="preserve"> </w:t>
      </w:r>
      <w:r w:rsidR="00CA01DA" w:rsidRPr="00B059FB">
        <w:t xml:space="preserve">implementation of the Convention </w:t>
      </w:r>
      <w:r w:rsidR="00CA01DA" w:rsidRPr="00680398">
        <w:t>(ECE/MP.EIA/WG.2/2022/3</w:t>
      </w:r>
      <w:r w:rsidR="00CA01DA" w:rsidRPr="00B059FB">
        <w:t>) and the</w:t>
      </w:r>
      <w:r w:rsidR="00C472F1">
        <w:t xml:space="preserve"> draft fourth review of implementation of the</w:t>
      </w:r>
      <w:r w:rsidR="00CA01DA" w:rsidRPr="00B059FB">
        <w:t xml:space="preserve"> Protocol (</w:t>
      </w:r>
      <w:r w:rsidR="00CA01DA" w:rsidRPr="00680398">
        <w:t xml:space="preserve">ECE/MP.EIA/WG.2/2022/4) </w:t>
      </w:r>
      <w:r w:rsidR="00CA01DA" w:rsidRPr="00B059FB">
        <w:t>at its previous meeting in December 2022.</w:t>
      </w:r>
      <w:r w:rsidR="00A367BA">
        <w:rPr>
          <w:rStyle w:val="FootnoteReference"/>
        </w:rPr>
        <w:footnoteReference w:id="13"/>
      </w:r>
      <w:r w:rsidR="00CA01DA" w:rsidRPr="00B059FB">
        <w:t xml:space="preserve"> </w:t>
      </w:r>
      <w:r w:rsidR="00D9092F">
        <w:t>It</w:t>
      </w:r>
      <w:r w:rsidR="003735F9">
        <w:t xml:space="preserve"> re</w:t>
      </w:r>
      <w:r w:rsidR="00D9092F">
        <w:t>view</w:t>
      </w:r>
      <w:r w:rsidR="003735F9">
        <w:t xml:space="preserve">ed </w:t>
      </w:r>
      <w:r w:rsidR="00820E3C">
        <w:t xml:space="preserve">the </w:t>
      </w:r>
      <w:r w:rsidR="00D9092F">
        <w:t xml:space="preserve">additional </w:t>
      </w:r>
      <w:r w:rsidR="005375AE">
        <w:t>amendment proposals</w:t>
      </w:r>
      <w:r w:rsidR="001B227A">
        <w:t xml:space="preserve"> of </w:t>
      </w:r>
      <w:r w:rsidR="00A367BA">
        <w:t xml:space="preserve">a </w:t>
      </w:r>
      <w:r w:rsidR="001B227A">
        <w:t>procedural nature</w:t>
      </w:r>
      <w:r w:rsidR="005375AE">
        <w:t xml:space="preserve"> that t</w:t>
      </w:r>
      <w:r w:rsidR="00CA01DA" w:rsidRPr="00B059FB">
        <w:t>he E</w:t>
      </w:r>
      <w:r w:rsidR="005375AE">
        <w:t xml:space="preserve">uropean </w:t>
      </w:r>
      <w:r w:rsidR="00CA01DA" w:rsidRPr="00B059FB">
        <w:t>U</w:t>
      </w:r>
      <w:r w:rsidR="005375AE">
        <w:t>nion</w:t>
      </w:r>
      <w:r w:rsidR="00CA01DA" w:rsidRPr="00B059FB">
        <w:t xml:space="preserve"> and its member States </w:t>
      </w:r>
      <w:r w:rsidR="005375AE">
        <w:t>had</w:t>
      </w:r>
      <w:r w:rsidR="001B227A">
        <w:t xml:space="preserve"> </w:t>
      </w:r>
      <w:r w:rsidR="00CA01DA" w:rsidRPr="00B059FB">
        <w:t>submitte</w:t>
      </w:r>
      <w:r w:rsidR="00C35A96">
        <w:t xml:space="preserve">d after that meeting </w:t>
      </w:r>
      <w:r w:rsidR="003828D5">
        <w:t>to</w:t>
      </w:r>
      <w:r w:rsidR="00CA01DA" w:rsidRPr="00680398">
        <w:t xml:space="preserve"> section II on methodology of the draft seventh review of implementation of the Convention and section I on methodology of the draft fourth review of implementation of the Protocol</w:t>
      </w:r>
      <w:r w:rsidR="00CA01DA" w:rsidRPr="00B059FB">
        <w:t xml:space="preserve">. </w:t>
      </w:r>
      <w:r w:rsidR="00FA72F6">
        <w:t>A</w:t>
      </w:r>
      <w:r w:rsidR="00CA01DA" w:rsidRPr="00B059FB">
        <w:t xml:space="preserve">t its meeting </w:t>
      </w:r>
      <w:r w:rsidR="005A5D7D">
        <w:t xml:space="preserve">in Geneva, </w:t>
      </w:r>
      <w:r w:rsidR="00FA72F6">
        <w:t xml:space="preserve">on </w:t>
      </w:r>
      <w:r w:rsidR="00CA01DA">
        <w:t>22</w:t>
      </w:r>
      <w:r w:rsidR="00FA72F6">
        <w:t>–</w:t>
      </w:r>
      <w:r w:rsidR="00CA01DA">
        <w:t>23 February 2023</w:t>
      </w:r>
      <w:r w:rsidR="00FA72F6">
        <w:t xml:space="preserve">, the Bureau had </w:t>
      </w:r>
      <w:r w:rsidR="00CA01DA" w:rsidRPr="00B059FB">
        <w:t xml:space="preserve">considered those proposals to be acceptable, </w:t>
      </w:r>
      <w:r w:rsidR="00E8607F">
        <w:t xml:space="preserve">subject to </w:t>
      </w:r>
      <w:r w:rsidR="00CA01DA" w:rsidRPr="00B059FB">
        <w:t xml:space="preserve">agreement by the </w:t>
      </w:r>
      <w:r w:rsidR="00CA01DA">
        <w:t xml:space="preserve">Working Group. </w:t>
      </w:r>
      <w:r w:rsidR="000453E2">
        <w:t xml:space="preserve">The Working Group agreed on the additional </w:t>
      </w:r>
      <w:r w:rsidR="00EC3D7D">
        <w:t xml:space="preserve">amendment </w:t>
      </w:r>
      <w:r w:rsidR="000453E2">
        <w:t xml:space="preserve">proposals and invited </w:t>
      </w:r>
      <w:r w:rsidR="00535371">
        <w:t>the secretariat to take them into account i</w:t>
      </w:r>
      <w:r w:rsidR="007B1D0C">
        <w:t>n the finalized draft reviews of implementation to b</w:t>
      </w:r>
      <w:r w:rsidR="008D39D7">
        <w:t>e forwarded to the Meetings of the Parties</w:t>
      </w:r>
      <w:r w:rsidR="00E9261E">
        <w:t xml:space="preserve"> at their next sessions.</w:t>
      </w:r>
    </w:p>
    <w:p w14:paraId="70CAF8B9" w14:textId="7A9FA04D" w:rsidR="00CA01DA" w:rsidRPr="00680398" w:rsidRDefault="00F933C0" w:rsidP="006932D4">
      <w:pPr>
        <w:pStyle w:val="SingleTxtG"/>
      </w:pPr>
      <w:r>
        <w:t>5</w:t>
      </w:r>
      <w:r w:rsidR="00974286">
        <w:t>6</w:t>
      </w:r>
      <w:r w:rsidR="00CA01DA">
        <w:t>.</w:t>
      </w:r>
      <w:r w:rsidR="00CA01DA">
        <w:tab/>
        <w:t xml:space="preserve">The Working Group </w:t>
      </w:r>
      <w:r w:rsidR="00820E3C">
        <w:t>the</w:t>
      </w:r>
      <w:r w:rsidR="00F613AF">
        <w:t>n</w:t>
      </w:r>
      <w:r w:rsidR="00820E3C">
        <w:t xml:space="preserve"> considered </w:t>
      </w:r>
      <w:r w:rsidR="00CA01DA" w:rsidRPr="00680398">
        <w:t>the templates that the Implementation Committee had finalized in consultation with the European Commission, to facilitate reporting of the E</w:t>
      </w:r>
      <w:r w:rsidR="00B51F6C">
        <w:t xml:space="preserve">uropean </w:t>
      </w:r>
      <w:r w:rsidR="00CA01DA" w:rsidRPr="00680398">
        <w:t>U</w:t>
      </w:r>
      <w:r w:rsidR="00B51F6C">
        <w:t>nion</w:t>
      </w:r>
      <w:r w:rsidR="00CA01DA" w:rsidRPr="00680398">
        <w:t xml:space="preserve"> under the Convention and the Protocol</w:t>
      </w:r>
      <w:r w:rsidR="00F613AF">
        <w:t>,</w:t>
      </w:r>
      <w:r w:rsidR="00CA01DA" w:rsidRPr="00B059FB">
        <w:t xml:space="preserve"> </w:t>
      </w:r>
      <w:r w:rsidR="00CA01DA" w:rsidRPr="00680398">
        <w:t>and asked the secretariat to submit them for the M</w:t>
      </w:r>
      <w:r w:rsidR="00CA01DA" w:rsidRPr="00B059FB">
        <w:t xml:space="preserve">eetings of the Parties </w:t>
      </w:r>
      <w:r w:rsidR="00CA01DA" w:rsidRPr="00680398">
        <w:t>to take note of</w:t>
      </w:r>
      <w:r w:rsidR="00E9261E">
        <w:t xml:space="preserve"> at their next sessions.</w:t>
      </w:r>
    </w:p>
    <w:p w14:paraId="08E62382" w14:textId="5F655411" w:rsidR="00B554D8" w:rsidRPr="00B554D8" w:rsidRDefault="00B554D8" w:rsidP="006932D4">
      <w:pPr>
        <w:pStyle w:val="H1G"/>
      </w:pPr>
      <w:r w:rsidRPr="00B554D8">
        <w:tab/>
      </w:r>
      <w:r w:rsidR="00BE27FA">
        <w:t>C.</w:t>
      </w:r>
      <w:r w:rsidRPr="00B554D8">
        <w:tab/>
        <w:t xml:space="preserve">Legislative assistance to support </w:t>
      </w:r>
      <w:r w:rsidRPr="006932D4">
        <w:t>implementation</w:t>
      </w:r>
      <w:r w:rsidRPr="00B554D8">
        <w:t xml:space="preserve"> and ratification</w:t>
      </w:r>
    </w:p>
    <w:p w14:paraId="6C91D413" w14:textId="69BF8575" w:rsidR="0055589A" w:rsidRDefault="00F933C0" w:rsidP="006932D4">
      <w:pPr>
        <w:pStyle w:val="SingleTxtG"/>
      </w:pPr>
      <w:r>
        <w:t>5</w:t>
      </w:r>
      <w:r w:rsidR="00974286">
        <w:t>7</w:t>
      </w:r>
      <w:r w:rsidR="00B554D8" w:rsidRPr="00F933C0">
        <w:t>.</w:t>
      </w:r>
      <w:r w:rsidR="00B554D8" w:rsidRPr="00F933C0">
        <w:tab/>
      </w:r>
      <w:r w:rsidR="00422979" w:rsidRPr="00422979">
        <w:t xml:space="preserve">The Working Group reviewed progress in </w:t>
      </w:r>
      <w:r w:rsidR="00853100">
        <w:t xml:space="preserve">the provision of </w:t>
      </w:r>
      <w:r w:rsidR="00422979" w:rsidRPr="00422979">
        <w:t>legislative assistance envisaged in the workplan for 2021–2023 with a view to promoting the implementation of or accession to the two treaties.</w:t>
      </w:r>
      <w:r w:rsidR="001259B5">
        <w:rPr>
          <w:rStyle w:val="FootnoteReference"/>
        </w:rPr>
        <w:footnoteReference w:id="14"/>
      </w:r>
    </w:p>
    <w:p w14:paraId="2FBA0196" w14:textId="40ADC121" w:rsidR="0030059A" w:rsidRDefault="00A57C9D" w:rsidP="006932D4">
      <w:pPr>
        <w:pStyle w:val="SingleTxtG"/>
      </w:pPr>
      <w:r>
        <w:t>5</w:t>
      </w:r>
      <w:r w:rsidR="00974286">
        <w:t>8</w:t>
      </w:r>
      <w:r>
        <w:t>.</w:t>
      </w:r>
      <w:r>
        <w:tab/>
      </w:r>
      <w:r w:rsidR="0030059A" w:rsidRPr="0030059A">
        <w:t xml:space="preserve">The delegations of Azerbaijan, the Republic of Moldova and Uzbekistan reported on progress in establishing compliant legislation to implement the Convention and the Protocol, and, as appropriate, in ratifying or acceding to the treaties further to technical advice received. </w:t>
      </w:r>
    </w:p>
    <w:p w14:paraId="647DB0AB" w14:textId="05DA744C" w:rsidR="00756C2A" w:rsidRDefault="00A51F13" w:rsidP="006932D4">
      <w:pPr>
        <w:pStyle w:val="SingleTxtG"/>
        <w:rPr>
          <w:rFonts w:asciiTheme="majorBidi" w:hAnsiTheme="majorBidi" w:cstheme="majorBidi"/>
        </w:rPr>
      </w:pPr>
      <w:r>
        <w:t>5</w:t>
      </w:r>
      <w:r w:rsidR="00974286">
        <w:t>9</w:t>
      </w:r>
      <w:r w:rsidR="00756C2A">
        <w:t>.</w:t>
      </w:r>
      <w:r w:rsidR="00756C2A">
        <w:tab/>
      </w:r>
      <w:r w:rsidR="0000111C" w:rsidRPr="0000111C">
        <w:t>The secretariat briefly outlined the timeline for providing</w:t>
      </w:r>
      <w:r w:rsidR="00606CE7">
        <w:t xml:space="preserve"> </w:t>
      </w:r>
      <w:r w:rsidR="0000111C" w:rsidRPr="0000111C">
        <w:t xml:space="preserve">assistance for drafting secondary implementing legislation in the Republic of Moldova. </w:t>
      </w:r>
      <w:r w:rsidR="006D2A8B" w:rsidRPr="000D222A">
        <w:rPr>
          <w:rFonts w:asciiTheme="majorBidi" w:hAnsiTheme="majorBidi" w:cstheme="majorBidi"/>
        </w:rPr>
        <w:t>The Working Group</w:t>
      </w:r>
      <w:r w:rsidR="006D2A8B">
        <w:rPr>
          <w:rFonts w:asciiTheme="majorBidi" w:hAnsiTheme="majorBidi" w:cstheme="majorBidi"/>
        </w:rPr>
        <w:t xml:space="preserve"> noted the </w:t>
      </w:r>
      <w:r>
        <w:rPr>
          <w:rFonts w:asciiTheme="majorBidi" w:hAnsiTheme="majorBidi" w:cstheme="majorBidi"/>
        </w:rPr>
        <w:t xml:space="preserve">progress </w:t>
      </w:r>
      <w:r w:rsidR="006D2A8B">
        <w:rPr>
          <w:rFonts w:asciiTheme="majorBidi" w:hAnsiTheme="majorBidi" w:cstheme="majorBidi"/>
        </w:rPr>
        <w:t>reports and</w:t>
      </w:r>
      <w:r w:rsidR="006D2A8B" w:rsidRPr="000D222A">
        <w:rPr>
          <w:rFonts w:asciiTheme="majorBidi" w:hAnsiTheme="majorBidi" w:cstheme="majorBidi"/>
        </w:rPr>
        <w:t xml:space="preserve"> </w:t>
      </w:r>
      <w:r w:rsidR="006D2A8B">
        <w:rPr>
          <w:rFonts w:asciiTheme="majorBidi" w:hAnsiTheme="majorBidi" w:cstheme="majorBidi"/>
        </w:rPr>
        <w:t xml:space="preserve">welcomed </w:t>
      </w:r>
      <w:r w:rsidR="004A0C09">
        <w:rPr>
          <w:rFonts w:asciiTheme="majorBidi" w:hAnsiTheme="majorBidi" w:cstheme="majorBidi"/>
        </w:rPr>
        <w:t>the further effor</w:t>
      </w:r>
      <w:r w:rsidR="006B5F2C">
        <w:rPr>
          <w:rFonts w:asciiTheme="majorBidi" w:hAnsiTheme="majorBidi" w:cstheme="majorBidi"/>
        </w:rPr>
        <w:t xml:space="preserve">ts of the Republic of </w:t>
      </w:r>
      <w:r w:rsidR="006D2A8B">
        <w:rPr>
          <w:rFonts w:asciiTheme="majorBidi" w:hAnsiTheme="majorBidi" w:cstheme="majorBidi"/>
        </w:rPr>
        <w:t>Moldova to develop secondary implementing legislation, particularly relating to quality control aspects</w:t>
      </w:r>
      <w:r w:rsidR="004624EF">
        <w:rPr>
          <w:rFonts w:asciiTheme="majorBidi" w:hAnsiTheme="majorBidi" w:cstheme="majorBidi"/>
        </w:rPr>
        <w:t xml:space="preserve">. </w:t>
      </w:r>
    </w:p>
    <w:p w14:paraId="0D7C1BFF" w14:textId="0AB49F37" w:rsidR="006D2A8B" w:rsidRPr="004329F5" w:rsidRDefault="00974286" w:rsidP="006932D4">
      <w:pPr>
        <w:pStyle w:val="SingleTxtG"/>
      </w:pPr>
      <w:r>
        <w:t>60</w:t>
      </w:r>
      <w:r w:rsidR="00985A64">
        <w:t>.</w:t>
      </w:r>
      <w:r w:rsidR="00985A64">
        <w:tab/>
      </w:r>
      <w:r w:rsidR="003D5CC8" w:rsidRPr="003D5CC8">
        <w:t xml:space="preserve">The Working Group </w:t>
      </w:r>
      <w:r w:rsidR="0000111C" w:rsidRPr="00420795">
        <w:t>expressed its appreciation to the European Union for the EU4Environment programme funding (2019–end</w:t>
      </w:r>
      <w:r w:rsidR="0000111C">
        <w:t xml:space="preserve"> of March 2024). It </w:t>
      </w:r>
      <w:r w:rsidR="003D5CC8" w:rsidRPr="003D5CC8">
        <w:t>invited Parties and future Parties that had benefited from legislative assistance to proceed with the finalization of their legal reforms in accordance with the Convention and the Protocol.</w:t>
      </w:r>
    </w:p>
    <w:p w14:paraId="3336F886" w14:textId="46B22709" w:rsidR="00B554D8" w:rsidRPr="00B554D8" w:rsidRDefault="00B554D8" w:rsidP="00DC43C5">
      <w:pPr>
        <w:pStyle w:val="HChG"/>
      </w:pPr>
      <w:r w:rsidRPr="00B554D8">
        <w:tab/>
        <w:t>V</w:t>
      </w:r>
      <w:r w:rsidR="00F36F3D">
        <w:t>I</w:t>
      </w:r>
      <w:r w:rsidRPr="00B554D8">
        <w:t>.</w:t>
      </w:r>
      <w:r w:rsidRPr="00B554D8">
        <w:tab/>
      </w:r>
      <w:r w:rsidRPr="00DC43C5">
        <w:t>Promoting</w:t>
      </w:r>
      <w:r w:rsidRPr="00B554D8">
        <w:t xml:space="preserve"> practical application of the Convention and the Protocol</w:t>
      </w:r>
    </w:p>
    <w:p w14:paraId="2FA02222" w14:textId="77777777" w:rsidR="001402F0" w:rsidRDefault="00B554D8" w:rsidP="00DC43C5">
      <w:pPr>
        <w:pStyle w:val="H1G"/>
      </w:pPr>
      <w:r w:rsidRPr="00B554D8">
        <w:tab/>
      </w:r>
      <w:bookmarkStart w:id="7" w:name="_Hlk90050461"/>
      <w:r w:rsidRPr="00B554D8">
        <w:t>A.</w:t>
      </w:r>
      <w:r w:rsidRPr="00B554D8">
        <w:tab/>
      </w:r>
      <w:r w:rsidR="00C72766" w:rsidRPr="00C72766">
        <w:t xml:space="preserve">Draft guidance on assessing health impacts in strategic environmental assessment </w:t>
      </w:r>
    </w:p>
    <w:p w14:paraId="3F1ECC6E" w14:textId="0A4516B3" w:rsidR="00032670" w:rsidRDefault="00974286" w:rsidP="00DC43C5">
      <w:pPr>
        <w:pStyle w:val="SingleTxtG"/>
      </w:pPr>
      <w:r>
        <w:t>61</w:t>
      </w:r>
      <w:r w:rsidR="00F933C0">
        <w:t>.</w:t>
      </w:r>
      <w:r w:rsidR="00F933C0">
        <w:tab/>
        <w:t>The</w:t>
      </w:r>
      <w:r w:rsidR="00712B4E">
        <w:t xml:space="preserve"> </w:t>
      </w:r>
      <w:r w:rsidR="00F933C0">
        <w:t xml:space="preserve">Working Group agreed on the importance of assessing health impacts and </w:t>
      </w:r>
      <w:r w:rsidR="00F613AF">
        <w:t>of</w:t>
      </w:r>
      <w:r w:rsidR="00F933C0">
        <w:t xml:space="preserve"> involving health authorities in </w:t>
      </w:r>
      <w:r w:rsidR="00A82905">
        <w:t>strategic environmental assessment</w:t>
      </w:r>
      <w:r w:rsidR="00F933C0">
        <w:t>, as required under the Protocol</w:t>
      </w:r>
      <w:r w:rsidR="007B311D">
        <w:t>.</w:t>
      </w:r>
    </w:p>
    <w:p w14:paraId="7896A595" w14:textId="1482DC64" w:rsidR="00F933C0" w:rsidRDefault="00032670" w:rsidP="00712B4E">
      <w:pPr>
        <w:pStyle w:val="SingleTxtG"/>
      </w:pPr>
      <w:r>
        <w:t>6</w:t>
      </w:r>
      <w:r w:rsidR="00974286">
        <w:t>2</w:t>
      </w:r>
      <w:r>
        <w:t>.</w:t>
      </w:r>
      <w:r>
        <w:tab/>
      </w:r>
      <w:r w:rsidR="00380CAD">
        <w:t xml:space="preserve">The </w:t>
      </w:r>
      <w:r w:rsidR="009143A4">
        <w:t xml:space="preserve">secretariat </w:t>
      </w:r>
      <w:r w:rsidR="00380CAD">
        <w:t>recalled that</w:t>
      </w:r>
      <w:r w:rsidR="009143A4">
        <w:t xml:space="preserve"> </w:t>
      </w:r>
      <w:r>
        <w:t xml:space="preserve">the </w:t>
      </w:r>
      <w:r w:rsidR="009143A4">
        <w:t>development of</w:t>
      </w:r>
      <w:r w:rsidR="009143A4" w:rsidRPr="009143A4">
        <w:t xml:space="preserve"> </w:t>
      </w:r>
      <w:r w:rsidR="009143A4">
        <w:t xml:space="preserve">guidance on assessing health impacts in strategic environmental assessment had been included in the </w:t>
      </w:r>
      <w:r w:rsidR="00753C9A">
        <w:t xml:space="preserve">treaties’ </w:t>
      </w:r>
      <w:r w:rsidR="009143A4">
        <w:t xml:space="preserve">workplan for 2017–2020, </w:t>
      </w:r>
      <w:r>
        <w:t>because</w:t>
      </w:r>
      <w:r w:rsidR="00753C9A">
        <w:t xml:space="preserve"> </w:t>
      </w:r>
      <w:r w:rsidR="00A51F13">
        <w:t>countries in Eastern Europe, the Caucasus and Central Asia had i</w:t>
      </w:r>
      <w:r w:rsidR="009143A4">
        <w:t>dentifi</w:t>
      </w:r>
      <w:r w:rsidR="00A51F13">
        <w:t>ed that</w:t>
      </w:r>
      <w:r w:rsidR="00F613AF">
        <w:t xml:space="preserve"> issue</w:t>
      </w:r>
      <w:r w:rsidR="00A51F13">
        <w:t xml:space="preserve"> </w:t>
      </w:r>
      <w:r w:rsidR="009143A4">
        <w:t>as a regionwide priority</w:t>
      </w:r>
      <w:r w:rsidR="00CC7B18">
        <w:t xml:space="preserve"> </w:t>
      </w:r>
      <w:r w:rsidR="00A51F13">
        <w:t xml:space="preserve">at a regional workshop </w:t>
      </w:r>
      <w:r w:rsidR="009143A4">
        <w:t>in 2015</w:t>
      </w:r>
      <w:r w:rsidR="00753C9A">
        <w:t>.</w:t>
      </w:r>
      <w:r w:rsidR="009143A4">
        <w:rPr>
          <w:rStyle w:val="FootnoteReference"/>
        </w:rPr>
        <w:footnoteReference w:id="15"/>
      </w:r>
      <w:r w:rsidR="00753C9A">
        <w:t xml:space="preserve"> The Chair reminded </w:t>
      </w:r>
      <w:r w:rsidR="00A51F13">
        <w:t xml:space="preserve">the Working Group </w:t>
      </w:r>
      <w:r w:rsidR="00753C9A">
        <w:t>that</w:t>
      </w:r>
      <w:r w:rsidR="001E5961">
        <w:t>,</w:t>
      </w:r>
      <w:r w:rsidR="00753C9A">
        <w:t xml:space="preserve"> to fulfil that mandate, draft guidance had been prepared </w:t>
      </w:r>
      <w:r w:rsidR="00380CAD">
        <w:t xml:space="preserve">in the period 2018–2020 with support </w:t>
      </w:r>
      <w:r w:rsidR="002B35B0">
        <w:t xml:space="preserve">from </w:t>
      </w:r>
      <w:r w:rsidR="00380CAD">
        <w:t>consultants</w:t>
      </w:r>
      <w:r w:rsidR="002B35B0">
        <w:t xml:space="preserve"> funded by the</w:t>
      </w:r>
      <w:r w:rsidR="001E11EF">
        <w:t xml:space="preserve"> European Investment Bank</w:t>
      </w:r>
      <w:r w:rsidR="00380CAD">
        <w:t>, in consultation with WHO and a task force composed of representatives of Austria, Finland, Ireland and Slovenia, but that the Working Group had not forwarded the draft document for consideration of the Meeting of the Parties, based on the view of the delegation of the European Union that it required further revision.</w:t>
      </w:r>
      <w:r w:rsidR="001E0E71">
        <w:rPr>
          <w:rStyle w:val="FootnoteReference"/>
        </w:rPr>
        <w:footnoteReference w:id="16"/>
      </w:r>
      <w:r w:rsidR="00380CAD">
        <w:t xml:space="preserve"> </w:t>
      </w:r>
      <w:r w:rsidR="00753C9A">
        <w:t>A</w:t>
      </w:r>
      <w:r w:rsidR="00DA673A">
        <w:t>t its fourth session (Vilnius (online), 8–11 December 2020) the Meeting</w:t>
      </w:r>
      <w:r w:rsidR="00CC7B18">
        <w:t>s</w:t>
      </w:r>
      <w:r w:rsidR="00DA673A">
        <w:t xml:space="preserve"> of the Parties had</w:t>
      </w:r>
      <w:r w:rsidR="00CC7B18">
        <w:t xml:space="preserve"> declared that they</w:t>
      </w:r>
      <w:r w:rsidR="00DA673A">
        <w:t xml:space="preserve"> “</w:t>
      </w:r>
      <w:r w:rsidR="00CC7B18">
        <w:t xml:space="preserve">commit to finalizing that work in the next intersessional period, subject to the availability of resources, prior to the formal adoption of a guidance document </w:t>
      </w:r>
      <w:r>
        <w:t>at the next session of the Meeting of the Parties to the Protocol”</w:t>
      </w:r>
      <w:r w:rsidR="00DA673A">
        <w:rPr>
          <w:rStyle w:val="FootnoteReference"/>
        </w:rPr>
        <w:footnoteReference w:id="17"/>
      </w:r>
      <w:r w:rsidR="00BF5293">
        <w:t xml:space="preserve"> and had invited Parties to contribute in-kind expertise for that purpose</w:t>
      </w:r>
      <w:r w:rsidR="00456A77">
        <w:t>.</w:t>
      </w:r>
      <w:r w:rsidR="005305EC">
        <w:rPr>
          <w:rStyle w:val="FootnoteReference"/>
        </w:rPr>
        <w:footnoteReference w:id="18"/>
      </w:r>
      <w:r w:rsidR="00456A77">
        <w:t xml:space="preserve"> </w:t>
      </w:r>
    </w:p>
    <w:p w14:paraId="0ADBD8FE" w14:textId="178498BD" w:rsidR="00032670" w:rsidRDefault="00712B4E" w:rsidP="00001135">
      <w:pPr>
        <w:pStyle w:val="SingleTxtG"/>
      </w:pPr>
      <w:r>
        <w:t>6</w:t>
      </w:r>
      <w:r w:rsidR="00974286">
        <w:t>3</w:t>
      </w:r>
      <w:r>
        <w:t>.</w:t>
      </w:r>
      <w:r>
        <w:tab/>
        <w:t xml:space="preserve">The Working Group </w:t>
      </w:r>
      <w:r w:rsidR="00680808">
        <w:t>considered</w:t>
      </w:r>
      <w:r w:rsidR="001B372F">
        <w:t xml:space="preserve"> </w:t>
      </w:r>
      <w:r w:rsidR="002E70C1">
        <w:t xml:space="preserve">the text of </w:t>
      </w:r>
      <w:r w:rsidR="00D7351E">
        <w:t xml:space="preserve">the </w:t>
      </w:r>
      <w:r w:rsidR="007111E2">
        <w:t>draft</w:t>
      </w:r>
      <w:r w:rsidR="002E70C1">
        <w:t xml:space="preserve"> guidance</w:t>
      </w:r>
      <w:r w:rsidR="001B372F">
        <w:t>, as last revised by the European Union and its member States and, subsequently agreed by the Bureau</w:t>
      </w:r>
      <w:r w:rsidR="007111E2">
        <w:t xml:space="preserve"> (</w:t>
      </w:r>
      <w:bookmarkStart w:id="8" w:name="_Hlk139527932"/>
      <w:r w:rsidR="007111E2">
        <w:t>ECE/MP.EIA/WG.2/</w:t>
      </w:r>
      <w:r w:rsidR="00A61C0C">
        <w:t>2023/8</w:t>
      </w:r>
      <w:bookmarkEnd w:id="8"/>
      <w:r w:rsidR="001B372F">
        <w:t>)</w:t>
      </w:r>
      <w:r w:rsidR="00016A44">
        <w:t xml:space="preserve">. It </w:t>
      </w:r>
      <w:r w:rsidR="00C36928">
        <w:t xml:space="preserve">recognized the extensive efforts that had been made for finalizing the guidance </w:t>
      </w:r>
      <w:r w:rsidR="00032670">
        <w:t xml:space="preserve">during </w:t>
      </w:r>
      <w:r w:rsidR="00C36928">
        <w:t>over four years, and thanked the delegations</w:t>
      </w:r>
      <w:r w:rsidR="00A51F13">
        <w:t xml:space="preserve"> and t</w:t>
      </w:r>
      <w:r w:rsidR="00A55127">
        <w:t xml:space="preserve">he </w:t>
      </w:r>
      <w:r w:rsidR="00C36928">
        <w:t xml:space="preserve">Bureau Chairs and members that had contributed towards </w:t>
      </w:r>
      <w:r w:rsidR="007F7A19">
        <w:t xml:space="preserve">achieving </w:t>
      </w:r>
      <w:r w:rsidR="00C36928">
        <w:t>that goal.</w:t>
      </w:r>
    </w:p>
    <w:p w14:paraId="43953B53" w14:textId="523681A3" w:rsidR="00032670" w:rsidRDefault="00032670" w:rsidP="00001135">
      <w:pPr>
        <w:pStyle w:val="SingleTxtG"/>
      </w:pPr>
      <w:r>
        <w:t>6</w:t>
      </w:r>
      <w:r w:rsidR="00974286">
        <w:t>4</w:t>
      </w:r>
      <w:r>
        <w:t>.</w:t>
      </w:r>
      <w:r>
        <w:tab/>
      </w:r>
      <w:r w:rsidR="002E70C1">
        <w:t xml:space="preserve">The European Union and its </w:t>
      </w:r>
      <w:r w:rsidR="00D7351E">
        <w:t>m</w:t>
      </w:r>
      <w:r w:rsidR="002E70C1">
        <w:t>ember States stated that the main objective of their suggested improvements to the draft had been to ensure that the document did not go beyond the provisions of the Protocol</w:t>
      </w:r>
      <w:r w:rsidR="002F5770">
        <w:t>, but that,</w:t>
      </w:r>
      <w:r w:rsidR="002E70C1">
        <w:t xml:space="preserve"> </w:t>
      </w:r>
      <w:r w:rsidR="002F5770">
        <w:t xml:space="preserve">in their view, </w:t>
      </w:r>
      <w:r w:rsidR="002E70C1">
        <w:t>even with those additional revisions, the document was still too generic</w:t>
      </w:r>
      <w:r w:rsidR="002F5770">
        <w:t xml:space="preserve">. Acknowledging the importance </w:t>
      </w:r>
      <w:r w:rsidR="00A51F13">
        <w:t>for that</w:t>
      </w:r>
      <w:r w:rsidR="002F5770">
        <w:t xml:space="preserve"> document </w:t>
      </w:r>
      <w:r w:rsidR="00A51F13">
        <w:t xml:space="preserve">to </w:t>
      </w:r>
      <w:r w:rsidR="002F5770">
        <w:t>be used to the extent possible, the European Union and its member States proposed that the current version of the document be published on the ECE website as a document for information purposes, without its formal endorsement by the Meeting of the Parties to the Protocol at its forthcoming session.</w:t>
      </w:r>
    </w:p>
    <w:p w14:paraId="498A0586" w14:textId="101830DF" w:rsidR="00F933C0" w:rsidRDefault="00032670" w:rsidP="00032670">
      <w:pPr>
        <w:pStyle w:val="SingleTxtG"/>
      </w:pPr>
      <w:r>
        <w:t>6</w:t>
      </w:r>
      <w:r w:rsidR="00974286">
        <w:t>5</w:t>
      </w:r>
      <w:r>
        <w:t>.</w:t>
      </w:r>
      <w:r>
        <w:tab/>
        <w:t xml:space="preserve">The Working Group </w:t>
      </w:r>
      <w:r w:rsidR="00D7351E">
        <w:t xml:space="preserve">expressed </w:t>
      </w:r>
      <w:r w:rsidR="00712B4E">
        <w:t>r</w:t>
      </w:r>
      <w:r w:rsidR="00F933C0">
        <w:t>egret that</w:t>
      </w:r>
      <w:r w:rsidR="00D7351E">
        <w:t>,</w:t>
      </w:r>
      <w:r w:rsidR="00F933C0">
        <w:t xml:space="preserve"> although all the comments </w:t>
      </w:r>
      <w:r w:rsidR="00712B4E">
        <w:t>from the E</w:t>
      </w:r>
      <w:r w:rsidR="000B07CF">
        <w:t xml:space="preserve">uropean </w:t>
      </w:r>
      <w:r w:rsidR="00712B4E">
        <w:t>U</w:t>
      </w:r>
      <w:r w:rsidR="000B07CF">
        <w:t>nion</w:t>
      </w:r>
      <w:r w:rsidR="00712B4E">
        <w:t xml:space="preserve"> and its member States </w:t>
      </w:r>
      <w:r w:rsidR="00F933C0">
        <w:t>had been accommodated</w:t>
      </w:r>
      <w:r w:rsidR="00B1217D">
        <w:t xml:space="preserve"> in the </w:t>
      </w:r>
      <w:r w:rsidR="00D7351E">
        <w:t>curr</w:t>
      </w:r>
      <w:r w:rsidR="00B1217D">
        <w:t xml:space="preserve">ent version of the </w:t>
      </w:r>
      <w:r w:rsidR="006435CF">
        <w:t xml:space="preserve">draft </w:t>
      </w:r>
      <w:r w:rsidR="00D07017">
        <w:t>document</w:t>
      </w:r>
      <w:r w:rsidR="00F933C0">
        <w:t xml:space="preserve">, </w:t>
      </w:r>
      <w:r w:rsidR="003B04C6">
        <w:t xml:space="preserve">the </w:t>
      </w:r>
      <w:bookmarkStart w:id="9" w:name="_Hlk138320804"/>
      <w:r w:rsidR="006435CF">
        <w:t xml:space="preserve">endorsement </w:t>
      </w:r>
      <w:r w:rsidR="005E2EBB">
        <w:t xml:space="preserve">of the guidance </w:t>
      </w:r>
      <w:r w:rsidR="00F933C0">
        <w:t>by the M</w:t>
      </w:r>
      <w:r w:rsidR="00712B4E">
        <w:t>eeting of the Parties</w:t>
      </w:r>
      <w:r w:rsidR="00F57878">
        <w:t xml:space="preserve"> to the Protocol</w:t>
      </w:r>
      <w:bookmarkEnd w:id="9"/>
      <w:r w:rsidR="00400C0D">
        <w:t xml:space="preserve"> </w:t>
      </w:r>
      <w:r w:rsidR="00BA7A46">
        <w:t xml:space="preserve">at its forthcoming session </w:t>
      </w:r>
      <w:r w:rsidR="00270819">
        <w:t xml:space="preserve">continued to be </w:t>
      </w:r>
      <w:r w:rsidR="00711AC7">
        <w:t>objected to</w:t>
      </w:r>
      <w:r w:rsidR="005D6EC6">
        <w:t>.</w:t>
      </w:r>
      <w:r w:rsidR="00BA7A46">
        <w:t xml:space="preserve"> In their interventions, t</w:t>
      </w:r>
      <w:r w:rsidR="00C77DAC">
        <w:t xml:space="preserve">he </w:t>
      </w:r>
      <w:r w:rsidR="009028B9">
        <w:t xml:space="preserve">representative of </w:t>
      </w:r>
      <w:r w:rsidR="00C77DAC">
        <w:t xml:space="preserve">WHO and </w:t>
      </w:r>
      <w:r w:rsidR="009028B9">
        <w:t>the secretariat</w:t>
      </w:r>
      <w:r w:rsidR="00D7351E">
        <w:t xml:space="preserve"> expressed</w:t>
      </w:r>
      <w:r w:rsidR="009028B9">
        <w:t xml:space="preserve"> </w:t>
      </w:r>
      <w:r w:rsidR="00DF0153">
        <w:t>regret</w:t>
      </w:r>
      <w:r w:rsidR="00D7351E">
        <w:t xml:space="preserve"> at</w:t>
      </w:r>
      <w:r w:rsidR="00DF0153">
        <w:t xml:space="preserve"> </w:t>
      </w:r>
      <w:r w:rsidR="00C50D0E">
        <w:t>the</w:t>
      </w:r>
      <w:r w:rsidR="00A10A8B">
        <w:t xml:space="preserve"> suggested non-endorsement of the document and</w:t>
      </w:r>
      <w:r w:rsidR="00BA7A46">
        <w:t xml:space="preserve"> also</w:t>
      </w:r>
      <w:r w:rsidR="00A10A8B">
        <w:t xml:space="preserve"> the </w:t>
      </w:r>
      <w:r w:rsidR="006643A4">
        <w:t xml:space="preserve">lack of </w:t>
      </w:r>
      <w:r w:rsidR="00FD17A3">
        <w:t xml:space="preserve">explanations on the rationale for </w:t>
      </w:r>
      <w:r w:rsidR="00D7351E">
        <w:t>such non-endorsement</w:t>
      </w:r>
      <w:r w:rsidR="00BA7A46">
        <w:t xml:space="preserve">, other than </w:t>
      </w:r>
      <w:r w:rsidR="00D7351E">
        <w:t>the document’s</w:t>
      </w:r>
      <w:r w:rsidR="00BA7A46">
        <w:t xml:space="preserve"> generic nature</w:t>
      </w:r>
      <w:r w:rsidR="00A10A8B">
        <w:t xml:space="preserve">. </w:t>
      </w:r>
      <w:r w:rsidR="00D7351E">
        <w:t>It was considered that f</w:t>
      </w:r>
      <w:r w:rsidR="00BA7A46">
        <w:t>urther clarifications</w:t>
      </w:r>
      <w:r w:rsidR="000C6310">
        <w:t xml:space="preserve"> </w:t>
      </w:r>
      <w:r w:rsidR="00BA7A46">
        <w:t xml:space="preserve">in that respect </w:t>
      </w:r>
      <w:r w:rsidR="00D7351E">
        <w:t>would</w:t>
      </w:r>
      <w:r w:rsidR="00CE4AB8">
        <w:t xml:space="preserve"> </w:t>
      </w:r>
      <w:r w:rsidR="00BA7A46">
        <w:t xml:space="preserve">be helpful for </w:t>
      </w:r>
      <w:r w:rsidR="00BE0379">
        <w:t xml:space="preserve">any country </w:t>
      </w:r>
      <w:r w:rsidR="00FF335E">
        <w:t>wish</w:t>
      </w:r>
      <w:r w:rsidR="00D7351E">
        <w:t>ing</w:t>
      </w:r>
      <w:r w:rsidR="00FF335E">
        <w:t xml:space="preserve"> to refer to the document</w:t>
      </w:r>
      <w:r w:rsidR="007A7B5E">
        <w:t xml:space="preserve"> </w:t>
      </w:r>
      <w:r w:rsidR="00BA7A46">
        <w:t>when d</w:t>
      </w:r>
      <w:r w:rsidR="007A7B5E">
        <w:t>evelop</w:t>
      </w:r>
      <w:r w:rsidR="00BA7A46">
        <w:t>ing</w:t>
      </w:r>
      <w:r w:rsidR="007A7B5E">
        <w:t xml:space="preserve"> </w:t>
      </w:r>
      <w:r w:rsidR="00DC22C4">
        <w:t>its</w:t>
      </w:r>
      <w:r w:rsidR="007A7B5E">
        <w:t xml:space="preserve"> legislation and practice on </w:t>
      </w:r>
      <w:r w:rsidR="00CC6A96">
        <w:t xml:space="preserve">the assessment of health </w:t>
      </w:r>
      <w:r w:rsidR="00BA7A46">
        <w:t xml:space="preserve">impacts </w:t>
      </w:r>
      <w:r w:rsidR="00CC6A96">
        <w:t>in strategic environmental assessment.</w:t>
      </w:r>
    </w:p>
    <w:p w14:paraId="7BA6F122" w14:textId="18395EB7" w:rsidR="00F933C0" w:rsidRDefault="00712B4E" w:rsidP="00F933C0">
      <w:pPr>
        <w:pStyle w:val="SingleTxtG"/>
      </w:pPr>
      <w:r>
        <w:t>6</w:t>
      </w:r>
      <w:r w:rsidR="00974286">
        <w:t>6</w:t>
      </w:r>
      <w:r w:rsidR="00BA7A46">
        <w:t>.</w:t>
      </w:r>
      <w:r w:rsidR="00BA7A46">
        <w:tab/>
      </w:r>
      <w:r w:rsidR="006E30FC">
        <w:t xml:space="preserve">In conclusion, </w:t>
      </w:r>
      <w:r w:rsidR="00A51F13">
        <w:t>t</w:t>
      </w:r>
      <w:r>
        <w:t xml:space="preserve">he Working Group </w:t>
      </w:r>
      <w:r w:rsidR="00F933C0">
        <w:t>agreed on</w:t>
      </w:r>
      <w:r w:rsidR="000474CD">
        <w:t xml:space="preserve"> a</w:t>
      </w:r>
      <w:r w:rsidR="00052E30">
        <w:t xml:space="preserve"> </w:t>
      </w:r>
      <w:r w:rsidR="009E7B43">
        <w:t>“</w:t>
      </w:r>
      <w:r w:rsidR="00F933C0">
        <w:t xml:space="preserve">document for information purposes on health in </w:t>
      </w:r>
      <w:r w:rsidR="009E7B43">
        <w:t xml:space="preserve">strategic environmental assessment” </w:t>
      </w:r>
      <w:r w:rsidR="00F933C0">
        <w:t xml:space="preserve">to be forwarded to the </w:t>
      </w:r>
      <w:r w:rsidR="007F1E25">
        <w:t xml:space="preserve">Meeting of the Parties to the </w:t>
      </w:r>
      <w:r w:rsidR="00F933C0">
        <w:t>Protocol</w:t>
      </w:r>
      <w:r w:rsidR="007F1E25">
        <w:t xml:space="preserve"> </w:t>
      </w:r>
      <w:r w:rsidR="00F933C0">
        <w:t xml:space="preserve">at its next session </w:t>
      </w:r>
      <w:r w:rsidR="00474949">
        <w:t xml:space="preserve">in </w:t>
      </w:r>
      <w:r w:rsidR="00F933C0">
        <w:t>Dec</w:t>
      </w:r>
      <w:r>
        <w:t>ember</w:t>
      </w:r>
      <w:r w:rsidR="00F933C0">
        <w:t xml:space="preserve"> 2023</w:t>
      </w:r>
      <w:r w:rsidR="00474949">
        <w:t>. I</w:t>
      </w:r>
      <w:r w:rsidR="006E30FC">
        <w:t xml:space="preserve">t </w:t>
      </w:r>
      <w:r w:rsidR="000076AA">
        <w:t>accept</w:t>
      </w:r>
      <w:r w:rsidR="00474949">
        <w:t>ed</w:t>
      </w:r>
      <w:r w:rsidR="000076AA">
        <w:t xml:space="preserve"> </w:t>
      </w:r>
      <w:r w:rsidR="00BA7A46">
        <w:t xml:space="preserve">the </w:t>
      </w:r>
      <w:r w:rsidR="000076AA">
        <w:t xml:space="preserve">adjustments proposed by the European Union and its </w:t>
      </w:r>
      <w:r w:rsidR="00BD6CB6">
        <w:t>m</w:t>
      </w:r>
      <w:r w:rsidR="000076AA">
        <w:t>ember States</w:t>
      </w:r>
      <w:r w:rsidR="00BA7A46">
        <w:t xml:space="preserve"> </w:t>
      </w:r>
      <w:r w:rsidR="000076AA">
        <w:t>to document ECE/MP.EIA/WG.2/2023/8</w:t>
      </w:r>
      <w:r w:rsidR="00A51F13">
        <w:t xml:space="preserve"> during the meeting, to</w:t>
      </w:r>
      <w:r w:rsidR="00474949">
        <w:t xml:space="preserve"> </w:t>
      </w:r>
      <w:r w:rsidR="000076AA">
        <w:t>chang</w:t>
      </w:r>
      <w:r w:rsidR="00A51F13">
        <w:t>e</w:t>
      </w:r>
      <w:r w:rsidR="000076AA">
        <w:t xml:space="preserve"> its title and </w:t>
      </w:r>
      <w:r w:rsidR="00A51F13">
        <w:t xml:space="preserve">to </w:t>
      </w:r>
      <w:r w:rsidR="000076AA">
        <w:t>remov</w:t>
      </w:r>
      <w:r w:rsidR="00A51F13">
        <w:t>e</w:t>
      </w:r>
      <w:r w:rsidR="000076AA">
        <w:t xml:space="preserve"> all references to the term “guidance” </w:t>
      </w:r>
      <w:r w:rsidR="00474949">
        <w:t>from</w:t>
      </w:r>
      <w:r w:rsidR="000076AA">
        <w:t xml:space="preserve"> the body of the text.</w:t>
      </w:r>
    </w:p>
    <w:p w14:paraId="63CD1D22" w14:textId="1A1C849D" w:rsidR="00FE4B55" w:rsidRPr="00FE4B55" w:rsidRDefault="00712B4E" w:rsidP="00F933C0">
      <w:pPr>
        <w:pStyle w:val="SingleTxtG"/>
      </w:pPr>
      <w:r>
        <w:t>6</w:t>
      </w:r>
      <w:r w:rsidR="00974286">
        <w:t>7</w:t>
      </w:r>
      <w:r>
        <w:t>.</w:t>
      </w:r>
      <w:r>
        <w:tab/>
      </w:r>
      <w:r w:rsidR="00474949">
        <w:t>Lastly, t</w:t>
      </w:r>
      <w:r>
        <w:t>he Working Group</w:t>
      </w:r>
      <w:r w:rsidR="007F1E25">
        <w:t xml:space="preserve"> </w:t>
      </w:r>
      <w:r w:rsidR="001B6FCC">
        <w:t xml:space="preserve">reviewed and </w:t>
      </w:r>
      <w:r>
        <w:t>a</w:t>
      </w:r>
      <w:r w:rsidR="00F933C0">
        <w:t>greed on the text of draft decision V/6 on assessing health impacts in strategic environmental assessment</w:t>
      </w:r>
      <w:r w:rsidR="00BD6CB6">
        <w:t xml:space="preserve"> (ECE/MP.EIA/WG.2/2023/6)</w:t>
      </w:r>
      <w:r w:rsidR="007F1E25">
        <w:t>, as revised,</w:t>
      </w:r>
      <w:r w:rsidR="00F933C0">
        <w:t xml:space="preserve"> </w:t>
      </w:r>
      <w:r w:rsidR="009524E2">
        <w:t>and asked the secretariat to</w:t>
      </w:r>
      <w:r w:rsidR="00F933C0">
        <w:t xml:space="preserve"> forward it to the Meeting of the Parties to the Protocol</w:t>
      </w:r>
      <w:r>
        <w:t>.</w:t>
      </w:r>
    </w:p>
    <w:p w14:paraId="5EE8F18A" w14:textId="3A72E81D" w:rsidR="00B554D8" w:rsidRDefault="001402F0" w:rsidP="001402F0">
      <w:pPr>
        <w:pStyle w:val="H1G"/>
        <w:ind w:hanging="567"/>
      </w:pPr>
      <w:r>
        <w:t>B.</w:t>
      </w:r>
      <w:r>
        <w:tab/>
      </w:r>
      <w:r>
        <w:tab/>
      </w:r>
      <w:r w:rsidR="00B554D8" w:rsidRPr="00B554D8">
        <w:t>Subregional cooperation and capacity-building</w:t>
      </w:r>
    </w:p>
    <w:p w14:paraId="258B7B6B" w14:textId="6BF34EA5" w:rsidR="000C50C9" w:rsidRDefault="00712B4E" w:rsidP="0041374C">
      <w:pPr>
        <w:pStyle w:val="SingleTxtG"/>
      </w:pPr>
      <w:r>
        <w:t>6</w:t>
      </w:r>
      <w:r w:rsidR="00974286">
        <w:t>8</w:t>
      </w:r>
      <w:r w:rsidR="000C50C9" w:rsidRPr="00B554D8">
        <w:t>.</w:t>
      </w:r>
      <w:r w:rsidR="000C50C9">
        <w:tab/>
      </w:r>
      <w:r w:rsidR="000C50C9" w:rsidRPr="00B059FB">
        <w:t>The Working Group</w:t>
      </w:r>
      <w:r w:rsidR="000C50C9">
        <w:t xml:space="preserve"> </w:t>
      </w:r>
      <w:r w:rsidR="00016264">
        <w:t xml:space="preserve">considered </w:t>
      </w:r>
      <w:r w:rsidR="000C50C9" w:rsidRPr="003F28C4">
        <w:t xml:space="preserve">progress </w:t>
      </w:r>
      <w:r w:rsidR="00016264">
        <w:t>with the s</w:t>
      </w:r>
      <w:r w:rsidR="000C50C9" w:rsidRPr="003F28C4">
        <w:t>ubregional cooperation and capacity-building</w:t>
      </w:r>
      <w:r w:rsidR="00016264">
        <w:t xml:space="preserve"> activities envisaged in the current workplan.</w:t>
      </w:r>
    </w:p>
    <w:p w14:paraId="31B1B50F" w14:textId="658FA9B0" w:rsidR="00096E98" w:rsidRDefault="006E30FC" w:rsidP="00512808">
      <w:pPr>
        <w:pStyle w:val="SingleTxtG"/>
      </w:pPr>
      <w:r>
        <w:t>6</w:t>
      </w:r>
      <w:r w:rsidR="00974286">
        <w:t>9</w:t>
      </w:r>
      <w:r w:rsidR="000C50C9">
        <w:t>.</w:t>
      </w:r>
      <w:r w:rsidR="000C50C9">
        <w:tab/>
        <w:t xml:space="preserve">The Working Group </w:t>
      </w:r>
      <w:r w:rsidR="0041374C">
        <w:t>welcomed</w:t>
      </w:r>
      <w:r w:rsidR="005E02B5">
        <w:t xml:space="preserve"> the </w:t>
      </w:r>
      <w:r w:rsidR="00FE0966">
        <w:t xml:space="preserve">outcomes of the </w:t>
      </w:r>
      <w:r w:rsidR="005E02B5">
        <w:t>a</w:t>
      </w:r>
      <w:r w:rsidR="0041374C">
        <w:t>ctivit</w:t>
      </w:r>
      <w:r w:rsidR="005E02B5">
        <w:t>y</w:t>
      </w:r>
      <w:r w:rsidR="0041374C">
        <w:t xml:space="preserve"> funded by Italy for identifying synergies and possible future cooperation activities in marine regions, involving six regional sea conventions or commissions, and supported by the secretariat and consultants. It </w:t>
      </w:r>
      <w:r w:rsidR="00C24D90">
        <w:t xml:space="preserve">considered </w:t>
      </w:r>
      <w:r w:rsidR="000C50C9" w:rsidRPr="00DB5AAC">
        <w:t xml:space="preserve">document </w:t>
      </w:r>
      <w:r w:rsidR="000C50C9" w:rsidRPr="00A406C7">
        <w:t>ECE/MP.EIA/WG.2/2023/9</w:t>
      </w:r>
      <w:r>
        <w:t xml:space="preserve">, </w:t>
      </w:r>
      <w:r w:rsidR="00BC0246">
        <w:t>which presented the synergies identified</w:t>
      </w:r>
      <w:r w:rsidR="008C57CC">
        <w:t xml:space="preserve">, including </w:t>
      </w:r>
      <w:r w:rsidR="00FA036D" w:rsidRPr="00DB5AAC">
        <w:t>obligations</w:t>
      </w:r>
      <w:r w:rsidR="005E02B5">
        <w:t xml:space="preserve"> and practice</w:t>
      </w:r>
      <w:r w:rsidR="00FA036D" w:rsidRPr="00DB5AAC">
        <w:t xml:space="preserve"> </w:t>
      </w:r>
      <w:r w:rsidR="008C57CC">
        <w:t xml:space="preserve">of the respective regional sea conventions </w:t>
      </w:r>
      <w:r w:rsidR="00FA036D" w:rsidRPr="00DB5AAC">
        <w:t xml:space="preserve">related to </w:t>
      </w:r>
      <w:r w:rsidR="00FA036D">
        <w:t>environmental impact assessment</w:t>
      </w:r>
      <w:r w:rsidR="00FA036D" w:rsidRPr="00DB5AAC">
        <w:t xml:space="preserve"> and </w:t>
      </w:r>
      <w:r w:rsidR="00FA036D">
        <w:t>strategic environmental assessmen</w:t>
      </w:r>
      <w:r w:rsidR="008C57CC">
        <w:t>t</w:t>
      </w:r>
      <w:r>
        <w:t xml:space="preserve">, and </w:t>
      </w:r>
      <w:r w:rsidR="0051302F">
        <w:t xml:space="preserve">put forward </w:t>
      </w:r>
      <w:r w:rsidR="000C50C9" w:rsidRPr="00DB5AAC">
        <w:t xml:space="preserve">proposals for activities that could be included in the workplans starting with the next period 2024–2026. </w:t>
      </w:r>
      <w:r w:rsidR="006F4597">
        <w:t xml:space="preserve">The priority proposals </w:t>
      </w:r>
      <w:r w:rsidR="005E02B5">
        <w:t xml:space="preserve">for future action </w:t>
      </w:r>
      <w:r w:rsidR="006F4597">
        <w:t xml:space="preserve">were </w:t>
      </w:r>
      <w:r w:rsidR="00854C04">
        <w:t>presented</w:t>
      </w:r>
      <w:r w:rsidR="00512808">
        <w:t xml:space="preserve"> by </w:t>
      </w:r>
      <w:r>
        <w:t>a</w:t>
      </w:r>
      <w:r w:rsidR="00512808">
        <w:t xml:space="preserve"> </w:t>
      </w:r>
      <w:r w:rsidR="0051302F">
        <w:t xml:space="preserve">representative of </w:t>
      </w:r>
      <w:r w:rsidR="00BD6CB6">
        <w:t xml:space="preserve">the </w:t>
      </w:r>
      <w:r w:rsidR="0051302F">
        <w:t>U</w:t>
      </w:r>
      <w:r w:rsidR="00BD6CB6">
        <w:t xml:space="preserve">nited </w:t>
      </w:r>
      <w:r w:rsidR="0051302F">
        <w:t>N</w:t>
      </w:r>
      <w:r w:rsidR="00BD6CB6">
        <w:t xml:space="preserve">ations </w:t>
      </w:r>
      <w:r w:rsidR="0051302F">
        <w:t>D</w:t>
      </w:r>
      <w:r w:rsidR="00BD6CB6">
        <w:t xml:space="preserve">evelopment </w:t>
      </w:r>
      <w:r w:rsidR="0051302F">
        <w:t>P</w:t>
      </w:r>
      <w:r w:rsidR="00BD6CB6">
        <w:t>rogramme</w:t>
      </w:r>
      <w:r w:rsidR="00BD5E07">
        <w:t xml:space="preserve"> (and</w:t>
      </w:r>
      <w:r w:rsidR="0051302F">
        <w:t xml:space="preserve"> </w:t>
      </w:r>
      <w:r>
        <w:t xml:space="preserve">a </w:t>
      </w:r>
      <w:r w:rsidR="0051302F">
        <w:t>former consultant to the se</w:t>
      </w:r>
      <w:r w:rsidR="00BD5E07">
        <w:t>cretariat</w:t>
      </w:r>
      <w:r w:rsidR="00474949">
        <w:t xml:space="preserve"> for the activit</w:t>
      </w:r>
      <w:r w:rsidR="005E02B5">
        <w:t>y</w:t>
      </w:r>
      <w:r w:rsidR="00474949">
        <w:t xml:space="preserve"> in question</w:t>
      </w:r>
      <w:r w:rsidR="00BD5E07">
        <w:t>)</w:t>
      </w:r>
      <w:r w:rsidR="00474949">
        <w:t>.</w:t>
      </w:r>
    </w:p>
    <w:p w14:paraId="6B4844F6" w14:textId="7146EF27" w:rsidR="00271D4D" w:rsidRDefault="00974286" w:rsidP="00236B1E">
      <w:pPr>
        <w:pStyle w:val="SingleTxtG"/>
      </w:pPr>
      <w:r>
        <w:t>70</w:t>
      </w:r>
      <w:r w:rsidR="00236B1E">
        <w:t>.</w:t>
      </w:r>
      <w:r w:rsidR="00236B1E">
        <w:tab/>
      </w:r>
      <w:r w:rsidR="00C24D90">
        <w:t xml:space="preserve">The Working Group </w:t>
      </w:r>
      <w:r w:rsidR="00C24D90" w:rsidRPr="00343DBD">
        <w:t xml:space="preserve">agreed on the report and </w:t>
      </w:r>
      <w:r w:rsidR="006E30FC">
        <w:t xml:space="preserve">its </w:t>
      </w:r>
      <w:r w:rsidR="00C24D90" w:rsidRPr="00343DBD">
        <w:t xml:space="preserve">proposed </w:t>
      </w:r>
      <w:r w:rsidR="00C24D90">
        <w:t>activities for cooperation in marine regions</w:t>
      </w:r>
      <w:r w:rsidR="00F41003">
        <w:t xml:space="preserve">. </w:t>
      </w:r>
      <w:r w:rsidR="00C24D90">
        <w:t xml:space="preserve">It </w:t>
      </w:r>
      <w:r w:rsidR="00236B1E">
        <w:t xml:space="preserve">invited delegations to volunteer to contribute to </w:t>
      </w:r>
      <w:r w:rsidR="00C24D90">
        <w:t xml:space="preserve">the </w:t>
      </w:r>
      <w:r w:rsidR="00236B1E">
        <w:t xml:space="preserve">implementation of the proposed </w:t>
      </w:r>
      <w:r w:rsidR="00C24D90">
        <w:t xml:space="preserve">activities </w:t>
      </w:r>
      <w:r w:rsidR="00236B1E">
        <w:t xml:space="preserve">and/or to propose others, informing the secretariat before the next </w:t>
      </w:r>
      <w:r w:rsidR="006E30FC">
        <w:t>sessions of the M</w:t>
      </w:r>
      <w:r w:rsidR="00236B1E">
        <w:t xml:space="preserve">eetings of the Parties. </w:t>
      </w:r>
      <w:r w:rsidR="00006D36">
        <w:t xml:space="preserve">It </w:t>
      </w:r>
      <w:r w:rsidR="00C24D90">
        <w:t xml:space="preserve">also </w:t>
      </w:r>
      <w:r w:rsidR="00236B1E">
        <w:t xml:space="preserve">agreed on </w:t>
      </w:r>
      <w:r w:rsidR="006E30FC">
        <w:t xml:space="preserve">the </w:t>
      </w:r>
      <w:r w:rsidR="00006D36">
        <w:t>selected</w:t>
      </w:r>
      <w:r w:rsidR="00271D4D">
        <w:t xml:space="preserve"> </w:t>
      </w:r>
      <w:r w:rsidR="00006D36">
        <w:t xml:space="preserve">priority </w:t>
      </w:r>
      <w:r w:rsidR="00236B1E">
        <w:t>activities</w:t>
      </w:r>
      <w:r w:rsidR="00006D36">
        <w:t xml:space="preserve"> proposed for the draft workplan for 2024–2026 (see </w:t>
      </w:r>
      <w:r w:rsidR="009D3DC2">
        <w:t>sub</w:t>
      </w:r>
      <w:r w:rsidR="00006D36">
        <w:t>sect</w:t>
      </w:r>
      <w:r w:rsidR="001C7B42">
        <w:t>.</w:t>
      </w:r>
      <w:r w:rsidR="00006D36">
        <w:t xml:space="preserve"> IV.C</w:t>
      </w:r>
      <w:r w:rsidR="009D3DC2">
        <w:t>.</w:t>
      </w:r>
      <w:r w:rsidR="00006D36">
        <w:t xml:space="preserve"> above and ECE/MP.EIA/WG.2/2023/3, decision IX/2–V/2, </w:t>
      </w:r>
      <w:r w:rsidR="001C7B42">
        <w:t xml:space="preserve">annex I, </w:t>
      </w:r>
      <w:r w:rsidR="00006D36">
        <w:t xml:space="preserve">item III.A), </w:t>
      </w:r>
      <w:r w:rsidR="00CD225A">
        <w:t xml:space="preserve">including </w:t>
      </w:r>
      <w:r w:rsidR="00271D4D">
        <w:t>informal subregional meetings on cooperation on the Convention and the Protocol in marine regions</w:t>
      </w:r>
      <w:r w:rsidR="00C24D90">
        <w:t xml:space="preserve"> to exchange information on the planned or ongoing application of the treaties and to discuss any topical issues of relevance to the marine environment and coastal areas in question</w:t>
      </w:r>
      <w:r w:rsidR="00271D4D">
        <w:t>. It n</w:t>
      </w:r>
      <w:r w:rsidR="00006D36">
        <w:t>ot</w:t>
      </w:r>
      <w:r w:rsidR="00271D4D">
        <w:t xml:space="preserve">ed </w:t>
      </w:r>
      <w:r w:rsidR="00834230">
        <w:t xml:space="preserve">the following </w:t>
      </w:r>
      <w:r w:rsidR="00006D36">
        <w:t>proposals by delegations to lead, sponsor and host</w:t>
      </w:r>
      <w:r w:rsidR="00271D4D">
        <w:t xml:space="preserve"> such</w:t>
      </w:r>
      <w:r w:rsidR="00C24D90">
        <w:t xml:space="preserve"> informal</w:t>
      </w:r>
      <w:r w:rsidR="00271D4D">
        <w:t xml:space="preserve"> meetings:</w:t>
      </w:r>
    </w:p>
    <w:p w14:paraId="733F4301" w14:textId="4E5D01EB" w:rsidR="00236B1E" w:rsidRDefault="00271D4D" w:rsidP="00271D4D">
      <w:pPr>
        <w:pStyle w:val="SingleTxtG"/>
      </w:pPr>
      <w:r>
        <w:tab/>
        <w:t>(a)</w:t>
      </w:r>
      <w:r>
        <w:tab/>
        <w:t>I</w:t>
      </w:r>
      <w:r w:rsidR="00236B1E">
        <w:t>n the Baltic</w:t>
      </w:r>
      <w:r>
        <w:t xml:space="preserve"> Sea subregion: by </w:t>
      </w:r>
      <w:r w:rsidR="00236B1E">
        <w:t xml:space="preserve">Latvia in 2024 (to be confirmed); </w:t>
      </w:r>
      <w:r>
        <w:t xml:space="preserve">by </w:t>
      </w:r>
      <w:r w:rsidR="00236B1E">
        <w:t>Poland</w:t>
      </w:r>
      <w:r>
        <w:t xml:space="preserve">, in cooperation with </w:t>
      </w:r>
      <w:r w:rsidR="00236B1E">
        <w:t>Germany</w:t>
      </w:r>
      <w:r>
        <w:t xml:space="preserve">, in May/June 2025, </w:t>
      </w:r>
      <w:r w:rsidR="00236B1E">
        <w:t>with the invitation extended also to representatives of other regional seas</w:t>
      </w:r>
      <w:r>
        <w:t xml:space="preserve"> (to be confirmed)</w:t>
      </w:r>
      <w:r w:rsidR="00236B1E">
        <w:t xml:space="preserve">; and </w:t>
      </w:r>
      <w:r>
        <w:t xml:space="preserve">by </w:t>
      </w:r>
      <w:r w:rsidR="00236B1E">
        <w:t>Lithuania</w:t>
      </w:r>
      <w:r w:rsidR="006E30FC">
        <w:t>,</w:t>
      </w:r>
      <w:r w:rsidR="00236B1E">
        <w:t xml:space="preserve"> in 2026 (to be confirmed); </w:t>
      </w:r>
    </w:p>
    <w:p w14:paraId="1DC1B5A7" w14:textId="5C297D99" w:rsidR="00236B1E" w:rsidRDefault="00271D4D" w:rsidP="00B94A1D">
      <w:pPr>
        <w:pStyle w:val="SingleTxtG"/>
      </w:pPr>
      <w:r>
        <w:tab/>
        <w:t>(b)</w:t>
      </w:r>
      <w:r>
        <w:tab/>
      </w:r>
      <w:r w:rsidR="00236B1E">
        <w:t xml:space="preserve">In the Mediterranean region: Italy committed to organizing </w:t>
      </w:r>
      <w:r>
        <w:t>the first informal meeting in th</w:t>
      </w:r>
      <w:r w:rsidR="006E30FC">
        <w:t>at</w:t>
      </w:r>
      <w:r>
        <w:t xml:space="preserve"> region, (</w:t>
      </w:r>
      <w:r w:rsidR="00236B1E">
        <w:t>Rome</w:t>
      </w:r>
      <w:r>
        <w:t xml:space="preserve">, </w:t>
      </w:r>
      <w:r w:rsidR="00236B1E">
        <w:t>second quarter of 2024</w:t>
      </w:r>
      <w:r>
        <w:t>)</w:t>
      </w:r>
      <w:r w:rsidR="00B94A1D">
        <w:t>,</w:t>
      </w:r>
      <w:r>
        <w:t xml:space="preserve"> extending </w:t>
      </w:r>
      <w:r w:rsidR="006E30FC">
        <w:t xml:space="preserve">also </w:t>
      </w:r>
      <w:r>
        <w:t xml:space="preserve">the invitation to all regional sea convention </w:t>
      </w:r>
      <w:r w:rsidR="00236B1E">
        <w:t>focal points</w:t>
      </w:r>
      <w:r>
        <w:t xml:space="preserve"> and to</w:t>
      </w:r>
      <w:r w:rsidR="00B94A1D">
        <w:t xml:space="preserve"> </w:t>
      </w:r>
      <w:r>
        <w:t>participants from North Africa</w:t>
      </w:r>
      <w:r w:rsidR="00236B1E">
        <w:t xml:space="preserve">; </w:t>
      </w:r>
      <w:r w:rsidR="006E30FC">
        <w:t xml:space="preserve">and </w:t>
      </w:r>
      <w:r w:rsidR="00236B1E">
        <w:t xml:space="preserve">Slovenia committed to organizing a </w:t>
      </w:r>
      <w:r>
        <w:t xml:space="preserve">second </w:t>
      </w:r>
      <w:r w:rsidR="00B94A1D">
        <w:t>informal meeting (</w:t>
      </w:r>
      <w:proofErr w:type="spellStart"/>
      <w:r w:rsidR="00236B1E">
        <w:t>Portorož</w:t>
      </w:r>
      <w:proofErr w:type="spellEnd"/>
      <w:r w:rsidR="00B94A1D">
        <w:t xml:space="preserve">, </w:t>
      </w:r>
      <w:r w:rsidR="00EA5626">
        <w:t xml:space="preserve">Slovenia, </w:t>
      </w:r>
      <w:r w:rsidR="00236B1E">
        <w:t>September 2025</w:t>
      </w:r>
      <w:r w:rsidR="00B94A1D">
        <w:t xml:space="preserve">). </w:t>
      </w:r>
      <w:r w:rsidR="00EA5626">
        <w:t>For</w:t>
      </w:r>
      <w:r w:rsidR="00B94A1D">
        <w:t xml:space="preserve"> 2026, first Greece, then France expressed </w:t>
      </w:r>
      <w:r w:rsidR="00EA5626">
        <w:t>an</w:t>
      </w:r>
      <w:r w:rsidR="00B94A1D">
        <w:t xml:space="preserve"> interest in hosting a meeting, subject to confirmation.</w:t>
      </w:r>
    </w:p>
    <w:p w14:paraId="1FCCB207" w14:textId="4CE1ADB5" w:rsidR="00474949" w:rsidRDefault="00974286" w:rsidP="005E02B5">
      <w:pPr>
        <w:pStyle w:val="SingleTxtG"/>
      </w:pPr>
      <w:r>
        <w:t>71</w:t>
      </w:r>
      <w:r w:rsidR="005E02B5">
        <w:t>.</w:t>
      </w:r>
      <w:r w:rsidR="005E02B5">
        <w:tab/>
      </w:r>
      <w:r w:rsidR="005E02B5" w:rsidRPr="005E02B5">
        <w:t>The secretariat</w:t>
      </w:r>
      <w:r w:rsidR="00B94A1D">
        <w:t xml:space="preserve"> summarized the outcomes o</w:t>
      </w:r>
      <w:r w:rsidR="005E02B5" w:rsidRPr="005E02B5">
        <w:t>f the third</w:t>
      </w:r>
      <w:r w:rsidR="00FE0966">
        <w:t>, and last,</w:t>
      </w:r>
      <w:r w:rsidR="005E02B5" w:rsidRPr="005E02B5">
        <w:t xml:space="preserve"> joint technical meetin</w:t>
      </w:r>
      <w:r w:rsidR="00B94A1D">
        <w:t xml:space="preserve">g </w:t>
      </w:r>
      <w:r w:rsidR="005E02B5" w:rsidRPr="005E02B5">
        <w:t xml:space="preserve">on synergies and possible cooperation activities in marine regions, </w:t>
      </w:r>
      <w:r w:rsidR="005E02B5">
        <w:t>that it had organized</w:t>
      </w:r>
      <w:r w:rsidR="00FE0966">
        <w:t xml:space="preserve"> (Geneva </w:t>
      </w:r>
      <w:r w:rsidR="00EA5626">
        <w:t>(</w:t>
      </w:r>
      <w:r w:rsidR="005E02B5" w:rsidRPr="005E02B5">
        <w:t>online</w:t>
      </w:r>
      <w:r w:rsidR="00EA5626">
        <w:t>)</w:t>
      </w:r>
      <w:r w:rsidR="00FE0966">
        <w:t>, 1</w:t>
      </w:r>
      <w:r w:rsidR="005E02B5" w:rsidRPr="005E02B5">
        <w:t>6 May 2023</w:t>
      </w:r>
      <w:r w:rsidR="00FE0966">
        <w:t>)</w:t>
      </w:r>
      <w:r w:rsidR="00EA5626">
        <w:t>,</w:t>
      </w:r>
      <w:r w:rsidR="00D42BB0" w:rsidDel="00EA5626">
        <w:t xml:space="preserve"> </w:t>
      </w:r>
      <w:r w:rsidR="00B94A1D">
        <w:t xml:space="preserve">bringing together representatives of the regional sea conventions and commissions and interested focal points under the Espoo Convention and the Protocol. </w:t>
      </w:r>
      <w:r w:rsidR="005E02B5">
        <w:t xml:space="preserve">For more information, the delegations were invited to consult the </w:t>
      </w:r>
      <w:r w:rsidR="005E02B5" w:rsidRPr="005E02B5">
        <w:t xml:space="preserve">meeting </w:t>
      </w:r>
      <w:r w:rsidR="005E02B5" w:rsidRPr="0064750E">
        <w:t>report and</w:t>
      </w:r>
      <w:r w:rsidR="005E02B5">
        <w:t xml:space="preserve"> </w:t>
      </w:r>
      <w:r w:rsidR="00FE0966">
        <w:t xml:space="preserve">other information presented at the </w:t>
      </w:r>
      <w:r w:rsidR="0064750E">
        <w:t xml:space="preserve">third joint technical </w:t>
      </w:r>
      <w:r w:rsidR="00FE0966">
        <w:t>meeting</w:t>
      </w:r>
      <w:r w:rsidR="005E02B5">
        <w:t xml:space="preserve">, including </w:t>
      </w:r>
      <w:r w:rsidR="00FE0966">
        <w:t>the good practice c</w:t>
      </w:r>
      <w:r w:rsidR="005E02B5">
        <w:t>ase studies o</w:t>
      </w:r>
      <w:r w:rsidR="00FE0966">
        <w:t>n</w:t>
      </w:r>
      <w:r w:rsidR="005E02B5">
        <w:t xml:space="preserve"> the application </w:t>
      </w:r>
      <w:r w:rsidR="00FE0966">
        <w:t xml:space="preserve">by Estonia </w:t>
      </w:r>
      <w:r w:rsidR="005E02B5">
        <w:t xml:space="preserve">of the Convention to the </w:t>
      </w:r>
      <w:proofErr w:type="spellStart"/>
      <w:r w:rsidR="005E02B5">
        <w:t>Saare</w:t>
      </w:r>
      <w:proofErr w:type="spellEnd"/>
      <w:r w:rsidR="005E02B5">
        <w:t xml:space="preserve"> offshore wind farm and the </w:t>
      </w:r>
      <w:r w:rsidR="00FE0966">
        <w:t xml:space="preserve">application of the Protocol by Italy to </w:t>
      </w:r>
      <w:r w:rsidR="00236B1E">
        <w:t xml:space="preserve">its </w:t>
      </w:r>
      <w:r w:rsidR="00FE0966">
        <w:t>maritime spatial plans.</w:t>
      </w:r>
      <w:r w:rsidR="0064750E">
        <w:rPr>
          <w:rStyle w:val="FootnoteReference"/>
        </w:rPr>
        <w:footnoteReference w:id="19"/>
      </w:r>
    </w:p>
    <w:p w14:paraId="7254C089" w14:textId="08D1E747" w:rsidR="000C50C9" w:rsidRPr="00236B1E" w:rsidRDefault="00CA00FB" w:rsidP="00096E98">
      <w:pPr>
        <w:pStyle w:val="SingleTxtG"/>
      </w:pPr>
      <w:r w:rsidRPr="00236B1E">
        <w:t>7</w:t>
      </w:r>
      <w:r w:rsidR="00974286">
        <w:t>2</w:t>
      </w:r>
      <w:r w:rsidR="00096E98" w:rsidRPr="00236B1E">
        <w:t>.</w:t>
      </w:r>
      <w:r w:rsidR="00096E98" w:rsidRPr="00236B1E">
        <w:tab/>
        <w:t xml:space="preserve">The Working Group </w:t>
      </w:r>
      <w:r w:rsidR="00FE0966" w:rsidRPr="00236B1E">
        <w:t xml:space="preserve">noted the outcomes of the joint technical meeting. It welcomed the </w:t>
      </w:r>
      <w:r w:rsidR="00236B1E" w:rsidRPr="00236B1E">
        <w:t xml:space="preserve">good practice presented thus far in the application of the treaties in marine regions by Estonia, Italy, twice by Poland and Slovenia. It </w:t>
      </w:r>
      <w:r w:rsidR="00096E98" w:rsidRPr="00236B1E">
        <w:t xml:space="preserve">invited further Parties to propose good practice </w:t>
      </w:r>
      <w:r w:rsidR="00C24D90">
        <w:t xml:space="preserve">with a view to the development of </w:t>
      </w:r>
      <w:r w:rsidR="00236B1E" w:rsidRPr="00236B1E">
        <w:t>case study fact sheets</w:t>
      </w:r>
      <w:r w:rsidR="00C24D90">
        <w:t>,</w:t>
      </w:r>
      <w:r w:rsidR="00236B1E" w:rsidRPr="00236B1E">
        <w:t xml:space="preserve"> following a template prepared for that purpose</w:t>
      </w:r>
      <w:r w:rsidR="00F41003">
        <w:t>,</w:t>
      </w:r>
      <w:r w:rsidR="00236B1E" w:rsidRPr="00236B1E">
        <w:t xml:space="preserve"> </w:t>
      </w:r>
      <w:r w:rsidR="007E055D">
        <w:t xml:space="preserve">to be </w:t>
      </w:r>
      <w:r w:rsidR="00236B1E" w:rsidRPr="00236B1E">
        <w:t>ma</w:t>
      </w:r>
      <w:r w:rsidR="007E055D">
        <w:t xml:space="preserve">de </w:t>
      </w:r>
      <w:r w:rsidR="00236B1E" w:rsidRPr="00236B1E">
        <w:t xml:space="preserve">available on </w:t>
      </w:r>
      <w:r w:rsidR="000C50C9" w:rsidRPr="00236B1E">
        <w:t>the ECE website.</w:t>
      </w:r>
    </w:p>
    <w:p w14:paraId="1E1EF01B" w14:textId="701AAEAF" w:rsidR="000C50C9" w:rsidRDefault="000C50C9" w:rsidP="000C50C9">
      <w:pPr>
        <w:pStyle w:val="SingleTxtG"/>
      </w:pPr>
      <w:r>
        <w:t>7</w:t>
      </w:r>
      <w:r w:rsidR="00974286">
        <w:t>3</w:t>
      </w:r>
      <w:r>
        <w:t>.</w:t>
      </w:r>
      <w:r>
        <w:tab/>
      </w:r>
      <w:r w:rsidR="00F41003">
        <w:t xml:space="preserve">Lastly, the Working Group reviewed and agreed on </w:t>
      </w:r>
      <w:r w:rsidRPr="00343DBD">
        <w:t>draft decision IX/3</w:t>
      </w:r>
      <w:r w:rsidR="00F41003">
        <w:t>–</w:t>
      </w:r>
      <w:r w:rsidRPr="00343DBD">
        <w:t xml:space="preserve">V/3 on cooperation in marine regions </w:t>
      </w:r>
      <w:r w:rsidR="00F41003">
        <w:t xml:space="preserve">(ECE/MP.EIA/WG.2/2023/3) </w:t>
      </w:r>
      <w:r w:rsidRPr="00343DBD">
        <w:t xml:space="preserve">and invited the secretariat to forward </w:t>
      </w:r>
      <w:r w:rsidR="00F41003">
        <w:t>it together with the</w:t>
      </w:r>
      <w:r w:rsidR="0056013C">
        <w:t xml:space="preserve"> report on synergies and possible cooperation activities in marine regions to </w:t>
      </w:r>
      <w:r w:rsidRPr="00343DBD">
        <w:t xml:space="preserve">the </w:t>
      </w:r>
      <w:r w:rsidR="0056013C">
        <w:t xml:space="preserve">Meetings of the Parties, </w:t>
      </w:r>
      <w:r w:rsidRPr="00343DBD">
        <w:t>as official documents</w:t>
      </w:r>
      <w:r>
        <w:t>.</w:t>
      </w:r>
    </w:p>
    <w:bookmarkEnd w:id="7"/>
    <w:p w14:paraId="29F23740" w14:textId="37736D9E" w:rsidR="00B554D8" w:rsidRPr="00B554D8" w:rsidRDefault="00B554D8" w:rsidP="00B57DC5">
      <w:pPr>
        <w:pStyle w:val="H1G"/>
      </w:pPr>
      <w:r w:rsidRPr="00B554D8">
        <w:tab/>
      </w:r>
      <w:r w:rsidR="001402F0">
        <w:t>C</w:t>
      </w:r>
      <w:r w:rsidRPr="00B554D8">
        <w:t>.</w:t>
      </w:r>
      <w:r w:rsidRPr="00B554D8">
        <w:tab/>
      </w:r>
      <w:r w:rsidRPr="00B57DC5">
        <w:t>Exchange</w:t>
      </w:r>
      <w:r w:rsidRPr="00B554D8">
        <w:t xml:space="preserve"> of good practices</w:t>
      </w:r>
    </w:p>
    <w:p w14:paraId="4C3E6319" w14:textId="11EA5219" w:rsidR="00B554D8" w:rsidRPr="00096E98" w:rsidRDefault="00096E98" w:rsidP="00B57DC5">
      <w:pPr>
        <w:pStyle w:val="SingleTxtG"/>
      </w:pPr>
      <w:r>
        <w:t>7</w:t>
      </w:r>
      <w:r w:rsidR="00974286">
        <w:t>4</w:t>
      </w:r>
      <w:r w:rsidR="00B554D8" w:rsidRPr="00096E98">
        <w:t>.</w:t>
      </w:r>
      <w:r w:rsidR="00B554D8" w:rsidRPr="00096E98">
        <w:tab/>
        <w:t xml:space="preserve">The Working Group </w:t>
      </w:r>
      <w:r w:rsidRPr="00096E98">
        <w:t>noted the lack of volunteers for proposing fact sheets on the treaties</w:t>
      </w:r>
      <w:r w:rsidR="00EA5626">
        <w:t>’</w:t>
      </w:r>
      <w:r w:rsidRPr="00096E98">
        <w:t xml:space="preserve"> practical application and for funding an online database or a compilation of good practice</w:t>
      </w:r>
      <w:r w:rsidR="00A118E8">
        <w:t>, foreseen in the current workplan for the exchange of good practices</w:t>
      </w:r>
      <w:r w:rsidR="00A148B8">
        <w:t xml:space="preserve"> (decision IX/2–V/2, annex I, subsect. III.A.3</w:t>
      </w:r>
      <w:r w:rsidR="009D3DC2">
        <w:t>.</w:t>
      </w:r>
      <w:r w:rsidR="00A148B8">
        <w:t>, item 3)</w:t>
      </w:r>
      <w:r w:rsidR="00A118E8">
        <w:t xml:space="preserve">. It </w:t>
      </w:r>
      <w:r w:rsidRPr="00096E98">
        <w:t>encouraged Parties to submit good practice fact sheets in the next period.</w:t>
      </w:r>
    </w:p>
    <w:p w14:paraId="03C1C605" w14:textId="2080ACC4" w:rsidR="00B554D8" w:rsidRPr="00B554D8" w:rsidRDefault="00B554D8" w:rsidP="00B57DC5">
      <w:pPr>
        <w:pStyle w:val="H1G"/>
      </w:pPr>
      <w:r w:rsidRPr="00B554D8">
        <w:tab/>
      </w:r>
      <w:r w:rsidR="00CB2ACA">
        <w:t>D</w:t>
      </w:r>
      <w:r w:rsidRPr="00B554D8">
        <w:t>.</w:t>
      </w:r>
      <w:r w:rsidRPr="00B554D8">
        <w:tab/>
      </w:r>
      <w:r w:rsidRPr="00B57DC5">
        <w:t>Capacity</w:t>
      </w:r>
      <w:r w:rsidRPr="00B554D8">
        <w:t>-building</w:t>
      </w:r>
    </w:p>
    <w:p w14:paraId="65739DDA" w14:textId="11BE5AF5" w:rsidR="00096E98" w:rsidRDefault="00D34597" w:rsidP="00096E98">
      <w:pPr>
        <w:pStyle w:val="SingleTxtG"/>
      </w:pPr>
      <w:r>
        <w:t>7</w:t>
      </w:r>
      <w:r w:rsidR="00974286">
        <w:t>5</w:t>
      </w:r>
      <w:r w:rsidR="00B554D8" w:rsidRPr="00D34597">
        <w:t>.</w:t>
      </w:r>
      <w:r w:rsidR="00B554D8" w:rsidRPr="00D34597">
        <w:tab/>
      </w:r>
      <w:r w:rsidRPr="00096E98">
        <w:t>The Working Group</w:t>
      </w:r>
      <w:r w:rsidRPr="00D34597">
        <w:t xml:space="preserve"> </w:t>
      </w:r>
      <w:r>
        <w:t>w</w:t>
      </w:r>
      <w:r w:rsidR="00096E98" w:rsidRPr="00D34597">
        <w:t>e</w:t>
      </w:r>
      <w:r w:rsidR="00096E98">
        <w:t>lcomed the reports on the activities implemented or planned for, in accordance with or in relation to the workplan</w:t>
      </w:r>
      <w:r w:rsidR="00A118E8">
        <w:t>, in the field of capacity-building</w:t>
      </w:r>
      <w:r w:rsidR="00096E98">
        <w:t>.</w:t>
      </w:r>
    </w:p>
    <w:p w14:paraId="00991F52" w14:textId="08BEAA45" w:rsidR="00A118E8" w:rsidRDefault="00D34597" w:rsidP="00D34597">
      <w:pPr>
        <w:pStyle w:val="SingleTxtG"/>
        <w:rPr>
          <w:rFonts w:asciiTheme="majorBidi" w:hAnsiTheme="majorBidi" w:cstheme="majorBidi"/>
        </w:rPr>
      </w:pPr>
      <w:r>
        <w:t>7</w:t>
      </w:r>
      <w:r w:rsidR="00974286">
        <w:t>6</w:t>
      </w:r>
      <w:r>
        <w:t>.</w:t>
      </w:r>
      <w:r>
        <w:tab/>
      </w:r>
      <w:r w:rsidR="0090743C">
        <w:t xml:space="preserve">It </w:t>
      </w:r>
      <w:r w:rsidR="004D0EBF" w:rsidRPr="00905E92">
        <w:rPr>
          <w:rFonts w:asciiTheme="majorBidi" w:hAnsiTheme="majorBidi" w:cstheme="majorBidi"/>
        </w:rPr>
        <w:t xml:space="preserve">noted the update by the secretariat on the planning and implementation of </w:t>
      </w:r>
      <w:r w:rsidR="00A118E8">
        <w:rPr>
          <w:rFonts w:asciiTheme="majorBidi" w:hAnsiTheme="majorBidi" w:cstheme="majorBidi"/>
        </w:rPr>
        <w:t xml:space="preserve">the </w:t>
      </w:r>
      <w:r w:rsidR="004D0EBF" w:rsidRPr="00905E92">
        <w:rPr>
          <w:rFonts w:asciiTheme="majorBidi" w:hAnsiTheme="majorBidi" w:cstheme="majorBidi"/>
        </w:rPr>
        <w:t>EU4Environment-funded capacity-building activities, in</w:t>
      </w:r>
      <w:r w:rsidR="00A118E8">
        <w:rPr>
          <w:rFonts w:asciiTheme="majorBidi" w:hAnsiTheme="majorBidi" w:cstheme="majorBidi"/>
        </w:rPr>
        <w:t>cluding in</w:t>
      </w:r>
      <w:r w:rsidR="004D0EBF" w:rsidRPr="00905E92">
        <w:rPr>
          <w:rFonts w:asciiTheme="majorBidi" w:hAnsiTheme="majorBidi" w:cstheme="majorBidi"/>
        </w:rPr>
        <w:t xml:space="preserve"> particular</w:t>
      </w:r>
      <w:r w:rsidR="00A118E8">
        <w:rPr>
          <w:rFonts w:asciiTheme="majorBidi" w:hAnsiTheme="majorBidi" w:cstheme="majorBidi"/>
        </w:rPr>
        <w:t>:</w:t>
      </w:r>
    </w:p>
    <w:p w14:paraId="1246D09B" w14:textId="4EB43043" w:rsidR="00A118E8" w:rsidRDefault="00A118E8" w:rsidP="00D34597">
      <w:pPr>
        <w:pStyle w:val="SingleTxtG"/>
        <w:rPr>
          <w:rFonts w:asciiTheme="majorBidi" w:hAnsiTheme="majorBidi" w:cstheme="majorBidi"/>
        </w:rPr>
      </w:pPr>
      <w:r>
        <w:rPr>
          <w:rFonts w:asciiTheme="majorBidi" w:hAnsiTheme="majorBidi" w:cstheme="majorBidi"/>
        </w:rPr>
        <w:tab/>
      </w:r>
      <w:r w:rsidR="004D0EBF">
        <w:rPr>
          <w:rFonts w:asciiTheme="majorBidi" w:hAnsiTheme="majorBidi" w:cstheme="majorBidi"/>
        </w:rPr>
        <w:t>(a)</w:t>
      </w:r>
      <w:r>
        <w:rPr>
          <w:rFonts w:asciiTheme="majorBidi" w:hAnsiTheme="majorBidi" w:cstheme="majorBidi"/>
        </w:rPr>
        <w:tab/>
        <w:t>T</w:t>
      </w:r>
      <w:r w:rsidR="004D0EBF">
        <w:rPr>
          <w:rFonts w:asciiTheme="majorBidi" w:hAnsiTheme="majorBidi" w:cstheme="majorBidi"/>
        </w:rPr>
        <w:t>wo</w:t>
      </w:r>
      <w:r w:rsidR="004D0EBF" w:rsidRPr="00905E92">
        <w:rPr>
          <w:rFonts w:asciiTheme="majorBidi" w:hAnsiTheme="majorBidi" w:cstheme="majorBidi"/>
        </w:rPr>
        <w:t xml:space="preserve"> strategic environmental assessment </w:t>
      </w:r>
      <w:r w:rsidR="004D0EBF">
        <w:rPr>
          <w:rFonts w:asciiTheme="majorBidi" w:hAnsiTheme="majorBidi" w:cstheme="majorBidi"/>
        </w:rPr>
        <w:t>online training workshops for Ukraine with a focus on spatial planning and greening of the country’s post-war reconstruction in th</w:t>
      </w:r>
      <w:r w:rsidR="00A148B8">
        <w:rPr>
          <w:rFonts w:asciiTheme="majorBidi" w:hAnsiTheme="majorBidi" w:cstheme="majorBidi"/>
        </w:rPr>
        <w:t>at</w:t>
      </w:r>
      <w:r w:rsidR="004D0EBF">
        <w:rPr>
          <w:rFonts w:asciiTheme="majorBidi" w:hAnsiTheme="majorBidi" w:cstheme="majorBidi"/>
        </w:rPr>
        <w:t xml:space="preserve"> area that had been attended by over 500 participants in May 2023; </w:t>
      </w:r>
    </w:p>
    <w:p w14:paraId="16732320" w14:textId="71AC4A36" w:rsidR="00A118E8" w:rsidRDefault="00A118E8" w:rsidP="00D34597">
      <w:pPr>
        <w:pStyle w:val="SingleTxtG"/>
        <w:rPr>
          <w:rFonts w:asciiTheme="majorBidi" w:hAnsiTheme="majorBidi" w:cstheme="majorBidi"/>
        </w:rPr>
      </w:pPr>
      <w:r>
        <w:rPr>
          <w:rFonts w:asciiTheme="majorBidi" w:hAnsiTheme="majorBidi" w:cstheme="majorBidi"/>
        </w:rPr>
        <w:tab/>
      </w:r>
      <w:r w:rsidR="004D0EBF">
        <w:rPr>
          <w:rFonts w:asciiTheme="majorBidi" w:hAnsiTheme="majorBidi" w:cstheme="majorBidi"/>
        </w:rPr>
        <w:t>(b)</w:t>
      </w:r>
      <w:r>
        <w:rPr>
          <w:rFonts w:asciiTheme="majorBidi" w:hAnsiTheme="majorBidi" w:cstheme="majorBidi"/>
        </w:rPr>
        <w:tab/>
        <w:t>T</w:t>
      </w:r>
      <w:r w:rsidR="004D0EBF">
        <w:rPr>
          <w:rFonts w:asciiTheme="majorBidi" w:hAnsiTheme="majorBidi" w:cstheme="majorBidi"/>
        </w:rPr>
        <w:t xml:space="preserve">he planning of two strategic environmental assessment workshops for Armenia in </w:t>
      </w:r>
      <w:r w:rsidR="00A148B8">
        <w:rPr>
          <w:rFonts w:asciiTheme="majorBidi" w:hAnsiTheme="majorBidi" w:cstheme="majorBidi"/>
        </w:rPr>
        <w:t>the autumn of</w:t>
      </w:r>
      <w:r w:rsidR="004D0EBF">
        <w:rPr>
          <w:rFonts w:asciiTheme="majorBidi" w:hAnsiTheme="majorBidi" w:cstheme="majorBidi"/>
        </w:rPr>
        <w:t xml:space="preserve"> 2023; </w:t>
      </w:r>
    </w:p>
    <w:p w14:paraId="12753155" w14:textId="3A2BD3F5" w:rsidR="00A118E8" w:rsidRDefault="00A118E8" w:rsidP="00D34597">
      <w:pPr>
        <w:pStyle w:val="SingleTxtG"/>
        <w:rPr>
          <w:rFonts w:asciiTheme="majorBidi" w:hAnsiTheme="majorBidi" w:cstheme="majorBidi"/>
        </w:rPr>
      </w:pPr>
      <w:r>
        <w:rPr>
          <w:rFonts w:asciiTheme="majorBidi" w:hAnsiTheme="majorBidi" w:cstheme="majorBidi"/>
        </w:rPr>
        <w:tab/>
      </w:r>
      <w:r w:rsidR="004D0EBF">
        <w:rPr>
          <w:rFonts w:asciiTheme="majorBidi" w:hAnsiTheme="majorBidi" w:cstheme="majorBidi"/>
        </w:rPr>
        <w:t>(c)</w:t>
      </w:r>
      <w:r>
        <w:rPr>
          <w:rFonts w:asciiTheme="majorBidi" w:hAnsiTheme="majorBidi" w:cstheme="majorBidi"/>
        </w:rPr>
        <w:tab/>
        <w:t>T</w:t>
      </w:r>
      <w:r w:rsidR="004D0EBF">
        <w:rPr>
          <w:rFonts w:asciiTheme="majorBidi" w:hAnsiTheme="majorBidi" w:cstheme="majorBidi"/>
        </w:rPr>
        <w:t>he progress of the strategic environmental assessment projects in Azerbaijan and the Republic of Moldova</w:t>
      </w:r>
      <w:r w:rsidR="0090743C">
        <w:rPr>
          <w:rFonts w:asciiTheme="majorBidi" w:hAnsiTheme="majorBidi" w:cstheme="majorBidi"/>
        </w:rPr>
        <w:t>;</w:t>
      </w:r>
      <w:r w:rsidR="004D0EBF">
        <w:rPr>
          <w:rFonts w:asciiTheme="majorBidi" w:hAnsiTheme="majorBidi" w:cstheme="majorBidi"/>
        </w:rPr>
        <w:t xml:space="preserve"> </w:t>
      </w:r>
    </w:p>
    <w:p w14:paraId="1113C44C" w14:textId="3A05979C" w:rsidR="00EC34B0" w:rsidRDefault="00A118E8" w:rsidP="00D34597">
      <w:pPr>
        <w:pStyle w:val="SingleTxtG"/>
        <w:rPr>
          <w:rFonts w:asciiTheme="majorBidi" w:hAnsiTheme="majorBidi" w:cstheme="majorBidi"/>
        </w:rPr>
      </w:pPr>
      <w:r>
        <w:rPr>
          <w:rFonts w:asciiTheme="majorBidi" w:hAnsiTheme="majorBidi" w:cstheme="majorBidi"/>
        </w:rPr>
        <w:tab/>
      </w:r>
      <w:r w:rsidR="004D0EBF">
        <w:rPr>
          <w:rFonts w:asciiTheme="majorBidi" w:hAnsiTheme="majorBidi" w:cstheme="majorBidi"/>
        </w:rPr>
        <w:t>(d)</w:t>
      </w:r>
      <w:r>
        <w:rPr>
          <w:rFonts w:asciiTheme="majorBidi" w:hAnsiTheme="majorBidi" w:cstheme="majorBidi"/>
        </w:rPr>
        <w:tab/>
        <w:t>T</w:t>
      </w:r>
      <w:r w:rsidR="004D0EBF">
        <w:rPr>
          <w:rFonts w:asciiTheme="majorBidi" w:hAnsiTheme="majorBidi" w:cstheme="majorBidi"/>
        </w:rPr>
        <w:t>he ongoing development of a</w:t>
      </w:r>
      <w:r>
        <w:rPr>
          <w:rFonts w:asciiTheme="majorBidi" w:hAnsiTheme="majorBidi" w:cstheme="majorBidi"/>
        </w:rPr>
        <w:t xml:space="preserve"> strategic environmental assessment </w:t>
      </w:r>
      <w:r w:rsidR="004D0EBF">
        <w:rPr>
          <w:rFonts w:asciiTheme="majorBidi" w:hAnsiTheme="majorBidi" w:cstheme="majorBidi"/>
        </w:rPr>
        <w:t>database model</w:t>
      </w:r>
      <w:r>
        <w:rPr>
          <w:rFonts w:asciiTheme="majorBidi" w:hAnsiTheme="majorBidi" w:cstheme="majorBidi"/>
        </w:rPr>
        <w:t xml:space="preserve">, including based on </w:t>
      </w:r>
      <w:r w:rsidR="0090743C">
        <w:rPr>
          <w:rFonts w:asciiTheme="majorBidi" w:hAnsiTheme="majorBidi" w:cstheme="majorBidi"/>
        </w:rPr>
        <w:t>responses b</w:t>
      </w:r>
      <w:r>
        <w:rPr>
          <w:rFonts w:asciiTheme="majorBidi" w:hAnsiTheme="majorBidi" w:cstheme="majorBidi"/>
        </w:rPr>
        <w:t>y th</w:t>
      </w:r>
      <w:r w:rsidR="004D0EBF">
        <w:rPr>
          <w:rFonts w:asciiTheme="majorBidi" w:hAnsiTheme="majorBidi" w:cstheme="majorBidi"/>
        </w:rPr>
        <w:t>e beneficiary countries</w:t>
      </w:r>
      <w:r>
        <w:rPr>
          <w:rFonts w:asciiTheme="majorBidi" w:hAnsiTheme="majorBidi" w:cstheme="majorBidi"/>
        </w:rPr>
        <w:t xml:space="preserve"> </w:t>
      </w:r>
      <w:r w:rsidR="0090743C">
        <w:rPr>
          <w:rFonts w:asciiTheme="majorBidi" w:hAnsiTheme="majorBidi" w:cstheme="majorBidi"/>
        </w:rPr>
        <w:t>to r</w:t>
      </w:r>
      <w:r w:rsidR="004D0EBF">
        <w:rPr>
          <w:rFonts w:asciiTheme="majorBidi" w:hAnsiTheme="majorBidi" w:cstheme="majorBidi"/>
        </w:rPr>
        <w:t>elated questionnaires.</w:t>
      </w:r>
    </w:p>
    <w:p w14:paraId="05925855" w14:textId="1900A565" w:rsidR="00F86543" w:rsidRDefault="00F86543" w:rsidP="00D34597">
      <w:pPr>
        <w:pStyle w:val="SingleTxtG"/>
      </w:pPr>
      <w:r>
        <w:t>7</w:t>
      </w:r>
      <w:r w:rsidR="00974286">
        <w:t>7</w:t>
      </w:r>
      <w:r>
        <w:t>.</w:t>
      </w:r>
      <w:r>
        <w:tab/>
      </w:r>
      <w:r w:rsidR="005D66BC">
        <w:rPr>
          <w:rFonts w:asciiTheme="majorBidi" w:hAnsiTheme="majorBidi" w:cstheme="majorBidi"/>
        </w:rPr>
        <w:t xml:space="preserve">The Working Group </w:t>
      </w:r>
      <w:r w:rsidR="002F371C">
        <w:rPr>
          <w:rFonts w:asciiTheme="majorBidi" w:hAnsiTheme="majorBidi" w:cstheme="majorBidi"/>
        </w:rPr>
        <w:t xml:space="preserve">also took note of the </w:t>
      </w:r>
      <w:r w:rsidR="002F371C" w:rsidRPr="00905E92">
        <w:rPr>
          <w:rFonts w:asciiTheme="majorBidi" w:hAnsiTheme="majorBidi" w:cstheme="majorBidi"/>
        </w:rPr>
        <w:t>information on the pilot project</w:t>
      </w:r>
      <w:r w:rsidR="002F371C">
        <w:rPr>
          <w:rFonts w:asciiTheme="majorBidi" w:hAnsiTheme="majorBidi" w:cstheme="majorBidi"/>
        </w:rPr>
        <w:t xml:space="preserve">, including the planning of two back-to-back public consultation and awareness-raising events in </w:t>
      </w:r>
      <w:proofErr w:type="spellStart"/>
      <w:r w:rsidR="002F371C">
        <w:rPr>
          <w:rFonts w:asciiTheme="majorBidi" w:hAnsiTheme="majorBidi" w:cstheme="majorBidi"/>
        </w:rPr>
        <w:t>Ganja</w:t>
      </w:r>
      <w:proofErr w:type="spellEnd"/>
      <w:r w:rsidR="00A148B8">
        <w:rPr>
          <w:rFonts w:asciiTheme="majorBidi" w:hAnsiTheme="majorBidi" w:cstheme="majorBidi"/>
        </w:rPr>
        <w:t>, Azerbaijan,</w:t>
      </w:r>
      <w:r w:rsidR="002F371C">
        <w:rPr>
          <w:rFonts w:asciiTheme="majorBidi" w:hAnsiTheme="majorBidi" w:cstheme="majorBidi"/>
        </w:rPr>
        <w:t xml:space="preserve"> in September 2023, </w:t>
      </w:r>
      <w:r w:rsidR="002F371C" w:rsidRPr="00905E92">
        <w:rPr>
          <w:rFonts w:asciiTheme="majorBidi" w:hAnsiTheme="majorBidi" w:cstheme="majorBidi"/>
        </w:rPr>
        <w:t>provided by the delegation of Azerbaijan</w:t>
      </w:r>
      <w:r w:rsidR="00A148B8">
        <w:rPr>
          <w:rFonts w:asciiTheme="majorBidi" w:hAnsiTheme="majorBidi" w:cstheme="majorBidi"/>
        </w:rPr>
        <w:t>,</w:t>
      </w:r>
      <w:r w:rsidR="002F371C">
        <w:rPr>
          <w:rFonts w:asciiTheme="majorBidi" w:hAnsiTheme="majorBidi" w:cstheme="majorBidi"/>
        </w:rPr>
        <w:t xml:space="preserve"> and the update about the guidelines on quality control of strategic environmental assessment and environmental impact assessment documentation, including a</w:t>
      </w:r>
      <w:r w:rsidR="00480239">
        <w:rPr>
          <w:rFonts w:asciiTheme="majorBidi" w:hAnsiTheme="majorBidi" w:cstheme="majorBidi"/>
        </w:rPr>
        <w:t>n online</w:t>
      </w:r>
      <w:r w:rsidR="002F371C">
        <w:rPr>
          <w:rFonts w:asciiTheme="majorBidi" w:hAnsiTheme="majorBidi" w:cstheme="majorBidi"/>
        </w:rPr>
        <w:t xml:space="preserve"> workshop on quality control</w:t>
      </w:r>
      <w:r w:rsidR="00480239">
        <w:rPr>
          <w:rFonts w:asciiTheme="majorBidi" w:hAnsiTheme="majorBidi" w:cstheme="majorBidi"/>
        </w:rPr>
        <w:t xml:space="preserve"> held</w:t>
      </w:r>
      <w:r w:rsidR="002F371C">
        <w:rPr>
          <w:rFonts w:asciiTheme="majorBidi" w:hAnsiTheme="majorBidi" w:cstheme="majorBidi"/>
        </w:rPr>
        <w:t xml:space="preserve"> </w:t>
      </w:r>
      <w:r w:rsidR="00480239">
        <w:rPr>
          <w:rFonts w:asciiTheme="majorBidi" w:hAnsiTheme="majorBidi" w:cstheme="majorBidi"/>
        </w:rPr>
        <w:t>o</w:t>
      </w:r>
      <w:r w:rsidR="002F371C">
        <w:rPr>
          <w:rFonts w:asciiTheme="majorBidi" w:hAnsiTheme="majorBidi" w:cstheme="majorBidi"/>
        </w:rPr>
        <w:t xml:space="preserve">n </w:t>
      </w:r>
      <w:r w:rsidR="00480239">
        <w:rPr>
          <w:rFonts w:asciiTheme="majorBidi" w:hAnsiTheme="majorBidi" w:cstheme="majorBidi"/>
        </w:rPr>
        <w:t xml:space="preserve">24 </w:t>
      </w:r>
      <w:r w:rsidR="002F371C">
        <w:rPr>
          <w:rFonts w:asciiTheme="majorBidi" w:hAnsiTheme="majorBidi" w:cstheme="majorBidi"/>
        </w:rPr>
        <w:t>May 2023, from the delegation of the Republic of Moldova.</w:t>
      </w:r>
    </w:p>
    <w:p w14:paraId="14287B4C" w14:textId="48D5D9F9" w:rsidR="00096E98" w:rsidRDefault="00D34597" w:rsidP="00096E98">
      <w:pPr>
        <w:pStyle w:val="SingleTxtG"/>
      </w:pPr>
      <w:r>
        <w:t>7</w:t>
      </w:r>
      <w:r w:rsidR="00974286">
        <w:t>8</w:t>
      </w:r>
      <w:r>
        <w:t>.</w:t>
      </w:r>
      <w:r>
        <w:tab/>
      </w:r>
      <w:r w:rsidRPr="00096E98">
        <w:t>The Working Group</w:t>
      </w:r>
      <w:r>
        <w:t xml:space="preserve"> </w:t>
      </w:r>
      <w:r w:rsidR="0090743C">
        <w:t xml:space="preserve">also </w:t>
      </w:r>
      <w:r>
        <w:t>n</w:t>
      </w:r>
      <w:r w:rsidR="00096E98">
        <w:t xml:space="preserve">oted the written </w:t>
      </w:r>
      <w:r w:rsidR="005D66BC">
        <w:t xml:space="preserve">update </w:t>
      </w:r>
      <w:r w:rsidR="00096E98">
        <w:t xml:space="preserve">of </w:t>
      </w:r>
      <w:r w:rsidR="00A148B8">
        <w:t>the Organization for Security and Cooperation in Europe</w:t>
      </w:r>
      <w:r w:rsidR="00096E98">
        <w:t xml:space="preserve"> on its planned follow-up activities to </w:t>
      </w:r>
      <w:r w:rsidR="00A148B8">
        <w:t>its</w:t>
      </w:r>
      <w:r w:rsidR="00096E98">
        <w:t xml:space="preserve"> joint project</w:t>
      </w:r>
      <w:r w:rsidR="00A148B8">
        <w:t xml:space="preserve"> with ECE</w:t>
      </w:r>
      <w:r w:rsidR="00096E98">
        <w:t xml:space="preserve"> (2019</w:t>
      </w:r>
      <w:r w:rsidR="0090743C">
        <w:t>–</w:t>
      </w:r>
      <w:r w:rsidR="00096E98">
        <w:t>2021) in Central Asia</w:t>
      </w:r>
      <w:r w:rsidR="0090743C">
        <w:t xml:space="preserve">, which aimed to </w:t>
      </w:r>
      <w:r w:rsidR="005D66BC">
        <w:t xml:space="preserve">further </w:t>
      </w:r>
      <w:r w:rsidR="0090743C">
        <w:t xml:space="preserve">enhance competencies of key institutions for finalizing countries’ legal reforms on strategic environmental assessment and </w:t>
      </w:r>
      <w:r w:rsidR="005D66BC">
        <w:t xml:space="preserve">to enhance </w:t>
      </w:r>
      <w:r w:rsidR="0090743C">
        <w:t>capacities of key stakeholders to conduct strategic environmental assessment.</w:t>
      </w:r>
    </w:p>
    <w:p w14:paraId="3BD67034" w14:textId="10068555" w:rsidR="00B554D8" w:rsidRPr="00F1146D" w:rsidRDefault="005D66BC" w:rsidP="00933DBA">
      <w:pPr>
        <w:pStyle w:val="SingleTxtG"/>
      </w:pPr>
      <w:r>
        <w:t>7</w:t>
      </w:r>
      <w:r w:rsidR="00974286">
        <w:t>9</w:t>
      </w:r>
      <w:r w:rsidR="00D34597">
        <w:t>.</w:t>
      </w:r>
      <w:r w:rsidR="00D34597">
        <w:tab/>
      </w:r>
      <w:r w:rsidR="004E5ECC">
        <w:t>T</w:t>
      </w:r>
      <w:r w:rsidR="00096E98">
        <w:t>he</w:t>
      </w:r>
      <w:r w:rsidR="0090743C">
        <w:t xml:space="preserve"> representative of</w:t>
      </w:r>
      <w:r w:rsidR="00096E98">
        <w:t xml:space="preserve"> IAIA</w:t>
      </w:r>
      <w:r w:rsidR="004E5ECC">
        <w:t xml:space="preserve"> reported</w:t>
      </w:r>
      <w:r w:rsidR="00096E98">
        <w:t xml:space="preserve"> on </w:t>
      </w:r>
      <w:r w:rsidR="007E306A">
        <w:t>the</w:t>
      </w:r>
      <w:r w:rsidR="00096E98">
        <w:t xml:space="preserve"> preparation of two-page informal pamphlets, or “</w:t>
      </w:r>
      <w:proofErr w:type="spellStart"/>
      <w:r w:rsidR="00096E98">
        <w:t>FasTips</w:t>
      </w:r>
      <w:proofErr w:type="spellEnd"/>
      <w:r w:rsidR="00096E98">
        <w:t>”</w:t>
      </w:r>
      <w:r w:rsidR="000022A5">
        <w:t>,</w:t>
      </w:r>
      <w:r w:rsidR="00096E98">
        <w:t xml:space="preserve"> on key issues in </w:t>
      </w:r>
      <w:r w:rsidR="0090743C">
        <w:t>strategic environmental assessment p</w:t>
      </w:r>
      <w:r w:rsidR="00096E98">
        <w:t>ractice</w:t>
      </w:r>
      <w:r w:rsidR="004E5ECC">
        <w:t>.</w:t>
      </w:r>
      <w:r w:rsidR="004E5ECC">
        <w:rPr>
          <w:rStyle w:val="FootnoteReference"/>
        </w:rPr>
        <w:footnoteReference w:id="20"/>
      </w:r>
      <w:r w:rsidR="0090743C">
        <w:t xml:space="preserve"> </w:t>
      </w:r>
      <w:r w:rsidR="004E5ECC">
        <w:t xml:space="preserve">Thus far, </w:t>
      </w:r>
      <w:r w:rsidR="007E306A">
        <w:t xml:space="preserve">IAIA had issued </w:t>
      </w:r>
      <w:r w:rsidR="00096E98">
        <w:t xml:space="preserve">27 </w:t>
      </w:r>
      <w:r w:rsidR="00480239">
        <w:t>such pamphlets</w:t>
      </w:r>
      <w:r w:rsidR="004E5ECC">
        <w:t xml:space="preserve">, with </w:t>
      </w:r>
      <w:r w:rsidR="0090743C">
        <w:t xml:space="preserve">the </w:t>
      </w:r>
      <w:r w:rsidR="004E5ECC">
        <w:t>4</w:t>
      </w:r>
      <w:r w:rsidR="00B30658">
        <w:t xml:space="preserve"> most recent</w:t>
      </w:r>
      <w:r w:rsidR="004E5ECC">
        <w:t xml:space="preserve"> ones from 2023</w:t>
      </w:r>
      <w:r w:rsidR="00B30658">
        <w:t xml:space="preserve"> concern</w:t>
      </w:r>
      <w:r w:rsidR="007E306A">
        <w:t>ing</w:t>
      </w:r>
      <w:r>
        <w:t>:</w:t>
      </w:r>
      <w:r w:rsidR="00B30658">
        <w:t xml:space="preserve"> food security</w:t>
      </w:r>
      <w:r w:rsidR="004E5ECC">
        <w:t xml:space="preserve"> in impact assessment; </w:t>
      </w:r>
      <w:r w:rsidR="00135DBE">
        <w:t xml:space="preserve">compliance </w:t>
      </w:r>
      <w:r w:rsidR="00ED0F48">
        <w:t xml:space="preserve">and </w:t>
      </w:r>
      <w:r w:rsidR="00135DBE">
        <w:t>enforcement</w:t>
      </w:r>
      <w:r w:rsidR="004E5ECC">
        <w:t xml:space="preserve">; </w:t>
      </w:r>
      <w:r w:rsidR="00135DBE">
        <w:t xml:space="preserve">human rights </w:t>
      </w:r>
      <w:r w:rsidR="004E5ECC">
        <w:t xml:space="preserve">in </w:t>
      </w:r>
      <w:r w:rsidR="00135DBE">
        <w:t>impact assessme</w:t>
      </w:r>
      <w:r w:rsidR="004E5ECC">
        <w:t>n</w:t>
      </w:r>
      <w:r w:rsidR="00135DBE">
        <w:t>t</w:t>
      </w:r>
      <w:r w:rsidR="004E5ECC">
        <w:t>;</w:t>
      </w:r>
      <w:r w:rsidR="00135DBE">
        <w:t xml:space="preserve"> and psychosocial impact assessment. </w:t>
      </w:r>
      <w:r w:rsidR="007E306A">
        <w:t>She also</w:t>
      </w:r>
      <w:r w:rsidR="002A0186">
        <w:t xml:space="preserve"> informed the Working Group</w:t>
      </w:r>
      <w:r w:rsidR="009477EC">
        <w:t xml:space="preserve"> </w:t>
      </w:r>
      <w:r w:rsidR="000022A5">
        <w:t>about</w:t>
      </w:r>
      <w:r w:rsidR="008A3DDB">
        <w:t xml:space="preserve"> the </w:t>
      </w:r>
      <w:r w:rsidR="000022A5">
        <w:t>forty-thi</w:t>
      </w:r>
      <w:r w:rsidR="009477EC" w:rsidRPr="009477EC">
        <w:t xml:space="preserve">rd </w:t>
      </w:r>
      <w:r w:rsidR="007E306A">
        <w:t>a</w:t>
      </w:r>
      <w:r w:rsidR="009477EC" w:rsidRPr="009477EC">
        <w:t xml:space="preserve">nnual </w:t>
      </w:r>
      <w:r w:rsidR="007E306A">
        <w:t>c</w:t>
      </w:r>
      <w:r w:rsidR="009477EC" w:rsidRPr="009477EC">
        <w:t xml:space="preserve">onference of </w:t>
      </w:r>
      <w:r w:rsidR="007E306A">
        <w:t xml:space="preserve">IAIA, </w:t>
      </w:r>
      <w:r w:rsidR="000022A5">
        <w:t>on</w:t>
      </w:r>
      <w:r w:rsidR="007E306A">
        <w:t xml:space="preserve"> “Impact Assessment for a Just Transformation” </w:t>
      </w:r>
      <w:r w:rsidR="000022A5">
        <w:t>(</w:t>
      </w:r>
      <w:r w:rsidR="00096E98">
        <w:t>Dublin</w:t>
      </w:r>
      <w:r w:rsidR="000022A5">
        <w:t xml:space="preserve">, </w:t>
      </w:r>
      <w:r w:rsidR="00096E98">
        <w:t>24</w:t>
      </w:r>
      <w:r w:rsidR="000022A5">
        <w:t>–</w:t>
      </w:r>
      <w:r w:rsidR="00096E98">
        <w:t>27 April 2024</w:t>
      </w:r>
      <w:r w:rsidR="000022A5">
        <w:t>)</w:t>
      </w:r>
      <w:r w:rsidR="007E306A">
        <w:t>,</w:t>
      </w:r>
      <w:r w:rsidR="007E306A">
        <w:rPr>
          <w:rStyle w:val="FootnoteReference"/>
        </w:rPr>
        <w:footnoteReference w:id="21"/>
      </w:r>
      <w:r w:rsidR="003F1317">
        <w:t xml:space="preserve"> encourag</w:t>
      </w:r>
      <w:r w:rsidR="009E5B1A">
        <w:t>ing</w:t>
      </w:r>
      <w:r w:rsidR="003F1317">
        <w:t xml:space="preserve"> the </w:t>
      </w:r>
      <w:r w:rsidR="004803CF">
        <w:t>delegations</w:t>
      </w:r>
      <w:r w:rsidR="003F1317">
        <w:t xml:space="preserve"> to attend</w:t>
      </w:r>
      <w:r w:rsidR="00096E98">
        <w:t>.</w:t>
      </w:r>
      <w:r w:rsidR="007E306A">
        <w:t xml:space="preserve"> The Working Group took note of the information.</w:t>
      </w:r>
    </w:p>
    <w:p w14:paraId="6A43F17B" w14:textId="4E215548" w:rsidR="00B554D8" w:rsidRPr="00B554D8" w:rsidRDefault="00B554D8" w:rsidP="00CE2B86">
      <w:pPr>
        <w:pStyle w:val="HChG"/>
      </w:pPr>
      <w:r w:rsidRPr="00B554D8">
        <w:tab/>
        <w:t>VI</w:t>
      </w:r>
      <w:r w:rsidR="00433959">
        <w:t>I</w:t>
      </w:r>
      <w:r w:rsidRPr="00B554D8">
        <w:t>.</w:t>
      </w:r>
      <w:r w:rsidRPr="00B554D8">
        <w:tab/>
      </w:r>
      <w:r w:rsidRPr="00B554D8">
        <w:tab/>
        <w:t>Management, coordination and visibility of intersessional activities</w:t>
      </w:r>
    </w:p>
    <w:p w14:paraId="139B30ED" w14:textId="2EF28886" w:rsidR="00CA08F3" w:rsidRDefault="00974286" w:rsidP="009E5B1A">
      <w:pPr>
        <w:pStyle w:val="SingleTxtG"/>
      </w:pPr>
      <w:r>
        <w:t>80</w:t>
      </w:r>
      <w:r w:rsidR="00B554D8" w:rsidRPr="00D34597">
        <w:t>.</w:t>
      </w:r>
      <w:r w:rsidR="00B554D8" w:rsidRPr="00D34597">
        <w:tab/>
      </w:r>
      <w:r w:rsidR="00D34597" w:rsidRPr="00D34597">
        <w:t>Th</w:t>
      </w:r>
      <w:r w:rsidR="00D34597" w:rsidRPr="00096E98">
        <w:t>e Working Group</w:t>
      </w:r>
      <w:r w:rsidR="00D34597">
        <w:t xml:space="preserve"> considered the </w:t>
      </w:r>
      <w:r w:rsidR="00353259">
        <w:t xml:space="preserve">amendment </w:t>
      </w:r>
      <w:r w:rsidR="00D34597">
        <w:t>propos</w:t>
      </w:r>
      <w:r w:rsidR="00353259">
        <w:t>als by</w:t>
      </w:r>
      <w:r w:rsidR="00D34597">
        <w:t xml:space="preserve"> the E</w:t>
      </w:r>
      <w:r w:rsidR="009E5B1A">
        <w:t xml:space="preserve">uropean Union </w:t>
      </w:r>
      <w:r w:rsidR="00D34597">
        <w:t xml:space="preserve">and its member States </w:t>
      </w:r>
      <w:r w:rsidR="00353259">
        <w:t xml:space="preserve">to </w:t>
      </w:r>
      <w:r w:rsidR="00D34597">
        <w:t xml:space="preserve">the informal note </w:t>
      </w:r>
      <w:r w:rsidR="00353259">
        <w:t xml:space="preserve">from 2020 </w:t>
      </w:r>
      <w:r w:rsidR="00D34597">
        <w:t>on procedural matters of relevance to meetings with remote participation due to extraordinary circumstances</w:t>
      </w:r>
      <w:r w:rsidR="00353259">
        <w:t>, which the Bureau</w:t>
      </w:r>
      <w:r w:rsidR="00353259" w:rsidRPr="007211C0">
        <w:rPr>
          <w:lang w:eastAsia="en-US"/>
        </w:rPr>
        <w:t xml:space="preserve"> </w:t>
      </w:r>
      <w:r w:rsidR="00353259">
        <w:rPr>
          <w:lang w:eastAsia="en-US"/>
        </w:rPr>
        <w:t xml:space="preserve">had agreed on at its meeting in February 2023 </w:t>
      </w:r>
      <w:r w:rsidR="009E5B1A" w:rsidRPr="007211C0">
        <w:rPr>
          <w:lang w:eastAsia="en-US"/>
        </w:rPr>
        <w:t>(ECE/MP.EIA/WG.2/2023/INF.11)</w:t>
      </w:r>
      <w:r w:rsidR="009E5B1A">
        <w:t>.</w:t>
      </w:r>
    </w:p>
    <w:p w14:paraId="441BAEBA" w14:textId="4E382BB6" w:rsidR="00D34597" w:rsidRDefault="00974286" w:rsidP="00CA08F3">
      <w:pPr>
        <w:pStyle w:val="SingleTxtG"/>
      </w:pPr>
      <w:r>
        <w:t>81</w:t>
      </w:r>
      <w:r w:rsidR="00CA08F3">
        <w:t>.</w:t>
      </w:r>
      <w:r w:rsidR="00CA08F3">
        <w:tab/>
        <w:t xml:space="preserve">The Working Group </w:t>
      </w:r>
      <w:r w:rsidR="00D34597">
        <w:t>agreed on the revised version of the note</w:t>
      </w:r>
      <w:r w:rsidR="009E5B1A">
        <w:t xml:space="preserve">, as presented in the informal document for </w:t>
      </w:r>
      <w:r w:rsidR="005D66BC">
        <w:t xml:space="preserve">its </w:t>
      </w:r>
      <w:r w:rsidR="009E5B1A">
        <w:t>meeting,</w:t>
      </w:r>
      <w:r w:rsidR="00D34597">
        <w:t xml:space="preserve"> and recommended to the Meetings of the Parties that said version be applied, </w:t>
      </w:r>
      <w:r w:rsidR="00885738">
        <w:t>and</w:t>
      </w:r>
      <w:r w:rsidR="005D66BC">
        <w:t>,</w:t>
      </w:r>
      <w:r w:rsidR="00D34597">
        <w:t xml:space="preserve"> as needed, further adapted, should the extraordinary circumstances arise again.</w:t>
      </w:r>
      <w:r w:rsidR="00CA08F3">
        <w:t xml:space="preserve"> It </w:t>
      </w:r>
      <w:r w:rsidR="00885738">
        <w:t>c</w:t>
      </w:r>
      <w:r w:rsidR="00D34597">
        <w:t xml:space="preserve">larified that </w:t>
      </w:r>
      <w:r w:rsidR="00480239">
        <w:t>said</w:t>
      </w:r>
      <w:r w:rsidR="00D34597">
        <w:t xml:space="preserve"> procedural note would not be tabled or </w:t>
      </w:r>
      <w:r w:rsidR="005D66BC">
        <w:t xml:space="preserve">be </w:t>
      </w:r>
      <w:r w:rsidR="00D34597">
        <w:t>relevant for the next</w:t>
      </w:r>
      <w:r w:rsidR="009E5B1A">
        <w:t xml:space="preserve"> </w:t>
      </w:r>
      <w:r w:rsidR="00D34597">
        <w:t>sessions</w:t>
      </w:r>
      <w:r w:rsidR="009E5B1A">
        <w:t xml:space="preserve"> of the Meetings of the Parties</w:t>
      </w:r>
      <w:r w:rsidR="0009727B">
        <w:t xml:space="preserve">, </w:t>
      </w:r>
      <w:r w:rsidR="0009727B" w:rsidRPr="0009727B">
        <w:t>which would take place in-person and in accordance with the rules of procedure as adopted, and subsequently amended, by the Meetings of the Parties.</w:t>
      </w:r>
      <w:r w:rsidR="009E5B1A">
        <w:rPr>
          <w:rStyle w:val="FootnoteReference"/>
        </w:rPr>
        <w:footnoteReference w:id="22"/>
      </w:r>
      <w:r w:rsidR="0009727B">
        <w:t xml:space="preserve"> </w:t>
      </w:r>
    </w:p>
    <w:p w14:paraId="03A98DE1" w14:textId="61832769" w:rsidR="00B554D8" w:rsidRPr="00FE4B55" w:rsidRDefault="00885738" w:rsidP="009E5B1A">
      <w:pPr>
        <w:pStyle w:val="SingleTxtG"/>
        <w:rPr>
          <w:highlight w:val="yellow"/>
        </w:rPr>
      </w:pPr>
      <w:r>
        <w:t>8</w:t>
      </w:r>
      <w:r w:rsidR="00974286">
        <w:t>2</w:t>
      </w:r>
      <w:r>
        <w:t>.</w:t>
      </w:r>
      <w:r>
        <w:tab/>
      </w:r>
      <w:r w:rsidRPr="00096E98">
        <w:t>The Working Group</w:t>
      </w:r>
      <w:r>
        <w:t xml:space="preserve"> a</w:t>
      </w:r>
      <w:r w:rsidR="00D34597">
        <w:t>greed with the Bureau that any broader revision</w:t>
      </w:r>
      <w:r w:rsidR="00CA08F3">
        <w:t xml:space="preserve"> proposal</w:t>
      </w:r>
      <w:r w:rsidR="00D34597">
        <w:t xml:space="preserve"> concerning the format of the </w:t>
      </w:r>
      <w:r w:rsidR="00CA08F3">
        <w:t xml:space="preserve">sessions of </w:t>
      </w:r>
      <w:r w:rsidR="004052FF">
        <w:t xml:space="preserve">the </w:t>
      </w:r>
      <w:r w:rsidR="00D34597">
        <w:t>M</w:t>
      </w:r>
      <w:r w:rsidR="00CA08F3">
        <w:t xml:space="preserve">eetings of the Parties or </w:t>
      </w:r>
      <w:r w:rsidR="00D34597">
        <w:t xml:space="preserve">their subsidiary bodies, or any other procedural aspects of their functioning would require a </w:t>
      </w:r>
      <w:r w:rsidR="00BE1640">
        <w:t>specific ma</w:t>
      </w:r>
      <w:r w:rsidR="00D34597">
        <w:t>ndate from the M</w:t>
      </w:r>
      <w:r w:rsidR="00CA08F3">
        <w:t xml:space="preserve">eetings of the Parties </w:t>
      </w:r>
      <w:r w:rsidR="00D34597">
        <w:t>to revise the applicable rules of procedure</w:t>
      </w:r>
      <w:r w:rsidR="004052FF">
        <w:t>,</w:t>
      </w:r>
      <w:r w:rsidR="00D34597">
        <w:t xml:space="preserve"> a</w:t>
      </w:r>
      <w:r w:rsidR="00BE1640">
        <w:t>s well as</w:t>
      </w:r>
      <w:r w:rsidR="00D34597">
        <w:t xml:space="preserve"> additional financial and staffing resources</w:t>
      </w:r>
      <w:r>
        <w:t>.</w:t>
      </w:r>
    </w:p>
    <w:p w14:paraId="1BC2FAF7" w14:textId="1173F8F1" w:rsidR="00B554D8" w:rsidRPr="00B554D8" w:rsidRDefault="00B554D8" w:rsidP="00BB11F2">
      <w:pPr>
        <w:pStyle w:val="HChG"/>
      </w:pPr>
      <w:r w:rsidRPr="00B554D8">
        <w:tab/>
        <w:t>VIII.</w:t>
      </w:r>
      <w:r w:rsidRPr="00B554D8">
        <w:tab/>
      </w:r>
      <w:r w:rsidR="00FC0625">
        <w:t>R</w:t>
      </w:r>
      <w:r w:rsidRPr="00B554D8">
        <w:t xml:space="preserve">elated </w:t>
      </w:r>
      <w:r w:rsidR="00091F9F" w:rsidRPr="00BB11F2">
        <w:t>events</w:t>
      </w:r>
    </w:p>
    <w:p w14:paraId="232B2171" w14:textId="718EF513" w:rsidR="009D0C1A" w:rsidRDefault="00885738" w:rsidP="00AA7DE3">
      <w:pPr>
        <w:pStyle w:val="SingleTxtG"/>
      </w:pPr>
      <w:r w:rsidRPr="00E90A7A">
        <w:t>8</w:t>
      </w:r>
      <w:r w:rsidR="00974286">
        <w:t>3</w:t>
      </w:r>
      <w:r w:rsidR="00B554D8" w:rsidRPr="00E90A7A">
        <w:t>.</w:t>
      </w:r>
      <w:r w:rsidR="00B554D8" w:rsidRPr="00E90A7A">
        <w:tab/>
        <w:t xml:space="preserve">The </w:t>
      </w:r>
      <w:r w:rsidR="00E90A7A" w:rsidRPr="00E90A7A">
        <w:t xml:space="preserve">representative of WHO </w:t>
      </w:r>
      <w:r w:rsidR="00E90A7A">
        <w:t xml:space="preserve">informed the meeting </w:t>
      </w:r>
      <w:r w:rsidR="00BE1640">
        <w:t>about</w:t>
      </w:r>
      <w:r w:rsidRPr="00E90A7A">
        <w:t xml:space="preserve"> the </w:t>
      </w:r>
      <w:r w:rsidR="00E90A7A" w:rsidRPr="00E90A7A">
        <w:t>p</w:t>
      </w:r>
      <w:r w:rsidRPr="00E90A7A">
        <w:t>reparations and expected outcomes of the Seventh Ministerial Conference on Environment and Health (Budapest, 5–7 July 2023)</w:t>
      </w:r>
      <w:r w:rsidR="005547BC" w:rsidRPr="00E90A7A">
        <w:t>,</w:t>
      </w:r>
      <w:r w:rsidR="00B07021">
        <w:rPr>
          <w:rStyle w:val="FootnoteReference"/>
        </w:rPr>
        <w:footnoteReference w:id="23"/>
      </w:r>
      <w:r w:rsidR="005547BC" w:rsidRPr="00E90A7A">
        <w:t xml:space="preserve"> convened by the WHO Regional Office for Europe in close collaboration with </w:t>
      </w:r>
      <w:r w:rsidR="00E90A7A">
        <w:t xml:space="preserve">ECE and </w:t>
      </w:r>
      <w:r w:rsidR="005547BC" w:rsidRPr="00E90A7A">
        <w:t>the United Nations Environment Programme and hosted by the Government of Hungary</w:t>
      </w:r>
      <w:r w:rsidR="00665DD4" w:rsidRPr="00E90A7A">
        <w:t>.</w:t>
      </w:r>
      <w:r w:rsidR="00725029" w:rsidRPr="00E90A7A">
        <w:t xml:space="preserve"> </w:t>
      </w:r>
      <w:r w:rsidR="00BE1640">
        <w:t xml:space="preserve">She </w:t>
      </w:r>
      <w:r w:rsidR="00D82601" w:rsidRPr="00E90A7A">
        <w:t xml:space="preserve">reported that the </w:t>
      </w:r>
      <w:r w:rsidR="00E90A7A">
        <w:t xml:space="preserve">Conference would </w:t>
      </w:r>
      <w:r w:rsidR="00D82601" w:rsidRPr="00BE5ACD">
        <w:t xml:space="preserve">culminate in the adoption of a negotiated ministerial declaration </w:t>
      </w:r>
      <w:r w:rsidR="00BE5ACD" w:rsidRPr="00BE5ACD">
        <w:t>(the Budapest declaration)</w:t>
      </w:r>
      <w:r w:rsidR="00BE1640">
        <w:t xml:space="preserve"> with</w:t>
      </w:r>
      <w:r w:rsidR="00D82601" w:rsidRPr="00BE5ACD">
        <w:t xml:space="preserve"> concrete commitments</w:t>
      </w:r>
      <w:r w:rsidR="00B07021">
        <w:t xml:space="preserve"> by</w:t>
      </w:r>
      <w:r w:rsidR="00B07021" w:rsidRPr="00B07021">
        <w:t xml:space="preserve"> </w:t>
      </w:r>
      <w:r w:rsidR="00B07021">
        <w:t>ministers of environment and ministers of health</w:t>
      </w:r>
      <w:r w:rsidR="00D82601" w:rsidRPr="00BE5ACD">
        <w:t xml:space="preserve"> to accelerate </w:t>
      </w:r>
      <w:r w:rsidR="0084636B" w:rsidRPr="00BE5ACD">
        <w:t>progress towards</w:t>
      </w:r>
      <w:r w:rsidR="00BE1640">
        <w:t>:</w:t>
      </w:r>
      <w:r w:rsidR="0084636B" w:rsidRPr="00BE5ACD">
        <w:t xml:space="preserve"> addressing health challenges related to climate change, environmental pollution, land degradation and biodiversity loss by building partnerships for joint action</w:t>
      </w:r>
      <w:r w:rsidR="00BE1640">
        <w:t xml:space="preserve">; </w:t>
      </w:r>
      <w:r w:rsidR="0084636B" w:rsidRPr="00BE5ACD">
        <w:t>improving governance for environment and health</w:t>
      </w:r>
      <w:r w:rsidR="00BE1640">
        <w:t xml:space="preserve">; and </w:t>
      </w:r>
      <w:r w:rsidR="0084636B" w:rsidRPr="00BE5ACD">
        <w:t xml:space="preserve">investing in human resources and capacities, innovation and research while recovering from the </w:t>
      </w:r>
      <w:r w:rsidR="00BE5ACD">
        <w:t>coronavirus disease (</w:t>
      </w:r>
      <w:r w:rsidR="0084636B" w:rsidRPr="00BE5ACD">
        <w:t>COVID</w:t>
      </w:r>
      <w:r w:rsidR="00BE5ACD">
        <w:t>–</w:t>
      </w:r>
      <w:r w:rsidR="0084636B" w:rsidRPr="00BE5ACD">
        <w:t>19</w:t>
      </w:r>
      <w:r w:rsidR="00BE5ACD">
        <w:t>)</w:t>
      </w:r>
      <w:r w:rsidR="0084636B" w:rsidRPr="00BE5ACD">
        <w:t xml:space="preserve"> crisis.</w:t>
      </w:r>
      <w:r w:rsidR="00E2290C">
        <w:t xml:space="preserve"> She pointed out that, according to the thus far agreed text of the draft declaration, </w:t>
      </w:r>
      <w:r w:rsidR="00B07021">
        <w:t xml:space="preserve">the ministers </w:t>
      </w:r>
      <w:r w:rsidR="00E2290C">
        <w:t xml:space="preserve">were expected to </w:t>
      </w:r>
      <w:r w:rsidR="00BE1640">
        <w:t xml:space="preserve">specifically </w:t>
      </w:r>
      <w:r w:rsidR="00E2290C" w:rsidRPr="00E2290C">
        <w:t xml:space="preserve">acknowledge the need </w:t>
      </w:r>
      <w:r w:rsidR="00B07021">
        <w:t>for</w:t>
      </w:r>
      <w:r w:rsidR="00E2290C" w:rsidRPr="00E2290C">
        <w:t xml:space="preserve"> integrating the assessment of environmental, including health, effects, in</w:t>
      </w:r>
      <w:r w:rsidR="005A5D7D">
        <w:t>to</w:t>
      </w:r>
      <w:r w:rsidR="00E2290C" w:rsidRPr="00E2290C">
        <w:t xml:space="preserve"> decision-making and planning procedures by leveraging the Protocol on Strategic Environmental Assessments under the Espoo Convention and utilizing tools such as health impact assessment</w:t>
      </w:r>
      <w:r w:rsidR="00B07021">
        <w:t>. The Working Group took note of the information.</w:t>
      </w:r>
    </w:p>
    <w:p w14:paraId="6F39038E" w14:textId="685432B8" w:rsidR="009D0C1A" w:rsidRDefault="00BB11F2" w:rsidP="00BB11F2">
      <w:pPr>
        <w:pStyle w:val="HChG"/>
      </w:pPr>
      <w:r>
        <w:tab/>
      </w:r>
      <w:r w:rsidR="00787451">
        <w:t>IX</w:t>
      </w:r>
      <w:r w:rsidR="00787451" w:rsidRPr="00787451">
        <w:t>.</w:t>
      </w:r>
      <w:r w:rsidR="00787451" w:rsidRPr="00787451">
        <w:tab/>
      </w:r>
      <w:r w:rsidR="00D14B3B">
        <w:t>Other business</w:t>
      </w:r>
    </w:p>
    <w:p w14:paraId="7766B19C" w14:textId="176AE91F" w:rsidR="00885738" w:rsidRPr="00885738" w:rsidRDefault="00885738" w:rsidP="00BB11F2">
      <w:pPr>
        <w:pStyle w:val="SingleTxtG"/>
      </w:pPr>
      <w:r>
        <w:t>8</w:t>
      </w:r>
      <w:r w:rsidR="00974286">
        <w:t>4</w:t>
      </w:r>
      <w:r>
        <w:t>.</w:t>
      </w:r>
      <w:r>
        <w:tab/>
      </w:r>
      <w:r w:rsidR="00E81114">
        <w:t>T</w:t>
      </w:r>
      <w:r w:rsidR="00B07021">
        <w:t>he representative of</w:t>
      </w:r>
      <w:r>
        <w:t xml:space="preserve"> Nuclear Transparency Watch </w:t>
      </w:r>
      <w:r w:rsidR="00E81114">
        <w:t xml:space="preserve">made a presentation </w:t>
      </w:r>
      <w:r w:rsidR="00191946">
        <w:t xml:space="preserve">on </w:t>
      </w:r>
      <w:r>
        <w:t>nuclear prevention related to warzone threats</w:t>
      </w:r>
      <w:r w:rsidR="00191946">
        <w:t xml:space="preserve">, </w:t>
      </w:r>
      <w:r w:rsidR="003E10E0">
        <w:t>referring to</w:t>
      </w:r>
      <w:r w:rsidR="00E81114">
        <w:t xml:space="preserve"> </w:t>
      </w:r>
      <w:r w:rsidR="00591697">
        <w:t xml:space="preserve">the </w:t>
      </w:r>
      <w:r w:rsidR="002228E7" w:rsidRPr="002228E7">
        <w:t xml:space="preserve">risks associated with the mere existence of operating </w:t>
      </w:r>
      <w:r w:rsidR="00191946">
        <w:t xml:space="preserve">nuclear power </w:t>
      </w:r>
      <w:r w:rsidR="002228E7" w:rsidRPr="002228E7">
        <w:t>plants</w:t>
      </w:r>
      <w:r w:rsidR="00A516E8">
        <w:t xml:space="preserve"> in the warzones</w:t>
      </w:r>
      <w:r w:rsidR="00E81114">
        <w:t xml:space="preserve"> and </w:t>
      </w:r>
      <w:r w:rsidR="00E572BF" w:rsidRPr="00E572BF">
        <w:t xml:space="preserve">the critical circumstances of </w:t>
      </w:r>
      <w:r w:rsidR="00191946">
        <w:t>the nuclear power plants i</w:t>
      </w:r>
      <w:r w:rsidR="00E572BF" w:rsidRPr="00E572BF">
        <w:t>n Ukraine</w:t>
      </w:r>
      <w:r w:rsidR="00191946">
        <w:t>;</w:t>
      </w:r>
      <w:r w:rsidR="009A5566">
        <w:t xml:space="preserve"> and </w:t>
      </w:r>
      <w:r w:rsidR="00B67927">
        <w:t>stress</w:t>
      </w:r>
      <w:r w:rsidR="003E10E0">
        <w:t>ing</w:t>
      </w:r>
      <w:r w:rsidR="00664B15">
        <w:t xml:space="preserve"> the importance of </w:t>
      </w:r>
      <w:r w:rsidR="00BD0579">
        <w:t xml:space="preserve">respecting the safety protocols </w:t>
      </w:r>
      <w:r w:rsidR="00FA5793">
        <w:t xml:space="preserve">in the highly volatile situation of </w:t>
      </w:r>
      <w:r w:rsidR="004C169B">
        <w:t xml:space="preserve">a </w:t>
      </w:r>
      <w:r w:rsidR="00FA5793">
        <w:t xml:space="preserve">war. </w:t>
      </w:r>
      <w:r w:rsidR="00E81114">
        <w:t>She also stated that</w:t>
      </w:r>
      <w:r w:rsidR="00BE1640">
        <w:t>,</w:t>
      </w:r>
      <w:r w:rsidR="00E81114">
        <w:t xml:space="preserve"> in line with guidance</w:t>
      </w:r>
      <w:r w:rsidR="002E4A6B">
        <w:t xml:space="preserve"> </w:t>
      </w:r>
      <w:r w:rsidR="00E81114">
        <w:t>from the International Atomic Energy Agency, the security of nuclear facilities from the threat of attacks by terrorists or military forces was not included in the operation licence design basis requirements</w:t>
      </w:r>
      <w:r w:rsidR="003E10E0">
        <w:t>, and recommended that decisions on nuclear facilities be informed by a prior assessment of the related potential impacts. The Working Group took note of the presentation</w:t>
      </w:r>
      <w:r w:rsidR="00BE4CFF">
        <w:t>.</w:t>
      </w:r>
    </w:p>
    <w:p w14:paraId="7C850903" w14:textId="2ABAC62A" w:rsidR="00B554D8" w:rsidRPr="00B554D8" w:rsidRDefault="00B554D8" w:rsidP="00CE2B86">
      <w:pPr>
        <w:pStyle w:val="HChG"/>
      </w:pPr>
      <w:r w:rsidRPr="00B554D8">
        <w:tab/>
        <w:t>X.</w:t>
      </w:r>
      <w:r w:rsidRPr="00B554D8">
        <w:tab/>
        <w:t xml:space="preserve">Presentation of the main decisions taken and closing of </w:t>
      </w:r>
      <w:r w:rsidRPr="00B554D8">
        <w:br/>
        <w:t>the meeting</w:t>
      </w:r>
    </w:p>
    <w:p w14:paraId="16B7B6A6" w14:textId="7B7E1317" w:rsidR="00B554D8" w:rsidRPr="00B554D8" w:rsidRDefault="00885738" w:rsidP="00191946">
      <w:pPr>
        <w:pStyle w:val="SingleTxtG"/>
      </w:pPr>
      <w:r>
        <w:t>8</w:t>
      </w:r>
      <w:r w:rsidR="00974286">
        <w:t>5</w:t>
      </w:r>
      <w:r w:rsidR="00B554D8" w:rsidRPr="00B554D8">
        <w:t>.</w:t>
      </w:r>
      <w:r w:rsidR="00B554D8" w:rsidRPr="00B554D8">
        <w:tab/>
        <w:t>The Working Group endorsed the main decisions agreed at the meeting, as presented by the secretariat, and requested the secretariat to post them on the meeting web page. It noted, in addition, that the comments and statements that delegations had provided in writing to the secretariat had been made available on that web page</w:t>
      </w:r>
      <w:r w:rsidR="00191946">
        <w:t>, upon agreement by the delegations.</w:t>
      </w:r>
    </w:p>
    <w:p w14:paraId="23AEECDA" w14:textId="33DA765C" w:rsidR="00885738" w:rsidRDefault="00885738" w:rsidP="00CE2B86">
      <w:pPr>
        <w:pStyle w:val="SingleTxtG"/>
      </w:pPr>
      <w:r>
        <w:t>8</w:t>
      </w:r>
      <w:r w:rsidR="00974286">
        <w:t>6</w:t>
      </w:r>
      <w:r w:rsidR="00B554D8" w:rsidRPr="00B554D8">
        <w:t>.</w:t>
      </w:r>
      <w:r w:rsidR="00B554D8" w:rsidRPr="00B554D8">
        <w:tab/>
      </w:r>
      <w:r w:rsidRPr="00B554D8">
        <w:t xml:space="preserve">The Working Group </w:t>
      </w:r>
      <w:r>
        <w:t xml:space="preserve">invited the secretariat to prepare the meeting report </w:t>
      </w:r>
      <w:r w:rsidR="00191946">
        <w:t xml:space="preserve">under the guidance of the </w:t>
      </w:r>
      <w:r>
        <w:t>Chair.</w:t>
      </w:r>
    </w:p>
    <w:p w14:paraId="20E6A9D7" w14:textId="03464E5F" w:rsidR="00B554D8" w:rsidRPr="00B554D8" w:rsidRDefault="00885738" w:rsidP="00CE2B86">
      <w:pPr>
        <w:pStyle w:val="SingleTxtG"/>
      </w:pPr>
      <w:r>
        <w:t>8</w:t>
      </w:r>
      <w:r w:rsidR="00974286">
        <w:t>7</w:t>
      </w:r>
      <w:r>
        <w:t>.</w:t>
      </w:r>
      <w:r>
        <w:tab/>
      </w:r>
      <w:r w:rsidR="00B554D8" w:rsidRPr="00B554D8">
        <w:t xml:space="preserve">The Chair officially closed the meeting on </w:t>
      </w:r>
      <w:r w:rsidR="00D14B3B">
        <w:t>Thursday</w:t>
      </w:r>
      <w:r w:rsidR="00B554D8" w:rsidRPr="00B554D8">
        <w:t xml:space="preserve">, </w:t>
      </w:r>
      <w:r w:rsidR="00D14B3B">
        <w:t>15 June</w:t>
      </w:r>
      <w:r w:rsidR="00B554D8" w:rsidRPr="00B554D8">
        <w:t xml:space="preserve"> 202</w:t>
      </w:r>
      <w:r w:rsidR="00D14B3B">
        <w:t>3</w:t>
      </w:r>
      <w:r w:rsidR="00B554D8" w:rsidRPr="00B554D8">
        <w:t>.</w:t>
      </w:r>
    </w:p>
    <w:p w14:paraId="271BDEF7" w14:textId="647752E6" w:rsidR="00B554D8" w:rsidRPr="00B554D8" w:rsidRDefault="00B554D8" w:rsidP="00B554D8">
      <w:pPr>
        <w:spacing w:before="240"/>
        <w:jc w:val="center"/>
        <w:rPr>
          <w:u w:val="single"/>
        </w:rPr>
      </w:pPr>
      <w:r>
        <w:rPr>
          <w:u w:val="single"/>
        </w:rPr>
        <w:tab/>
      </w:r>
      <w:r>
        <w:rPr>
          <w:u w:val="single"/>
        </w:rPr>
        <w:tab/>
      </w:r>
      <w:r>
        <w:rPr>
          <w:u w:val="single"/>
        </w:rPr>
        <w:tab/>
      </w:r>
    </w:p>
    <w:sectPr w:rsidR="00B554D8" w:rsidRPr="00B554D8" w:rsidSect="00B554D8">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AE08" w14:textId="77777777" w:rsidR="00B43019" w:rsidRDefault="00B43019"/>
  </w:endnote>
  <w:endnote w:type="continuationSeparator" w:id="0">
    <w:p w14:paraId="756B62C7" w14:textId="77777777" w:rsidR="00B43019" w:rsidRDefault="00B43019"/>
  </w:endnote>
  <w:endnote w:type="continuationNotice" w:id="1">
    <w:p w14:paraId="6C2ACE61" w14:textId="77777777" w:rsidR="00B43019" w:rsidRDefault="00B43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D3DB" w14:textId="4719B4EA" w:rsidR="00B554D8" w:rsidRPr="00B554D8" w:rsidRDefault="00B554D8" w:rsidP="00B554D8">
    <w:pPr>
      <w:pStyle w:val="Footer"/>
      <w:tabs>
        <w:tab w:val="right" w:pos="9638"/>
      </w:tabs>
      <w:rPr>
        <w:sz w:val="18"/>
      </w:rPr>
    </w:pPr>
    <w:r w:rsidRPr="00B554D8">
      <w:rPr>
        <w:b/>
        <w:sz w:val="18"/>
      </w:rPr>
      <w:fldChar w:fldCharType="begin"/>
    </w:r>
    <w:r w:rsidRPr="00B554D8">
      <w:rPr>
        <w:b/>
        <w:sz w:val="18"/>
      </w:rPr>
      <w:instrText xml:space="preserve"> PAGE  \* MERGEFORMAT </w:instrText>
    </w:r>
    <w:r w:rsidRPr="00B554D8">
      <w:rPr>
        <w:b/>
        <w:sz w:val="18"/>
      </w:rPr>
      <w:fldChar w:fldCharType="separate"/>
    </w:r>
    <w:r w:rsidRPr="00B554D8">
      <w:rPr>
        <w:b/>
        <w:noProof/>
        <w:sz w:val="18"/>
      </w:rPr>
      <w:t>2</w:t>
    </w:r>
    <w:r w:rsidRPr="00B554D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041A" w14:textId="1F07E5C1" w:rsidR="00B554D8" w:rsidRPr="00B554D8" w:rsidRDefault="00B554D8" w:rsidP="00B554D8">
    <w:pPr>
      <w:pStyle w:val="Footer"/>
      <w:tabs>
        <w:tab w:val="right" w:pos="9638"/>
      </w:tabs>
      <w:rPr>
        <w:b/>
        <w:sz w:val="18"/>
      </w:rPr>
    </w:pPr>
    <w:r>
      <w:tab/>
    </w:r>
    <w:r w:rsidRPr="00B554D8">
      <w:rPr>
        <w:b/>
        <w:sz w:val="18"/>
      </w:rPr>
      <w:fldChar w:fldCharType="begin"/>
    </w:r>
    <w:r w:rsidRPr="00B554D8">
      <w:rPr>
        <w:b/>
        <w:sz w:val="18"/>
      </w:rPr>
      <w:instrText xml:space="preserve"> PAGE  \* MERGEFORMAT </w:instrText>
    </w:r>
    <w:r w:rsidRPr="00B554D8">
      <w:rPr>
        <w:b/>
        <w:sz w:val="18"/>
      </w:rPr>
      <w:fldChar w:fldCharType="separate"/>
    </w:r>
    <w:r w:rsidRPr="00B554D8">
      <w:rPr>
        <w:b/>
        <w:noProof/>
        <w:sz w:val="18"/>
      </w:rPr>
      <w:t>3</w:t>
    </w:r>
    <w:r w:rsidRPr="00B554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FD1D" w14:textId="01009088" w:rsidR="00847830" w:rsidRDefault="00847830" w:rsidP="00847830">
    <w:pPr>
      <w:pStyle w:val="Footer"/>
    </w:pPr>
    <w:bookmarkStart w:id="10" w:name="_GoBack"/>
    <w:bookmarkEnd w:id="10"/>
    <w:r>
      <w:rPr>
        <w:noProof/>
        <w:lang w:val="en-US" w:eastAsia="zh-CN"/>
      </w:rPr>
      <w:drawing>
        <wp:anchor distT="0" distB="0" distL="114300" distR="114300" simplePos="0" relativeHeight="251659264" behindDoc="1" locked="1" layoutInCell="1" allowOverlap="1" wp14:anchorId="38BD979B" wp14:editId="5C6DF298">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DB566AF" w14:textId="1AE2E168" w:rsidR="00847830" w:rsidRPr="00847830" w:rsidRDefault="00847830" w:rsidP="00847830">
    <w:pPr>
      <w:pStyle w:val="Footer"/>
      <w:ind w:right="1134"/>
      <w:rPr>
        <w:sz w:val="20"/>
      </w:rPr>
    </w:pPr>
    <w:r>
      <w:rPr>
        <w:sz w:val="20"/>
      </w:rPr>
      <w:t>GE.23-13744(E)</w:t>
    </w:r>
    <w:r>
      <w:rPr>
        <w:noProof/>
        <w:sz w:val="20"/>
      </w:rPr>
      <w:drawing>
        <wp:anchor distT="0" distB="0" distL="114300" distR="114300" simplePos="0" relativeHeight="251660288" behindDoc="0" locked="0" layoutInCell="1" allowOverlap="1" wp14:anchorId="19F73459" wp14:editId="1F05BF35">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A7C" w14:textId="77777777" w:rsidR="00B43019" w:rsidRPr="000B175B" w:rsidRDefault="00B43019" w:rsidP="000B175B">
      <w:pPr>
        <w:tabs>
          <w:tab w:val="right" w:pos="2155"/>
        </w:tabs>
        <w:spacing w:after="80"/>
        <w:ind w:left="680"/>
        <w:rPr>
          <w:u w:val="single"/>
        </w:rPr>
      </w:pPr>
      <w:r>
        <w:rPr>
          <w:u w:val="single"/>
        </w:rPr>
        <w:tab/>
      </w:r>
    </w:p>
  </w:footnote>
  <w:footnote w:type="continuationSeparator" w:id="0">
    <w:p w14:paraId="40D2B3CB" w14:textId="77777777" w:rsidR="00B43019" w:rsidRPr="00FC68B7" w:rsidRDefault="00B43019" w:rsidP="00FC68B7">
      <w:pPr>
        <w:tabs>
          <w:tab w:val="left" w:pos="2155"/>
        </w:tabs>
        <w:spacing w:after="80"/>
        <w:ind w:left="680"/>
        <w:rPr>
          <w:u w:val="single"/>
        </w:rPr>
      </w:pPr>
      <w:r>
        <w:rPr>
          <w:u w:val="single"/>
        </w:rPr>
        <w:tab/>
      </w:r>
    </w:p>
  </w:footnote>
  <w:footnote w:type="continuationNotice" w:id="1">
    <w:p w14:paraId="65FF900D" w14:textId="77777777" w:rsidR="00B43019" w:rsidRDefault="00B43019"/>
  </w:footnote>
  <w:footnote w:id="2">
    <w:p w14:paraId="45C68833" w14:textId="0E9A2CB7" w:rsidR="00B554D8" w:rsidRPr="006544BB" w:rsidRDefault="00B554D8" w:rsidP="00B554D8">
      <w:pPr>
        <w:pStyle w:val="FootnoteText"/>
      </w:pPr>
      <w:r>
        <w:tab/>
      </w:r>
      <w:r>
        <w:rPr>
          <w:rStyle w:val="FootnoteReference"/>
        </w:rPr>
        <w:footnoteRef/>
      </w:r>
      <w:r>
        <w:tab/>
        <w:t xml:space="preserve">All official and </w:t>
      </w:r>
      <w:r w:rsidRPr="00186988">
        <w:t>informal</w:t>
      </w:r>
      <w:r>
        <w:t xml:space="preserve"> documentation for the meeting and other information, such as presentations and statements provided to the secretariat, is available at </w:t>
      </w:r>
      <w:hyperlink r:id="rId1" w:history="1">
        <w:r w:rsidRPr="007E3DD9">
          <w:rPr>
            <w:rStyle w:val="Hyperlink"/>
            <w:color w:val="auto"/>
          </w:rPr>
          <w:t>https://unece.org/info/Environmental-Policy/Environmental-Impact-Assessment/events/</w:t>
        </w:r>
        <w:r w:rsidR="007D7569" w:rsidRPr="007D7569">
          <w:rPr>
            <w:rStyle w:val="Hyperlink"/>
            <w:color w:val="auto"/>
          </w:rPr>
          <w:t>364361</w:t>
        </w:r>
      </w:hyperlink>
      <w:r w:rsidRPr="007E3DD9">
        <w:t xml:space="preserve">. </w:t>
      </w:r>
    </w:p>
  </w:footnote>
  <w:footnote w:id="3">
    <w:p w14:paraId="6C63F6EC" w14:textId="3BEC6E00" w:rsidR="00B554D8" w:rsidRPr="001416F9" w:rsidRDefault="00B554D8" w:rsidP="00B554D8">
      <w:pPr>
        <w:pStyle w:val="FootnoteText"/>
        <w:rPr>
          <w:lang w:val="es-ES"/>
        </w:rPr>
      </w:pPr>
      <w:r>
        <w:tab/>
      </w:r>
      <w:r>
        <w:rPr>
          <w:rStyle w:val="FootnoteReference"/>
        </w:rPr>
        <w:footnoteRef/>
      </w:r>
      <w:r w:rsidRPr="001416F9">
        <w:rPr>
          <w:lang w:val="es-ES"/>
        </w:rPr>
        <w:tab/>
        <w:t xml:space="preserve">ECE/MP.EIA/30/Add.1–ECE/MP.EIA/SEA/13/Add.1, </w:t>
      </w:r>
      <w:proofErr w:type="spellStart"/>
      <w:r w:rsidRPr="001416F9">
        <w:rPr>
          <w:lang w:val="es-ES"/>
        </w:rPr>
        <w:t>decision</w:t>
      </w:r>
      <w:proofErr w:type="spellEnd"/>
      <w:r w:rsidRPr="001416F9">
        <w:rPr>
          <w:lang w:val="es-ES"/>
        </w:rPr>
        <w:t xml:space="preserve"> VIII/3–IV/3, </w:t>
      </w:r>
      <w:proofErr w:type="spellStart"/>
      <w:r w:rsidRPr="001416F9">
        <w:rPr>
          <w:lang w:val="es-ES"/>
        </w:rPr>
        <w:t>annex</w:t>
      </w:r>
      <w:proofErr w:type="spellEnd"/>
      <w:r w:rsidRPr="001416F9">
        <w:rPr>
          <w:lang w:val="es-ES"/>
        </w:rPr>
        <w:t>.</w:t>
      </w:r>
    </w:p>
  </w:footnote>
  <w:footnote w:id="4">
    <w:p w14:paraId="0B58C9A7" w14:textId="2B35913E" w:rsidR="00AD24CD" w:rsidRPr="000A648B" w:rsidRDefault="00273B41" w:rsidP="00273B41">
      <w:pPr>
        <w:pStyle w:val="FootnoteText"/>
        <w:rPr>
          <w:lang w:val="en-US"/>
        </w:rPr>
      </w:pPr>
      <w:r w:rsidRPr="000A648B">
        <w:rPr>
          <w:lang w:val="es-ES"/>
        </w:rPr>
        <w:tab/>
      </w:r>
      <w:r w:rsidR="00AD24CD">
        <w:rPr>
          <w:rStyle w:val="FootnoteReference"/>
        </w:rPr>
        <w:footnoteRef/>
      </w:r>
      <w:r>
        <w:tab/>
      </w:r>
      <w:r w:rsidR="00AD24CD" w:rsidRPr="000A648B">
        <w:rPr>
          <w:lang w:val="en-US"/>
        </w:rPr>
        <w:t xml:space="preserve">Informal notes on </w:t>
      </w:r>
      <w:r w:rsidR="00AD24CD" w:rsidRPr="00273B41">
        <w:t>the</w:t>
      </w:r>
      <w:r w:rsidR="00AD24CD" w:rsidRPr="000A648B">
        <w:rPr>
          <w:lang w:val="en-US"/>
        </w:rPr>
        <w:t xml:space="preserve"> Bureau meeting (Geneva, 9–10 June 2022), para. 10, available at </w:t>
      </w:r>
      <w:r w:rsidR="00AD24CD" w:rsidRPr="00AD24CD">
        <w:t>https://unece.org/environmental-policy/events/bureau-espoo-convention-12</w:t>
      </w:r>
      <w:r w:rsidR="00AD24CD">
        <w:t>.</w:t>
      </w:r>
    </w:p>
  </w:footnote>
  <w:footnote w:id="5">
    <w:p w14:paraId="2DF5A897" w14:textId="06C1AF42" w:rsidR="00EB2CE5" w:rsidRPr="000A648B" w:rsidRDefault="00273B41">
      <w:pPr>
        <w:pStyle w:val="FootnoteText"/>
        <w:rPr>
          <w:lang w:val="en-US"/>
        </w:rPr>
      </w:pPr>
      <w:r>
        <w:tab/>
      </w:r>
      <w:r w:rsidR="00EB2CE5">
        <w:rPr>
          <w:rStyle w:val="FootnoteReference"/>
        </w:rPr>
        <w:footnoteRef/>
      </w:r>
      <w:r>
        <w:tab/>
      </w:r>
      <w:r w:rsidR="00EB2CE5">
        <w:t>ECE/MP.EIA/4, annex XIV, decision II/14, third preambular para.</w:t>
      </w:r>
    </w:p>
  </w:footnote>
  <w:footnote w:id="6">
    <w:p w14:paraId="37F7D93C" w14:textId="151C9BD2" w:rsidR="003353AB" w:rsidRPr="000A648B" w:rsidRDefault="00CF2B97">
      <w:pPr>
        <w:pStyle w:val="FootnoteText"/>
        <w:rPr>
          <w:lang w:val="es-ES"/>
        </w:rPr>
      </w:pPr>
      <w:r>
        <w:tab/>
      </w:r>
      <w:r w:rsidR="003353AB">
        <w:rPr>
          <w:rStyle w:val="FootnoteReference"/>
        </w:rPr>
        <w:footnoteRef/>
      </w:r>
      <w:r w:rsidRPr="000A648B">
        <w:rPr>
          <w:lang w:val="es-ES"/>
        </w:rPr>
        <w:tab/>
      </w:r>
      <w:r w:rsidR="003353AB" w:rsidRPr="000A648B">
        <w:rPr>
          <w:lang w:val="es-ES"/>
        </w:rPr>
        <w:t>ECE/MP.EIA/WG.2/2022/2, para. 7.</w:t>
      </w:r>
    </w:p>
  </w:footnote>
  <w:footnote w:id="7">
    <w:p w14:paraId="1A433C98" w14:textId="77777777" w:rsidR="00B554D8" w:rsidRPr="00C368FF" w:rsidRDefault="00B554D8" w:rsidP="00B554D8">
      <w:pPr>
        <w:pStyle w:val="FootnoteText"/>
        <w:rPr>
          <w:lang w:val="es-ES"/>
        </w:rPr>
      </w:pPr>
      <w:r w:rsidRPr="00872434">
        <w:rPr>
          <w:lang w:val="es-ES"/>
        </w:rPr>
        <w:tab/>
      </w:r>
      <w:r>
        <w:rPr>
          <w:rStyle w:val="FootnoteReference"/>
        </w:rPr>
        <w:footnoteRef/>
      </w:r>
      <w:r>
        <w:rPr>
          <w:lang w:val="es-ES"/>
        </w:rPr>
        <w:tab/>
      </w:r>
      <w:r w:rsidRPr="00C368FF">
        <w:rPr>
          <w:lang w:val="es-ES"/>
        </w:rPr>
        <w:t>ECE/MP.EIA/30/Add.1–ECE/MP.EIA/SEA/13/Add.1</w:t>
      </w:r>
      <w:r>
        <w:rPr>
          <w:lang w:val="es-ES"/>
        </w:rPr>
        <w:t xml:space="preserve">, </w:t>
      </w:r>
      <w:proofErr w:type="spellStart"/>
      <w:r>
        <w:rPr>
          <w:lang w:val="es-ES"/>
        </w:rPr>
        <w:t>d</w:t>
      </w:r>
      <w:r w:rsidRPr="00C368FF">
        <w:rPr>
          <w:lang w:val="es-ES"/>
        </w:rPr>
        <w:t>ecision</w:t>
      </w:r>
      <w:proofErr w:type="spellEnd"/>
      <w:r w:rsidRPr="00C368FF">
        <w:rPr>
          <w:lang w:val="es-ES"/>
        </w:rPr>
        <w:t xml:space="preserve"> VIII/1–IV/1, para</w:t>
      </w:r>
      <w:r>
        <w:rPr>
          <w:lang w:val="es-ES"/>
        </w:rPr>
        <w:t>.1.</w:t>
      </w:r>
    </w:p>
  </w:footnote>
  <w:footnote w:id="8">
    <w:p w14:paraId="43FFF810" w14:textId="4C0CF9A3" w:rsidR="00F064F2" w:rsidRPr="000A648B" w:rsidRDefault="00CF2B97">
      <w:pPr>
        <w:pStyle w:val="FootnoteText"/>
        <w:rPr>
          <w:lang w:val="en-US"/>
        </w:rPr>
      </w:pPr>
      <w:r w:rsidRPr="000A648B">
        <w:rPr>
          <w:lang w:val="es-ES"/>
        </w:rPr>
        <w:tab/>
      </w:r>
      <w:r w:rsidR="00F064F2">
        <w:rPr>
          <w:rStyle w:val="FootnoteReference"/>
        </w:rPr>
        <w:footnoteRef/>
      </w:r>
      <w:r w:rsidRPr="000A648B">
        <w:rPr>
          <w:lang w:val="es-ES"/>
        </w:rPr>
        <w:tab/>
      </w:r>
      <w:r w:rsidR="00F064F2" w:rsidRPr="000A648B">
        <w:rPr>
          <w:lang w:val="es-ES"/>
        </w:rPr>
        <w:t xml:space="preserve">ECE/MP.EIA/WG.2/2022/2, para. </w:t>
      </w:r>
      <w:r w:rsidR="00F064F2">
        <w:t>16.</w:t>
      </w:r>
    </w:p>
  </w:footnote>
  <w:footnote w:id="9">
    <w:p w14:paraId="0FDCD650" w14:textId="63EA6C88" w:rsidR="00267F45" w:rsidRPr="000A648B" w:rsidRDefault="00267F45">
      <w:pPr>
        <w:pStyle w:val="FootnoteText"/>
        <w:rPr>
          <w:lang w:val="en-US"/>
        </w:rPr>
      </w:pPr>
      <w:r>
        <w:tab/>
      </w:r>
      <w:r>
        <w:rPr>
          <w:rStyle w:val="FootnoteReference"/>
        </w:rPr>
        <w:footnoteRef/>
      </w:r>
      <w:r w:rsidR="00174AE9">
        <w:tab/>
      </w:r>
      <w:r w:rsidR="002B7A67">
        <w:t>Ibid.</w:t>
      </w:r>
      <w:r w:rsidR="00174AE9">
        <w:t>, paras. 24</w:t>
      </w:r>
      <w:r w:rsidR="00DA013F">
        <w:t>–</w:t>
      </w:r>
      <w:r w:rsidR="00174AE9">
        <w:t>2</w:t>
      </w:r>
      <w:r w:rsidR="00DA013F">
        <w:t>6</w:t>
      </w:r>
      <w:r w:rsidR="00174AE9">
        <w:t>.</w:t>
      </w:r>
    </w:p>
  </w:footnote>
  <w:footnote w:id="10">
    <w:p w14:paraId="398ADF46" w14:textId="0A901055" w:rsidR="004E7BE5" w:rsidRPr="000A648B" w:rsidRDefault="00CF3CF0">
      <w:pPr>
        <w:pStyle w:val="FootnoteText"/>
        <w:rPr>
          <w:lang w:val="en-US"/>
        </w:rPr>
      </w:pPr>
      <w:r>
        <w:tab/>
      </w:r>
      <w:r w:rsidR="004E7BE5">
        <w:rPr>
          <w:rStyle w:val="FootnoteReference"/>
        </w:rPr>
        <w:footnoteRef/>
      </w:r>
      <w:r>
        <w:tab/>
      </w:r>
      <w:r w:rsidR="002B7A67">
        <w:t>Ibid.</w:t>
      </w:r>
      <w:r w:rsidR="004E7BE5">
        <w:t>, paras. 58–59.</w:t>
      </w:r>
    </w:p>
  </w:footnote>
  <w:footnote w:id="11">
    <w:p w14:paraId="11A1C818" w14:textId="12EBF77A" w:rsidR="00EA5056" w:rsidRPr="000A648B" w:rsidRDefault="006932D4" w:rsidP="006932D4">
      <w:pPr>
        <w:pStyle w:val="FootnoteText"/>
        <w:rPr>
          <w:lang w:val="en-US"/>
        </w:rPr>
      </w:pPr>
      <w:r>
        <w:tab/>
      </w:r>
      <w:r w:rsidR="00EA5056">
        <w:rPr>
          <w:rStyle w:val="FootnoteReference"/>
        </w:rPr>
        <w:footnoteRef/>
      </w:r>
      <w:r>
        <w:tab/>
      </w:r>
      <w:r w:rsidR="00803145">
        <w:t xml:space="preserve">The </w:t>
      </w:r>
      <w:r w:rsidR="00803145" w:rsidRPr="006932D4">
        <w:t>candidacy</w:t>
      </w:r>
      <w:r w:rsidR="00803145">
        <w:t xml:space="preserve"> of Montenegro was confirmed shortly after the meeting.</w:t>
      </w:r>
    </w:p>
  </w:footnote>
  <w:footnote w:id="12">
    <w:p w14:paraId="5FBBD965" w14:textId="10516B2C" w:rsidR="003641C7" w:rsidRPr="007E6A5E" w:rsidRDefault="006932D4" w:rsidP="006932D4">
      <w:pPr>
        <w:pStyle w:val="FootnoteText"/>
      </w:pPr>
      <w:r>
        <w:tab/>
      </w:r>
      <w:r w:rsidR="003641C7">
        <w:rPr>
          <w:rStyle w:val="FootnoteReference"/>
        </w:rPr>
        <w:footnoteRef/>
      </w:r>
      <w:r w:rsidR="003641C7">
        <w:tab/>
        <w:t>The r</w:t>
      </w:r>
      <w:r w:rsidR="003641C7" w:rsidRPr="002618F2">
        <w:t>epor</w:t>
      </w:r>
      <w:r w:rsidR="003641C7">
        <w:t>t</w:t>
      </w:r>
      <w:r w:rsidR="003641C7" w:rsidRPr="002618F2">
        <w:t>s o</w:t>
      </w:r>
      <w:r w:rsidR="003641C7">
        <w:t>f</w:t>
      </w:r>
      <w:r w:rsidR="003641C7" w:rsidRPr="002618F2">
        <w:t xml:space="preserve"> the Implementation Committee</w:t>
      </w:r>
      <w:r w:rsidR="003641C7">
        <w:t xml:space="preserve"> on it</w:t>
      </w:r>
      <w:r w:rsidR="003641C7" w:rsidRPr="002618F2">
        <w:t>s session</w:t>
      </w:r>
      <w:r w:rsidR="003641C7">
        <w:t>s</w:t>
      </w:r>
      <w:r w:rsidR="003641C7" w:rsidRPr="002618F2">
        <w:t xml:space="preserve"> </w:t>
      </w:r>
      <w:r w:rsidR="003641C7">
        <w:t>are</w:t>
      </w:r>
      <w:r w:rsidR="003641C7" w:rsidRPr="002618F2">
        <w:t xml:space="preserve"> available </w:t>
      </w:r>
      <w:r w:rsidR="003641C7">
        <w:t xml:space="preserve">at </w:t>
      </w:r>
      <w:hyperlink r:id="rId2" w:history="1">
        <w:r w:rsidR="003641C7" w:rsidRPr="00177983">
          <w:rPr>
            <w:rStyle w:val="Hyperlink"/>
          </w:rPr>
          <w:t>https://unece.org/sessions-3</w:t>
        </w:r>
      </w:hyperlink>
      <w:r w:rsidR="003641C7" w:rsidRPr="00177983">
        <w:t>.</w:t>
      </w:r>
    </w:p>
  </w:footnote>
  <w:footnote w:id="13">
    <w:p w14:paraId="4BA23CE2" w14:textId="75ABD273" w:rsidR="00A367BA" w:rsidRPr="000A648B" w:rsidRDefault="006932D4">
      <w:pPr>
        <w:pStyle w:val="FootnoteText"/>
        <w:rPr>
          <w:lang w:val="en-US"/>
        </w:rPr>
      </w:pPr>
      <w:r>
        <w:tab/>
      </w:r>
      <w:r w:rsidR="00A367BA">
        <w:rPr>
          <w:rStyle w:val="FootnoteReference"/>
        </w:rPr>
        <w:footnoteRef/>
      </w:r>
      <w:r>
        <w:tab/>
      </w:r>
      <w:r w:rsidR="002B7A67">
        <w:t>Ibid.</w:t>
      </w:r>
      <w:r w:rsidR="00A367BA">
        <w:t>, para. 42.</w:t>
      </w:r>
    </w:p>
  </w:footnote>
  <w:footnote w:id="14">
    <w:p w14:paraId="4401E9E1" w14:textId="4A691F69" w:rsidR="001259B5" w:rsidRPr="001259B5" w:rsidRDefault="00541CBF">
      <w:pPr>
        <w:pStyle w:val="FootnoteText"/>
      </w:pPr>
      <w:r>
        <w:tab/>
      </w:r>
      <w:r w:rsidR="001259B5">
        <w:rPr>
          <w:rStyle w:val="FootnoteReference"/>
        </w:rPr>
        <w:footnoteRef/>
      </w:r>
      <w:r w:rsidR="006932D4">
        <w:tab/>
      </w:r>
      <w:r w:rsidR="001259B5" w:rsidRPr="000733E3">
        <w:t>ECE/MP.EIA/30/Add.1−ECE/MP.EIA/SEA/13/Add.1, decision VIII/2–IV/2, annex I, item II.</w:t>
      </w:r>
      <w:r w:rsidR="001259B5">
        <w:t>C.</w:t>
      </w:r>
    </w:p>
  </w:footnote>
  <w:footnote w:id="15">
    <w:p w14:paraId="4011CFD7" w14:textId="70D78C97" w:rsidR="009143A4" w:rsidRPr="000A648B" w:rsidRDefault="009143A4">
      <w:pPr>
        <w:pStyle w:val="FootnoteText"/>
        <w:rPr>
          <w:lang w:val="en-US"/>
        </w:rPr>
      </w:pPr>
      <w:r>
        <w:tab/>
      </w:r>
      <w:r>
        <w:rPr>
          <w:rStyle w:val="FootnoteReference"/>
        </w:rPr>
        <w:footnoteRef/>
      </w:r>
      <w:r w:rsidR="00DC43C5">
        <w:tab/>
      </w:r>
      <w:r w:rsidR="00753C9A">
        <w:t>See section 4.2 of the report on the subregional workshop on enhancing strategic environmental assessment in selected countries of Eastern Europe, the Caucasus and Central Asia (Kakheti, Georgia, 3–6 November 2015)</w:t>
      </w:r>
      <w:r w:rsidR="00F613AF">
        <w:t>,</w:t>
      </w:r>
      <w:r w:rsidR="00753C9A">
        <w:t xml:space="preserve"> held with funding from the European Union under the </w:t>
      </w:r>
      <w:r w:rsidR="001E5961">
        <w:t xml:space="preserve">Greening Economies in the European Union’s Eastern Neighbourhood </w:t>
      </w:r>
      <w:r w:rsidR="00753C9A">
        <w:t>programme, available at:</w:t>
      </w:r>
      <w:r w:rsidR="00753C9A" w:rsidRPr="00753C9A">
        <w:t xml:space="preserve"> </w:t>
      </w:r>
      <w:hyperlink r:id="rId3" w:history="1">
        <w:r w:rsidR="00753C9A" w:rsidRPr="00EF0505">
          <w:rPr>
            <w:rStyle w:val="Hyperlink"/>
          </w:rPr>
          <w:t>https://unece.org/info/Environmental-Policy/Environmental-Impact-Assessment/events/352848</w:t>
        </w:r>
      </w:hyperlink>
      <w:r w:rsidR="00753C9A">
        <w:t>.</w:t>
      </w:r>
    </w:p>
  </w:footnote>
  <w:footnote w:id="16">
    <w:p w14:paraId="31DED25D" w14:textId="3960C1B4" w:rsidR="001E0E71" w:rsidRPr="00145B56" w:rsidRDefault="001E0E71">
      <w:pPr>
        <w:pStyle w:val="FootnoteText"/>
        <w:rPr>
          <w:lang w:val="es-ES"/>
        </w:rPr>
      </w:pPr>
      <w:r w:rsidRPr="00145B56">
        <w:tab/>
      </w:r>
      <w:r>
        <w:rPr>
          <w:rStyle w:val="FootnoteReference"/>
        </w:rPr>
        <w:footnoteRef/>
      </w:r>
      <w:r w:rsidR="00DC43C5">
        <w:rPr>
          <w:lang w:val="es-ES"/>
        </w:rPr>
        <w:tab/>
      </w:r>
      <w:r w:rsidRPr="00145B56">
        <w:rPr>
          <w:lang w:val="es-ES"/>
        </w:rPr>
        <w:t>ECE/MP.EIA/WG.2/2020/2, para. 41.</w:t>
      </w:r>
    </w:p>
  </w:footnote>
  <w:footnote w:id="17">
    <w:p w14:paraId="32E84C03" w14:textId="5A09737D" w:rsidR="00DA673A" w:rsidRPr="00145B56" w:rsidRDefault="00DA673A">
      <w:pPr>
        <w:pStyle w:val="FootnoteText"/>
        <w:rPr>
          <w:lang w:val="es-ES"/>
        </w:rPr>
      </w:pPr>
      <w:r>
        <w:rPr>
          <w:lang w:val="es-ES"/>
        </w:rPr>
        <w:tab/>
      </w:r>
      <w:r>
        <w:rPr>
          <w:rStyle w:val="FootnoteReference"/>
        </w:rPr>
        <w:footnoteRef/>
      </w:r>
      <w:r w:rsidR="00DC43C5">
        <w:rPr>
          <w:lang w:val="es-ES"/>
        </w:rPr>
        <w:tab/>
      </w:r>
      <w:r w:rsidRPr="00145B56">
        <w:rPr>
          <w:lang w:val="es-ES"/>
        </w:rPr>
        <w:t xml:space="preserve">ECE/MP.EIA/30/Add.1–ECE/MP.EIA/SEA/13/Add.1, </w:t>
      </w:r>
      <w:r w:rsidR="00D7351E" w:rsidRPr="000A648B">
        <w:rPr>
          <w:lang w:val="es-ES"/>
        </w:rPr>
        <w:t xml:space="preserve">VIII/3–IV/3, annex, </w:t>
      </w:r>
      <w:proofErr w:type="spellStart"/>
      <w:r w:rsidR="00032670">
        <w:rPr>
          <w:lang w:val="es-ES"/>
        </w:rPr>
        <w:t>Vilnius</w:t>
      </w:r>
      <w:proofErr w:type="spellEnd"/>
      <w:r w:rsidR="00032670">
        <w:rPr>
          <w:lang w:val="es-ES"/>
        </w:rPr>
        <w:t xml:space="preserve"> </w:t>
      </w:r>
      <w:proofErr w:type="spellStart"/>
      <w:r w:rsidR="00032670">
        <w:rPr>
          <w:lang w:val="es-ES"/>
        </w:rPr>
        <w:t>declaration</w:t>
      </w:r>
      <w:proofErr w:type="spellEnd"/>
      <w:r w:rsidR="00032670">
        <w:rPr>
          <w:lang w:val="es-ES"/>
        </w:rPr>
        <w:t xml:space="preserve">, </w:t>
      </w:r>
      <w:r w:rsidRPr="00145B56">
        <w:rPr>
          <w:lang w:val="es-ES"/>
        </w:rPr>
        <w:t xml:space="preserve">para. </w:t>
      </w:r>
      <w:r w:rsidR="00032670">
        <w:rPr>
          <w:lang w:val="es-ES"/>
        </w:rPr>
        <w:t>13.</w:t>
      </w:r>
    </w:p>
  </w:footnote>
  <w:footnote w:id="18">
    <w:p w14:paraId="738BED6B" w14:textId="1D701B64" w:rsidR="005305EC" w:rsidRPr="00BA3057" w:rsidRDefault="005305EC" w:rsidP="005305EC">
      <w:pPr>
        <w:pStyle w:val="FootnoteText"/>
        <w:rPr>
          <w:lang w:val="es-ES"/>
        </w:rPr>
      </w:pPr>
      <w:r>
        <w:rPr>
          <w:lang w:val="es-ES"/>
        </w:rPr>
        <w:tab/>
      </w:r>
      <w:r>
        <w:rPr>
          <w:rStyle w:val="FootnoteReference"/>
        </w:rPr>
        <w:footnoteRef/>
      </w:r>
      <w:r w:rsidR="00DC43C5">
        <w:rPr>
          <w:lang w:val="es-ES"/>
        </w:rPr>
        <w:tab/>
      </w:r>
      <w:r w:rsidRPr="00BA3057">
        <w:rPr>
          <w:lang w:val="es-ES"/>
        </w:rPr>
        <w:t>ECE/MP.EIA/30–ECE/MP.EIA/SEA/13, para. 33.</w:t>
      </w:r>
    </w:p>
  </w:footnote>
  <w:footnote w:id="19">
    <w:p w14:paraId="2A9F66E3" w14:textId="2E375A56" w:rsidR="0064750E" w:rsidRPr="000A648B" w:rsidRDefault="00BB11F2">
      <w:pPr>
        <w:pStyle w:val="FootnoteText"/>
        <w:rPr>
          <w:lang w:val="es-ES"/>
        </w:rPr>
      </w:pPr>
      <w:r w:rsidRPr="000A648B">
        <w:rPr>
          <w:lang w:val="es-ES"/>
        </w:rPr>
        <w:tab/>
      </w:r>
      <w:r w:rsidR="0064750E">
        <w:rPr>
          <w:rStyle w:val="FootnoteReference"/>
        </w:rPr>
        <w:footnoteRef/>
      </w:r>
      <w:r w:rsidRPr="000A648B">
        <w:rPr>
          <w:lang w:val="es-ES"/>
        </w:rPr>
        <w:tab/>
      </w:r>
      <w:r w:rsidR="0064750E" w:rsidRPr="000A648B">
        <w:rPr>
          <w:lang w:val="es-ES"/>
        </w:rPr>
        <w:t>See https://unece.org/info/Environmental-Policy/Environmental-Impact-Assessment/events/376908.</w:t>
      </w:r>
    </w:p>
  </w:footnote>
  <w:footnote w:id="20">
    <w:p w14:paraId="4CDDA35F" w14:textId="1C915F6C" w:rsidR="004E5ECC" w:rsidRPr="000A648B" w:rsidRDefault="004E5ECC">
      <w:pPr>
        <w:pStyle w:val="FootnoteText"/>
        <w:rPr>
          <w:lang w:val="en-US"/>
        </w:rPr>
      </w:pPr>
      <w:r w:rsidRPr="000A648B">
        <w:rPr>
          <w:lang w:val="es-ES"/>
        </w:rPr>
        <w:tab/>
      </w:r>
      <w:r>
        <w:rPr>
          <w:rStyle w:val="FootnoteReference"/>
        </w:rPr>
        <w:footnoteRef/>
      </w:r>
      <w:r>
        <w:tab/>
      </w:r>
      <w:r w:rsidRPr="004E5ECC">
        <w:t xml:space="preserve">For </w:t>
      </w:r>
      <w:proofErr w:type="spellStart"/>
      <w:r w:rsidRPr="004E5ECC">
        <w:t>FasTips</w:t>
      </w:r>
      <w:proofErr w:type="spellEnd"/>
      <w:r w:rsidRPr="004E5ECC">
        <w:t xml:space="preserve"> in English, see www.iaia.org/fasttips.php; for their translations, see www.iaia.org/translated-documents.php.</w:t>
      </w:r>
    </w:p>
  </w:footnote>
  <w:footnote w:id="21">
    <w:p w14:paraId="3D0819EC" w14:textId="2E32DECF" w:rsidR="007E306A" w:rsidRPr="000A648B" w:rsidRDefault="00CD1BB0" w:rsidP="00CD1BB0">
      <w:pPr>
        <w:pStyle w:val="FootnoteText"/>
        <w:rPr>
          <w:lang w:val="en-US"/>
        </w:rPr>
      </w:pPr>
      <w:r>
        <w:tab/>
      </w:r>
      <w:r w:rsidR="007E306A">
        <w:rPr>
          <w:rStyle w:val="FootnoteReference"/>
        </w:rPr>
        <w:footnoteRef/>
      </w:r>
      <w:r w:rsidR="00574A28">
        <w:tab/>
      </w:r>
      <w:r w:rsidR="007E306A">
        <w:t>For more information</w:t>
      </w:r>
      <w:r w:rsidR="000022A5">
        <w:t>,</w:t>
      </w:r>
      <w:r w:rsidR="007E306A">
        <w:t xml:space="preserve"> see </w:t>
      </w:r>
      <w:hyperlink r:id="rId4" w:history="1">
        <w:r w:rsidR="004C169B" w:rsidRPr="008200F9">
          <w:rPr>
            <w:rStyle w:val="Hyperlink"/>
          </w:rPr>
          <w:t>https://2024.iaia.org/</w:t>
        </w:r>
      </w:hyperlink>
      <w:r w:rsidR="000022A5">
        <w:t>.</w:t>
      </w:r>
    </w:p>
  </w:footnote>
  <w:footnote w:id="22">
    <w:p w14:paraId="505630EF" w14:textId="709A81AA" w:rsidR="009E5B1A" w:rsidRPr="000A648B" w:rsidRDefault="00CD1BB0" w:rsidP="00CD1BB0">
      <w:pPr>
        <w:pStyle w:val="FootnoteText"/>
      </w:pPr>
      <w:r>
        <w:tab/>
      </w:r>
      <w:r w:rsidR="009E5B1A">
        <w:rPr>
          <w:rStyle w:val="FootnoteReference"/>
        </w:rPr>
        <w:footnoteRef/>
      </w:r>
      <w:r w:rsidR="009E5B1A">
        <w:tab/>
      </w:r>
      <w:r w:rsidR="00353259">
        <w:t xml:space="preserve">Rules of procedure of the Meeting of the Parties to the Convention on Environmental Impact Assessment in a Transboundary Context (ECE/MP.EIA/2, annex I, decision I/1), as amended in 2011 by decision V/1 by the Meeting of the Parties to the Convention (ECE/MP.EIA/15) and decision I/1 by the Meeting of the Parties to the Convention serving as the Meeting of the Parties to the Protocol (ECE/MP.EIA/SEA/2). Available as an informal publication at </w:t>
      </w:r>
      <w:hyperlink r:id="rId5" w:history="1">
        <w:r w:rsidR="005A5D7D" w:rsidRPr="008200F9">
          <w:rPr>
            <w:rStyle w:val="Hyperlink"/>
          </w:rPr>
          <w:t>https://unece.org/environment-policyenvironmental-assessment/meeting-parties-convention</w:t>
        </w:r>
      </w:hyperlink>
      <w:r w:rsidR="00353259">
        <w:t>.</w:t>
      </w:r>
    </w:p>
  </w:footnote>
  <w:footnote w:id="23">
    <w:p w14:paraId="599C66FC" w14:textId="6574C6B8" w:rsidR="00B07021" w:rsidRPr="000A648B" w:rsidRDefault="00CD1BB0">
      <w:pPr>
        <w:pStyle w:val="FootnoteText"/>
      </w:pPr>
      <w:r>
        <w:tab/>
      </w:r>
      <w:r w:rsidR="00B07021">
        <w:rPr>
          <w:rStyle w:val="FootnoteReference"/>
        </w:rPr>
        <w:footnoteRef/>
      </w:r>
      <w:r>
        <w:tab/>
      </w:r>
      <w:r w:rsidR="00B07021">
        <w:t xml:space="preserve">See </w:t>
      </w:r>
      <w:hyperlink r:id="rId6" w:history="1">
        <w:r w:rsidR="00B07021" w:rsidRPr="00EF0505">
          <w:rPr>
            <w:rStyle w:val="Hyperlink"/>
          </w:rPr>
          <w:t>www.who.int/europe/event/seventh-ministerial-conference-on-environment-and-health</w:t>
        </w:r>
      </w:hyperlink>
      <w:r w:rsidR="00B0702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E4E0" w14:textId="40A61305" w:rsidR="00B554D8" w:rsidRPr="00B554D8" w:rsidRDefault="00B554D8">
    <w:pPr>
      <w:pStyle w:val="Header"/>
    </w:pPr>
    <w:r>
      <w:t>ECE/MP.EIA/WG.2/202</w:t>
    </w:r>
    <w:r w:rsidR="00EB3E5B">
      <w:t>3</w:t>
    </w: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FDA2" w14:textId="4557B7FD" w:rsidR="00B554D8" w:rsidRPr="00B554D8" w:rsidRDefault="00B554D8" w:rsidP="00B554D8">
    <w:pPr>
      <w:pStyle w:val="Header"/>
      <w:jc w:val="right"/>
    </w:pPr>
    <w:r>
      <w:t>ECE/MP.EIA/WG.2/202</w:t>
    </w:r>
    <w:r w:rsidR="00EB3E5B">
      <w:t>3</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32627448">
    <w:abstractNumId w:val="1"/>
  </w:num>
  <w:num w:numId="2" w16cid:durableId="2035228650">
    <w:abstractNumId w:val="0"/>
  </w:num>
  <w:num w:numId="3" w16cid:durableId="744883387">
    <w:abstractNumId w:val="2"/>
  </w:num>
  <w:num w:numId="4" w16cid:durableId="697198104">
    <w:abstractNumId w:val="3"/>
  </w:num>
  <w:num w:numId="5" w16cid:durableId="612565332">
    <w:abstractNumId w:val="8"/>
  </w:num>
  <w:num w:numId="6" w16cid:durableId="468328419">
    <w:abstractNumId w:val="9"/>
  </w:num>
  <w:num w:numId="7" w16cid:durableId="112792357">
    <w:abstractNumId w:val="7"/>
  </w:num>
  <w:num w:numId="8" w16cid:durableId="976952903">
    <w:abstractNumId w:val="6"/>
  </w:num>
  <w:num w:numId="9" w16cid:durableId="1040545893">
    <w:abstractNumId w:val="5"/>
  </w:num>
  <w:num w:numId="10" w16cid:durableId="1437939606">
    <w:abstractNumId w:val="4"/>
  </w:num>
  <w:num w:numId="11" w16cid:durableId="1542132299">
    <w:abstractNumId w:val="15"/>
  </w:num>
  <w:num w:numId="12" w16cid:durableId="1043941114">
    <w:abstractNumId w:val="14"/>
  </w:num>
  <w:num w:numId="13" w16cid:durableId="907227013">
    <w:abstractNumId w:val="10"/>
  </w:num>
  <w:num w:numId="14" w16cid:durableId="2141267648">
    <w:abstractNumId w:val="12"/>
  </w:num>
  <w:num w:numId="15" w16cid:durableId="893583489">
    <w:abstractNumId w:val="16"/>
  </w:num>
  <w:num w:numId="16" w16cid:durableId="1852337633">
    <w:abstractNumId w:val="13"/>
  </w:num>
  <w:num w:numId="17" w16cid:durableId="74519752">
    <w:abstractNumId w:val="17"/>
  </w:num>
  <w:num w:numId="18" w16cid:durableId="106200675">
    <w:abstractNumId w:val="18"/>
  </w:num>
  <w:num w:numId="19" w16cid:durableId="192291294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B554D8"/>
    <w:rsid w:val="0000111C"/>
    <w:rsid w:val="00001135"/>
    <w:rsid w:val="00001D4C"/>
    <w:rsid w:val="000022A5"/>
    <w:rsid w:val="0000263C"/>
    <w:rsid w:val="00002A7D"/>
    <w:rsid w:val="000032E4"/>
    <w:rsid w:val="000038A8"/>
    <w:rsid w:val="00004805"/>
    <w:rsid w:val="00004B56"/>
    <w:rsid w:val="00006790"/>
    <w:rsid w:val="00006D36"/>
    <w:rsid w:val="000076AA"/>
    <w:rsid w:val="000100DA"/>
    <w:rsid w:val="00011FAF"/>
    <w:rsid w:val="000139EF"/>
    <w:rsid w:val="00014AF3"/>
    <w:rsid w:val="0001527E"/>
    <w:rsid w:val="00016264"/>
    <w:rsid w:val="00016A44"/>
    <w:rsid w:val="00016EB0"/>
    <w:rsid w:val="000207CF"/>
    <w:rsid w:val="00021C72"/>
    <w:rsid w:val="00021C89"/>
    <w:rsid w:val="0002365C"/>
    <w:rsid w:val="00023953"/>
    <w:rsid w:val="00023BAA"/>
    <w:rsid w:val="000244CC"/>
    <w:rsid w:val="00026266"/>
    <w:rsid w:val="00027624"/>
    <w:rsid w:val="00031A90"/>
    <w:rsid w:val="00031B65"/>
    <w:rsid w:val="00032670"/>
    <w:rsid w:val="000330A8"/>
    <w:rsid w:val="00033207"/>
    <w:rsid w:val="00033736"/>
    <w:rsid w:val="00034E30"/>
    <w:rsid w:val="00035BA2"/>
    <w:rsid w:val="00036370"/>
    <w:rsid w:val="000423D3"/>
    <w:rsid w:val="000453E2"/>
    <w:rsid w:val="00045750"/>
    <w:rsid w:val="00045FA5"/>
    <w:rsid w:val="00046A4F"/>
    <w:rsid w:val="000473F6"/>
    <w:rsid w:val="000474CD"/>
    <w:rsid w:val="00050533"/>
    <w:rsid w:val="00050F6B"/>
    <w:rsid w:val="00052684"/>
    <w:rsid w:val="00052E30"/>
    <w:rsid w:val="00052FBF"/>
    <w:rsid w:val="00053D44"/>
    <w:rsid w:val="00055312"/>
    <w:rsid w:val="00055B65"/>
    <w:rsid w:val="00056EB0"/>
    <w:rsid w:val="00057030"/>
    <w:rsid w:val="0006059B"/>
    <w:rsid w:val="000606B4"/>
    <w:rsid w:val="0006077B"/>
    <w:rsid w:val="00060818"/>
    <w:rsid w:val="000614C3"/>
    <w:rsid w:val="00061F66"/>
    <w:rsid w:val="000639E3"/>
    <w:rsid w:val="00063E77"/>
    <w:rsid w:val="000678CD"/>
    <w:rsid w:val="000678EA"/>
    <w:rsid w:val="00067F26"/>
    <w:rsid w:val="000710D0"/>
    <w:rsid w:val="00072AD0"/>
    <w:rsid w:val="00072C8C"/>
    <w:rsid w:val="000735E9"/>
    <w:rsid w:val="000739A6"/>
    <w:rsid w:val="00073D86"/>
    <w:rsid w:val="00077928"/>
    <w:rsid w:val="00077995"/>
    <w:rsid w:val="00077B56"/>
    <w:rsid w:val="00081CE0"/>
    <w:rsid w:val="00081F23"/>
    <w:rsid w:val="0008240C"/>
    <w:rsid w:val="000833F5"/>
    <w:rsid w:val="00084D30"/>
    <w:rsid w:val="00086A5B"/>
    <w:rsid w:val="00090320"/>
    <w:rsid w:val="00090D1E"/>
    <w:rsid w:val="00090D66"/>
    <w:rsid w:val="000910FB"/>
    <w:rsid w:val="00091A27"/>
    <w:rsid w:val="00091E0B"/>
    <w:rsid w:val="00091F9F"/>
    <w:rsid w:val="000931C0"/>
    <w:rsid w:val="00093846"/>
    <w:rsid w:val="000945FF"/>
    <w:rsid w:val="0009548E"/>
    <w:rsid w:val="000965E7"/>
    <w:rsid w:val="00096E98"/>
    <w:rsid w:val="0009727B"/>
    <w:rsid w:val="000A2E09"/>
    <w:rsid w:val="000A30F2"/>
    <w:rsid w:val="000A57F3"/>
    <w:rsid w:val="000A648B"/>
    <w:rsid w:val="000A6B58"/>
    <w:rsid w:val="000A7361"/>
    <w:rsid w:val="000B07CF"/>
    <w:rsid w:val="000B175B"/>
    <w:rsid w:val="000B3A0F"/>
    <w:rsid w:val="000B43E4"/>
    <w:rsid w:val="000B522B"/>
    <w:rsid w:val="000B52E6"/>
    <w:rsid w:val="000B646D"/>
    <w:rsid w:val="000B754A"/>
    <w:rsid w:val="000C3848"/>
    <w:rsid w:val="000C50C9"/>
    <w:rsid w:val="000C5366"/>
    <w:rsid w:val="000C563E"/>
    <w:rsid w:val="000C6310"/>
    <w:rsid w:val="000C7D09"/>
    <w:rsid w:val="000D3CEC"/>
    <w:rsid w:val="000D5094"/>
    <w:rsid w:val="000D64E6"/>
    <w:rsid w:val="000D735C"/>
    <w:rsid w:val="000E0415"/>
    <w:rsid w:val="000E2992"/>
    <w:rsid w:val="000E317D"/>
    <w:rsid w:val="000E4E1C"/>
    <w:rsid w:val="000E5552"/>
    <w:rsid w:val="000F065E"/>
    <w:rsid w:val="000F1883"/>
    <w:rsid w:val="000F2FA1"/>
    <w:rsid w:val="000F2FD6"/>
    <w:rsid w:val="000F4B31"/>
    <w:rsid w:val="000F71CF"/>
    <w:rsid w:val="000F737B"/>
    <w:rsid w:val="000F7715"/>
    <w:rsid w:val="00101051"/>
    <w:rsid w:val="00101677"/>
    <w:rsid w:val="00101F93"/>
    <w:rsid w:val="00103DB1"/>
    <w:rsid w:val="001042EC"/>
    <w:rsid w:val="00104A97"/>
    <w:rsid w:val="0010506F"/>
    <w:rsid w:val="001055EF"/>
    <w:rsid w:val="0011186E"/>
    <w:rsid w:val="00112CB8"/>
    <w:rsid w:val="00113B7B"/>
    <w:rsid w:val="00115FD7"/>
    <w:rsid w:val="0011784E"/>
    <w:rsid w:val="0012029C"/>
    <w:rsid w:val="00120367"/>
    <w:rsid w:val="001211DD"/>
    <w:rsid w:val="001212BA"/>
    <w:rsid w:val="001257DF"/>
    <w:rsid w:val="001259B5"/>
    <w:rsid w:val="00125DBD"/>
    <w:rsid w:val="001261EC"/>
    <w:rsid w:val="00127C82"/>
    <w:rsid w:val="00130BB2"/>
    <w:rsid w:val="00132571"/>
    <w:rsid w:val="001326A0"/>
    <w:rsid w:val="00132C58"/>
    <w:rsid w:val="00134B32"/>
    <w:rsid w:val="001350BF"/>
    <w:rsid w:val="00135A55"/>
    <w:rsid w:val="00135DBE"/>
    <w:rsid w:val="0013729F"/>
    <w:rsid w:val="001402F0"/>
    <w:rsid w:val="00143F7B"/>
    <w:rsid w:val="00145B56"/>
    <w:rsid w:val="00146264"/>
    <w:rsid w:val="001506C9"/>
    <w:rsid w:val="0015370D"/>
    <w:rsid w:val="00154429"/>
    <w:rsid w:val="00154E6E"/>
    <w:rsid w:val="00155160"/>
    <w:rsid w:val="00155361"/>
    <w:rsid w:val="0015652F"/>
    <w:rsid w:val="00156B99"/>
    <w:rsid w:val="001634EE"/>
    <w:rsid w:val="00163858"/>
    <w:rsid w:val="00163E80"/>
    <w:rsid w:val="001649B0"/>
    <w:rsid w:val="00165869"/>
    <w:rsid w:val="00166124"/>
    <w:rsid w:val="00170307"/>
    <w:rsid w:val="00170D4B"/>
    <w:rsid w:val="00170D91"/>
    <w:rsid w:val="00171D6E"/>
    <w:rsid w:val="001727E5"/>
    <w:rsid w:val="00174AE9"/>
    <w:rsid w:val="0017693C"/>
    <w:rsid w:val="00176AD3"/>
    <w:rsid w:val="001801BF"/>
    <w:rsid w:val="001825A0"/>
    <w:rsid w:val="00182C8A"/>
    <w:rsid w:val="001836D4"/>
    <w:rsid w:val="00183B33"/>
    <w:rsid w:val="00184DDA"/>
    <w:rsid w:val="001851C6"/>
    <w:rsid w:val="0018585A"/>
    <w:rsid w:val="00186197"/>
    <w:rsid w:val="001900CD"/>
    <w:rsid w:val="00190183"/>
    <w:rsid w:val="001912B8"/>
    <w:rsid w:val="00191946"/>
    <w:rsid w:val="00192511"/>
    <w:rsid w:val="00192936"/>
    <w:rsid w:val="00194BA4"/>
    <w:rsid w:val="00194E48"/>
    <w:rsid w:val="001A0452"/>
    <w:rsid w:val="001A062E"/>
    <w:rsid w:val="001A0681"/>
    <w:rsid w:val="001A5000"/>
    <w:rsid w:val="001A5DFD"/>
    <w:rsid w:val="001A5F80"/>
    <w:rsid w:val="001A6E8F"/>
    <w:rsid w:val="001A71D2"/>
    <w:rsid w:val="001A7B24"/>
    <w:rsid w:val="001B121B"/>
    <w:rsid w:val="001B227A"/>
    <w:rsid w:val="001B372F"/>
    <w:rsid w:val="001B4B04"/>
    <w:rsid w:val="001B5875"/>
    <w:rsid w:val="001B5F61"/>
    <w:rsid w:val="001B6751"/>
    <w:rsid w:val="001B6FCC"/>
    <w:rsid w:val="001B79BA"/>
    <w:rsid w:val="001C1748"/>
    <w:rsid w:val="001C4B9C"/>
    <w:rsid w:val="001C6663"/>
    <w:rsid w:val="001C73FD"/>
    <w:rsid w:val="001C7895"/>
    <w:rsid w:val="001C7B42"/>
    <w:rsid w:val="001C7E9D"/>
    <w:rsid w:val="001D0B86"/>
    <w:rsid w:val="001D26DF"/>
    <w:rsid w:val="001D2856"/>
    <w:rsid w:val="001D2F34"/>
    <w:rsid w:val="001D4768"/>
    <w:rsid w:val="001D52D6"/>
    <w:rsid w:val="001D790C"/>
    <w:rsid w:val="001E0D44"/>
    <w:rsid w:val="001E0E71"/>
    <w:rsid w:val="001E11EF"/>
    <w:rsid w:val="001E3A7B"/>
    <w:rsid w:val="001E4294"/>
    <w:rsid w:val="001E5961"/>
    <w:rsid w:val="001F03C1"/>
    <w:rsid w:val="001F0CCB"/>
    <w:rsid w:val="001F1599"/>
    <w:rsid w:val="001F19C4"/>
    <w:rsid w:val="001F3597"/>
    <w:rsid w:val="001F3715"/>
    <w:rsid w:val="001F43CC"/>
    <w:rsid w:val="001F4B41"/>
    <w:rsid w:val="001F5355"/>
    <w:rsid w:val="001F596A"/>
    <w:rsid w:val="00201823"/>
    <w:rsid w:val="0020265D"/>
    <w:rsid w:val="002034E2"/>
    <w:rsid w:val="00203847"/>
    <w:rsid w:val="00203BE3"/>
    <w:rsid w:val="002043F0"/>
    <w:rsid w:val="00205041"/>
    <w:rsid w:val="00205F9A"/>
    <w:rsid w:val="002105E9"/>
    <w:rsid w:val="00211E0B"/>
    <w:rsid w:val="00212FDB"/>
    <w:rsid w:val="002135AE"/>
    <w:rsid w:val="002154DD"/>
    <w:rsid w:val="00215A8B"/>
    <w:rsid w:val="00216CA7"/>
    <w:rsid w:val="002173BA"/>
    <w:rsid w:val="002173E5"/>
    <w:rsid w:val="002228E7"/>
    <w:rsid w:val="00222DB7"/>
    <w:rsid w:val="002322E3"/>
    <w:rsid w:val="00232575"/>
    <w:rsid w:val="00233002"/>
    <w:rsid w:val="00233580"/>
    <w:rsid w:val="00233B16"/>
    <w:rsid w:val="002349FD"/>
    <w:rsid w:val="00236B1E"/>
    <w:rsid w:val="00236C17"/>
    <w:rsid w:val="00236C65"/>
    <w:rsid w:val="00236CD5"/>
    <w:rsid w:val="002377D7"/>
    <w:rsid w:val="0023786F"/>
    <w:rsid w:val="002405A2"/>
    <w:rsid w:val="0024060F"/>
    <w:rsid w:val="00241022"/>
    <w:rsid w:val="00241595"/>
    <w:rsid w:val="002429D1"/>
    <w:rsid w:val="002433B2"/>
    <w:rsid w:val="0024400F"/>
    <w:rsid w:val="00245089"/>
    <w:rsid w:val="002461B0"/>
    <w:rsid w:val="00246EA2"/>
    <w:rsid w:val="00247258"/>
    <w:rsid w:val="00251009"/>
    <w:rsid w:val="00251B1F"/>
    <w:rsid w:val="0025224D"/>
    <w:rsid w:val="00253C09"/>
    <w:rsid w:val="00254304"/>
    <w:rsid w:val="002573D2"/>
    <w:rsid w:val="00257BA3"/>
    <w:rsid w:val="00257CAC"/>
    <w:rsid w:val="00260548"/>
    <w:rsid w:val="00261338"/>
    <w:rsid w:val="002624D8"/>
    <w:rsid w:val="00262776"/>
    <w:rsid w:val="0026324F"/>
    <w:rsid w:val="00265521"/>
    <w:rsid w:val="00267F45"/>
    <w:rsid w:val="00270819"/>
    <w:rsid w:val="002716BB"/>
    <w:rsid w:val="00271C54"/>
    <w:rsid w:val="00271D4D"/>
    <w:rsid w:val="0027237A"/>
    <w:rsid w:val="00272D9F"/>
    <w:rsid w:val="00273655"/>
    <w:rsid w:val="00273B41"/>
    <w:rsid w:val="0027669A"/>
    <w:rsid w:val="00276D17"/>
    <w:rsid w:val="002772E9"/>
    <w:rsid w:val="0028059E"/>
    <w:rsid w:val="002819F3"/>
    <w:rsid w:val="0028423E"/>
    <w:rsid w:val="002846DE"/>
    <w:rsid w:val="00286CDB"/>
    <w:rsid w:val="00286E39"/>
    <w:rsid w:val="00287C79"/>
    <w:rsid w:val="002911CB"/>
    <w:rsid w:val="00291593"/>
    <w:rsid w:val="0029314C"/>
    <w:rsid w:val="0029360D"/>
    <w:rsid w:val="00295651"/>
    <w:rsid w:val="0029656C"/>
    <w:rsid w:val="00296AC0"/>
    <w:rsid w:val="002971D0"/>
    <w:rsid w:val="002974E9"/>
    <w:rsid w:val="002A0132"/>
    <w:rsid w:val="002A0186"/>
    <w:rsid w:val="002A060C"/>
    <w:rsid w:val="002A18C6"/>
    <w:rsid w:val="002A2C75"/>
    <w:rsid w:val="002A37C1"/>
    <w:rsid w:val="002A6171"/>
    <w:rsid w:val="002A7F94"/>
    <w:rsid w:val="002B0533"/>
    <w:rsid w:val="002B109A"/>
    <w:rsid w:val="002B164D"/>
    <w:rsid w:val="002B1FF8"/>
    <w:rsid w:val="002B2B15"/>
    <w:rsid w:val="002B35B0"/>
    <w:rsid w:val="002B59B5"/>
    <w:rsid w:val="002B65C2"/>
    <w:rsid w:val="002B6622"/>
    <w:rsid w:val="002B7A67"/>
    <w:rsid w:val="002C1FA9"/>
    <w:rsid w:val="002C250E"/>
    <w:rsid w:val="002C3241"/>
    <w:rsid w:val="002C48E8"/>
    <w:rsid w:val="002C529B"/>
    <w:rsid w:val="002C6D45"/>
    <w:rsid w:val="002C6F0F"/>
    <w:rsid w:val="002C7728"/>
    <w:rsid w:val="002D0428"/>
    <w:rsid w:val="002D096C"/>
    <w:rsid w:val="002D1D26"/>
    <w:rsid w:val="002D2D86"/>
    <w:rsid w:val="002D6E53"/>
    <w:rsid w:val="002D7C60"/>
    <w:rsid w:val="002E21ED"/>
    <w:rsid w:val="002E2A0D"/>
    <w:rsid w:val="002E4A6B"/>
    <w:rsid w:val="002E70C1"/>
    <w:rsid w:val="002F046D"/>
    <w:rsid w:val="002F08A2"/>
    <w:rsid w:val="002F08A6"/>
    <w:rsid w:val="002F1815"/>
    <w:rsid w:val="002F3023"/>
    <w:rsid w:val="002F3367"/>
    <w:rsid w:val="002F371C"/>
    <w:rsid w:val="002F5770"/>
    <w:rsid w:val="002F58DD"/>
    <w:rsid w:val="0030059A"/>
    <w:rsid w:val="00300E1B"/>
    <w:rsid w:val="00301764"/>
    <w:rsid w:val="00301B22"/>
    <w:rsid w:val="00302573"/>
    <w:rsid w:val="0030279D"/>
    <w:rsid w:val="003032A6"/>
    <w:rsid w:val="00303D8D"/>
    <w:rsid w:val="00305022"/>
    <w:rsid w:val="00305220"/>
    <w:rsid w:val="00305772"/>
    <w:rsid w:val="00310367"/>
    <w:rsid w:val="00311212"/>
    <w:rsid w:val="00313F91"/>
    <w:rsid w:val="00316047"/>
    <w:rsid w:val="003163FD"/>
    <w:rsid w:val="00316B3C"/>
    <w:rsid w:val="00320520"/>
    <w:rsid w:val="00320D99"/>
    <w:rsid w:val="00321F8A"/>
    <w:rsid w:val="003229D8"/>
    <w:rsid w:val="0032362B"/>
    <w:rsid w:val="00323AC5"/>
    <w:rsid w:val="003240F3"/>
    <w:rsid w:val="00325D82"/>
    <w:rsid w:val="003269BC"/>
    <w:rsid w:val="00327120"/>
    <w:rsid w:val="003334BB"/>
    <w:rsid w:val="003353AB"/>
    <w:rsid w:val="00335C42"/>
    <w:rsid w:val="00336029"/>
    <w:rsid w:val="00336C97"/>
    <w:rsid w:val="00337613"/>
    <w:rsid w:val="00337C66"/>
    <w:rsid w:val="00337F88"/>
    <w:rsid w:val="00342432"/>
    <w:rsid w:val="003439B7"/>
    <w:rsid w:val="00345FD2"/>
    <w:rsid w:val="00347838"/>
    <w:rsid w:val="00350B63"/>
    <w:rsid w:val="0035223F"/>
    <w:rsid w:val="0035279D"/>
    <w:rsid w:val="00352D4B"/>
    <w:rsid w:val="00353259"/>
    <w:rsid w:val="00354262"/>
    <w:rsid w:val="00354A53"/>
    <w:rsid w:val="0035638C"/>
    <w:rsid w:val="00357CFE"/>
    <w:rsid w:val="00361BA6"/>
    <w:rsid w:val="003641C7"/>
    <w:rsid w:val="00364B7C"/>
    <w:rsid w:val="00364F72"/>
    <w:rsid w:val="00365F31"/>
    <w:rsid w:val="00367A01"/>
    <w:rsid w:val="00370D34"/>
    <w:rsid w:val="00371D14"/>
    <w:rsid w:val="00372175"/>
    <w:rsid w:val="003735F9"/>
    <w:rsid w:val="00373A96"/>
    <w:rsid w:val="0037419F"/>
    <w:rsid w:val="0037535F"/>
    <w:rsid w:val="00375947"/>
    <w:rsid w:val="003759D0"/>
    <w:rsid w:val="00376984"/>
    <w:rsid w:val="00380CAD"/>
    <w:rsid w:val="003812FB"/>
    <w:rsid w:val="00381A36"/>
    <w:rsid w:val="003828D5"/>
    <w:rsid w:val="003843CD"/>
    <w:rsid w:val="00384511"/>
    <w:rsid w:val="003857C3"/>
    <w:rsid w:val="00391561"/>
    <w:rsid w:val="00391882"/>
    <w:rsid w:val="00392E9C"/>
    <w:rsid w:val="0039371F"/>
    <w:rsid w:val="0039714F"/>
    <w:rsid w:val="00397FB0"/>
    <w:rsid w:val="003A0077"/>
    <w:rsid w:val="003A11CB"/>
    <w:rsid w:val="003A1A67"/>
    <w:rsid w:val="003A23BD"/>
    <w:rsid w:val="003A42F1"/>
    <w:rsid w:val="003A46BB"/>
    <w:rsid w:val="003A4EC7"/>
    <w:rsid w:val="003A4F9D"/>
    <w:rsid w:val="003A50C0"/>
    <w:rsid w:val="003A5AF1"/>
    <w:rsid w:val="003A6B7B"/>
    <w:rsid w:val="003A7295"/>
    <w:rsid w:val="003A77DF"/>
    <w:rsid w:val="003B009E"/>
    <w:rsid w:val="003B04C6"/>
    <w:rsid w:val="003B17AB"/>
    <w:rsid w:val="003B1F60"/>
    <w:rsid w:val="003B4120"/>
    <w:rsid w:val="003B70B6"/>
    <w:rsid w:val="003B7827"/>
    <w:rsid w:val="003C2CC4"/>
    <w:rsid w:val="003C2FA8"/>
    <w:rsid w:val="003C366A"/>
    <w:rsid w:val="003C3C04"/>
    <w:rsid w:val="003C3DCF"/>
    <w:rsid w:val="003C41F0"/>
    <w:rsid w:val="003D0A98"/>
    <w:rsid w:val="003D1284"/>
    <w:rsid w:val="003D22CC"/>
    <w:rsid w:val="003D2FD5"/>
    <w:rsid w:val="003D3481"/>
    <w:rsid w:val="003D3F5C"/>
    <w:rsid w:val="003D4B23"/>
    <w:rsid w:val="003D55DF"/>
    <w:rsid w:val="003D56EA"/>
    <w:rsid w:val="003D5B7C"/>
    <w:rsid w:val="003D5CC8"/>
    <w:rsid w:val="003E0742"/>
    <w:rsid w:val="003E10E0"/>
    <w:rsid w:val="003E1F20"/>
    <w:rsid w:val="003E213A"/>
    <w:rsid w:val="003E2500"/>
    <w:rsid w:val="003E278A"/>
    <w:rsid w:val="003E3115"/>
    <w:rsid w:val="003E778B"/>
    <w:rsid w:val="003E782B"/>
    <w:rsid w:val="003E7A61"/>
    <w:rsid w:val="003E7B30"/>
    <w:rsid w:val="003F0FC5"/>
    <w:rsid w:val="003F1317"/>
    <w:rsid w:val="003F23C5"/>
    <w:rsid w:val="003F4CD2"/>
    <w:rsid w:val="003F6EDE"/>
    <w:rsid w:val="003F7945"/>
    <w:rsid w:val="003F7E75"/>
    <w:rsid w:val="00400C0D"/>
    <w:rsid w:val="004013F8"/>
    <w:rsid w:val="00402A65"/>
    <w:rsid w:val="00402D60"/>
    <w:rsid w:val="00404EF6"/>
    <w:rsid w:val="00404F35"/>
    <w:rsid w:val="004052FF"/>
    <w:rsid w:val="00411CBB"/>
    <w:rsid w:val="00411FCA"/>
    <w:rsid w:val="00412878"/>
    <w:rsid w:val="00413520"/>
    <w:rsid w:val="0041374C"/>
    <w:rsid w:val="00413D3D"/>
    <w:rsid w:val="00415701"/>
    <w:rsid w:val="00415C5D"/>
    <w:rsid w:val="00415F7B"/>
    <w:rsid w:val="004167D3"/>
    <w:rsid w:val="00416AEC"/>
    <w:rsid w:val="004178CC"/>
    <w:rsid w:val="004178CE"/>
    <w:rsid w:val="00420795"/>
    <w:rsid w:val="00422979"/>
    <w:rsid w:val="00422A2A"/>
    <w:rsid w:val="004240D0"/>
    <w:rsid w:val="00424743"/>
    <w:rsid w:val="004275E7"/>
    <w:rsid w:val="00430849"/>
    <w:rsid w:val="004312EA"/>
    <w:rsid w:val="0043149D"/>
    <w:rsid w:val="004325CB"/>
    <w:rsid w:val="004329F5"/>
    <w:rsid w:val="004336E5"/>
    <w:rsid w:val="00433959"/>
    <w:rsid w:val="00433E20"/>
    <w:rsid w:val="00434729"/>
    <w:rsid w:val="00434781"/>
    <w:rsid w:val="00440A07"/>
    <w:rsid w:val="00442C34"/>
    <w:rsid w:val="00443805"/>
    <w:rsid w:val="00443BEF"/>
    <w:rsid w:val="0044430D"/>
    <w:rsid w:val="00446678"/>
    <w:rsid w:val="00447180"/>
    <w:rsid w:val="0045225F"/>
    <w:rsid w:val="004534A6"/>
    <w:rsid w:val="00453E81"/>
    <w:rsid w:val="004540BD"/>
    <w:rsid w:val="00456A77"/>
    <w:rsid w:val="00456E3E"/>
    <w:rsid w:val="00456F70"/>
    <w:rsid w:val="004575DA"/>
    <w:rsid w:val="004624EF"/>
    <w:rsid w:val="00462760"/>
    <w:rsid w:val="00462880"/>
    <w:rsid w:val="0046390C"/>
    <w:rsid w:val="00464AFD"/>
    <w:rsid w:val="004666F3"/>
    <w:rsid w:val="004700AA"/>
    <w:rsid w:val="004723E9"/>
    <w:rsid w:val="00472DD5"/>
    <w:rsid w:val="00473164"/>
    <w:rsid w:val="00473BF0"/>
    <w:rsid w:val="00474949"/>
    <w:rsid w:val="00474E15"/>
    <w:rsid w:val="00475B32"/>
    <w:rsid w:val="00476F24"/>
    <w:rsid w:val="00480239"/>
    <w:rsid w:val="004803CF"/>
    <w:rsid w:val="004827A1"/>
    <w:rsid w:val="00482B34"/>
    <w:rsid w:val="0048354A"/>
    <w:rsid w:val="004838E0"/>
    <w:rsid w:val="00483C8D"/>
    <w:rsid w:val="00486CCA"/>
    <w:rsid w:val="004874D5"/>
    <w:rsid w:val="00490A3C"/>
    <w:rsid w:val="00491125"/>
    <w:rsid w:val="0049122E"/>
    <w:rsid w:val="004917DC"/>
    <w:rsid w:val="00493317"/>
    <w:rsid w:val="00494E39"/>
    <w:rsid w:val="004A03D3"/>
    <w:rsid w:val="004A09A9"/>
    <w:rsid w:val="004A0C09"/>
    <w:rsid w:val="004A1EE3"/>
    <w:rsid w:val="004A39AF"/>
    <w:rsid w:val="004A3C59"/>
    <w:rsid w:val="004A634D"/>
    <w:rsid w:val="004B1636"/>
    <w:rsid w:val="004B259D"/>
    <w:rsid w:val="004B2EB8"/>
    <w:rsid w:val="004B4288"/>
    <w:rsid w:val="004B57E7"/>
    <w:rsid w:val="004C09E0"/>
    <w:rsid w:val="004C159C"/>
    <w:rsid w:val="004C169B"/>
    <w:rsid w:val="004C316C"/>
    <w:rsid w:val="004C53EB"/>
    <w:rsid w:val="004C55B0"/>
    <w:rsid w:val="004C5EC5"/>
    <w:rsid w:val="004C7492"/>
    <w:rsid w:val="004D0EBF"/>
    <w:rsid w:val="004D18B4"/>
    <w:rsid w:val="004D1940"/>
    <w:rsid w:val="004D3672"/>
    <w:rsid w:val="004D682F"/>
    <w:rsid w:val="004D6F85"/>
    <w:rsid w:val="004D75D1"/>
    <w:rsid w:val="004D7B32"/>
    <w:rsid w:val="004E19C4"/>
    <w:rsid w:val="004E1F08"/>
    <w:rsid w:val="004E3835"/>
    <w:rsid w:val="004E3A30"/>
    <w:rsid w:val="004E5ECC"/>
    <w:rsid w:val="004E5FA0"/>
    <w:rsid w:val="004E710C"/>
    <w:rsid w:val="004E7BE5"/>
    <w:rsid w:val="004F089F"/>
    <w:rsid w:val="004F2236"/>
    <w:rsid w:val="004F2648"/>
    <w:rsid w:val="004F5144"/>
    <w:rsid w:val="004F51E4"/>
    <w:rsid w:val="004F6BA0"/>
    <w:rsid w:val="004F6E86"/>
    <w:rsid w:val="004F78E0"/>
    <w:rsid w:val="005013F6"/>
    <w:rsid w:val="00502299"/>
    <w:rsid w:val="0050238E"/>
    <w:rsid w:val="00502C73"/>
    <w:rsid w:val="005036A1"/>
    <w:rsid w:val="00503BEA"/>
    <w:rsid w:val="00506A83"/>
    <w:rsid w:val="005078FD"/>
    <w:rsid w:val="00510377"/>
    <w:rsid w:val="00512808"/>
    <w:rsid w:val="0051302F"/>
    <w:rsid w:val="00513296"/>
    <w:rsid w:val="0051423D"/>
    <w:rsid w:val="00514FF8"/>
    <w:rsid w:val="00515D21"/>
    <w:rsid w:val="00516078"/>
    <w:rsid w:val="0051795B"/>
    <w:rsid w:val="00521E10"/>
    <w:rsid w:val="005230D4"/>
    <w:rsid w:val="00523A75"/>
    <w:rsid w:val="00524D3B"/>
    <w:rsid w:val="00524D54"/>
    <w:rsid w:val="0052545F"/>
    <w:rsid w:val="005259FA"/>
    <w:rsid w:val="00527370"/>
    <w:rsid w:val="005305EC"/>
    <w:rsid w:val="00531039"/>
    <w:rsid w:val="00533177"/>
    <w:rsid w:val="00533495"/>
    <w:rsid w:val="00533616"/>
    <w:rsid w:val="00534F28"/>
    <w:rsid w:val="0053517F"/>
    <w:rsid w:val="00535371"/>
    <w:rsid w:val="00535ABA"/>
    <w:rsid w:val="00536BD4"/>
    <w:rsid w:val="00536CE1"/>
    <w:rsid w:val="00536D01"/>
    <w:rsid w:val="00536ED0"/>
    <w:rsid w:val="005375AE"/>
    <w:rsid w:val="0053768B"/>
    <w:rsid w:val="005407D5"/>
    <w:rsid w:val="00540AAC"/>
    <w:rsid w:val="00540F2A"/>
    <w:rsid w:val="00541CBF"/>
    <w:rsid w:val="005420F2"/>
    <w:rsid w:val="0054285C"/>
    <w:rsid w:val="0054440D"/>
    <w:rsid w:val="00547348"/>
    <w:rsid w:val="005512A5"/>
    <w:rsid w:val="00551444"/>
    <w:rsid w:val="005524AF"/>
    <w:rsid w:val="00553D29"/>
    <w:rsid w:val="005547BC"/>
    <w:rsid w:val="0055526F"/>
    <w:rsid w:val="0055589A"/>
    <w:rsid w:val="00557407"/>
    <w:rsid w:val="0056013C"/>
    <w:rsid w:val="00561847"/>
    <w:rsid w:val="00561EAA"/>
    <w:rsid w:val="005620C5"/>
    <w:rsid w:val="0056214A"/>
    <w:rsid w:val="0056317F"/>
    <w:rsid w:val="005635CA"/>
    <w:rsid w:val="00566BBD"/>
    <w:rsid w:val="0056730C"/>
    <w:rsid w:val="00567EE8"/>
    <w:rsid w:val="00570050"/>
    <w:rsid w:val="0057078C"/>
    <w:rsid w:val="00572455"/>
    <w:rsid w:val="005735E0"/>
    <w:rsid w:val="00574346"/>
    <w:rsid w:val="00574A28"/>
    <w:rsid w:val="00576445"/>
    <w:rsid w:val="00576A20"/>
    <w:rsid w:val="00580BBD"/>
    <w:rsid w:val="00580EA0"/>
    <w:rsid w:val="0058150C"/>
    <w:rsid w:val="00583BC0"/>
    <w:rsid w:val="00583D23"/>
    <w:rsid w:val="00584162"/>
    <w:rsid w:val="00584173"/>
    <w:rsid w:val="00586C2E"/>
    <w:rsid w:val="005907F1"/>
    <w:rsid w:val="00591270"/>
    <w:rsid w:val="00591697"/>
    <w:rsid w:val="00591C1F"/>
    <w:rsid w:val="00592201"/>
    <w:rsid w:val="00593895"/>
    <w:rsid w:val="00594242"/>
    <w:rsid w:val="00594A5C"/>
    <w:rsid w:val="00594A99"/>
    <w:rsid w:val="00595520"/>
    <w:rsid w:val="00595B23"/>
    <w:rsid w:val="005A0574"/>
    <w:rsid w:val="005A2243"/>
    <w:rsid w:val="005A44B9"/>
    <w:rsid w:val="005A5BE4"/>
    <w:rsid w:val="005A5C40"/>
    <w:rsid w:val="005A5D7D"/>
    <w:rsid w:val="005B0A2B"/>
    <w:rsid w:val="005B1542"/>
    <w:rsid w:val="005B1BA0"/>
    <w:rsid w:val="005B1E40"/>
    <w:rsid w:val="005B26E9"/>
    <w:rsid w:val="005B35C7"/>
    <w:rsid w:val="005B3DB3"/>
    <w:rsid w:val="005B47D4"/>
    <w:rsid w:val="005B5D2C"/>
    <w:rsid w:val="005B731A"/>
    <w:rsid w:val="005C033B"/>
    <w:rsid w:val="005C0350"/>
    <w:rsid w:val="005C1752"/>
    <w:rsid w:val="005C31E3"/>
    <w:rsid w:val="005C5514"/>
    <w:rsid w:val="005D15CA"/>
    <w:rsid w:val="005D21A1"/>
    <w:rsid w:val="005D397D"/>
    <w:rsid w:val="005D647C"/>
    <w:rsid w:val="005D6692"/>
    <w:rsid w:val="005D66BC"/>
    <w:rsid w:val="005D6EC6"/>
    <w:rsid w:val="005E02B5"/>
    <w:rsid w:val="005E2EBB"/>
    <w:rsid w:val="005E3347"/>
    <w:rsid w:val="005E63DB"/>
    <w:rsid w:val="005E7159"/>
    <w:rsid w:val="005E7CA8"/>
    <w:rsid w:val="005F08DF"/>
    <w:rsid w:val="005F3066"/>
    <w:rsid w:val="005F3E61"/>
    <w:rsid w:val="005F66FE"/>
    <w:rsid w:val="005F67F5"/>
    <w:rsid w:val="005F7BF4"/>
    <w:rsid w:val="00603AB2"/>
    <w:rsid w:val="00604626"/>
    <w:rsid w:val="00604DDD"/>
    <w:rsid w:val="00606954"/>
    <w:rsid w:val="00606C09"/>
    <w:rsid w:val="00606CE7"/>
    <w:rsid w:val="00607797"/>
    <w:rsid w:val="00610F87"/>
    <w:rsid w:val="006115CC"/>
    <w:rsid w:val="00611FC4"/>
    <w:rsid w:val="00612D7B"/>
    <w:rsid w:val="006143E4"/>
    <w:rsid w:val="0061662E"/>
    <w:rsid w:val="006176FB"/>
    <w:rsid w:val="00620D34"/>
    <w:rsid w:val="00621442"/>
    <w:rsid w:val="00621FA8"/>
    <w:rsid w:val="00623E10"/>
    <w:rsid w:val="00625482"/>
    <w:rsid w:val="0062572E"/>
    <w:rsid w:val="00625AC3"/>
    <w:rsid w:val="00630275"/>
    <w:rsid w:val="00630FCB"/>
    <w:rsid w:val="0063107A"/>
    <w:rsid w:val="00636340"/>
    <w:rsid w:val="006372B7"/>
    <w:rsid w:val="006375EB"/>
    <w:rsid w:val="00640766"/>
    <w:rsid w:val="00640B26"/>
    <w:rsid w:val="006410E4"/>
    <w:rsid w:val="00642E9B"/>
    <w:rsid w:val="0064348B"/>
    <w:rsid w:val="00643560"/>
    <w:rsid w:val="006435CF"/>
    <w:rsid w:val="00643735"/>
    <w:rsid w:val="006443AC"/>
    <w:rsid w:val="00646ED2"/>
    <w:rsid w:val="0064703B"/>
    <w:rsid w:val="0064750E"/>
    <w:rsid w:val="0065404D"/>
    <w:rsid w:val="00654184"/>
    <w:rsid w:val="0065766B"/>
    <w:rsid w:val="00661E80"/>
    <w:rsid w:val="0066332A"/>
    <w:rsid w:val="006642C0"/>
    <w:rsid w:val="006643A4"/>
    <w:rsid w:val="00664B15"/>
    <w:rsid w:val="00665AE7"/>
    <w:rsid w:val="00665DD4"/>
    <w:rsid w:val="00666F2D"/>
    <w:rsid w:val="006704F0"/>
    <w:rsid w:val="00671E84"/>
    <w:rsid w:val="00673F15"/>
    <w:rsid w:val="00674FB7"/>
    <w:rsid w:val="00675244"/>
    <w:rsid w:val="00675FEA"/>
    <w:rsid w:val="00676A48"/>
    <w:rsid w:val="006770B2"/>
    <w:rsid w:val="00680808"/>
    <w:rsid w:val="00682313"/>
    <w:rsid w:val="00683056"/>
    <w:rsid w:val="006833F9"/>
    <w:rsid w:val="00684127"/>
    <w:rsid w:val="00684206"/>
    <w:rsid w:val="006852F5"/>
    <w:rsid w:val="00686A48"/>
    <w:rsid w:val="00691842"/>
    <w:rsid w:val="00692016"/>
    <w:rsid w:val="006921BD"/>
    <w:rsid w:val="00692F4A"/>
    <w:rsid w:val="006932D4"/>
    <w:rsid w:val="00693F28"/>
    <w:rsid w:val="006940E1"/>
    <w:rsid w:val="00695872"/>
    <w:rsid w:val="00695CC0"/>
    <w:rsid w:val="00695EAB"/>
    <w:rsid w:val="00697778"/>
    <w:rsid w:val="006A1339"/>
    <w:rsid w:val="006A2108"/>
    <w:rsid w:val="006A342E"/>
    <w:rsid w:val="006A3898"/>
    <w:rsid w:val="006A3C72"/>
    <w:rsid w:val="006A5054"/>
    <w:rsid w:val="006A538E"/>
    <w:rsid w:val="006A7392"/>
    <w:rsid w:val="006A73E4"/>
    <w:rsid w:val="006B03A1"/>
    <w:rsid w:val="006B131E"/>
    <w:rsid w:val="006B158F"/>
    <w:rsid w:val="006B16FD"/>
    <w:rsid w:val="006B1A37"/>
    <w:rsid w:val="006B1AAC"/>
    <w:rsid w:val="006B24D7"/>
    <w:rsid w:val="006B3BB4"/>
    <w:rsid w:val="006B4753"/>
    <w:rsid w:val="006B509C"/>
    <w:rsid w:val="006B5F2C"/>
    <w:rsid w:val="006B67D9"/>
    <w:rsid w:val="006B7246"/>
    <w:rsid w:val="006C1C0B"/>
    <w:rsid w:val="006C2DA3"/>
    <w:rsid w:val="006C5535"/>
    <w:rsid w:val="006C58AE"/>
    <w:rsid w:val="006C77ED"/>
    <w:rsid w:val="006D02FF"/>
    <w:rsid w:val="006D0589"/>
    <w:rsid w:val="006D1656"/>
    <w:rsid w:val="006D1C77"/>
    <w:rsid w:val="006D2A8B"/>
    <w:rsid w:val="006D3340"/>
    <w:rsid w:val="006D69E7"/>
    <w:rsid w:val="006D6FC1"/>
    <w:rsid w:val="006D7DF5"/>
    <w:rsid w:val="006E1AB0"/>
    <w:rsid w:val="006E2456"/>
    <w:rsid w:val="006E30FC"/>
    <w:rsid w:val="006E3926"/>
    <w:rsid w:val="006E564B"/>
    <w:rsid w:val="006E5EF0"/>
    <w:rsid w:val="006E659F"/>
    <w:rsid w:val="006E7013"/>
    <w:rsid w:val="006E7154"/>
    <w:rsid w:val="006E7ACC"/>
    <w:rsid w:val="006F0125"/>
    <w:rsid w:val="006F13BD"/>
    <w:rsid w:val="006F2F75"/>
    <w:rsid w:val="006F4597"/>
    <w:rsid w:val="006F4C15"/>
    <w:rsid w:val="006F6737"/>
    <w:rsid w:val="006F7AFD"/>
    <w:rsid w:val="007003CD"/>
    <w:rsid w:val="00700D7A"/>
    <w:rsid w:val="00700E61"/>
    <w:rsid w:val="00702BE7"/>
    <w:rsid w:val="00703A67"/>
    <w:rsid w:val="00703AA9"/>
    <w:rsid w:val="00705D9B"/>
    <w:rsid w:val="00706BDF"/>
    <w:rsid w:val="00706D1A"/>
    <w:rsid w:val="0070701E"/>
    <w:rsid w:val="00707826"/>
    <w:rsid w:val="007107B0"/>
    <w:rsid w:val="00710D28"/>
    <w:rsid w:val="007111E2"/>
    <w:rsid w:val="00711AC7"/>
    <w:rsid w:val="00711F5F"/>
    <w:rsid w:val="00712B4E"/>
    <w:rsid w:val="007140B9"/>
    <w:rsid w:val="007142AB"/>
    <w:rsid w:val="0071477B"/>
    <w:rsid w:val="0071557C"/>
    <w:rsid w:val="007169A1"/>
    <w:rsid w:val="00720F9B"/>
    <w:rsid w:val="0072219B"/>
    <w:rsid w:val="00725029"/>
    <w:rsid w:val="007252B1"/>
    <w:rsid w:val="0072553C"/>
    <w:rsid w:val="0072632A"/>
    <w:rsid w:val="00727821"/>
    <w:rsid w:val="00727E5E"/>
    <w:rsid w:val="00732BDF"/>
    <w:rsid w:val="007336E1"/>
    <w:rsid w:val="00733B8A"/>
    <w:rsid w:val="00735655"/>
    <w:rsid w:val="0073587A"/>
    <w:rsid w:val="007358E8"/>
    <w:rsid w:val="00735A29"/>
    <w:rsid w:val="00736ECE"/>
    <w:rsid w:val="00737F0A"/>
    <w:rsid w:val="00743BEA"/>
    <w:rsid w:val="00744617"/>
    <w:rsid w:val="007446B8"/>
    <w:rsid w:val="0074533B"/>
    <w:rsid w:val="00745432"/>
    <w:rsid w:val="00745EFA"/>
    <w:rsid w:val="00747E20"/>
    <w:rsid w:val="00750DB6"/>
    <w:rsid w:val="00753401"/>
    <w:rsid w:val="00753C9A"/>
    <w:rsid w:val="007551A1"/>
    <w:rsid w:val="00755F07"/>
    <w:rsid w:val="00756C2A"/>
    <w:rsid w:val="00756C31"/>
    <w:rsid w:val="00756F88"/>
    <w:rsid w:val="00757CD7"/>
    <w:rsid w:val="00760D6C"/>
    <w:rsid w:val="007614D9"/>
    <w:rsid w:val="0076166E"/>
    <w:rsid w:val="007622C8"/>
    <w:rsid w:val="007643BC"/>
    <w:rsid w:val="00764D9A"/>
    <w:rsid w:val="00767039"/>
    <w:rsid w:val="00770095"/>
    <w:rsid w:val="00770BE4"/>
    <w:rsid w:val="00770D22"/>
    <w:rsid w:val="00772C7D"/>
    <w:rsid w:val="00780C68"/>
    <w:rsid w:val="00780D88"/>
    <w:rsid w:val="00780D93"/>
    <w:rsid w:val="00782629"/>
    <w:rsid w:val="00782F55"/>
    <w:rsid w:val="00785560"/>
    <w:rsid w:val="007855C8"/>
    <w:rsid w:val="0078628C"/>
    <w:rsid w:val="00786A74"/>
    <w:rsid w:val="00787451"/>
    <w:rsid w:val="00787494"/>
    <w:rsid w:val="00792205"/>
    <w:rsid w:val="007922FF"/>
    <w:rsid w:val="00793EFA"/>
    <w:rsid w:val="007959FE"/>
    <w:rsid w:val="007A08FF"/>
    <w:rsid w:val="007A0CF1"/>
    <w:rsid w:val="007A13A8"/>
    <w:rsid w:val="007A1818"/>
    <w:rsid w:val="007A1B8E"/>
    <w:rsid w:val="007A34CF"/>
    <w:rsid w:val="007A3853"/>
    <w:rsid w:val="007A7B5E"/>
    <w:rsid w:val="007B17AB"/>
    <w:rsid w:val="007B1D0C"/>
    <w:rsid w:val="007B311D"/>
    <w:rsid w:val="007B31B3"/>
    <w:rsid w:val="007B38EE"/>
    <w:rsid w:val="007B406E"/>
    <w:rsid w:val="007B6295"/>
    <w:rsid w:val="007B6BA5"/>
    <w:rsid w:val="007B7529"/>
    <w:rsid w:val="007B7BAD"/>
    <w:rsid w:val="007C0068"/>
    <w:rsid w:val="007C2895"/>
    <w:rsid w:val="007C3390"/>
    <w:rsid w:val="007C42D8"/>
    <w:rsid w:val="007C4D74"/>
    <w:rsid w:val="007C4F4B"/>
    <w:rsid w:val="007C5743"/>
    <w:rsid w:val="007C7B85"/>
    <w:rsid w:val="007D1B68"/>
    <w:rsid w:val="007D306E"/>
    <w:rsid w:val="007D4796"/>
    <w:rsid w:val="007D4E31"/>
    <w:rsid w:val="007D5FD8"/>
    <w:rsid w:val="007D6E57"/>
    <w:rsid w:val="007D7362"/>
    <w:rsid w:val="007D7569"/>
    <w:rsid w:val="007E055D"/>
    <w:rsid w:val="007E0E22"/>
    <w:rsid w:val="007E1A5E"/>
    <w:rsid w:val="007E1BE7"/>
    <w:rsid w:val="007E1CDD"/>
    <w:rsid w:val="007E2854"/>
    <w:rsid w:val="007E2D90"/>
    <w:rsid w:val="007E306A"/>
    <w:rsid w:val="007E5EBA"/>
    <w:rsid w:val="007F034B"/>
    <w:rsid w:val="007F1E25"/>
    <w:rsid w:val="007F3494"/>
    <w:rsid w:val="007F4BDF"/>
    <w:rsid w:val="007F5CE2"/>
    <w:rsid w:val="007F62F6"/>
    <w:rsid w:val="007F6611"/>
    <w:rsid w:val="007F6DFB"/>
    <w:rsid w:val="007F7168"/>
    <w:rsid w:val="007F7A19"/>
    <w:rsid w:val="007F7F28"/>
    <w:rsid w:val="00801E53"/>
    <w:rsid w:val="008024BD"/>
    <w:rsid w:val="00803101"/>
    <w:rsid w:val="00803145"/>
    <w:rsid w:val="008066CA"/>
    <w:rsid w:val="00810BAC"/>
    <w:rsid w:val="00811958"/>
    <w:rsid w:val="00812938"/>
    <w:rsid w:val="0081436B"/>
    <w:rsid w:val="008155B0"/>
    <w:rsid w:val="00816C0D"/>
    <w:rsid w:val="008175E9"/>
    <w:rsid w:val="00820DCB"/>
    <w:rsid w:val="00820E3C"/>
    <w:rsid w:val="00820F1B"/>
    <w:rsid w:val="00822ECE"/>
    <w:rsid w:val="00823426"/>
    <w:rsid w:val="008242D7"/>
    <w:rsid w:val="0082448D"/>
    <w:rsid w:val="00824BB1"/>
    <w:rsid w:val="008253A3"/>
    <w:rsid w:val="0082577B"/>
    <w:rsid w:val="00827578"/>
    <w:rsid w:val="0082763D"/>
    <w:rsid w:val="008314D9"/>
    <w:rsid w:val="00831D11"/>
    <w:rsid w:val="00833281"/>
    <w:rsid w:val="00834230"/>
    <w:rsid w:val="008348D1"/>
    <w:rsid w:val="00836544"/>
    <w:rsid w:val="00841686"/>
    <w:rsid w:val="0084183F"/>
    <w:rsid w:val="00844362"/>
    <w:rsid w:val="00844673"/>
    <w:rsid w:val="0084636B"/>
    <w:rsid w:val="00847830"/>
    <w:rsid w:val="008504EB"/>
    <w:rsid w:val="00853100"/>
    <w:rsid w:val="00853EED"/>
    <w:rsid w:val="00854C04"/>
    <w:rsid w:val="00855CA6"/>
    <w:rsid w:val="008565A0"/>
    <w:rsid w:val="00857771"/>
    <w:rsid w:val="008626A3"/>
    <w:rsid w:val="008645E3"/>
    <w:rsid w:val="00864888"/>
    <w:rsid w:val="00865640"/>
    <w:rsid w:val="00866893"/>
    <w:rsid w:val="00866F02"/>
    <w:rsid w:val="00866FB1"/>
    <w:rsid w:val="008673D5"/>
    <w:rsid w:val="00867D18"/>
    <w:rsid w:val="00871F9A"/>
    <w:rsid w:val="00871FD5"/>
    <w:rsid w:val="00872434"/>
    <w:rsid w:val="00875EFA"/>
    <w:rsid w:val="0088160F"/>
    <w:rsid w:val="0088172E"/>
    <w:rsid w:val="00881EFA"/>
    <w:rsid w:val="008842C4"/>
    <w:rsid w:val="008853BB"/>
    <w:rsid w:val="00885738"/>
    <w:rsid w:val="008867DD"/>
    <w:rsid w:val="00887208"/>
    <w:rsid w:val="008879CB"/>
    <w:rsid w:val="008944BF"/>
    <w:rsid w:val="0089710C"/>
    <w:rsid w:val="008971DE"/>
    <w:rsid w:val="008979B1"/>
    <w:rsid w:val="008A06AC"/>
    <w:rsid w:val="008A0CF1"/>
    <w:rsid w:val="008A3DDB"/>
    <w:rsid w:val="008A5771"/>
    <w:rsid w:val="008A6475"/>
    <w:rsid w:val="008A6B25"/>
    <w:rsid w:val="008A6C4F"/>
    <w:rsid w:val="008A731E"/>
    <w:rsid w:val="008B1EE5"/>
    <w:rsid w:val="008B2C83"/>
    <w:rsid w:val="008B389E"/>
    <w:rsid w:val="008B4D2D"/>
    <w:rsid w:val="008B6A40"/>
    <w:rsid w:val="008C1140"/>
    <w:rsid w:val="008C57CC"/>
    <w:rsid w:val="008C6953"/>
    <w:rsid w:val="008C7770"/>
    <w:rsid w:val="008D045E"/>
    <w:rsid w:val="008D39D7"/>
    <w:rsid w:val="008D39E2"/>
    <w:rsid w:val="008D3F25"/>
    <w:rsid w:val="008D4CAE"/>
    <w:rsid w:val="008D4D82"/>
    <w:rsid w:val="008D4F54"/>
    <w:rsid w:val="008D4F88"/>
    <w:rsid w:val="008D5104"/>
    <w:rsid w:val="008D5563"/>
    <w:rsid w:val="008D5D35"/>
    <w:rsid w:val="008D6349"/>
    <w:rsid w:val="008D68A3"/>
    <w:rsid w:val="008D6BD6"/>
    <w:rsid w:val="008D6CB6"/>
    <w:rsid w:val="008E0E46"/>
    <w:rsid w:val="008E4351"/>
    <w:rsid w:val="008E6F9D"/>
    <w:rsid w:val="008E7116"/>
    <w:rsid w:val="008E7704"/>
    <w:rsid w:val="008E7953"/>
    <w:rsid w:val="008F143B"/>
    <w:rsid w:val="008F1ED5"/>
    <w:rsid w:val="008F2700"/>
    <w:rsid w:val="008F271C"/>
    <w:rsid w:val="008F2E3C"/>
    <w:rsid w:val="008F3882"/>
    <w:rsid w:val="008F4881"/>
    <w:rsid w:val="008F4B7C"/>
    <w:rsid w:val="008F69DD"/>
    <w:rsid w:val="008F6C27"/>
    <w:rsid w:val="008F7E4A"/>
    <w:rsid w:val="009003D6"/>
    <w:rsid w:val="00900553"/>
    <w:rsid w:val="00900F4D"/>
    <w:rsid w:val="00901E86"/>
    <w:rsid w:val="009024BB"/>
    <w:rsid w:val="009028A0"/>
    <w:rsid w:val="009028B9"/>
    <w:rsid w:val="00904A6B"/>
    <w:rsid w:val="00905109"/>
    <w:rsid w:val="00905F34"/>
    <w:rsid w:val="0090743C"/>
    <w:rsid w:val="0091249A"/>
    <w:rsid w:val="009128C8"/>
    <w:rsid w:val="009143A4"/>
    <w:rsid w:val="009161CD"/>
    <w:rsid w:val="009178AC"/>
    <w:rsid w:val="009200E2"/>
    <w:rsid w:val="009209B2"/>
    <w:rsid w:val="00920D01"/>
    <w:rsid w:val="00921B4B"/>
    <w:rsid w:val="009223E9"/>
    <w:rsid w:val="00922CCF"/>
    <w:rsid w:val="0092672C"/>
    <w:rsid w:val="00926E47"/>
    <w:rsid w:val="00932429"/>
    <w:rsid w:val="00932B77"/>
    <w:rsid w:val="00933DBA"/>
    <w:rsid w:val="009345B0"/>
    <w:rsid w:val="009404A3"/>
    <w:rsid w:val="00943336"/>
    <w:rsid w:val="00944C0F"/>
    <w:rsid w:val="00945F8D"/>
    <w:rsid w:val="0094684F"/>
    <w:rsid w:val="00946A72"/>
    <w:rsid w:val="00947162"/>
    <w:rsid w:val="0094723D"/>
    <w:rsid w:val="009477EC"/>
    <w:rsid w:val="00950E76"/>
    <w:rsid w:val="009524A8"/>
    <w:rsid w:val="009524E2"/>
    <w:rsid w:val="00956857"/>
    <w:rsid w:val="00957D6D"/>
    <w:rsid w:val="00957F3C"/>
    <w:rsid w:val="009601C3"/>
    <w:rsid w:val="009603E5"/>
    <w:rsid w:val="009604F2"/>
    <w:rsid w:val="009610D0"/>
    <w:rsid w:val="00961E3D"/>
    <w:rsid w:val="00962A32"/>
    <w:rsid w:val="0096375C"/>
    <w:rsid w:val="00964FC2"/>
    <w:rsid w:val="00965020"/>
    <w:rsid w:val="009662E6"/>
    <w:rsid w:val="009670B3"/>
    <w:rsid w:val="0097095E"/>
    <w:rsid w:val="009732F8"/>
    <w:rsid w:val="00973EAA"/>
    <w:rsid w:val="0097424E"/>
    <w:rsid w:val="00974286"/>
    <w:rsid w:val="00977544"/>
    <w:rsid w:val="00980294"/>
    <w:rsid w:val="009803C4"/>
    <w:rsid w:val="00981C66"/>
    <w:rsid w:val="00982FD1"/>
    <w:rsid w:val="009842B5"/>
    <w:rsid w:val="0098592B"/>
    <w:rsid w:val="00985A64"/>
    <w:rsid w:val="00985FC4"/>
    <w:rsid w:val="00986990"/>
    <w:rsid w:val="009869CA"/>
    <w:rsid w:val="00986A32"/>
    <w:rsid w:val="00986C0B"/>
    <w:rsid w:val="00990766"/>
    <w:rsid w:val="00991261"/>
    <w:rsid w:val="00992C6C"/>
    <w:rsid w:val="00993390"/>
    <w:rsid w:val="00995079"/>
    <w:rsid w:val="009955D5"/>
    <w:rsid w:val="00995A29"/>
    <w:rsid w:val="009964C4"/>
    <w:rsid w:val="00996C9C"/>
    <w:rsid w:val="009A12E3"/>
    <w:rsid w:val="009A51D0"/>
    <w:rsid w:val="009A5566"/>
    <w:rsid w:val="009A5CBF"/>
    <w:rsid w:val="009A72C3"/>
    <w:rsid w:val="009A7A7D"/>
    <w:rsid w:val="009A7B81"/>
    <w:rsid w:val="009B024A"/>
    <w:rsid w:val="009B267D"/>
    <w:rsid w:val="009B2959"/>
    <w:rsid w:val="009B38B9"/>
    <w:rsid w:val="009B3D69"/>
    <w:rsid w:val="009B442C"/>
    <w:rsid w:val="009B52BE"/>
    <w:rsid w:val="009B65FE"/>
    <w:rsid w:val="009B6DC8"/>
    <w:rsid w:val="009C0341"/>
    <w:rsid w:val="009C0A5E"/>
    <w:rsid w:val="009C1090"/>
    <w:rsid w:val="009C124F"/>
    <w:rsid w:val="009C3876"/>
    <w:rsid w:val="009C4A52"/>
    <w:rsid w:val="009C60F0"/>
    <w:rsid w:val="009C723B"/>
    <w:rsid w:val="009C7ABA"/>
    <w:rsid w:val="009C7C1E"/>
    <w:rsid w:val="009C7CC5"/>
    <w:rsid w:val="009D0198"/>
    <w:rsid w:val="009D01C0"/>
    <w:rsid w:val="009D0660"/>
    <w:rsid w:val="009D0C1A"/>
    <w:rsid w:val="009D21A4"/>
    <w:rsid w:val="009D260B"/>
    <w:rsid w:val="009D3DC2"/>
    <w:rsid w:val="009D4628"/>
    <w:rsid w:val="009D499E"/>
    <w:rsid w:val="009D5086"/>
    <w:rsid w:val="009D5157"/>
    <w:rsid w:val="009D6A08"/>
    <w:rsid w:val="009E01DE"/>
    <w:rsid w:val="009E0A16"/>
    <w:rsid w:val="009E215A"/>
    <w:rsid w:val="009E2CCF"/>
    <w:rsid w:val="009E42AD"/>
    <w:rsid w:val="009E492E"/>
    <w:rsid w:val="009E5A6B"/>
    <w:rsid w:val="009E5B1A"/>
    <w:rsid w:val="009E62A1"/>
    <w:rsid w:val="009E6CB7"/>
    <w:rsid w:val="009E7970"/>
    <w:rsid w:val="009E799C"/>
    <w:rsid w:val="009E7B43"/>
    <w:rsid w:val="009E7F20"/>
    <w:rsid w:val="009F0383"/>
    <w:rsid w:val="009F21F3"/>
    <w:rsid w:val="009F2EAC"/>
    <w:rsid w:val="009F5311"/>
    <w:rsid w:val="009F5663"/>
    <w:rsid w:val="009F56A2"/>
    <w:rsid w:val="009F57E3"/>
    <w:rsid w:val="00A00B30"/>
    <w:rsid w:val="00A012D0"/>
    <w:rsid w:val="00A022AC"/>
    <w:rsid w:val="00A023A0"/>
    <w:rsid w:val="00A030BC"/>
    <w:rsid w:val="00A03DC2"/>
    <w:rsid w:val="00A0574F"/>
    <w:rsid w:val="00A06054"/>
    <w:rsid w:val="00A068C7"/>
    <w:rsid w:val="00A06989"/>
    <w:rsid w:val="00A10652"/>
    <w:rsid w:val="00A10A8B"/>
    <w:rsid w:val="00A10F4F"/>
    <w:rsid w:val="00A11067"/>
    <w:rsid w:val="00A118E8"/>
    <w:rsid w:val="00A12147"/>
    <w:rsid w:val="00A1238C"/>
    <w:rsid w:val="00A130F2"/>
    <w:rsid w:val="00A136D7"/>
    <w:rsid w:val="00A14285"/>
    <w:rsid w:val="00A148B8"/>
    <w:rsid w:val="00A151EC"/>
    <w:rsid w:val="00A1704A"/>
    <w:rsid w:val="00A17300"/>
    <w:rsid w:val="00A17C38"/>
    <w:rsid w:val="00A20509"/>
    <w:rsid w:val="00A24318"/>
    <w:rsid w:val="00A24DEB"/>
    <w:rsid w:val="00A30ED9"/>
    <w:rsid w:val="00A367BA"/>
    <w:rsid w:val="00A3751F"/>
    <w:rsid w:val="00A37C45"/>
    <w:rsid w:val="00A407C1"/>
    <w:rsid w:val="00A409BC"/>
    <w:rsid w:val="00A425EB"/>
    <w:rsid w:val="00A432D1"/>
    <w:rsid w:val="00A433B7"/>
    <w:rsid w:val="00A457BB"/>
    <w:rsid w:val="00A47BD8"/>
    <w:rsid w:val="00A5000B"/>
    <w:rsid w:val="00A5064F"/>
    <w:rsid w:val="00A5123F"/>
    <w:rsid w:val="00A516E8"/>
    <w:rsid w:val="00A51DD3"/>
    <w:rsid w:val="00A51F13"/>
    <w:rsid w:val="00A5200B"/>
    <w:rsid w:val="00A52D53"/>
    <w:rsid w:val="00A5411A"/>
    <w:rsid w:val="00A55127"/>
    <w:rsid w:val="00A57C9D"/>
    <w:rsid w:val="00A60FEE"/>
    <w:rsid w:val="00A61C0C"/>
    <w:rsid w:val="00A62841"/>
    <w:rsid w:val="00A62E75"/>
    <w:rsid w:val="00A63658"/>
    <w:rsid w:val="00A637B0"/>
    <w:rsid w:val="00A645F8"/>
    <w:rsid w:val="00A64917"/>
    <w:rsid w:val="00A65C1F"/>
    <w:rsid w:val="00A66A89"/>
    <w:rsid w:val="00A66F9B"/>
    <w:rsid w:val="00A6712E"/>
    <w:rsid w:val="00A72BA8"/>
    <w:rsid w:val="00A72F22"/>
    <w:rsid w:val="00A733BC"/>
    <w:rsid w:val="00A73E24"/>
    <w:rsid w:val="00A74195"/>
    <w:rsid w:val="00A748A6"/>
    <w:rsid w:val="00A74D1A"/>
    <w:rsid w:val="00A74EEF"/>
    <w:rsid w:val="00A7668A"/>
    <w:rsid w:val="00A76A69"/>
    <w:rsid w:val="00A80481"/>
    <w:rsid w:val="00A80E28"/>
    <w:rsid w:val="00A810AA"/>
    <w:rsid w:val="00A81102"/>
    <w:rsid w:val="00A81A71"/>
    <w:rsid w:val="00A81CC3"/>
    <w:rsid w:val="00A82905"/>
    <w:rsid w:val="00A82E84"/>
    <w:rsid w:val="00A83349"/>
    <w:rsid w:val="00A83D29"/>
    <w:rsid w:val="00A86790"/>
    <w:rsid w:val="00A879A4"/>
    <w:rsid w:val="00A9074C"/>
    <w:rsid w:val="00A91A3C"/>
    <w:rsid w:val="00A91BD2"/>
    <w:rsid w:val="00A923C3"/>
    <w:rsid w:val="00A93AF5"/>
    <w:rsid w:val="00A96207"/>
    <w:rsid w:val="00A96B88"/>
    <w:rsid w:val="00A97977"/>
    <w:rsid w:val="00AA0FF8"/>
    <w:rsid w:val="00AA4079"/>
    <w:rsid w:val="00AA7DE3"/>
    <w:rsid w:val="00AB2B37"/>
    <w:rsid w:val="00AB2E19"/>
    <w:rsid w:val="00AB3B44"/>
    <w:rsid w:val="00AB3E77"/>
    <w:rsid w:val="00AB73B3"/>
    <w:rsid w:val="00AC0F2C"/>
    <w:rsid w:val="00AC3E1B"/>
    <w:rsid w:val="00AC502A"/>
    <w:rsid w:val="00AC7675"/>
    <w:rsid w:val="00AC7A69"/>
    <w:rsid w:val="00AD24CD"/>
    <w:rsid w:val="00AD4EFE"/>
    <w:rsid w:val="00AD67FF"/>
    <w:rsid w:val="00AD6E39"/>
    <w:rsid w:val="00AE0FB0"/>
    <w:rsid w:val="00AE2353"/>
    <w:rsid w:val="00AE261A"/>
    <w:rsid w:val="00AE2883"/>
    <w:rsid w:val="00AE32C3"/>
    <w:rsid w:val="00AE3AAA"/>
    <w:rsid w:val="00AE3AE4"/>
    <w:rsid w:val="00AE461E"/>
    <w:rsid w:val="00AE5E4A"/>
    <w:rsid w:val="00AE66F2"/>
    <w:rsid w:val="00AF0401"/>
    <w:rsid w:val="00AF0508"/>
    <w:rsid w:val="00AF0649"/>
    <w:rsid w:val="00AF0DC9"/>
    <w:rsid w:val="00AF2715"/>
    <w:rsid w:val="00AF3442"/>
    <w:rsid w:val="00AF394B"/>
    <w:rsid w:val="00AF45C8"/>
    <w:rsid w:val="00AF58C1"/>
    <w:rsid w:val="00AF5F37"/>
    <w:rsid w:val="00AF5F4F"/>
    <w:rsid w:val="00AF6426"/>
    <w:rsid w:val="00AF6A83"/>
    <w:rsid w:val="00B00FA5"/>
    <w:rsid w:val="00B04A3F"/>
    <w:rsid w:val="00B06643"/>
    <w:rsid w:val="00B07021"/>
    <w:rsid w:val="00B1217D"/>
    <w:rsid w:val="00B1412F"/>
    <w:rsid w:val="00B1419A"/>
    <w:rsid w:val="00B15055"/>
    <w:rsid w:val="00B15A26"/>
    <w:rsid w:val="00B16354"/>
    <w:rsid w:val="00B17216"/>
    <w:rsid w:val="00B20551"/>
    <w:rsid w:val="00B20E38"/>
    <w:rsid w:val="00B21796"/>
    <w:rsid w:val="00B21A45"/>
    <w:rsid w:val="00B22CFF"/>
    <w:rsid w:val="00B2499A"/>
    <w:rsid w:val="00B250F8"/>
    <w:rsid w:val="00B25856"/>
    <w:rsid w:val="00B30179"/>
    <w:rsid w:val="00B30658"/>
    <w:rsid w:val="00B31A26"/>
    <w:rsid w:val="00B33FC7"/>
    <w:rsid w:val="00B34F49"/>
    <w:rsid w:val="00B3724D"/>
    <w:rsid w:val="00B37B15"/>
    <w:rsid w:val="00B40A64"/>
    <w:rsid w:val="00B41C33"/>
    <w:rsid w:val="00B43019"/>
    <w:rsid w:val="00B43C2B"/>
    <w:rsid w:val="00B43F70"/>
    <w:rsid w:val="00B442F9"/>
    <w:rsid w:val="00B4497B"/>
    <w:rsid w:val="00B45C02"/>
    <w:rsid w:val="00B463F9"/>
    <w:rsid w:val="00B505A1"/>
    <w:rsid w:val="00B50FD5"/>
    <w:rsid w:val="00B5133C"/>
    <w:rsid w:val="00B513B3"/>
    <w:rsid w:val="00B51B4E"/>
    <w:rsid w:val="00B51F6C"/>
    <w:rsid w:val="00B53E92"/>
    <w:rsid w:val="00B54AA4"/>
    <w:rsid w:val="00B54DEF"/>
    <w:rsid w:val="00B554D8"/>
    <w:rsid w:val="00B56E4E"/>
    <w:rsid w:val="00B57DC5"/>
    <w:rsid w:val="00B62428"/>
    <w:rsid w:val="00B63854"/>
    <w:rsid w:val="00B64D55"/>
    <w:rsid w:val="00B65628"/>
    <w:rsid w:val="00B66622"/>
    <w:rsid w:val="00B66691"/>
    <w:rsid w:val="00B67927"/>
    <w:rsid w:val="00B67E70"/>
    <w:rsid w:val="00B70114"/>
    <w:rsid w:val="00B70B63"/>
    <w:rsid w:val="00B729AE"/>
    <w:rsid w:val="00B72A1E"/>
    <w:rsid w:val="00B730BB"/>
    <w:rsid w:val="00B7329A"/>
    <w:rsid w:val="00B73F0E"/>
    <w:rsid w:val="00B73F68"/>
    <w:rsid w:val="00B7433E"/>
    <w:rsid w:val="00B75363"/>
    <w:rsid w:val="00B758C2"/>
    <w:rsid w:val="00B759DB"/>
    <w:rsid w:val="00B8087F"/>
    <w:rsid w:val="00B81E12"/>
    <w:rsid w:val="00B82A27"/>
    <w:rsid w:val="00B8632D"/>
    <w:rsid w:val="00B86963"/>
    <w:rsid w:val="00B8784F"/>
    <w:rsid w:val="00B90149"/>
    <w:rsid w:val="00B912EE"/>
    <w:rsid w:val="00B94A1D"/>
    <w:rsid w:val="00B96F8F"/>
    <w:rsid w:val="00BA1EA6"/>
    <w:rsid w:val="00BA237E"/>
    <w:rsid w:val="00BA3031"/>
    <w:rsid w:val="00BA339B"/>
    <w:rsid w:val="00BA37C4"/>
    <w:rsid w:val="00BA3CD5"/>
    <w:rsid w:val="00BA43A9"/>
    <w:rsid w:val="00BA4698"/>
    <w:rsid w:val="00BA5850"/>
    <w:rsid w:val="00BA58E9"/>
    <w:rsid w:val="00BA5FC4"/>
    <w:rsid w:val="00BA6D1E"/>
    <w:rsid w:val="00BA752F"/>
    <w:rsid w:val="00BA79C3"/>
    <w:rsid w:val="00BA7A46"/>
    <w:rsid w:val="00BB06BC"/>
    <w:rsid w:val="00BB071B"/>
    <w:rsid w:val="00BB11F2"/>
    <w:rsid w:val="00BB37C7"/>
    <w:rsid w:val="00BB50E9"/>
    <w:rsid w:val="00BB6843"/>
    <w:rsid w:val="00BB7956"/>
    <w:rsid w:val="00BC0246"/>
    <w:rsid w:val="00BC10D7"/>
    <w:rsid w:val="00BC15F6"/>
    <w:rsid w:val="00BC1D60"/>
    <w:rsid w:val="00BC1E7E"/>
    <w:rsid w:val="00BC2BAD"/>
    <w:rsid w:val="00BC4820"/>
    <w:rsid w:val="00BC4D7A"/>
    <w:rsid w:val="00BC51BF"/>
    <w:rsid w:val="00BC74E9"/>
    <w:rsid w:val="00BD0579"/>
    <w:rsid w:val="00BD0EA3"/>
    <w:rsid w:val="00BD14DC"/>
    <w:rsid w:val="00BD2145"/>
    <w:rsid w:val="00BD2CCD"/>
    <w:rsid w:val="00BD426E"/>
    <w:rsid w:val="00BD4F19"/>
    <w:rsid w:val="00BD5E07"/>
    <w:rsid w:val="00BD6CB6"/>
    <w:rsid w:val="00BD6CE9"/>
    <w:rsid w:val="00BE0379"/>
    <w:rsid w:val="00BE088C"/>
    <w:rsid w:val="00BE1640"/>
    <w:rsid w:val="00BE1EC6"/>
    <w:rsid w:val="00BE244C"/>
    <w:rsid w:val="00BE27FA"/>
    <w:rsid w:val="00BE36A9"/>
    <w:rsid w:val="00BE4219"/>
    <w:rsid w:val="00BE47BB"/>
    <w:rsid w:val="00BE4CFF"/>
    <w:rsid w:val="00BE5ACD"/>
    <w:rsid w:val="00BE618E"/>
    <w:rsid w:val="00BE7527"/>
    <w:rsid w:val="00BE7BEC"/>
    <w:rsid w:val="00BE7DA0"/>
    <w:rsid w:val="00BF0A5A"/>
    <w:rsid w:val="00BF0E63"/>
    <w:rsid w:val="00BF12A3"/>
    <w:rsid w:val="00BF1385"/>
    <w:rsid w:val="00BF16D7"/>
    <w:rsid w:val="00BF1715"/>
    <w:rsid w:val="00BF2373"/>
    <w:rsid w:val="00BF2856"/>
    <w:rsid w:val="00BF30E2"/>
    <w:rsid w:val="00BF38AA"/>
    <w:rsid w:val="00BF3DE9"/>
    <w:rsid w:val="00BF5293"/>
    <w:rsid w:val="00BF7BE5"/>
    <w:rsid w:val="00C03508"/>
    <w:rsid w:val="00C044E2"/>
    <w:rsid w:val="00C048CB"/>
    <w:rsid w:val="00C066F3"/>
    <w:rsid w:val="00C072E6"/>
    <w:rsid w:val="00C0734F"/>
    <w:rsid w:val="00C07C9B"/>
    <w:rsid w:val="00C118C1"/>
    <w:rsid w:val="00C11B44"/>
    <w:rsid w:val="00C1431E"/>
    <w:rsid w:val="00C15770"/>
    <w:rsid w:val="00C17FE9"/>
    <w:rsid w:val="00C206DA"/>
    <w:rsid w:val="00C20E1F"/>
    <w:rsid w:val="00C2239F"/>
    <w:rsid w:val="00C2477B"/>
    <w:rsid w:val="00C24D90"/>
    <w:rsid w:val="00C26343"/>
    <w:rsid w:val="00C2798D"/>
    <w:rsid w:val="00C313AD"/>
    <w:rsid w:val="00C313E8"/>
    <w:rsid w:val="00C32697"/>
    <w:rsid w:val="00C32CFA"/>
    <w:rsid w:val="00C33014"/>
    <w:rsid w:val="00C35A96"/>
    <w:rsid w:val="00C3618F"/>
    <w:rsid w:val="00C36928"/>
    <w:rsid w:val="00C36ECF"/>
    <w:rsid w:val="00C37739"/>
    <w:rsid w:val="00C41832"/>
    <w:rsid w:val="00C41F32"/>
    <w:rsid w:val="00C431B0"/>
    <w:rsid w:val="00C4393F"/>
    <w:rsid w:val="00C43EAB"/>
    <w:rsid w:val="00C448E4"/>
    <w:rsid w:val="00C463DD"/>
    <w:rsid w:val="00C472F1"/>
    <w:rsid w:val="00C5026F"/>
    <w:rsid w:val="00C50D0E"/>
    <w:rsid w:val="00C51234"/>
    <w:rsid w:val="00C51914"/>
    <w:rsid w:val="00C5204B"/>
    <w:rsid w:val="00C5262B"/>
    <w:rsid w:val="00C52C63"/>
    <w:rsid w:val="00C5561D"/>
    <w:rsid w:val="00C55FB5"/>
    <w:rsid w:val="00C6116B"/>
    <w:rsid w:val="00C61A51"/>
    <w:rsid w:val="00C61AE5"/>
    <w:rsid w:val="00C63839"/>
    <w:rsid w:val="00C65C34"/>
    <w:rsid w:val="00C67744"/>
    <w:rsid w:val="00C678BC"/>
    <w:rsid w:val="00C708F4"/>
    <w:rsid w:val="00C70E45"/>
    <w:rsid w:val="00C71760"/>
    <w:rsid w:val="00C72766"/>
    <w:rsid w:val="00C745C3"/>
    <w:rsid w:val="00C75DD0"/>
    <w:rsid w:val="00C77DAC"/>
    <w:rsid w:val="00C812CF"/>
    <w:rsid w:val="00C8654A"/>
    <w:rsid w:val="00C91568"/>
    <w:rsid w:val="00C9189F"/>
    <w:rsid w:val="00C93FA1"/>
    <w:rsid w:val="00C978F5"/>
    <w:rsid w:val="00C97BF9"/>
    <w:rsid w:val="00CA00FB"/>
    <w:rsid w:val="00CA01DA"/>
    <w:rsid w:val="00CA08F3"/>
    <w:rsid w:val="00CA1133"/>
    <w:rsid w:val="00CA24A4"/>
    <w:rsid w:val="00CA2AF1"/>
    <w:rsid w:val="00CA4A5B"/>
    <w:rsid w:val="00CA53E7"/>
    <w:rsid w:val="00CA587A"/>
    <w:rsid w:val="00CB0083"/>
    <w:rsid w:val="00CB0566"/>
    <w:rsid w:val="00CB24D3"/>
    <w:rsid w:val="00CB2ACA"/>
    <w:rsid w:val="00CB348D"/>
    <w:rsid w:val="00CB4B26"/>
    <w:rsid w:val="00CB6770"/>
    <w:rsid w:val="00CC1369"/>
    <w:rsid w:val="00CC2EDD"/>
    <w:rsid w:val="00CC403E"/>
    <w:rsid w:val="00CC6A96"/>
    <w:rsid w:val="00CC7A13"/>
    <w:rsid w:val="00CC7B18"/>
    <w:rsid w:val="00CD05BB"/>
    <w:rsid w:val="00CD1219"/>
    <w:rsid w:val="00CD1334"/>
    <w:rsid w:val="00CD1BB0"/>
    <w:rsid w:val="00CD1E10"/>
    <w:rsid w:val="00CD225A"/>
    <w:rsid w:val="00CD46F5"/>
    <w:rsid w:val="00CD4DC9"/>
    <w:rsid w:val="00CD55E4"/>
    <w:rsid w:val="00CD5E7F"/>
    <w:rsid w:val="00CD680A"/>
    <w:rsid w:val="00CE0D55"/>
    <w:rsid w:val="00CE1060"/>
    <w:rsid w:val="00CE2190"/>
    <w:rsid w:val="00CE2B86"/>
    <w:rsid w:val="00CE3299"/>
    <w:rsid w:val="00CE3676"/>
    <w:rsid w:val="00CE43E3"/>
    <w:rsid w:val="00CE4602"/>
    <w:rsid w:val="00CE4A8F"/>
    <w:rsid w:val="00CE4AB8"/>
    <w:rsid w:val="00CE63C6"/>
    <w:rsid w:val="00CE7BBB"/>
    <w:rsid w:val="00CF071D"/>
    <w:rsid w:val="00CF0BC2"/>
    <w:rsid w:val="00CF1D10"/>
    <w:rsid w:val="00CF2B97"/>
    <w:rsid w:val="00CF2E13"/>
    <w:rsid w:val="00CF3CF0"/>
    <w:rsid w:val="00CF3F70"/>
    <w:rsid w:val="00CF472E"/>
    <w:rsid w:val="00CF5854"/>
    <w:rsid w:val="00CF7477"/>
    <w:rsid w:val="00D0123D"/>
    <w:rsid w:val="00D0127B"/>
    <w:rsid w:val="00D02BB2"/>
    <w:rsid w:val="00D03E23"/>
    <w:rsid w:val="00D05279"/>
    <w:rsid w:val="00D052A3"/>
    <w:rsid w:val="00D05D30"/>
    <w:rsid w:val="00D07017"/>
    <w:rsid w:val="00D0776D"/>
    <w:rsid w:val="00D14B3B"/>
    <w:rsid w:val="00D15AA0"/>
    <w:rsid w:val="00D15B04"/>
    <w:rsid w:val="00D1614C"/>
    <w:rsid w:val="00D2031B"/>
    <w:rsid w:val="00D24E6B"/>
    <w:rsid w:val="00D25FE2"/>
    <w:rsid w:val="00D26508"/>
    <w:rsid w:val="00D30C7A"/>
    <w:rsid w:val="00D33349"/>
    <w:rsid w:val="00D33B8C"/>
    <w:rsid w:val="00D34284"/>
    <w:rsid w:val="00D34597"/>
    <w:rsid w:val="00D367AA"/>
    <w:rsid w:val="00D37DA9"/>
    <w:rsid w:val="00D401CF"/>
    <w:rsid w:val="00D406A7"/>
    <w:rsid w:val="00D41D9F"/>
    <w:rsid w:val="00D42BB0"/>
    <w:rsid w:val="00D43252"/>
    <w:rsid w:val="00D43790"/>
    <w:rsid w:val="00D44D86"/>
    <w:rsid w:val="00D457C8"/>
    <w:rsid w:val="00D46941"/>
    <w:rsid w:val="00D46E6B"/>
    <w:rsid w:val="00D4701F"/>
    <w:rsid w:val="00D470C1"/>
    <w:rsid w:val="00D50696"/>
    <w:rsid w:val="00D50B7D"/>
    <w:rsid w:val="00D52012"/>
    <w:rsid w:val="00D56D9D"/>
    <w:rsid w:val="00D57363"/>
    <w:rsid w:val="00D5743A"/>
    <w:rsid w:val="00D57E1C"/>
    <w:rsid w:val="00D61B46"/>
    <w:rsid w:val="00D61FBD"/>
    <w:rsid w:val="00D63C2F"/>
    <w:rsid w:val="00D64510"/>
    <w:rsid w:val="00D64950"/>
    <w:rsid w:val="00D652B6"/>
    <w:rsid w:val="00D67555"/>
    <w:rsid w:val="00D704E5"/>
    <w:rsid w:val="00D70C98"/>
    <w:rsid w:val="00D71EBD"/>
    <w:rsid w:val="00D71EE5"/>
    <w:rsid w:val="00D72727"/>
    <w:rsid w:val="00D731BA"/>
    <w:rsid w:val="00D7351E"/>
    <w:rsid w:val="00D73AA4"/>
    <w:rsid w:val="00D74856"/>
    <w:rsid w:val="00D750F4"/>
    <w:rsid w:val="00D75428"/>
    <w:rsid w:val="00D75453"/>
    <w:rsid w:val="00D8010E"/>
    <w:rsid w:val="00D80B95"/>
    <w:rsid w:val="00D81471"/>
    <w:rsid w:val="00D82601"/>
    <w:rsid w:val="00D838A5"/>
    <w:rsid w:val="00D85CE1"/>
    <w:rsid w:val="00D8698C"/>
    <w:rsid w:val="00D86DA9"/>
    <w:rsid w:val="00D8701F"/>
    <w:rsid w:val="00D90810"/>
    <w:rsid w:val="00D9092F"/>
    <w:rsid w:val="00D9267F"/>
    <w:rsid w:val="00D94EDF"/>
    <w:rsid w:val="00D978C6"/>
    <w:rsid w:val="00DA013F"/>
    <w:rsid w:val="00DA0956"/>
    <w:rsid w:val="00DA0F16"/>
    <w:rsid w:val="00DA17A4"/>
    <w:rsid w:val="00DA26DA"/>
    <w:rsid w:val="00DA357F"/>
    <w:rsid w:val="00DA3E12"/>
    <w:rsid w:val="00DA4719"/>
    <w:rsid w:val="00DA623C"/>
    <w:rsid w:val="00DA673A"/>
    <w:rsid w:val="00DA7618"/>
    <w:rsid w:val="00DB0655"/>
    <w:rsid w:val="00DB5527"/>
    <w:rsid w:val="00DB5DB1"/>
    <w:rsid w:val="00DB5F25"/>
    <w:rsid w:val="00DC020E"/>
    <w:rsid w:val="00DC18AD"/>
    <w:rsid w:val="00DC1C2B"/>
    <w:rsid w:val="00DC22C4"/>
    <w:rsid w:val="00DC258A"/>
    <w:rsid w:val="00DC43C5"/>
    <w:rsid w:val="00DC5682"/>
    <w:rsid w:val="00DC59D4"/>
    <w:rsid w:val="00DD090B"/>
    <w:rsid w:val="00DD288F"/>
    <w:rsid w:val="00DD2CA7"/>
    <w:rsid w:val="00DD393E"/>
    <w:rsid w:val="00DD3B38"/>
    <w:rsid w:val="00DD5B46"/>
    <w:rsid w:val="00DE0EDE"/>
    <w:rsid w:val="00DE19A1"/>
    <w:rsid w:val="00DE20C2"/>
    <w:rsid w:val="00DE282B"/>
    <w:rsid w:val="00DE2A87"/>
    <w:rsid w:val="00DE3BC8"/>
    <w:rsid w:val="00DE4724"/>
    <w:rsid w:val="00DE5406"/>
    <w:rsid w:val="00DE78B8"/>
    <w:rsid w:val="00DF0153"/>
    <w:rsid w:val="00DF0B90"/>
    <w:rsid w:val="00DF13F1"/>
    <w:rsid w:val="00DF1C5A"/>
    <w:rsid w:val="00DF535B"/>
    <w:rsid w:val="00DF5EAA"/>
    <w:rsid w:val="00DF6747"/>
    <w:rsid w:val="00DF75F3"/>
    <w:rsid w:val="00DF7CAE"/>
    <w:rsid w:val="00E007E0"/>
    <w:rsid w:val="00E009E1"/>
    <w:rsid w:val="00E015A6"/>
    <w:rsid w:val="00E05F91"/>
    <w:rsid w:val="00E0640B"/>
    <w:rsid w:val="00E126D4"/>
    <w:rsid w:val="00E134FF"/>
    <w:rsid w:val="00E13558"/>
    <w:rsid w:val="00E136CC"/>
    <w:rsid w:val="00E1458C"/>
    <w:rsid w:val="00E15B7A"/>
    <w:rsid w:val="00E20DFD"/>
    <w:rsid w:val="00E21093"/>
    <w:rsid w:val="00E2290C"/>
    <w:rsid w:val="00E243FB"/>
    <w:rsid w:val="00E25854"/>
    <w:rsid w:val="00E259F7"/>
    <w:rsid w:val="00E25ECE"/>
    <w:rsid w:val="00E26A37"/>
    <w:rsid w:val="00E30B14"/>
    <w:rsid w:val="00E3102A"/>
    <w:rsid w:val="00E31A68"/>
    <w:rsid w:val="00E34414"/>
    <w:rsid w:val="00E359BA"/>
    <w:rsid w:val="00E37BBB"/>
    <w:rsid w:val="00E40093"/>
    <w:rsid w:val="00E402FA"/>
    <w:rsid w:val="00E42012"/>
    <w:rsid w:val="00E423C0"/>
    <w:rsid w:val="00E4573A"/>
    <w:rsid w:val="00E45A5A"/>
    <w:rsid w:val="00E45DBC"/>
    <w:rsid w:val="00E4706D"/>
    <w:rsid w:val="00E50C8C"/>
    <w:rsid w:val="00E51C2F"/>
    <w:rsid w:val="00E54154"/>
    <w:rsid w:val="00E559CD"/>
    <w:rsid w:val="00E55E0D"/>
    <w:rsid w:val="00E56B54"/>
    <w:rsid w:val="00E56C4F"/>
    <w:rsid w:val="00E572BF"/>
    <w:rsid w:val="00E6073E"/>
    <w:rsid w:val="00E6414C"/>
    <w:rsid w:val="00E64E6F"/>
    <w:rsid w:val="00E6502A"/>
    <w:rsid w:val="00E66A66"/>
    <w:rsid w:val="00E66C18"/>
    <w:rsid w:val="00E7249E"/>
    <w:rsid w:val="00E7260F"/>
    <w:rsid w:val="00E774CF"/>
    <w:rsid w:val="00E77567"/>
    <w:rsid w:val="00E77CF7"/>
    <w:rsid w:val="00E77D65"/>
    <w:rsid w:val="00E81114"/>
    <w:rsid w:val="00E81786"/>
    <w:rsid w:val="00E81EFD"/>
    <w:rsid w:val="00E824BB"/>
    <w:rsid w:val="00E8323A"/>
    <w:rsid w:val="00E848AB"/>
    <w:rsid w:val="00E8607F"/>
    <w:rsid w:val="00E862C9"/>
    <w:rsid w:val="00E86D79"/>
    <w:rsid w:val="00E8702D"/>
    <w:rsid w:val="00E875DA"/>
    <w:rsid w:val="00E905F4"/>
    <w:rsid w:val="00E90782"/>
    <w:rsid w:val="00E90A7A"/>
    <w:rsid w:val="00E916A9"/>
    <w:rsid w:val="00E916DE"/>
    <w:rsid w:val="00E925AD"/>
    <w:rsid w:val="00E9261E"/>
    <w:rsid w:val="00E94029"/>
    <w:rsid w:val="00E941A1"/>
    <w:rsid w:val="00E9436B"/>
    <w:rsid w:val="00E95DA8"/>
    <w:rsid w:val="00E95E14"/>
    <w:rsid w:val="00E96630"/>
    <w:rsid w:val="00EA009C"/>
    <w:rsid w:val="00EA1E67"/>
    <w:rsid w:val="00EA47FD"/>
    <w:rsid w:val="00EA48A1"/>
    <w:rsid w:val="00EA5056"/>
    <w:rsid w:val="00EA5626"/>
    <w:rsid w:val="00EA7C8C"/>
    <w:rsid w:val="00EA7F70"/>
    <w:rsid w:val="00EB17D8"/>
    <w:rsid w:val="00EB2A13"/>
    <w:rsid w:val="00EB2CE5"/>
    <w:rsid w:val="00EB3E5B"/>
    <w:rsid w:val="00EC2907"/>
    <w:rsid w:val="00EC2970"/>
    <w:rsid w:val="00EC34B0"/>
    <w:rsid w:val="00EC3702"/>
    <w:rsid w:val="00EC3D7D"/>
    <w:rsid w:val="00EC5E3F"/>
    <w:rsid w:val="00EC608D"/>
    <w:rsid w:val="00EC72C6"/>
    <w:rsid w:val="00EC7B02"/>
    <w:rsid w:val="00EC7C09"/>
    <w:rsid w:val="00ED0F48"/>
    <w:rsid w:val="00ED146E"/>
    <w:rsid w:val="00ED18DC"/>
    <w:rsid w:val="00ED22B1"/>
    <w:rsid w:val="00ED34B3"/>
    <w:rsid w:val="00ED56DC"/>
    <w:rsid w:val="00ED6201"/>
    <w:rsid w:val="00ED7A2A"/>
    <w:rsid w:val="00ED7BEE"/>
    <w:rsid w:val="00ED7FD6"/>
    <w:rsid w:val="00EE03AD"/>
    <w:rsid w:val="00EE0EB2"/>
    <w:rsid w:val="00EE7C5B"/>
    <w:rsid w:val="00EF0476"/>
    <w:rsid w:val="00EF052D"/>
    <w:rsid w:val="00EF1D7F"/>
    <w:rsid w:val="00EF1E8B"/>
    <w:rsid w:val="00EF2D6A"/>
    <w:rsid w:val="00EF2E46"/>
    <w:rsid w:val="00EF581E"/>
    <w:rsid w:val="00EF6A04"/>
    <w:rsid w:val="00EF76C8"/>
    <w:rsid w:val="00EF78AC"/>
    <w:rsid w:val="00F002A1"/>
    <w:rsid w:val="00F0137E"/>
    <w:rsid w:val="00F03428"/>
    <w:rsid w:val="00F04977"/>
    <w:rsid w:val="00F04D7E"/>
    <w:rsid w:val="00F05CE0"/>
    <w:rsid w:val="00F064F2"/>
    <w:rsid w:val="00F070BA"/>
    <w:rsid w:val="00F101EA"/>
    <w:rsid w:val="00F1146D"/>
    <w:rsid w:val="00F135A7"/>
    <w:rsid w:val="00F14A95"/>
    <w:rsid w:val="00F14FCE"/>
    <w:rsid w:val="00F15206"/>
    <w:rsid w:val="00F1723B"/>
    <w:rsid w:val="00F17FA5"/>
    <w:rsid w:val="00F21786"/>
    <w:rsid w:val="00F230D5"/>
    <w:rsid w:val="00F274DE"/>
    <w:rsid w:val="00F27D88"/>
    <w:rsid w:val="00F307AB"/>
    <w:rsid w:val="00F31E04"/>
    <w:rsid w:val="00F31F84"/>
    <w:rsid w:val="00F32B7D"/>
    <w:rsid w:val="00F33870"/>
    <w:rsid w:val="00F34896"/>
    <w:rsid w:val="00F34B29"/>
    <w:rsid w:val="00F35743"/>
    <w:rsid w:val="00F36571"/>
    <w:rsid w:val="00F36C16"/>
    <w:rsid w:val="00F36F3D"/>
    <w:rsid w:val="00F3742B"/>
    <w:rsid w:val="00F37CA2"/>
    <w:rsid w:val="00F409C3"/>
    <w:rsid w:val="00F40B72"/>
    <w:rsid w:val="00F41003"/>
    <w:rsid w:val="00F41FDB"/>
    <w:rsid w:val="00F42AD8"/>
    <w:rsid w:val="00F43ED0"/>
    <w:rsid w:val="00F448CE"/>
    <w:rsid w:val="00F478EF"/>
    <w:rsid w:val="00F47D1C"/>
    <w:rsid w:val="00F52701"/>
    <w:rsid w:val="00F541DC"/>
    <w:rsid w:val="00F54484"/>
    <w:rsid w:val="00F54A22"/>
    <w:rsid w:val="00F55EAD"/>
    <w:rsid w:val="00F56D63"/>
    <w:rsid w:val="00F56ED6"/>
    <w:rsid w:val="00F57878"/>
    <w:rsid w:val="00F60053"/>
    <w:rsid w:val="00F609A9"/>
    <w:rsid w:val="00F60EF6"/>
    <w:rsid w:val="00F613AF"/>
    <w:rsid w:val="00F6255A"/>
    <w:rsid w:val="00F62DB1"/>
    <w:rsid w:val="00F6376A"/>
    <w:rsid w:val="00F63B34"/>
    <w:rsid w:val="00F64316"/>
    <w:rsid w:val="00F6438A"/>
    <w:rsid w:val="00F65A17"/>
    <w:rsid w:val="00F67A9B"/>
    <w:rsid w:val="00F717C4"/>
    <w:rsid w:val="00F72EFF"/>
    <w:rsid w:val="00F76ED8"/>
    <w:rsid w:val="00F778C8"/>
    <w:rsid w:val="00F80C99"/>
    <w:rsid w:val="00F82CF4"/>
    <w:rsid w:val="00F8336D"/>
    <w:rsid w:val="00F860E2"/>
    <w:rsid w:val="00F86543"/>
    <w:rsid w:val="00F867EC"/>
    <w:rsid w:val="00F875C2"/>
    <w:rsid w:val="00F919BC"/>
    <w:rsid w:val="00F91A04"/>
    <w:rsid w:val="00F91B2B"/>
    <w:rsid w:val="00F9257F"/>
    <w:rsid w:val="00F92BA0"/>
    <w:rsid w:val="00F92FA9"/>
    <w:rsid w:val="00F933C0"/>
    <w:rsid w:val="00FA036D"/>
    <w:rsid w:val="00FA3518"/>
    <w:rsid w:val="00FA5793"/>
    <w:rsid w:val="00FA5EB0"/>
    <w:rsid w:val="00FA6AFC"/>
    <w:rsid w:val="00FA6B73"/>
    <w:rsid w:val="00FA72F6"/>
    <w:rsid w:val="00FA756A"/>
    <w:rsid w:val="00FB1187"/>
    <w:rsid w:val="00FB19BF"/>
    <w:rsid w:val="00FB1C2F"/>
    <w:rsid w:val="00FB2F12"/>
    <w:rsid w:val="00FB464B"/>
    <w:rsid w:val="00FB4945"/>
    <w:rsid w:val="00FB4B8B"/>
    <w:rsid w:val="00FB620B"/>
    <w:rsid w:val="00FB6F02"/>
    <w:rsid w:val="00FC03CD"/>
    <w:rsid w:val="00FC0625"/>
    <w:rsid w:val="00FC0646"/>
    <w:rsid w:val="00FC13C5"/>
    <w:rsid w:val="00FC2947"/>
    <w:rsid w:val="00FC3EF0"/>
    <w:rsid w:val="00FC4270"/>
    <w:rsid w:val="00FC4F68"/>
    <w:rsid w:val="00FC68B7"/>
    <w:rsid w:val="00FC6935"/>
    <w:rsid w:val="00FC6ED9"/>
    <w:rsid w:val="00FD17A3"/>
    <w:rsid w:val="00FD207C"/>
    <w:rsid w:val="00FD2465"/>
    <w:rsid w:val="00FD2BCD"/>
    <w:rsid w:val="00FD316C"/>
    <w:rsid w:val="00FD3AAC"/>
    <w:rsid w:val="00FD3C00"/>
    <w:rsid w:val="00FD6405"/>
    <w:rsid w:val="00FD6DBD"/>
    <w:rsid w:val="00FE0966"/>
    <w:rsid w:val="00FE2A9D"/>
    <w:rsid w:val="00FE4B55"/>
    <w:rsid w:val="00FE4C01"/>
    <w:rsid w:val="00FE6985"/>
    <w:rsid w:val="00FF01A7"/>
    <w:rsid w:val="00FF1493"/>
    <w:rsid w:val="00FF25FE"/>
    <w:rsid w:val="00FF335E"/>
    <w:rsid w:val="00FF6D8F"/>
    <w:rsid w:val="00FF7E3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5241"/>
  <w15:docId w15:val="{EA9A8952-E40F-4DC6-88F7-7900CD3E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F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ootnote Reference Superscript,BVI fnr,Footnote symbol,Footnote call,SUPERS,(Footnote Reference),Footnote,Voetnootverwijzing,Times 10 Point,Exposant 3 Point,Footnote reference number,note TESI,Footnotes refss"/>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rPr>
  </w:style>
  <w:style w:type="paragraph" w:customStyle="1" w:styleId="ParNoG">
    <w:name w:val="_ParNo_G"/>
    <w:basedOn w:val="Normal"/>
    <w:qFormat/>
    <w:rsid w:val="00A637B0"/>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0C50C9"/>
    <w:rPr>
      <w:sz w:val="18"/>
      <w:lang w:val="en-GB"/>
    </w:rPr>
  </w:style>
  <w:style w:type="character" w:styleId="CommentReference">
    <w:name w:val="annotation reference"/>
    <w:basedOn w:val="DefaultParagraphFont"/>
    <w:semiHidden/>
    <w:unhideWhenUsed/>
    <w:rsid w:val="00DD288F"/>
    <w:rPr>
      <w:sz w:val="16"/>
      <w:szCs w:val="16"/>
    </w:rPr>
  </w:style>
  <w:style w:type="paragraph" w:styleId="CommentText">
    <w:name w:val="annotation text"/>
    <w:basedOn w:val="Normal"/>
    <w:link w:val="CommentTextChar"/>
    <w:unhideWhenUsed/>
    <w:rsid w:val="00DD288F"/>
    <w:pPr>
      <w:spacing w:line="240" w:lineRule="auto"/>
    </w:pPr>
  </w:style>
  <w:style w:type="character" w:customStyle="1" w:styleId="CommentTextChar">
    <w:name w:val="Comment Text Char"/>
    <w:basedOn w:val="DefaultParagraphFont"/>
    <w:link w:val="CommentText"/>
    <w:rsid w:val="00DD288F"/>
    <w:rPr>
      <w:lang w:val="en-GB"/>
    </w:rPr>
  </w:style>
  <w:style w:type="paragraph" w:styleId="CommentSubject">
    <w:name w:val="annotation subject"/>
    <w:basedOn w:val="CommentText"/>
    <w:next w:val="CommentText"/>
    <w:link w:val="CommentSubjectChar"/>
    <w:semiHidden/>
    <w:unhideWhenUsed/>
    <w:rsid w:val="00DD288F"/>
    <w:rPr>
      <w:b/>
      <w:bCs/>
    </w:rPr>
  </w:style>
  <w:style w:type="character" w:customStyle="1" w:styleId="CommentSubjectChar">
    <w:name w:val="Comment Subject Char"/>
    <w:basedOn w:val="CommentTextChar"/>
    <w:link w:val="CommentSubject"/>
    <w:semiHidden/>
    <w:rsid w:val="00DD288F"/>
    <w:rPr>
      <w:b/>
      <w:bCs/>
      <w:lang w:val="en-GB"/>
    </w:rPr>
  </w:style>
  <w:style w:type="paragraph" w:styleId="Revision">
    <w:name w:val="Revision"/>
    <w:hidden/>
    <w:uiPriority w:val="99"/>
    <w:semiHidden/>
    <w:rsid w:val="00592201"/>
    <w:pPr>
      <w:spacing w:line="240" w:lineRule="auto"/>
    </w:pPr>
    <w:rPr>
      <w:lang w:val="en-GB"/>
    </w:rPr>
  </w:style>
  <w:style w:type="character" w:styleId="UnresolvedMention">
    <w:name w:val="Unresolved Mention"/>
    <w:basedOn w:val="DefaultParagraphFont"/>
    <w:uiPriority w:val="99"/>
    <w:semiHidden/>
    <w:unhideWhenUsed/>
    <w:rsid w:val="00753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42647">
      <w:bodyDiv w:val="1"/>
      <w:marLeft w:val="0"/>
      <w:marRight w:val="0"/>
      <w:marTop w:val="0"/>
      <w:marBottom w:val="0"/>
      <w:divBdr>
        <w:top w:val="none" w:sz="0" w:space="0" w:color="auto"/>
        <w:left w:val="none" w:sz="0" w:space="0" w:color="auto"/>
        <w:bottom w:val="none" w:sz="0" w:space="0" w:color="auto"/>
        <w:right w:val="none" w:sz="0" w:space="0" w:color="auto"/>
      </w:divBdr>
    </w:div>
    <w:div w:id="1981879827">
      <w:bodyDiv w:val="1"/>
      <w:marLeft w:val="0"/>
      <w:marRight w:val="0"/>
      <w:marTop w:val="0"/>
      <w:marBottom w:val="0"/>
      <w:divBdr>
        <w:top w:val="none" w:sz="0" w:space="0" w:color="auto"/>
        <w:left w:val="none" w:sz="0" w:space="0" w:color="auto"/>
        <w:bottom w:val="none" w:sz="0" w:space="0" w:color="auto"/>
        <w:right w:val="none" w:sz="0" w:space="0" w:color="auto"/>
      </w:divBdr>
    </w:div>
    <w:div w:id="19853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info/Environmental-Policy/Environmental-Impact-Assessment/events/352848" TargetMode="External"/><Relationship Id="rId2" Type="http://schemas.openxmlformats.org/officeDocument/2006/relationships/hyperlink" Target="https://unece.org/sessions-3" TargetMode="External"/><Relationship Id="rId1" Type="http://schemas.openxmlformats.org/officeDocument/2006/relationships/hyperlink" Target="https://unece.org/info/Environmental-Policy/Environmental-Impact-Assessment/events/364357" TargetMode="External"/><Relationship Id="rId6" Type="http://schemas.openxmlformats.org/officeDocument/2006/relationships/hyperlink" Target="http://www.who.int/europe/event/seventh-ministerial-conference-on-environment-and-health" TargetMode="External"/><Relationship Id="rId5" Type="http://schemas.openxmlformats.org/officeDocument/2006/relationships/hyperlink" Target="https://unece.org/environment-policyenvironmental-assessment/meeting-parties-convention" TargetMode="External"/><Relationship Id="rId4" Type="http://schemas.openxmlformats.org/officeDocument/2006/relationships/hyperlink" Target="https://2024.iai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9a2c2c3-fdcf-4e63-9c12-39b3de610a76">
      <Terms xmlns="http://schemas.microsoft.com/office/infopath/2007/PartnerControls"/>
    </lcf76f155ced4ddcb4097134ff3c332f>
    <Dateandtime xmlns="99a2c2c3-fdcf-4e63-9c12-39b3de610a76" xsi:nil="true"/>
  </documentManagement>
</p:properties>
</file>

<file path=customXml/itemProps1.xml><?xml version="1.0" encoding="utf-8"?>
<ds:datastoreItem xmlns:ds="http://schemas.openxmlformats.org/officeDocument/2006/customXml" ds:itemID="{A5181C3B-8B1F-4628-89D0-4A082BFF836A}">
  <ds:schemaRefs>
    <ds:schemaRef ds:uri="http://schemas.microsoft.com/sharepoint/v3/contenttype/forms"/>
  </ds:schemaRefs>
</ds:datastoreItem>
</file>

<file path=customXml/itemProps2.xml><?xml version="1.0" encoding="utf-8"?>
<ds:datastoreItem xmlns:ds="http://schemas.openxmlformats.org/officeDocument/2006/customXml" ds:itemID="{65B08157-9019-47F6-847F-D68697B56546}">
  <ds:schemaRefs>
    <ds:schemaRef ds:uri="http://schemas.openxmlformats.org/officeDocument/2006/bibliography"/>
  </ds:schemaRefs>
</ds:datastoreItem>
</file>

<file path=customXml/itemProps3.xml><?xml version="1.0" encoding="utf-8"?>
<ds:datastoreItem xmlns:ds="http://schemas.openxmlformats.org/officeDocument/2006/customXml" ds:itemID="{5BDCED5C-C5D2-4AC5-931F-F022FB2CC0D5}"/>
</file>

<file path=customXml/itemProps4.xml><?xml version="1.0" encoding="utf-8"?>
<ds:datastoreItem xmlns:ds="http://schemas.openxmlformats.org/officeDocument/2006/customXml" ds:itemID="{0F1A61BC-AAD5-4C56-9195-13F3108A2AC0}">
  <ds:schemaRefs>
    <ds:schemaRef ds:uri="http://schemas.microsoft.com/office/2006/metadata/properties"/>
    <ds:schemaRef ds:uri="http://schemas.microsoft.com/office/infopath/2007/PartnerControls"/>
    <ds:schemaRef ds:uri="985ec44e-1bab-4c0b-9df0-6ba128686fc9"/>
    <ds:schemaRef ds:uri="99a2c2c3-fdcf-4e63-9c12-39b3de610a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7235</Words>
  <Characters>40377</Characters>
  <Application>Microsoft Office Word</Application>
  <DocSecurity>0</DocSecurity>
  <Lines>620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ECE/MP.EIA/WG.2/2022/2</vt:lpstr>
      <vt:lpstr/>
    </vt:vector>
  </TitlesOfParts>
  <Company>CSD</Company>
  <LinksUpToDate>false</LinksUpToDate>
  <CharactersWithSpaces>47490</CharactersWithSpaces>
  <SharedDoc>false</SharedDoc>
  <HLinks>
    <vt:vector size="12" baseType="variant">
      <vt:variant>
        <vt:i4>5636119</vt:i4>
      </vt:variant>
      <vt:variant>
        <vt:i4>3</vt:i4>
      </vt:variant>
      <vt:variant>
        <vt:i4>0</vt:i4>
      </vt:variant>
      <vt:variant>
        <vt:i4>5</vt:i4>
      </vt:variant>
      <vt:variant>
        <vt:lpwstr>https://unece.org/sessions-3</vt:lpwstr>
      </vt:variant>
      <vt:variant>
        <vt:lpwstr/>
      </vt:variant>
      <vt:variant>
        <vt:i4>458826</vt:i4>
      </vt:variant>
      <vt:variant>
        <vt:i4>0</vt:i4>
      </vt:variant>
      <vt:variant>
        <vt:i4>0</vt:i4>
      </vt:variant>
      <vt:variant>
        <vt:i4>5</vt:i4>
      </vt:variant>
      <vt:variant>
        <vt:lpwstr>https://unece.org/info/Environmental-Policy/Environmental-Impact-Assessment/events/364357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ECE/MP.EIA/WG.2/2023/2</dc:title>
  <dc:subject>2313744</dc:subject>
  <dc:creator>Maricar De_La_Cruz</dc:creator>
  <cp:keywords/>
  <dc:description/>
  <cp:lastModifiedBy>Anni Vi Tirol</cp:lastModifiedBy>
  <cp:revision>2</cp:revision>
  <cp:lastPrinted>2009-02-18T09:36:00Z</cp:lastPrinted>
  <dcterms:created xsi:type="dcterms:W3CDTF">2023-07-13T14:47:00Z</dcterms:created>
  <dcterms:modified xsi:type="dcterms:W3CDTF">2023-07-13T14:47:00Z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fea10b63-965f-4427-8bb6-608d95218d25</vt:lpwstr>
  </property>
  <property fmtid="{D5CDD505-2E9C-101B-9397-08002B2CF9AE}" pid="4" name="MediaServiceImageTags">
    <vt:lpwstr/>
  </property>
</Properties>
</file>