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CF2DC" w14:textId="77777777" w:rsidR="00982036" w:rsidRPr="00197493" w:rsidRDefault="00982036" w:rsidP="00982036">
      <w:pPr>
        <w:spacing w:before="120"/>
        <w:rPr>
          <w:b/>
          <w:sz w:val="28"/>
          <w:szCs w:val="28"/>
        </w:rPr>
      </w:pPr>
      <w:r w:rsidRPr="00197493">
        <w:rPr>
          <w:b/>
          <w:sz w:val="28"/>
          <w:szCs w:val="28"/>
        </w:rPr>
        <w:t>Economic Commission for Europe</w:t>
      </w:r>
      <w:r w:rsidR="0090465E" w:rsidRPr="00197493">
        <w:rPr>
          <w:b/>
          <w:sz w:val="28"/>
          <w:szCs w:val="28"/>
        </w:rPr>
        <w:t xml:space="preserve"> </w:t>
      </w:r>
    </w:p>
    <w:p w14:paraId="0EAD9853" w14:textId="77777777" w:rsidR="00982036" w:rsidRPr="00197493" w:rsidRDefault="00982036" w:rsidP="00982036">
      <w:pPr>
        <w:spacing w:before="120"/>
        <w:rPr>
          <w:sz w:val="28"/>
          <w:szCs w:val="28"/>
        </w:rPr>
      </w:pPr>
      <w:r w:rsidRPr="00197493">
        <w:rPr>
          <w:sz w:val="28"/>
          <w:szCs w:val="28"/>
        </w:rPr>
        <w:t>Inland Transport Committee</w:t>
      </w:r>
    </w:p>
    <w:p w14:paraId="34B956AF" w14:textId="77777777" w:rsidR="00982036" w:rsidRPr="00197493" w:rsidRDefault="00982036" w:rsidP="00982036">
      <w:pPr>
        <w:spacing w:before="120"/>
        <w:rPr>
          <w:b/>
          <w:sz w:val="24"/>
          <w:szCs w:val="24"/>
        </w:rPr>
      </w:pPr>
      <w:r w:rsidRPr="00197493">
        <w:rPr>
          <w:b/>
          <w:sz w:val="24"/>
          <w:szCs w:val="24"/>
        </w:rPr>
        <w:t>Working Party on the Transport of Dangerous Goods</w:t>
      </w:r>
    </w:p>
    <w:p w14:paraId="453F49B2" w14:textId="16ACA094" w:rsidR="00982036" w:rsidRPr="00197493" w:rsidRDefault="007851CB" w:rsidP="00084795">
      <w:pPr>
        <w:spacing w:before="120"/>
        <w:rPr>
          <w:b/>
        </w:rPr>
      </w:pPr>
      <w:r w:rsidRPr="00197493">
        <w:rPr>
          <w:b/>
        </w:rPr>
        <w:t>1</w:t>
      </w:r>
      <w:r w:rsidR="009E5870" w:rsidRPr="00197493">
        <w:rPr>
          <w:b/>
        </w:rPr>
        <w:t>1</w:t>
      </w:r>
      <w:r w:rsidR="00F03CEF" w:rsidRPr="00197493">
        <w:rPr>
          <w:b/>
        </w:rPr>
        <w:t>4</w:t>
      </w:r>
      <w:r w:rsidR="00A34804" w:rsidRPr="00197493">
        <w:rPr>
          <w:b/>
        </w:rPr>
        <w:t>th</w:t>
      </w:r>
      <w:r w:rsidR="00982036" w:rsidRPr="00197493">
        <w:rPr>
          <w:b/>
        </w:rPr>
        <w:t xml:space="preserve"> session</w:t>
      </w:r>
      <w:r w:rsidR="001D4954" w:rsidRPr="00197493">
        <w:rPr>
          <w:b/>
        </w:rPr>
        <w:tab/>
      </w:r>
      <w:r w:rsidR="001D4954" w:rsidRPr="00197493">
        <w:rPr>
          <w:b/>
        </w:rPr>
        <w:tab/>
      </w:r>
      <w:r w:rsidR="001D4954" w:rsidRPr="00197493">
        <w:rPr>
          <w:b/>
        </w:rPr>
        <w:tab/>
      </w:r>
      <w:r w:rsidR="001D4954" w:rsidRPr="00197493">
        <w:rPr>
          <w:b/>
        </w:rPr>
        <w:tab/>
      </w:r>
      <w:r w:rsidR="001D4954" w:rsidRPr="00197493">
        <w:rPr>
          <w:b/>
        </w:rPr>
        <w:tab/>
      </w:r>
      <w:r w:rsidR="001D4954" w:rsidRPr="00197493">
        <w:rPr>
          <w:b/>
        </w:rPr>
        <w:tab/>
      </w:r>
      <w:r w:rsidR="001D4954" w:rsidRPr="00197493">
        <w:rPr>
          <w:b/>
        </w:rPr>
        <w:tab/>
      </w:r>
      <w:r w:rsidR="001D4954" w:rsidRPr="00197493">
        <w:rPr>
          <w:b/>
        </w:rPr>
        <w:tab/>
      </w:r>
      <w:r w:rsidR="001D4954" w:rsidRPr="00197493">
        <w:rPr>
          <w:b/>
        </w:rPr>
        <w:tab/>
      </w:r>
      <w:r w:rsidR="002709B0" w:rsidRPr="00197493">
        <w:rPr>
          <w:b/>
        </w:rPr>
        <w:tab/>
      </w:r>
      <w:r w:rsidR="002709B0" w:rsidRPr="00197493">
        <w:rPr>
          <w:b/>
        </w:rPr>
        <w:tab/>
      </w:r>
      <w:r w:rsidR="00D13D3B" w:rsidRPr="00197493">
        <w:rPr>
          <w:b/>
        </w:rPr>
        <w:tab/>
      </w:r>
      <w:r w:rsidR="00E164BE" w:rsidRPr="00197493">
        <w:rPr>
          <w:b/>
        </w:rPr>
        <w:t>1</w:t>
      </w:r>
      <w:r w:rsidR="00E228DB" w:rsidRPr="00197493">
        <w:rPr>
          <w:b/>
        </w:rPr>
        <w:t>9</w:t>
      </w:r>
      <w:r w:rsidR="00E164BE" w:rsidRPr="00197493">
        <w:rPr>
          <w:b/>
        </w:rPr>
        <w:t xml:space="preserve"> October</w:t>
      </w:r>
      <w:r w:rsidR="0059135D" w:rsidRPr="00197493">
        <w:rPr>
          <w:b/>
        </w:rPr>
        <w:t xml:space="preserve"> 2023</w:t>
      </w:r>
    </w:p>
    <w:p w14:paraId="7DCB8D5D" w14:textId="5A19A08C" w:rsidR="00813BFE" w:rsidRPr="00197493" w:rsidRDefault="00813BFE" w:rsidP="00813BFE">
      <w:pPr>
        <w:rPr>
          <w:rFonts w:eastAsia="SimSun"/>
        </w:rPr>
      </w:pPr>
      <w:r w:rsidRPr="00197493">
        <w:rPr>
          <w:rFonts w:eastAsia="SimSun"/>
        </w:rPr>
        <w:t xml:space="preserve">Geneva, </w:t>
      </w:r>
      <w:r w:rsidR="00F03CEF" w:rsidRPr="00197493">
        <w:rPr>
          <w:rFonts w:eastAsia="SimSun"/>
        </w:rPr>
        <w:t>6</w:t>
      </w:r>
      <w:r w:rsidR="00767D48" w:rsidRPr="00197493">
        <w:rPr>
          <w:rFonts w:eastAsia="SimSun"/>
        </w:rPr>
        <w:t>-1</w:t>
      </w:r>
      <w:r w:rsidR="00F03CEF" w:rsidRPr="00197493">
        <w:rPr>
          <w:rFonts w:eastAsia="SimSun"/>
        </w:rPr>
        <w:t>0 November</w:t>
      </w:r>
      <w:r w:rsidR="00767D48" w:rsidRPr="00197493">
        <w:rPr>
          <w:rFonts w:eastAsia="SimSun"/>
        </w:rPr>
        <w:t xml:space="preserve"> 2023</w:t>
      </w:r>
    </w:p>
    <w:p w14:paraId="60D65FB3" w14:textId="29773B98" w:rsidR="00197AA1" w:rsidRPr="00197493" w:rsidRDefault="00197AA1" w:rsidP="00197AA1">
      <w:r w:rsidRPr="00197493">
        <w:t xml:space="preserve">Item </w:t>
      </w:r>
      <w:r w:rsidR="007B619C" w:rsidRPr="00197493">
        <w:t>5 (a)</w:t>
      </w:r>
      <w:r w:rsidRPr="00197493">
        <w:t xml:space="preserve"> of the provisional agenda</w:t>
      </w:r>
    </w:p>
    <w:p w14:paraId="31DED916" w14:textId="77777777" w:rsidR="00DD49D6" w:rsidRPr="00197493" w:rsidRDefault="00DD49D6" w:rsidP="00DD49D6">
      <w:pPr>
        <w:rPr>
          <w:b/>
          <w:bCs/>
        </w:rPr>
      </w:pPr>
      <w:r w:rsidRPr="00197493">
        <w:rPr>
          <w:b/>
          <w:bCs/>
        </w:rPr>
        <w:t>Proposals for amendments to annexes A and B of ADR:</w:t>
      </w:r>
    </w:p>
    <w:p w14:paraId="09B2C7E7" w14:textId="4D3AFC54" w:rsidR="00197AA1" w:rsidRPr="00197493" w:rsidRDefault="00DD49D6" w:rsidP="00DD49D6">
      <w:pPr>
        <w:rPr>
          <w:b/>
          <w:bCs/>
        </w:rPr>
      </w:pPr>
      <w:r w:rsidRPr="00197493">
        <w:rPr>
          <w:b/>
          <w:bCs/>
          <w:szCs w:val="24"/>
        </w:rPr>
        <w:t>Construction and approval of vehicles</w:t>
      </w:r>
    </w:p>
    <w:p w14:paraId="48D05A4F" w14:textId="77777777" w:rsidR="0067781A" w:rsidRPr="00197493" w:rsidRDefault="009D4F2D" w:rsidP="0067781A">
      <w:pPr>
        <w:pStyle w:val="HChG"/>
        <w:rPr>
          <w:lang w:val="en-GB"/>
        </w:rPr>
      </w:pPr>
      <w:r w:rsidRPr="00197493">
        <w:rPr>
          <w:lang w:val="en-GB"/>
        </w:rPr>
        <w:tab/>
      </w:r>
      <w:r w:rsidRPr="00197493">
        <w:rPr>
          <w:lang w:val="en-GB"/>
        </w:rPr>
        <w:tab/>
      </w:r>
      <w:r w:rsidR="0067781A" w:rsidRPr="00197493">
        <w:rPr>
          <w:lang w:val="en-GB"/>
        </w:rPr>
        <w:t>Issues of interpretation to the table of 9.2.1.1</w:t>
      </w:r>
    </w:p>
    <w:p w14:paraId="7C25666F" w14:textId="77777777" w:rsidR="0067781A" w:rsidRPr="00197493" w:rsidRDefault="0067781A" w:rsidP="0067781A">
      <w:pPr>
        <w:pStyle w:val="H1G"/>
      </w:pPr>
      <w:r w:rsidRPr="00197493">
        <w:tab/>
      </w:r>
      <w:r w:rsidRPr="00197493">
        <w:tab/>
        <w:t>Transmitted by the Government of the Netherlands</w:t>
      </w:r>
    </w:p>
    <w:p w14:paraId="41D79E8B" w14:textId="444E64F7" w:rsidR="0067781A" w:rsidRPr="00197493" w:rsidRDefault="009A1090" w:rsidP="009A1090">
      <w:pPr>
        <w:pStyle w:val="HChG"/>
        <w:rPr>
          <w:lang w:val="en-GB"/>
        </w:rPr>
      </w:pPr>
      <w:r w:rsidRPr="00197493">
        <w:rPr>
          <w:lang w:val="en-GB"/>
        </w:rPr>
        <w:tab/>
        <w:t>I.</w:t>
      </w:r>
      <w:r w:rsidRPr="00197493">
        <w:rPr>
          <w:lang w:val="en-GB"/>
        </w:rPr>
        <w:tab/>
      </w:r>
      <w:r w:rsidR="0067781A" w:rsidRPr="00197493">
        <w:rPr>
          <w:lang w:val="en-GB"/>
        </w:rPr>
        <w:t>Introduction</w:t>
      </w:r>
    </w:p>
    <w:p w14:paraId="3B3A6BFB" w14:textId="7F8DE7A0" w:rsidR="0067781A" w:rsidRPr="00197493" w:rsidRDefault="0067781A" w:rsidP="009737DD">
      <w:pPr>
        <w:pStyle w:val="SingleTxtG"/>
        <w:rPr>
          <w:lang w:val="en-GB"/>
        </w:rPr>
      </w:pPr>
      <w:r w:rsidRPr="00197493">
        <w:rPr>
          <w:lang w:val="en-GB"/>
        </w:rPr>
        <w:t>1.</w:t>
      </w:r>
      <w:r w:rsidRPr="00197493">
        <w:rPr>
          <w:lang w:val="en-GB"/>
        </w:rPr>
        <w:tab/>
        <w:t xml:space="preserve">An interpretation problem surfaced in the table of 9.2.1.1 concerning the interaction between the crosses in the table and the contents of the requirements in the sub-sections of 9.2.4.3, 9.2.4.4 and 9.4.6. </w:t>
      </w:r>
    </w:p>
    <w:p w14:paraId="4B4D5F77" w14:textId="77777777" w:rsidR="0067781A" w:rsidRPr="00197493" w:rsidRDefault="0067781A" w:rsidP="00A0593B">
      <w:pPr>
        <w:pStyle w:val="SingleTxtG"/>
        <w:rPr>
          <w:lang w:val="en-GB"/>
        </w:rPr>
      </w:pPr>
      <w:r w:rsidRPr="00197493">
        <w:rPr>
          <w:lang w:val="en-GB"/>
        </w:rPr>
        <w:t>Below the lines are reproduced.</w:t>
      </w:r>
    </w:p>
    <w:tbl>
      <w:tblPr>
        <w:tblW w:w="8222"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51"/>
        <w:gridCol w:w="2976"/>
        <w:gridCol w:w="709"/>
        <w:gridCol w:w="709"/>
        <w:gridCol w:w="567"/>
        <w:gridCol w:w="709"/>
        <w:gridCol w:w="1701"/>
      </w:tblGrid>
      <w:tr w:rsidR="0067781A" w:rsidRPr="00197493" w14:paraId="0BFD2989" w14:textId="77777777" w:rsidTr="002B1F27">
        <w:trPr>
          <w:trHeight w:val="20"/>
        </w:trPr>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14:paraId="2131A3CF" w14:textId="77777777" w:rsidR="0067781A" w:rsidRPr="00197493" w:rsidRDefault="0067781A" w:rsidP="002B1F27">
            <w:pPr>
              <w:spacing w:after="60"/>
              <w:ind w:left="116" w:firstLine="80"/>
              <w:rPr>
                <w:b/>
                <w:sz w:val="18"/>
                <w:szCs w:val="18"/>
              </w:rPr>
            </w:pPr>
          </w:p>
        </w:tc>
        <w:tc>
          <w:tcPr>
            <w:tcW w:w="2976" w:type="dxa"/>
            <w:tcBorders>
              <w:top w:val="single" w:sz="4" w:space="0" w:color="auto"/>
              <w:left w:val="single" w:sz="4" w:space="0" w:color="auto"/>
              <w:bottom w:val="single" w:sz="4" w:space="0" w:color="auto"/>
              <w:right w:val="single" w:sz="4" w:space="0" w:color="auto"/>
            </w:tcBorders>
            <w:tcMar>
              <w:left w:w="28" w:type="dxa"/>
              <w:right w:w="28" w:type="dxa"/>
            </w:tcMar>
          </w:tcPr>
          <w:p w14:paraId="08661358" w14:textId="77777777" w:rsidR="0067781A" w:rsidRPr="00197493" w:rsidRDefault="0067781A" w:rsidP="002B1F27">
            <w:pPr>
              <w:spacing w:after="60"/>
              <w:ind w:left="116" w:firstLine="80"/>
              <w:rPr>
                <w:b/>
                <w:sz w:val="18"/>
                <w:szCs w:val="18"/>
              </w:rPr>
            </w:pPr>
          </w:p>
        </w:tc>
        <w:tc>
          <w:tcPr>
            <w:tcW w:w="709" w:type="dxa"/>
            <w:tcBorders>
              <w:top w:val="single" w:sz="4" w:space="0" w:color="auto"/>
              <w:left w:val="single" w:sz="4" w:space="0" w:color="auto"/>
              <w:bottom w:val="single" w:sz="4" w:space="0" w:color="auto"/>
              <w:right w:val="single" w:sz="4" w:space="0" w:color="auto"/>
            </w:tcBorders>
          </w:tcPr>
          <w:p w14:paraId="4F00D3F6" w14:textId="77777777" w:rsidR="0067781A" w:rsidRPr="00197493" w:rsidRDefault="0067781A" w:rsidP="002B1F27">
            <w:pPr>
              <w:spacing w:after="60"/>
              <w:ind w:left="116" w:firstLine="80"/>
              <w:jc w:val="center"/>
              <w:rPr>
                <w:sz w:val="18"/>
                <w:szCs w:val="18"/>
              </w:rPr>
            </w:pPr>
            <w:r w:rsidRPr="00197493">
              <w:rPr>
                <w:sz w:val="18"/>
                <w:szCs w:val="18"/>
              </w:rPr>
              <w:t>EX/II</w:t>
            </w:r>
          </w:p>
        </w:tc>
        <w:tc>
          <w:tcPr>
            <w:tcW w:w="709" w:type="dxa"/>
            <w:tcBorders>
              <w:top w:val="single" w:sz="4" w:space="0" w:color="auto"/>
              <w:left w:val="single" w:sz="4" w:space="0" w:color="auto"/>
              <w:bottom w:val="single" w:sz="4" w:space="0" w:color="auto"/>
              <w:right w:val="single" w:sz="4" w:space="0" w:color="auto"/>
            </w:tcBorders>
          </w:tcPr>
          <w:p w14:paraId="6DD058A9" w14:textId="77777777" w:rsidR="0067781A" w:rsidRPr="00197493" w:rsidRDefault="0067781A" w:rsidP="002B1F27">
            <w:pPr>
              <w:spacing w:after="60"/>
              <w:ind w:left="116" w:hanging="116"/>
              <w:jc w:val="center"/>
              <w:rPr>
                <w:sz w:val="18"/>
                <w:szCs w:val="18"/>
              </w:rPr>
            </w:pPr>
            <w:r w:rsidRPr="00197493">
              <w:rPr>
                <w:sz w:val="18"/>
                <w:szCs w:val="18"/>
              </w:rPr>
              <w:t>EX/III</w:t>
            </w:r>
          </w:p>
        </w:tc>
        <w:tc>
          <w:tcPr>
            <w:tcW w:w="567" w:type="dxa"/>
            <w:tcBorders>
              <w:top w:val="single" w:sz="4" w:space="0" w:color="auto"/>
              <w:left w:val="single" w:sz="4" w:space="0" w:color="auto"/>
              <w:bottom w:val="single" w:sz="4" w:space="0" w:color="auto"/>
              <w:right w:val="single" w:sz="4" w:space="0" w:color="auto"/>
            </w:tcBorders>
          </w:tcPr>
          <w:p w14:paraId="6CE6327E" w14:textId="77777777" w:rsidR="0067781A" w:rsidRPr="00197493" w:rsidRDefault="0067781A" w:rsidP="002B1F27">
            <w:pPr>
              <w:spacing w:after="60"/>
              <w:ind w:left="116" w:firstLine="80"/>
              <w:jc w:val="center"/>
              <w:rPr>
                <w:sz w:val="18"/>
                <w:szCs w:val="18"/>
              </w:rPr>
            </w:pPr>
            <w:r w:rsidRPr="00197493">
              <w:rPr>
                <w:sz w:val="18"/>
                <w:szCs w:val="18"/>
              </w:rPr>
              <w:t>AT</w:t>
            </w:r>
          </w:p>
        </w:tc>
        <w:tc>
          <w:tcPr>
            <w:tcW w:w="709" w:type="dxa"/>
            <w:tcBorders>
              <w:top w:val="single" w:sz="4" w:space="0" w:color="auto"/>
              <w:left w:val="single" w:sz="4" w:space="0" w:color="auto"/>
              <w:bottom w:val="single" w:sz="4" w:space="0" w:color="auto"/>
              <w:right w:val="single" w:sz="4" w:space="0" w:color="auto"/>
            </w:tcBorders>
          </w:tcPr>
          <w:p w14:paraId="562C0994" w14:textId="77777777" w:rsidR="0067781A" w:rsidRPr="00197493" w:rsidRDefault="0067781A" w:rsidP="002B1F27">
            <w:pPr>
              <w:spacing w:after="60"/>
              <w:ind w:left="116" w:firstLine="80"/>
              <w:jc w:val="center"/>
              <w:rPr>
                <w:sz w:val="18"/>
                <w:szCs w:val="18"/>
              </w:rPr>
            </w:pPr>
            <w:r w:rsidRPr="00197493">
              <w:rPr>
                <w:sz w:val="18"/>
                <w:szCs w:val="18"/>
              </w:rPr>
              <w:t>FL</w:t>
            </w:r>
          </w:p>
        </w:tc>
        <w:tc>
          <w:tcPr>
            <w:tcW w:w="1701" w:type="dxa"/>
            <w:tcBorders>
              <w:top w:val="single" w:sz="4" w:space="0" w:color="auto"/>
              <w:left w:val="single" w:sz="4" w:space="0" w:color="auto"/>
              <w:bottom w:val="single" w:sz="4" w:space="0" w:color="auto"/>
              <w:right w:val="single" w:sz="4" w:space="0" w:color="auto"/>
            </w:tcBorders>
          </w:tcPr>
          <w:p w14:paraId="72784BB4" w14:textId="77777777" w:rsidR="0067781A" w:rsidRPr="00197493" w:rsidRDefault="0067781A" w:rsidP="002B1F27">
            <w:pPr>
              <w:spacing w:after="60"/>
              <w:ind w:left="116" w:right="-271" w:firstLine="80"/>
              <w:rPr>
                <w:sz w:val="18"/>
                <w:szCs w:val="18"/>
              </w:rPr>
            </w:pPr>
          </w:p>
        </w:tc>
      </w:tr>
      <w:tr w:rsidR="0067781A" w:rsidRPr="00197493" w14:paraId="2A128881" w14:textId="77777777" w:rsidTr="002B1F27">
        <w:trPr>
          <w:trHeight w:val="20"/>
        </w:trPr>
        <w:tc>
          <w:tcPr>
            <w:tcW w:w="851"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0A2F2B0A" w14:textId="77777777" w:rsidR="0067781A" w:rsidRPr="00197493" w:rsidRDefault="0067781A" w:rsidP="002B1F27">
            <w:pPr>
              <w:spacing w:after="60"/>
              <w:ind w:left="116" w:firstLine="80"/>
              <w:rPr>
                <w:b/>
                <w:sz w:val="18"/>
                <w:szCs w:val="18"/>
              </w:rPr>
            </w:pPr>
            <w:r w:rsidRPr="00197493">
              <w:rPr>
                <w:b/>
                <w:sz w:val="18"/>
                <w:szCs w:val="18"/>
              </w:rPr>
              <w:t>9.2.4</w:t>
            </w:r>
          </w:p>
        </w:tc>
        <w:tc>
          <w:tcPr>
            <w:tcW w:w="2976"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4E92CFEF" w14:textId="77777777" w:rsidR="0067781A" w:rsidRPr="00197493" w:rsidRDefault="0067781A" w:rsidP="002B1F27">
            <w:pPr>
              <w:spacing w:after="60"/>
              <w:ind w:left="116" w:firstLine="80"/>
              <w:rPr>
                <w:b/>
                <w:sz w:val="18"/>
                <w:szCs w:val="18"/>
              </w:rPr>
            </w:pPr>
            <w:r w:rsidRPr="00197493">
              <w:rPr>
                <w:b/>
                <w:sz w:val="18"/>
                <w:szCs w:val="18"/>
              </w:rPr>
              <w:t>PREVENTION OF FIRE RISKS</w:t>
            </w:r>
          </w:p>
        </w:tc>
        <w:tc>
          <w:tcPr>
            <w:tcW w:w="709" w:type="dxa"/>
            <w:tcBorders>
              <w:top w:val="single" w:sz="4" w:space="0" w:color="auto"/>
              <w:left w:val="single" w:sz="4" w:space="0" w:color="auto"/>
              <w:bottom w:val="single" w:sz="4" w:space="0" w:color="auto"/>
              <w:right w:val="single" w:sz="4" w:space="0" w:color="auto"/>
            </w:tcBorders>
          </w:tcPr>
          <w:p w14:paraId="713FF197" w14:textId="77777777" w:rsidR="0067781A" w:rsidRPr="00197493" w:rsidRDefault="0067781A" w:rsidP="002B1F27">
            <w:pPr>
              <w:spacing w:after="60"/>
              <w:ind w:left="116" w:firstLine="80"/>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tcPr>
          <w:p w14:paraId="3D243208" w14:textId="77777777" w:rsidR="0067781A" w:rsidRPr="00197493" w:rsidRDefault="0067781A" w:rsidP="002B1F27">
            <w:pPr>
              <w:spacing w:after="60"/>
              <w:ind w:left="116" w:firstLine="80"/>
              <w:jc w:val="center"/>
              <w:rPr>
                <w:sz w:val="18"/>
                <w:szCs w:val="18"/>
              </w:rPr>
            </w:pPr>
          </w:p>
        </w:tc>
        <w:tc>
          <w:tcPr>
            <w:tcW w:w="567" w:type="dxa"/>
            <w:tcBorders>
              <w:top w:val="single" w:sz="4" w:space="0" w:color="auto"/>
              <w:left w:val="single" w:sz="4" w:space="0" w:color="auto"/>
              <w:bottom w:val="single" w:sz="4" w:space="0" w:color="auto"/>
              <w:right w:val="single" w:sz="4" w:space="0" w:color="auto"/>
            </w:tcBorders>
          </w:tcPr>
          <w:p w14:paraId="30A02045" w14:textId="77777777" w:rsidR="0067781A" w:rsidRPr="00197493" w:rsidRDefault="0067781A" w:rsidP="002B1F27">
            <w:pPr>
              <w:spacing w:after="60"/>
              <w:ind w:left="116" w:firstLine="80"/>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tcPr>
          <w:p w14:paraId="0A02B5DC" w14:textId="77777777" w:rsidR="0067781A" w:rsidRPr="00197493" w:rsidRDefault="0067781A" w:rsidP="002B1F27">
            <w:pPr>
              <w:spacing w:after="60"/>
              <w:ind w:left="116" w:firstLine="80"/>
              <w:jc w:val="center"/>
              <w:rPr>
                <w:sz w:val="18"/>
                <w:szCs w:val="18"/>
              </w:rPr>
            </w:pPr>
          </w:p>
        </w:tc>
        <w:tc>
          <w:tcPr>
            <w:tcW w:w="1701" w:type="dxa"/>
            <w:tcBorders>
              <w:top w:val="single" w:sz="4" w:space="0" w:color="auto"/>
              <w:left w:val="single" w:sz="4" w:space="0" w:color="auto"/>
              <w:bottom w:val="single" w:sz="4" w:space="0" w:color="auto"/>
              <w:right w:val="single" w:sz="4" w:space="0" w:color="auto"/>
            </w:tcBorders>
          </w:tcPr>
          <w:p w14:paraId="250774A4" w14:textId="77777777" w:rsidR="0067781A" w:rsidRPr="00197493" w:rsidRDefault="0067781A" w:rsidP="002B1F27">
            <w:pPr>
              <w:spacing w:after="60"/>
              <w:ind w:left="116" w:right="-271" w:firstLine="80"/>
              <w:rPr>
                <w:sz w:val="18"/>
                <w:szCs w:val="18"/>
              </w:rPr>
            </w:pPr>
          </w:p>
        </w:tc>
      </w:tr>
      <w:tr w:rsidR="0067781A" w:rsidRPr="00197493" w14:paraId="2683F833" w14:textId="77777777" w:rsidTr="002B1F27">
        <w:trPr>
          <w:trHeight w:val="20"/>
        </w:trPr>
        <w:tc>
          <w:tcPr>
            <w:tcW w:w="851"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240B76EF" w14:textId="77777777" w:rsidR="0067781A" w:rsidRPr="00197493" w:rsidRDefault="0067781A" w:rsidP="002B1F27">
            <w:pPr>
              <w:spacing w:after="60"/>
              <w:ind w:left="116" w:firstLine="80"/>
              <w:rPr>
                <w:sz w:val="18"/>
                <w:szCs w:val="18"/>
              </w:rPr>
            </w:pPr>
            <w:r w:rsidRPr="00197493">
              <w:rPr>
                <w:sz w:val="18"/>
                <w:szCs w:val="18"/>
              </w:rPr>
              <w:t>9.2.4.3</w:t>
            </w:r>
          </w:p>
        </w:tc>
        <w:tc>
          <w:tcPr>
            <w:tcW w:w="2976"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66DE7FE5" w14:textId="77777777" w:rsidR="0067781A" w:rsidRPr="00197493" w:rsidRDefault="0067781A" w:rsidP="002B1F27">
            <w:pPr>
              <w:spacing w:after="60"/>
              <w:ind w:left="116" w:firstLine="80"/>
              <w:rPr>
                <w:sz w:val="18"/>
                <w:szCs w:val="18"/>
              </w:rPr>
            </w:pPr>
            <w:r w:rsidRPr="00197493">
              <w:rPr>
                <w:sz w:val="18"/>
                <w:szCs w:val="18"/>
              </w:rPr>
              <w:t>Fuel tanks and cylinders</w:t>
            </w:r>
          </w:p>
        </w:tc>
        <w:tc>
          <w:tcPr>
            <w:tcW w:w="709" w:type="dxa"/>
            <w:tcBorders>
              <w:top w:val="single" w:sz="4" w:space="0" w:color="auto"/>
              <w:left w:val="single" w:sz="4" w:space="0" w:color="auto"/>
              <w:bottom w:val="single" w:sz="4" w:space="0" w:color="auto"/>
              <w:right w:val="single" w:sz="4" w:space="0" w:color="auto"/>
            </w:tcBorders>
            <w:hideMark/>
          </w:tcPr>
          <w:p w14:paraId="00DD6291" w14:textId="77777777" w:rsidR="0067781A" w:rsidRPr="00197493" w:rsidRDefault="0067781A" w:rsidP="002B1F27">
            <w:pPr>
              <w:spacing w:after="60"/>
              <w:ind w:left="116" w:firstLine="80"/>
              <w:jc w:val="center"/>
              <w:rPr>
                <w:sz w:val="18"/>
                <w:szCs w:val="18"/>
              </w:rPr>
            </w:pPr>
            <w:r w:rsidRPr="00197493">
              <w:rPr>
                <w:sz w:val="18"/>
                <w:szCs w:val="18"/>
              </w:rPr>
              <w:t>X</w:t>
            </w:r>
          </w:p>
        </w:tc>
        <w:tc>
          <w:tcPr>
            <w:tcW w:w="709" w:type="dxa"/>
            <w:tcBorders>
              <w:top w:val="single" w:sz="4" w:space="0" w:color="auto"/>
              <w:left w:val="single" w:sz="4" w:space="0" w:color="auto"/>
              <w:bottom w:val="single" w:sz="4" w:space="0" w:color="auto"/>
              <w:right w:val="single" w:sz="4" w:space="0" w:color="auto"/>
            </w:tcBorders>
            <w:hideMark/>
          </w:tcPr>
          <w:p w14:paraId="481AF725" w14:textId="77777777" w:rsidR="0067781A" w:rsidRPr="00197493" w:rsidRDefault="0067781A" w:rsidP="002B1F27">
            <w:pPr>
              <w:spacing w:after="60"/>
              <w:ind w:left="116" w:firstLine="80"/>
              <w:jc w:val="center"/>
              <w:rPr>
                <w:sz w:val="18"/>
                <w:szCs w:val="18"/>
              </w:rPr>
            </w:pPr>
            <w:r w:rsidRPr="00197493">
              <w:rPr>
                <w:sz w:val="18"/>
                <w:szCs w:val="18"/>
              </w:rPr>
              <w:t>X</w:t>
            </w:r>
          </w:p>
        </w:tc>
        <w:tc>
          <w:tcPr>
            <w:tcW w:w="567" w:type="dxa"/>
            <w:tcBorders>
              <w:top w:val="single" w:sz="4" w:space="0" w:color="auto"/>
              <w:left w:val="single" w:sz="4" w:space="0" w:color="auto"/>
              <w:bottom w:val="single" w:sz="4" w:space="0" w:color="auto"/>
              <w:right w:val="single" w:sz="4" w:space="0" w:color="auto"/>
            </w:tcBorders>
          </w:tcPr>
          <w:p w14:paraId="4D880F33" w14:textId="77777777" w:rsidR="0067781A" w:rsidRPr="00197493" w:rsidRDefault="0067781A" w:rsidP="002B1F27">
            <w:pPr>
              <w:spacing w:after="60"/>
              <w:ind w:left="116" w:firstLine="80"/>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hideMark/>
          </w:tcPr>
          <w:p w14:paraId="77BBE4C6" w14:textId="77777777" w:rsidR="0067781A" w:rsidRPr="00197493" w:rsidRDefault="0067781A" w:rsidP="002B1F27">
            <w:pPr>
              <w:spacing w:after="60"/>
              <w:ind w:left="116" w:firstLine="80"/>
              <w:jc w:val="center"/>
              <w:rPr>
                <w:sz w:val="18"/>
                <w:szCs w:val="18"/>
              </w:rPr>
            </w:pPr>
            <w:r w:rsidRPr="00197493">
              <w:rPr>
                <w:sz w:val="18"/>
                <w:szCs w:val="18"/>
              </w:rPr>
              <w:t>X</w:t>
            </w:r>
          </w:p>
        </w:tc>
        <w:tc>
          <w:tcPr>
            <w:tcW w:w="1701" w:type="dxa"/>
            <w:tcBorders>
              <w:top w:val="single" w:sz="4" w:space="0" w:color="auto"/>
              <w:left w:val="single" w:sz="4" w:space="0" w:color="auto"/>
              <w:bottom w:val="single" w:sz="4" w:space="0" w:color="auto"/>
              <w:right w:val="single" w:sz="4" w:space="0" w:color="auto"/>
            </w:tcBorders>
          </w:tcPr>
          <w:p w14:paraId="7E448A8B" w14:textId="77777777" w:rsidR="0067781A" w:rsidRPr="00197493" w:rsidRDefault="0067781A" w:rsidP="002B1F27">
            <w:pPr>
              <w:spacing w:after="60"/>
              <w:ind w:left="116" w:right="-271" w:firstLine="80"/>
              <w:rPr>
                <w:sz w:val="18"/>
                <w:szCs w:val="18"/>
              </w:rPr>
            </w:pPr>
          </w:p>
        </w:tc>
      </w:tr>
      <w:tr w:rsidR="0067781A" w:rsidRPr="00197493" w14:paraId="22BC93E1" w14:textId="77777777" w:rsidTr="002B1F27">
        <w:trPr>
          <w:trHeight w:val="20"/>
        </w:trPr>
        <w:tc>
          <w:tcPr>
            <w:tcW w:w="851"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2FD58030" w14:textId="77777777" w:rsidR="0067781A" w:rsidRPr="00197493" w:rsidRDefault="0067781A" w:rsidP="002B1F27">
            <w:pPr>
              <w:spacing w:after="60"/>
              <w:ind w:left="116" w:firstLine="80"/>
              <w:rPr>
                <w:sz w:val="18"/>
                <w:szCs w:val="18"/>
              </w:rPr>
            </w:pPr>
            <w:r w:rsidRPr="00197493">
              <w:rPr>
                <w:sz w:val="18"/>
                <w:szCs w:val="18"/>
              </w:rPr>
              <w:t>9.2.4.4</w:t>
            </w:r>
          </w:p>
        </w:tc>
        <w:tc>
          <w:tcPr>
            <w:tcW w:w="2976"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2CA38C1A" w14:textId="77777777" w:rsidR="0067781A" w:rsidRPr="00197493" w:rsidRDefault="0067781A" w:rsidP="002B1F27">
            <w:pPr>
              <w:spacing w:after="60"/>
              <w:ind w:left="116" w:firstLine="80"/>
              <w:rPr>
                <w:sz w:val="18"/>
                <w:szCs w:val="18"/>
              </w:rPr>
            </w:pPr>
            <w:r w:rsidRPr="00197493">
              <w:rPr>
                <w:sz w:val="18"/>
                <w:szCs w:val="18"/>
              </w:rPr>
              <w:t>Engine</w:t>
            </w:r>
          </w:p>
        </w:tc>
        <w:tc>
          <w:tcPr>
            <w:tcW w:w="709" w:type="dxa"/>
            <w:tcBorders>
              <w:top w:val="single" w:sz="4" w:space="0" w:color="auto"/>
              <w:left w:val="single" w:sz="4" w:space="0" w:color="auto"/>
              <w:bottom w:val="single" w:sz="4" w:space="0" w:color="auto"/>
              <w:right w:val="single" w:sz="4" w:space="0" w:color="auto"/>
            </w:tcBorders>
            <w:hideMark/>
          </w:tcPr>
          <w:p w14:paraId="1942930B" w14:textId="77777777" w:rsidR="0067781A" w:rsidRPr="00197493" w:rsidRDefault="0067781A" w:rsidP="002B1F27">
            <w:pPr>
              <w:spacing w:after="60"/>
              <w:ind w:left="116" w:firstLine="80"/>
              <w:jc w:val="center"/>
              <w:rPr>
                <w:sz w:val="18"/>
                <w:szCs w:val="18"/>
              </w:rPr>
            </w:pPr>
            <w:r w:rsidRPr="00197493">
              <w:rPr>
                <w:sz w:val="18"/>
                <w:szCs w:val="18"/>
              </w:rPr>
              <w:t>X</w:t>
            </w:r>
          </w:p>
        </w:tc>
        <w:tc>
          <w:tcPr>
            <w:tcW w:w="709" w:type="dxa"/>
            <w:tcBorders>
              <w:top w:val="single" w:sz="4" w:space="0" w:color="auto"/>
              <w:left w:val="single" w:sz="4" w:space="0" w:color="auto"/>
              <w:bottom w:val="single" w:sz="4" w:space="0" w:color="auto"/>
              <w:right w:val="single" w:sz="4" w:space="0" w:color="auto"/>
            </w:tcBorders>
            <w:hideMark/>
          </w:tcPr>
          <w:p w14:paraId="2A0FDF6B" w14:textId="77777777" w:rsidR="0067781A" w:rsidRPr="00197493" w:rsidRDefault="0067781A" w:rsidP="002B1F27">
            <w:pPr>
              <w:spacing w:after="60"/>
              <w:ind w:left="116" w:firstLine="80"/>
              <w:jc w:val="center"/>
              <w:rPr>
                <w:sz w:val="18"/>
                <w:szCs w:val="18"/>
              </w:rPr>
            </w:pPr>
            <w:r w:rsidRPr="00197493">
              <w:rPr>
                <w:sz w:val="18"/>
                <w:szCs w:val="18"/>
              </w:rPr>
              <w:t>X</w:t>
            </w:r>
          </w:p>
        </w:tc>
        <w:tc>
          <w:tcPr>
            <w:tcW w:w="567" w:type="dxa"/>
            <w:tcBorders>
              <w:top w:val="single" w:sz="4" w:space="0" w:color="auto"/>
              <w:left w:val="single" w:sz="4" w:space="0" w:color="auto"/>
              <w:bottom w:val="single" w:sz="4" w:space="0" w:color="auto"/>
              <w:right w:val="single" w:sz="4" w:space="0" w:color="auto"/>
            </w:tcBorders>
          </w:tcPr>
          <w:p w14:paraId="3DFADE38" w14:textId="77777777" w:rsidR="0067781A" w:rsidRPr="00197493" w:rsidRDefault="0067781A" w:rsidP="002B1F27">
            <w:pPr>
              <w:spacing w:after="60"/>
              <w:ind w:left="116" w:firstLine="80"/>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hideMark/>
          </w:tcPr>
          <w:p w14:paraId="5C2BD5B8" w14:textId="77777777" w:rsidR="0067781A" w:rsidRPr="00197493" w:rsidRDefault="0067781A" w:rsidP="002B1F27">
            <w:pPr>
              <w:spacing w:after="60"/>
              <w:ind w:left="116" w:firstLine="80"/>
              <w:jc w:val="center"/>
              <w:rPr>
                <w:sz w:val="18"/>
                <w:szCs w:val="18"/>
              </w:rPr>
            </w:pPr>
            <w:r w:rsidRPr="00197493">
              <w:rPr>
                <w:sz w:val="18"/>
                <w:szCs w:val="18"/>
              </w:rPr>
              <w:t>X</w:t>
            </w:r>
          </w:p>
        </w:tc>
        <w:tc>
          <w:tcPr>
            <w:tcW w:w="1701" w:type="dxa"/>
            <w:tcBorders>
              <w:top w:val="single" w:sz="4" w:space="0" w:color="auto"/>
              <w:left w:val="single" w:sz="4" w:space="0" w:color="auto"/>
              <w:bottom w:val="single" w:sz="4" w:space="0" w:color="auto"/>
              <w:right w:val="single" w:sz="4" w:space="0" w:color="auto"/>
            </w:tcBorders>
          </w:tcPr>
          <w:p w14:paraId="18B2E9B5" w14:textId="77777777" w:rsidR="0067781A" w:rsidRPr="00197493" w:rsidRDefault="0067781A" w:rsidP="002B1F27">
            <w:pPr>
              <w:spacing w:after="60"/>
              <w:ind w:left="116" w:right="-271" w:firstLine="80"/>
              <w:rPr>
                <w:sz w:val="18"/>
                <w:szCs w:val="18"/>
              </w:rPr>
            </w:pPr>
          </w:p>
        </w:tc>
      </w:tr>
      <w:tr w:rsidR="0067781A" w:rsidRPr="00197493" w14:paraId="5B7424AB" w14:textId="77777777" w:rsidTr="002B1F27">
        <w:trPr>
          <w:trHeight w:val="20"/>
        </w:trPr>
        <w:tc>
          <w:tcPr>
            <w:tcW w:w="851"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3781F163" w14:textId="77777777" w:rsidR="0067781A" w:rsidRPr="00197493" w:rsidRDefault="0067781A" w:rsidP="002B1F27">
            <w:pPr>
              <w:spacing w:after="60"/>
              <w:ind w:left="116" w:firstLine="80"/>
              <w:rPr>
                <w:sz w:val="18"/>
                <w:szCs w:val="18"/>
              </w:rPr>
            </w:pPr>
            <w:r w:rsidRPr="00197493">
              <w:rPr>
                <w:sz w:val="18"/>
                <w:szCs w:val="18"/>
              </w:rPr>
              <w:t>9.2.4.5</w:t>
            </w:r>
          </w:p>
        </w:tc>
        <w:tc>
          <w:tcPr>
            <w:tcW w:w="2976" w:type="dxa"/>
            <w:tcBorders>
              <w:top w:val="single" w:sz="4" w:space="0" w:color="auto"/>
              <w:left w:val="single" w:sz="4" w:space="0" w:color="auto"/>
              <w:bottom w:val="single" w:sz="4" w:space="0" w:color="auto"/>
              <w:right w:val="single" w:sz="4" w:space="0" w:color="auto"/>
            </w:tcBorders>
            <w:tcMar>
              <w:left w:w="28" w:type="dxa"/>
              <w:right w:w="28" w:type="dxa"/>
            </w:tcMar>
          </w:tcPr>
          <w:p w14:paraId="0F1623DB" w14:textId="77777777" w:rsidR="0067781A" w:rsidRPr="00197493" w:rsidRDefault="0067781A" w:rsidP="002B1F27">
            <w:pPr>
              <w:spacing w:after="60"/>
              <w:ind w:left="116" w:firstLine="80"/>
              <w:rPr>
                <w:sz w:val="18"/>
                <w:szCs w:val="18"/>
              </w:rPr>
            </w:pPr>
            <w:r w:rsidRPr="00197493">
              <w:rPr>
                <w:sz w:val="18"/>
                <w:szCs w:val="18"/>
              </w:rPr>
              <w:t>---</w:t>
            </w:r>
          </w:p>
        </w:tc>
        <w:tc>
          <w:tcPr>
            <w:tcW w:w="709" w:type="dxa"/>
            <w:tcBorders>
              <w:top w:val="single" w:sz="4" w:space="0" w:color="auto"/>
              <w:left w:val="single" w:sz="4" w:space="0" w:color="auto"/>
              <w:bottom w:val="single" w:sz="4" w:space="0" w:color="auto"/>
              <w:right w:val="single" w:sz="4" w:space="0" w:color="auto"/>
            </w:tcBorders>
          </w:tcPr>
          <w:p w14:paraId="5F6A4792" w14:textId="77777777" w:rsidR="0067781A" w:rsidRPr="00197493" w:rsidRDefault="0067781A" w:rsidP="002B1F27">
            <w:pPr>
              <w:spacing w:after="60"/>
              <w:ind w:left="116" w:firstLine="80"/>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tcPr>
          <w:p w14:paraId="0B48A307" w14:textId="77777777" w:rsidR="0067781A" w:rsidRPr="00197493" w:rsidRDefault="0067781A" w:rsidP="002B1F27">
            <w:pPr>
              <w:spacing w:after="60"/>
              <w:ind w:left="116" w:firstLine="80"/>
              <w:jc w:val="center"/>
              <w:rPr>
                <w:sz w:val="18"/>
                <w:szCs w:val="18"/>
              </w:rPr>
            </w:pPr>
          </w:p>
        </w:tc>
        <w:tc>
          <w:tcPr>
            <w:tcW w:w="567" w:type="dxa"/>
            <w:tcBorders>
              <w:top w:val="single" w:sz="4" w:space="0" w:color="auto"/>
              <w:left w:val="single" w:sz="4" w:space="0" w:color="auto"/>
              <w:bottom w:val="single" w:sz="4" w:space="0" w:color="auto"/>
              <w:right w:val="single" w:sz="4" w:space="0" w:color="auto"/>
            </w:tcBorders>
          </w:tcPr>
          <w:p w14:paraId="7CA30819" w14:textId="77777777" w:rsidR="0067781A" w:rsidRPr="00197493" w:rsidRDefault="0067781A" w:rsidP="002B1F27">
            <w:pPr>
              <w:spacing w:after="60"/>
              <w:ind w:left="116" w:firstLine="80"/>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tcPr>
          <w:p w14:paraId="157AAF01" w14:textId="77777777" w:rsidR="0067781A" w:rsidRPr="00197493" w:rsidRDefault="0067781A" w:rsidP="002B1F27">
            <w:pPr>
              <w:spacing w:after="60"/>
              <w:ind w:left="116" w:firstLine="80"/>
              <w:jc w:val="center"/>
              <w:rPr>
                <w:sz w:val="18"/>
                <w:szCs w:val="18"/>
              </w:rPr>
            </w:pPr>
          </w:p>
        </w:tc>
        <w:tc>
          <w:tcPr>
            <w:tcW w:w="1701" w:type="dxa"/>
            <w:tcBorders>
              <w:top w:val="single" w:sz="4" w:space="0" w:color="auto"/>
              <w:left w:val="single" w:sz="4" w:space="0" w:color="auto"/>
              <w:bottom w:val="single" w:sz="4" w:space="0" w:color="auto"/>
              <w:right w:val="single" w:sz="4" w:space="0" w:color="auto"/>
            </w:tcBorders>
          </w:tcPr>
          <w:p w14:paraId="1E988006" w14:textId="77777777" w:rsidR="0067781A" w:rsidRPr="00197493" w:rsidRDefault="0067781A" w:rsidP="002B1F27">
            <w:pPr>
              <w:spacing w:after="60"/>
              <w:ind w:left="116" w:right="-271" w:firstLine="80"/>
              <w:rPr>
                <w:sz w:val="18"/>
                <w:szCs w:val="18"/>
              </w:rPr>
            </w:pPr>
          </w:p>
        </w:tc>
      </w:tr>
      <w:tr w:rsidR="0067781A" w:rsidRPr="00197493" w14:paraId="28749B5D" w14:textId="77777777" w:rsidTr="002B1F27">
        <w:trPr>
          <w:trHeight w:val="20"/>
        </w:trPr>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14:paraId="11AFA0B2" w14:textId="77777777" w:rsidR="0067781A" w:rsidRPr="00197493" w:rsidRDefault="0067781A" w:rsidP="002B1F27">
            <w:pPr>
              <w:spacing w:after="60"/>
              <w:ind w:left="116" w:firstLine="80"/>
              <w:rPr>
                <w:sz w:val="18"/>
                <w:szCs w:val="18"/>
              </w:rPr>
            </w:pPr>
            <w:r w:rsidRPr="00197493">
              <w:rPr>
                <w:sz w:val="18"/>
                <w:szCs w:val="18"/>
              </w:rPr>
              <w:t>9.2.4.6</w:t>
            </w:r>
          </w:p>
        </w:tc>
        <w:tc>
          <w:tcPr>
            <w:tcW w:w="2976" w:type="dxa"/>
            <w:tcBorders>
              <w:top w:val="single" w:sz="4" w:space="0" w:color="auto"/>
              <w:left w:val="single" w:sz="4" w:space="0" w:color="auto"/>
              <w:bottom w:val="single" w:sz="4" w:space="0" w:color="auto"/>
              <w:right w:val="single" w:sz="4" w:space="0" w:color="auto"/>
            </w:tcBorders>
            <w:tcMar>
              <w:left w:w="28" w:type="dxa"/>
              <w:right w:w="28" w:type="dxa"/>
            </w:tcMar>
          </w:tcPr>
          <w:p w14:paraId="19B487B6" w14:textId="77777777" w:rsidR="0067781A" w:rsidRPr="00197493" w:rsidRDefault="0067781A" w:rsidP="002B1F27">
            <w:pPr>
              <w:spacing w:after="60"/>
              <w:ind w:left="116" w:firstLine="80"/>
              <w:rPr>
                <w:sz w:val="18"/>
                <w:szCs w:val="18"/>
              </w:rPr>
            </w:pPr>
            <w:r w:rsidRPr="00197493">
              <w:rPr>
                <w:sz w:val="18"/>
                <w:szCs w:val="18"/>
              </w:rPr>
              <w:t>Electric power train</w:t>
            </w:r>
          </w:p>
        </w:tc>
        <w:tc>
          <w:tcPr>
            <w:tcW w:w="709" w:type="dxa"/>
            <w:tcBorders>
              <w:top w:val="single" w:sz="4" w:space="0" w:color="auto"/>
              <w:left w:val="single" w:sz="4" w:space="0" w:color="auto"/>
              <w:bottom w:val="single" w:sz="4" w:space="0" w:color="auto"/>
              <w:right w:val="single" w:sz="4" w:space="0" w:color="auto"/>
            </w:tcBorders>
          </w:tcPr>
          <w:p w14:paraId="3DC709B0" w14:textId="77777777" w:rsidR="0067781A" w:rsidRPr="00197493" w:rsidRDefault="0067781A" w:rsidP="002B1F27">
            <w:pPr>
              <w:spacing w:after="60"/>
              <w:ind w:left="116" w:firstLine="80"/>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tcPr>
          <w:p w14:paraId="17CB8419" w14:textId="77777777" w:rsidR="0067781A" w:rsidRPr="00197493" w:rsidRDefault="0067781A" w:rsidP="002B1F27">
            <w:pPr>
              <w:spacing w:after="60"/>
              <w:ind w:left="116" w:firstLine="80"/>
              <w:jc w:val="center"/>
              <w:rPr>
                <w:sz w:val="18"/>
                <w:szCs w:val="18"/>
              </w:rPr>
            </w:pPr>
          </w:p>
        </w:tc>
        <w:tc>
          <w:tcPr>
            <w:tcW w:w="567" w:type="dxa"/>
            <w:tcBorders>
              <w:top w:val="single" w:sz="4" w:space="0" w:color="auto"/>
              <w:left w:val="single" w:sz="4" w:space="0" w:color="auto"/>
              <w:bottom w:val="single" w:sz="4" w:space="0" w:color="auto"/>
              <w:right w:val="single" w:sz="4" w:space="0" w:color="auto"/>
            </w:tcBorders>
          </w:tcPr>
          <w:p w14:paraId="759780C8" w14:textId="77777777" w:rsidR="0067781A" w:rsidRPr="00197493" w:rsidRDefault="0067781A" w:rsidP="002B1F27">
            <w:pPr>
              <w:spacing w:after="60"/>
              <w:ind w:left="116" w:firstLine="80"/>
              <w:jc w:val="center"/>
              <w:rPr>
                <w:sz w:val="18"/>
                <w:szCs w:val="18"/>
              </w:rPr>
            </w:pPr>
            <w:r w:rsidRPr="00197493">
              <w:rPr>
                <w:sz w:val="18"/>
                <w:szCs w:val="18"/>
              </w:rPr>
              <w:t>X</w:t>
            </w:r>
          </w:p>
        </w:tc>
        <w:tc>
          <w:tcPr>
            <w:tcW w:w="709" w:type="dxa"/>
            <w:tcBorders>
              <w:top w:val="single" w:sz="4" w:space="0" w:color="auto"/>
              <w:left w:val="single" w:sz="4" w:space="0" w:color="auto"/>
              <w:bottom w:val="single" w:sz="4" w:space="0" w:color="auto"/>
              <w:right w:val="single" w:sz="4" w:space="0" w:color="auto"/>
            </w:tcBorders>
          </w:tcPr>
          <w:p w14:paraId="5034605B" w14:textId="77777777" w:rsidR="0067781A" w:rsidRPr="00197493" w:rsidRDefault="0067781A" w:rsidP="002B1F27">
            <w:pPr>
              <w:spacing w:after="60"/>
              <w:ind w:left="116" w:firstLine="80"/>
              <w:jc w:val="center"/>
              <w:rPr>
                <w:sz w:val="18"/>
                <w:szCs w:val="18"/>
              </w:rPr>
            </w:pPr>
          </w:p>
        </w:tc>
        <w:tc>
          <w:tcPr>
            <w:tcW w:w="1701" w:type="dxa"/>
            <w:tcBorders>
              <w:top w:val="single" w:sz="4" w:space="0" w:color="auto"/>
              <w:left w:val="single" w:sz="4" w:space="0" w:color="auto"/>
              <w:bottom w:val="single" w:sz="4" w:space="0" w:color="auto"/>
              <w:right w:val="single" w:sz="4" w:space="0" w:color="auto"/>
            </w:tcBorders>
          </w:tcPr>
          <w:p w14:paraId="04616BE3" w14:textId="77777777" w:rsidR="0067781A" w:rsidRPr="00197493" w:rsidRDefault="0067781A" w:rsidP="002B1F27">
            <w:pPr>
              <w:spacing w:after="60"/>
              <w:ind w:left="116" w:right="-271" w:firstLine="80"/>
              <w:rPr>
                <w:sz w:val="18"/>
                <w:szCs w:val="18"/>
              </w:rPr>
            </w:pPr>
          </w:p>
        </w:tc>
      </w:tr>
    </w:tbl>
    <w:p w14:paraId="5CD98425" w14:textId="36E415A3" w:rsidR="005144B8" w:rsidRPr="00197493" w:rsidRDefault="00FE358A" w:rsidP="00197493">
      <w:pPr>
        <w:pStyle w:val="SingleTxtG"/>
        <w:spacing w:before="120"/>
        <w:rPr>
          <w:lang w:val="en-GB"/>
        </w:rPr>
      </w:pPr>
      <w:r w:rsidRPr="00197493">
        <w:rPr>
          <w:lang w:val="en-GB"/>
        </w:rPr>
        <w:t>2</w:t>
      </w:r>
      <w:r w:rsidR="0067781A" w:rsidRPr="00197493">
        <w:rPr>
          <w:lang w:val="en-GB"/>
        </w:rPr>
        <w:t>.</w:t>
      </w:r>
      <w:r w:rsidR="0067781A" w:rsidRPr="00197493">
        <w:rPr>
          <w:lang w:val="en-GB"/>
        </w:rPr>
        <w:tab/>
        <w:t>In sub-section 9.2.4.3 requirements are included to use fuel tanks and cylinders that comply with the relevant UN vehicle regulations. For example, UN Regulation No. 110 for CNG and LNG is referenced. However, for AT these are not applicable.</w:t>
      </w:r>
    </w:p>
    <w:p w14:paraId="05F0233A" w14:textId="10EC1B93" w:rsidR="0067781A" w:rsidRPr="00197493" w:rsidRDefault="00FE358A" w:rsidP="00B25C37">
      <w:pPr>
        <w:pStyle w:val="SingleTxtG"/>
        <w:rPr>
          <w:lang w:val="en-GB"/>
        </w:rPr>
      </w:pPr>
      <w:r w:rsidRPr="00197493">
        <w:rPr>
          <w:lang w:val="en-GB"/>
        </w:rPr>
        <w:t>3</w:t>
      </w:r>
      <w:r w:rsidR="0067781A" w:rsidRPr="00197493">
        <w:rPr>
          <w:lang w:val="en-GB"/>
        </w:rPr>
        <w:t>.</w:t>
      </w:r>
      <w:r w:rsidR="0067781A" w:rsidRPr="00197493">
        <w:rPr>
          <w:lang w:val="en-GB"/>
        </w:rPr>
        <w:tab/>
        <w:t>Depending on the legal system in the Contracting Parties to ADR two interpretations for the AT category are possible:</w:t>
      </w:r>
    </w:p>
    <w:p w14:paraId="68841999" w14:textId="7D5EB1A9" w:rsidR="0067781A" w:rsidRPr="00197493" w:rsidRDefault="00B25C37" w:rsidP="00B25C37">
      <w:pPr>
        <w:pStyle w:val="SingleTxtG"/>
        <w:ind w:left="1701"/>
        <w:rPr>
          <w:lang w:val="en-GB"/>
        </w:rPr>
      </w:pPr>
      <w:r w:rsidRPr="00197493">
        <w:rPr>
          <w:lang w:val="en-GB"/>
        </w:rPr>
        <w:t>(a)</w:t>
      </w:r>
      <w:r w:rsidRPr="00197493">
        <w:rPr>
          <w:lang w:val="en-GB"/>
        </w:rPr>
        <w:tab/>
      </w:r>
      <w:r w:rsidR="0067781A" w:rsidRPr="00197493">
        <w:rPr>
          <w:lang w:val="en-GB"/>
        </w:rPr>
        <w:t>There are no requirements applicable, and any fuel tank may be used if allowed to be fitted by law in the country of registration of the vehicle (in the EU this is well regulated).</w:t>
      </w:r>
    </w:p>
    <w:p w14:paraId="7B6E7D25" w14:textId="77777777" w:rsidR="00B25C37" w:rsidRPr="00197493" w:rsidRDefault="00B25C37" w:rsidP="00B25C37">
      <w:pPr>
        <w:pStyle w:val="SingleTxtG"/>
        <w:ind w:left="1701"/>
        <w:rPr>
          <w:lang w:val="en-GB"/>
        </w:rPr>
      </w:pPr>
      <w:r w:rsidRPr="00197493">
        <w:rPr>
          <w:lang w:val="en-GB"/>
        </w:rPr>
        <w:t>(b)</w:t>
      </w:r>
      <w:r w:rsidRPr="00197493">
        <w:rPr>
          <w:lang w:val="en-GB"/>
        </w:rPr>
        <w:tab/>
      </w:r>
      <w:r w:rsidR="0067781A" w:rsidRPr="00197493">
        <w:rPr>
          <w:lang w:val="en-GB"/>
        </w:rPr>
        <w:t>It is not allowed to have fuel tanks and cylinders on AT vehicles.</w:t>
      </w:r>
    </w:p>
    <w:p w14:paraId="466E4067" w14:textId="34D4094E" w:rsidR="0067781A" w:rsidRPr="00197493" w:rsidRDefault="00B25C37" w:rsidP="00B25C37">
      <w:pPr>
        <w:pStyle w:val="SingleTxtG"/>
        <w:rPr>
          <w:lang w:val="en-GB"/>
        </w:rPr>
      </w:pPr>
      <w:r w:rsidRPr="00197493">
        <w:rPr>
          <w:lang w:val="en-GB"/>
        </w:rPr>
        <w:t>4</w:t>
      </w:r>
      <w:r w:rsidR="0067781A" w:rsidRPr="00197493">
        <w:rPr>
          <w:lang w:val="en-GB"/>
        </w:rPr>
        <w:t>.</w:t>
      </w:r>
      <w:r w:rsidR="0067781A" w:rsidRPr="00197493">
        <w:rPr>
          <w:lang w:val="en-GB"/>
        </w:rPr>
        <w:tab/>
        <w:t xml:space="preserve">The situation is even more grave in sub-section 9.2.4.4 for the installation of the fuel system on engines. Besides the problems as above for AT vehicles, here also engines with compression-ignition systems (Diesel) are only mentioned for EX/II and EX/III vehicles. It may even be interpreted in such a way that Diesel engines are not allowed for FL vehicles. </w:t>
      </w:r>
    </w:p>
    <w:p w14:paraId="43AF13E4" w14:textId="695EC967" w:rsidR="0067781A" w:rsidRPr="00197493" w:rsidRDefault="00B25C37" w:rsidP="00B25C37">
      <w:pPr>
        <w:pStyle w:val="SingleTxtG"/>
        <w:rPr>
          <w:lang w:val="en-GB"/>
        </w:rPr>
      </w:pPr>
      <w:r w:rsidRPr="00197493">
        <w:rPr>
          <w:lang w:val="en-GB"/>
        </w:rPr>
        <w:t>5</w:t>
      </w:r>
      <w:r w:rsidR="0067781A" w:rsidRPr="00197493">
        <w:rPr>
          <w:lang w:val="en-GB"/>
        </w:rPr>
        <w:t>.</w:t>
      </w:r>
      <w:r w:rsidR="0067781A" w:rsidRPr="00197493">
        <w:rPr>
          <w:lang w:val="en-GB"/>
        </w:rPr>
        <w:tab/>
        <w:t>For sub-section 9.2.4.6 there are issues as it only allows the electric power train for the AT category. Although a note in sub-section 9.2.4.6 makes readers aware that the electric power train is not allowed for EX/II, EX/III and FL vehicles, coming from the table as a starting point it may be explained that sub-section 9.2.4.6 does not apply including the note.</w:t>
      </w:r>
    </w:p>
    <w:p w14:paraId="394F51A4" w14:textId="77777777" w:rsidR="00197493" w:rsidRPr="00197493" w:rsidRDefault="00197493">
      <w:pPr>
        <w:suppressAutoHyphens w:val="0"/>
        <w:spacing w:line="240" w:lineRule="auto"/>
        <w:rPr>
          <w:b/>
          <w:sz w:val="28"/>
        </w:rPr>
      </w:pPr>
      <w:r w:rsidRPr="00197493">
        <w:br w:type="page"/>
      </w:r>
    </w:p>
    <w:p w14:paraId="044D5CD5" w14:textId="5C3D5E16" w:rsidR="00240F17" w:rsidRPr="00197493" w:rsidRDefault="00B25C37" w:rsidP="00A0593B">
      <w:pPr>
        <w:pStyle w:val="HChG"/>
        <w:keepNext w:val="0"/>
        <w:keepLines w:val="0"/>
        <w:snapToGrid w:val="0"/>
        <w:spacing w:line="240" w:lineRule="auto"/>
        <w:rPr>
          <w:lang w:val="en-GB"/>
        </w:rPr>
      </w:pPr>
      <w:r w:rsidRPr="00197493">
        <w:rPr>
          <w:lang w:val="en-GB"/>
        </w:rPr>
        <w:lastRenderedPageBreak/>
        <w:tab/>
        <w:t>II.</w:t>
      </w:r>
      <w:r w:rsidRPr="00197493">
        <w:rPr>
          <w:lang w:val="en-GB"/>
        </w:rPr>
        <w:tab/>
      </w:r>
      <w:r w:rsidR="0067781A" w:rsidRPr="00197493">
        <w:rPr>
          <w:lang w:val="en-GB"/>
        </w:rPr>
        <w:t>Proposals</w:t>
      </w:r>
    </w:p>
    <w:p w14:paraId="27BCB057" w14:textId="3D6E59D5" w:rsidR="0067781A" w:rsidRPr="00197493" w:rsidRDefault="00A55EB9" w:rsidP="00197493">
      <w:pPr>
        <w:pStyle w:val="H1G"/>
      </w:pPr>
      <w:r w:rsidRPr="00197493">
        <w:tab/>
      </w:r>
      <w:r w:rsidR="00240F17" w:rsidRPr="00197493">
        <w:tab/>
      </w:r>
      <w:r w:rsidR="0067781A" w:rsidRPr="00197493">
        <w:t>Option 1</w:t>
      </w:r>
    </w:p>
    <w:p w14:paraId="16C18DFA" w14:textId="0CADEC6B" w:rsidR="0067781A" w:rsidRPr="00197493" w:rsidRDefault="00240F17" w:rsidP="00240F17">
      <w:pPr>
        <w:pStyle w:val="SingleTxtG"/>
        <w:rPr>
          <w:lang w:val="en-GB"/>
        </w:rPr>
      </w:pPr>
      <w:r w:rsidRPr="00197493">
        <w:rPr>
          <w:lang w:val="en-GB"/>
        </w:rPr>
        <w:t>6</w:t>
      </w:r>
      <w:r w:rsidR="0067781A" w:rsidRPr="00197493">
        <w:rPr>
          <w:lang w:val="en-GB"/>
        </w:rPr>
        <w:t>.</w:t>
      </w:r>
      <w:r w:rsidR="0067781A" w:rsidRPr="00197493">
        <w:rPr>
          <w:lang w:val="en-GB"/>
        </w:rPr>
        <w:tab/>
        <w:t>Delete the reference to the UN vehicle regulations in sub-sections 9.2.4.3 and 9.2.4.4 and return to the original additional requirements in ADR 2015 (see text under Background).</w:t>
      </w:r>
    </w:p>
    <w:p w14:paraId="1A706566" w14:textId="77777777" w:rsidR="0067781A" w:rsidRPr="00197493" w:rsidRDefault="0067781A" w:rsidP="00D077D0">
      <w:pPr>
        <w:pStyle w:val="SingleTxtG"/>
        <w:ind w:left="1701"/>
        <w:rPr>
          <w:lang w:val="en-GB"/>
        </w:rPr>
      </w:pPr>
      <w:r w:rsidRPr="00197493">
        <w:rPr>
          <w:lang w:val="en-GB"/>
        </w:rPr>
        <w:t xml:space="preserve">+ most pure option as the UN vehicle requirements are not specific </w:t>
      </w:r>
      <w:r w:rsidRPr="00197493">
        <w:rPr>
          <w:i/>
          <w:iCs/>
          <w:lang w:val="en-GB"/>
        </w:rPr>
        <w:t>additional</w:t>
      </w:r>
      <w:r w:rsidRPr="00197493">
        <w:rPr>
          <w:lang w:val="en-GB"/>
        </w:rPr>
        <w:t xml:space="preserve"> requirements, vehicles already comply.</w:t>
      </w:r>
    </w:p>
    <w:p w14:paraId="32C9347C" w14:textId="4ED2CCCF" w:rsidR="0067781A" w:rsidRPr="00197493" w:rsidRDefault="0067781A" w:rsidP="00D077D0">
      <w:pPr>
        <w:pStyle w:val="SingleTxtG"/>
        <w:ind w:left="1701"/>
        <w:rPr>
          <w:lang w:val="en-GB"/>
        </w:rPr>
      </w:pPr>
      <w:r w:rsidRPr="00197493">
        <w:rPr>
          <w:lang w:val="en-GB"/>
        </w:rPr>
        <w:t>- Outside the EU the application of the particular UN vehicle regulations is less certain. Because the treaty has more and more contracting parties outside the EU, and ADR is inspiration for legislation in various non-contracting parties, a minimum safety level may be lost.</w:t>
      </w:r>
    </w:p>
    <w:p w14:paraId="57208213" w14:textId="3D38E56E" w:rsidR="0067781A" w:rsidRPr="00197493" w:rsidRDefault="00D27692" w:rsidP="00D27692">
      <w:pPr>
        <w:pStyle w:val="H1G"/>
      </w:pPr>
      <w:r w:rsidRPr="00197493">
        <w:tab/>
      </w:r>
      <w:r w:rsidR="00A55EB9" w:rsidRPr="00197493">
        <w:tab/>
      </w:r>
      <w:r w:rsidR="0067781A" w:rsidRPr="00197493">
        <w:t>Option 2</w:t>
      </w:r>
    </w:p>
    <w:p w14:paraId="2E3E5EDD" w14:textId="4A3FCDCE" w:rsidR="0067781A" w:rsidRPr="00197493" w:rsidRDefault="00D27692" w:rsidP="00E83930">
      <w:pPr>
        <w:pStyle w:val="SingleTxtG"/>
        <w:rPr>
          <w:lang w:val="en-GB"/>
        </w:rPr>
      </w:pPr>
      <w:r w:rsidRPr="00197493">
        <w:rPr>
          <w:lang w:val="en-GB"/>
        </w:rPr>
        <w:t>7</w:t>
      </w:r>
      <w:r w:rsidR="0067781A" w:rsidRPr="00197493">
        <w:rPr>
          <w:lang w:val="en-GB"/>
        </w:rPr>
        <w:t>.</w:t>
      </w:r>
      <w:r w:rsidR="0067781A" w:rsidRPr="00197493">
        <w:rPr>
          <w:lang w:val="en-GB"/>
        </w:rPr>
        <w:tab/>
        <w:t xml:space="preserve">Also apply the X to the AT category. </w:t>
      </w:r>
    </w:p>
    <w:p w14:paraId="29CA1A61" w14:textId="77777777" w:rsidR="0067781A" w:rsidRPr="00197493" w:rsidRDefault="0067781A" w:rsidP="00D077D0">
      <w:pPr>
        <w:pStyle w:val="SingleTxtG"/>
        <w:ind w:left="1701"/>
        <w:rPr>
          <w:lang w:val="en-GB"/>
        </w:rPr>
      </w:pPr>
      <w:r w:rsidRPr="00197493">
        <w:rPr>
          <w:lang w:val="en-GB"/>
        </w:rPr>
        <w:t xml:space="preserve">+ </w:t>
      </w:r>
      <w:r w:rsidRPr="00197493">
        <w:rPr>
          <w:lang w:val="en-GB"/>
        </w:rPr>
        <w:tab/>
        <w:t>easy solution</w:t>
      </w:r>
    </w:p>
    <w:p w14:paraId="4962C9C3" w14:textId="77777777" w:rsidR="0067781A" w:rsidRPr="00197493" w:rsidRDefault="0067781A" w:rsidP="00D077D0">
      <w:pPr>
        <w:pStyle w:val="SingleTxtG"/>
        <w:ind w:left="1701"/>
        <w:rPr>
          <w:lang w:val="en-GB"/>
        </w:rPr>
      </w:pPr>
      <w:r w:rsidRPr="00197493">
        <w:rPr>
          <w:lang w:val="en-GB"/>
        </w:rPr>
        <w:t xml:space="preserve">- </w:t>
      </w:r>
      <w:r w:rsidRPr="00197493">
        <w:rPr>
          <w:lang w:val="en-GB"/>
        </w:rPr>
        <w:tab/>
        <w:t>also the older provisions –(fuel shall be able to drip to the ground without coming in contact with load or hot vehicle part, flame trap in filler neck for petrol, fitting the engine is such a way to prevent danger to the load by heating or ignition) will become applicable to AT vehicles as well.</w:t>
      </w:r>
    </w:p>
    <w:p w14:paraId="3E212816" w14:textId="5628A515" w:rsidR="0067781A" w:rsidRPr="00197493" w:rsidRDefault="0067781A" w:rsidP="00D077D0">
      <w:pPr>
        <w:pStyle w:val="SingleTxtG"/>
        <w:ind w:left="1701"/>
        <w:rPr>
          <w:lang w:val="en-GB"/>
        </w:rPr>
      </w:pPr>
      <w:r w:rsidRPr="00197493">
        <w:rPr>
          <w:lang w:val="en-GB"/>
        </w:rPr>
        <w:t xml:space="preserve">- </w:t>
      </w:r>
      <w:r w:rsidRPr="00197493">
        <w:rPr>
          <w:lang w:val="en-GB"/>
        </w:rPr>
        <w:tab/>
        <w:t>requires a transitional provision for existing AT vehicles for the requirements they had not to comply with before.</w:t>
      </w:r>
    </w:p>
    <w:p w14:paraId="7166070C" w14:textId="602BF162" w:rsidR="0067781A" w:rsidRPr="00197493" w:rsidRDefault="00E83930" w:rsidP="00E83930">
      <w:pPr>
        <w:pStyle w:val="H1G"/>
      </w:pPr>
      <w:r w:rsidRPr="00197493">
        <w:tab/>
      </w:r>
      <w:r w:rsidR="00A55EB9" w:rsidRPr="00197493">
        <w:tab/>
      </w:r>
      <w:r w:rsidR="0067781A" w:rsidRPr="00197493">
        <w:t>Option 3</w:t>
      </w:r>
    </w:p>
    <w:p w14:paraId="3459605B" w14:textId="75F65636" w:rsidR="0067781A" w:rsidRPr="00197493" w:rsidRDefault="00E83930" w:rsidP="00E83930">
      <w:pPr>
        <w:pStyle w:val="SingleTxtG"/>
        <w:rPr>
          <w:lang w:val="en-GB"/>
        </w:rPr>
      </w:pPr>
      <w:r w:rsidRPr="00197493">
        <w:rPr>
          <w:lang w:val="en-GB"/>
        </w:rPr>
        <w:t>8</w:t>
      </w:r>
      <w:r w:rsidR="0067781A" w:rsidRPr="00197493">
        <w:rPr>
          <w:lang w:val="en-GB"/>
        </w:rPr>
        <w:t>.</w:t>
      </w:r>
      <w:r w:rsidR="0067781A" w:rsidRPr="00197493">
        <w:rPr>
          <w:lang w:val="en-GB"/>
        </w:rPr>
        <w:tab/>
        <w:t xml:space="preserve">Sub-sections 9.2.4.3 and 9.2.4.4 are split up into two new sub-sections 9.2.4.3.1 and 9.2.4.3.2 respectively 9.2.4.4.1 and 9.2.4.4.2 in which the first parts retain the old provisions excluded for AT vehicles and the second part contains the newer requirements referencing the UN vehicle regulations for all 4 categories. </w:t>
      </w:r>
    </w:p>
    <w:p w14:paraId="63D26357" w14:textId="77777777" w:rsidR="0067781A" w:rsidRPr="00197493" w:rsidRDefault="0067781A" w:rsidP="00D077D0">
      <w:pPr>
        <w:pStyle w:val="SingleTxtG"/>
        <w:ind w:left="1701"/>
        <w:rPr>
          <w:lang w:val="en-GB"/>
        </w:rPr>
      </w:pPr>
      <w:r w:rsidRPr="00197493">
        <w:rPr>
          <w:lang w:val="en-GB"/>
        </w:rPr>
        <w:t>+</w:t>
      </w:r>
      <w:r w:rsidRPr="00197493">
        <w:rPr>
          <w:lang w:val="en-GB"/>
        </w:rPr>
        <w:tab/>
        <w:t>retains the exception of specific requirements for AT vehicles.</w:t>
      </w:r>
    </w:p>
    <w:p w14:paraId="1939EA1B" w14:textId="77777777" w:rsidR="0067781A" w:rsidRPr="00197493" w:rsidRDefault="0067781A" w:rsidP="00D077D0">
      <w:pPr>
        <w:pStyle w:val="SingleTxtG"/>
        <w:ind w:left="1701"/>
        <w:rPr>
          <w:lang w:val="en-GB"/>
        </w:rPr>
      </w:pPr>
      <w:r w:rsidRPr="00197493">
        <w:rPr>
          <w:lang w:val="en-GB"/>
        </w:rPr>
        <w:t xml:space="preserve">- </w:t>
      </w:r>
      <w:r w:rsidRPr="00197493">
        <w:rPr>
          <w:lang w:val="en-GB"/>
        </w:rPr>
        <w:tab/>
        <w:t>requires a splitting up of the requirements in two sub-sections.</w:t>
      </w:r>
    </w:p>
    <w:p w14:paraId="1711AD88" w14:textId="623A8825" w:rsidR="0067781A" w:rsidRPr="00197493" w:rsidRDefault="0067781A" w:rsidP="00D077D0">
      <w:pPr>
        <w:pStyle w:val="SingleTxtG"/>
        <w:ind w:left="1701"/>
        <w:rPr>
          <w:lang w:val="en-GB"/>
        </w:rPr>
      </w:pPr>
      <w:r w:rsidRPr="00197493">
        <w:rPr>
          <w:lang w:val="en-GB"/>
        </w:rPr>
        <w:t xml:space="preserve">- </w:t>
      </w:r>
      <w:r w:rsidRPr="00197493">
        <w:rPr>
          <w:lang w:val="en-GB"/>
        </w:rPr>
        <w:tab/>
        <w:t>may require an application note or transitional measure for existing AT vehicles that do not yet comply with the UN vehicle regulations (if these vehicles exist at all).</w:t>
      </w:r>
    </w:p>
    <w:p w14:paraId="3B4F87FE" w14:textId="5F79EBA5" w:rsidR="0067781A" w:rsidRPr="00197493" w:rsidRDefault="0067781A" w:rsidP="00002A79">
      <w:pPr>
        <w:pStyle w:val="SingleTxtG"/>
        <w:rPr>
          <w:lang w:val="en-GB"/>
        </w:rPr>
      </w:pPr>
      <w:r w:rsidRPr="00197493">
        <w:rPr>
          <w:i/>
          <w:iCs/>
          <w:lang w:val="en-GB"/>
        </w:rPr>
        <w:t>Note:</w:t>
      </w:r>
      <w:r w:rsidR="00D077D0">
        <w:rPr>
          <w:i/>
          <w:iCs/>
          <w:lang w:val="en-GB"/>
        </w:rPr>
        <w:t xml:space="preserve"> </w:t>
      </w:r>
      <w:r w:rsidRPr="00002A79">
        <w:rPr>
          <w:i/>
          <w:iCs/>
          <w:lang w:val="en-GB"/>
        </w:rPr>
        <w:t>For sub-section 9.2.4.6 correction should be part of the discussion on Electrified Vehicles.</w:t>
      </w:r>
    </w:p>
    <w:p w14:paraId="08E473B1" w14:textId="69E5642D" w:rsidR="0067781A" w:rsidRPr="00197493" w:rsidRDefault="00E83930" w:rsidP="00197493">
      <w:pPr>
        <w:pStyle w:val="HChG"/>
        <w:keepNext w:val="0"/>
        <w:keepLines w:val="0"/>
        <w:rPr>
          <w:lang w:val="en-GB"/>
        </w:rPr>
      </w:pPr>
      <w:r w:rsidRPr="00197493">
        <w:rPr>
          <w:lang w:val="en-GB"/>
        </w:rPr>
        <w:tab/>
        <w:t>III.</w:t>
      </w:r>
      <w:r w:rsidRPr="00197493">
        <w:rPr>
          <w:lang w:val="en-GB"/>
        </w:rPr>
        <w:tab/>
      </w:r>
      <w:r w:rsidR="0067781A" w:rsidRPr="00197493">
        <w:rPr>
          <w:lang w:val="en-GB"/>
        </w:rPr>
        <w:t>Background information</w:t>
      </w:r>
    </w:p>
    <w:p w14:paraId="39EC7D92" w14:textId="4EC65950" w:rsidR="0067781A" w:rsidRPr="00197493" w:rsidRDefault="002162BB" w:rsidP="00E83930">
      <w:pPr>
        <w:pStyle w:val="SingleTxtG"/>
        <w:rPr>
          <w:lang w:val="en-GB"/>
        </w:rPr>
      </w:pPr>
      <w:r>
        <w:rPr>
          <w:lang w:val="en-GB"/>
        </w:rPr>
        <w:t>9</w:t>
      </w:r>
      <w:r w:rsidR="0067781A" w:rsidRPr="00197493">
        <w:rPr>
          <w:lang w:val="en-GB"/>
        </w:rPr>
        <w:t>.</w:t>
      </w:r>
      <w:r w:rsidR="0067781A" w:rsidRPr="00197493">
        <w:rPr>
          <w:lang w:val="en-GB"/>
        </w:rPr>
        <w:tab/>
        <w:t>Before ADR 2017, sub-sections 9.2.4.3 and 9.2.4.4 only contained specific additional requirements to the fuel tank and vehicle engine.</w:t>
      </w:r>
    </w:p>
    <w:p w14:paraId="75DAAF56" w14:textId="5B01F657" w:rsidR="0067781A" w:rsidRPr="00197493" w:rsidRDefault="0067781A" w:rsidP="00E83930">
      <w:pPr>
        <w:pStyle w:val="SingleTxtG"/>
        <w:rPr>
          <w:lang w:val="en-GB"/>
        </w:rPr>
      </w:pPr>
      <w:r w:rsidRPr="00197493">
        <w:rPr>
          <w:lang w:val="en-GB"/>
        </w:rPr>
        <w:t>Sub-sections 9.2.4.3 and 9.2.4.4 in ADR 2015:</w:t>
      </w:r>
    </w:p>
    <w:p w14:paraId="570411D5" w14:textId="1913D581" w:rsidR="0067781A" w:rsidRPr="00197493" w:rsidRDefault="0067781A" w:rsidP="00E83930">
      <w:pPr>
        <w:pStyle w:val="SingleTxtG"/>
        <w:rPr>
          <w:b/>
          <w:bCs/>
          <w:lang w:val="en-GB"/>
        </w:rPr>
      </w:pPr>
      <w:r w:rsidRPr="00197493">
        <w:rPr>
          <w:b/>
          <w:bCs/>
          <w:lang w:val="en-GB"/>
        </w:rPr>
        <w:t>“9.2.4.3</w:t>
      </w:r>
      <w:r w:rsidRPr="00197493">
        <w:rPr>
          <w:b/>
          <w:bCs/>
          <w:lang w:val="en-GB"/>
        </w:rPr>
        <w:tab/>
      </w:r>
      <w:r w:rsidRPr="00197493">
        <w:rPr>
          <w:b/>
          <w:bCs/>
          <w:i/>
          <w:iCs/>
          <w:lang w:val="en-GB"/>
        </w:rPr>
        <w:t>Fuel tanks</w:t>
      </w:r>
      <w:r w:rsidRPr="00197493">
        <w:rPr>
          <w:b/>
          <w:bCs/>
          <w:lang w:val="en-GB"/>
        </w:rPr>
        <w:t xml:space="preserve"> </w:t>
      </w:r>
    </w:p>
    <w:p w14:paraId="255751D9" w14:textId="0674B9F0" w:rsidR="0067781A" w:rsidRPr="00197493" w:rsidRDefault="0067781A" w:rsidP="00002A79">
      <w:pPr>
        <w:pStyle w:val="SingleTxtG"/>
        <w:rPr>
          <w:lang w:val="en-GB"/>
        </w:rPr>
      </w:pPr>
      <w:r w:rsidRPr="00197493">
        <w:rPr>
          <w:lang w:val="en-GB"/>
        </w:rPr>
        <w:t>The fuel tanks for supplying the engine of the vehicle shall meet the following requirements:</w:t>
      </w:r>
    </w:p>
    <w:p w14:paraId="6BDD8F14" w14:textId="0436FDFC" w:rsidR="0067781A" w:rsidRPr="00197493" w:rsidRDefault="0067781A" w:rsidP="00002A79">
      <w:pPr>
        <w:pStyle w:val="SingleTxtG"/>
        <w:rPr>
          <w:lang w:val="en-GB"/>
        </w:rPr>
      </w:pPr>
      <w:r w:rsidRPr="00197493">
        <w:rPr>
          <w:lang w:val="en-GB"/>
        </w:rPr>
        <w:t>(a)</w:t>
      </w:r>
      <w:r w:rsidRPr="00197493">
        <w:rPr>
          <w:lang w:val="en-GB"/>
        </w:rPr>
        <w:tab/>
        <w:t>In the event of any leakage, the fuel shall drain to the ground without coming into contact with hot parts of the vehicle or the load</w:t>
      </w:r>
      <w:r w:rsidR="00F95EDE" w:rsidRPr="00197493">
        <w:rPr>
          <w:lang w:val="en-GB"/>
        </w:rPr>
        <w:t>.</w:t>
      </w:r>
    </w:p>
    <w:p w14:paraId="09CDFFBF" w14:textId="5056A299" w:rsidR="0067781A" w:rsidRPr="00197493" w:rsidRDefault="0067781A" w:rsidP="00002A79">
      <w:pPr>
        <w:pStyle w:val="SingleTxtG"/>
        <w:rPr>
          <w:lang w:val="en-GB"/>
        </w:rPr>
      </w:pPr>
      <w:r w:rsidRPr="00197493">
        <w:rPr>
          <w:lang w:val="en-GB"/>
        </w:rPr>
        <w:t>(b)</w:t>
      </w:r>
      <w:r w:rsidRPr="00197493">
        <w:rPr>
          <w:lang w:val="en-GB"/>
        </w:rPr>
        <w:tab/>
        <w:t>Fuel tanks containing petrol shall be equipped with an effective flame trap at the filler opening or with a closure enabling the opening to be kept hermetically sealed.</w:t>
      </w:r>
    </w:p>
    <w:p w14:paraId="22BF0395" w14:textId="55C98B57" w:rsidR="0067781A" w:rsidRPr="00197493" w:rsidRDefault="0067781A" w:rsidP="00002A79">
      <w:pPr>
        <w:pStyle w:val="SingleTxtG"/>
        <w:keepNext/>
        <w:keepLines/>
        <w:rPr>
          <w:b/>
          <w:bCs/>
          <w:lang w:val="en-GB"/>
        </w:rPr>
      </w:pPr>
      <w:r w:rsidRPr="00197493">
        <w:rPr>
          <w:b/>
          <w:bCs/>
          <w:lang w:val="en-GB"/>
        </w:rPr>
        <w:lastRenderedPageBreak/>
        <w:t>9.2.4.4</w:t>
      </w:r>
      <w:r w:rsidRPr="00197493">
        <w:rPr>
          <w:b/>
          <w:bCs/>
          <w:lang w:val="en-GB"/>
        </w:rPr>
        <w:tab/>
      </w:r>
      <w:r w:rsidR="008A3214" w:rsidRPr="00197493">
        <w:rPr>
          <w:b/>
          <w:bCs/>
          <w:lang w:val="en-GB"/>
        </w:rPr>
        <w:tab/>
      </w:r>
      <w:r w:rsidRPr="00197493">
        <w:rPr>
          <w:b/>
          <w:bCs/>
          <w:i/>
          <w:iCs/>
          <w:lang w:val="en-GB"/>
        </w:rPr>
        <w:t>Engine</w:t>
      </w:r>
    </w:p>
    <w:p w14:paraId="36B893B8" w14:textId="57FBEB1F" w:rsidR="0067781A" w:rsidRPr="00197493" w:rsidRDefault="0067781A" w:rsidP="00002A79">
      <w:pPr>
        <w:pStyle w:val="SingleTxtG"/>
        <w:keepNext/>
        <w:keepLines/>
        <w:spacing w:line="240" w:lineRule="auto"/>
        <w:rPr>
          <w:lang w:val="en-GB"/>
        </w:rPr>
      </w:pPr>
      <w:r w:rsidRPr="00197493">
        <w:rPr>
          <w:lang w:val="en-GB"/>
        </w:rPr>
        <w:tab/>
        <w:t xml:space="preserve">The engine propelling the vehicle shall be so equipped and situated to avoid any danger to the load through heating or ignition. In the case of EX/II and EX/III vehicles the engine shall be of </w:t>
      </w:r>
      <w:proofErr w:type="spellStart"/>
      <w:r w:rsidRPr="00197493">
        <w:rPr>
          <w:lang w:val="en-GB"/>
        </w:rPr>
        <w:t>compression­ignition</w:t>
      </w:r>
      <w:proofErr w:type="spellEnd"/>
      <w:r w:rsidRPr="00197493">
        <w:rPr>
          <w:lang w:val="en-GB"/>
        </w:rPr>
        <w:t xml:space="preserve"> construction.”</w:t>
      </w:r>
    </w:p>
    <w:p w14:paraId="32EB8496" w14:textId="298D40A9" w:rsidR="0067781A" w:rsidRPr="00197493" w:rsidRDefault="002162BB" w:rsidP="00C55F50">
      <w:pPr>
        <w:pStyle w:val="SingleTxtG"/>
        <w:rPr>
          <w:lang w:val="en-GB"/>
        </w:rPr>
      </w:pPr>
      <w:r>
        <w:rPr>
          <w:lang w:val="en-GB"/>
        </w:rPr>
        <w:t>10</w:t>
      </w:r>
      <w:r w:rsidR="0067781A" w:rsidRPr="00197493">
        <w:rPr>
          <w:lang w:val="en-GB"/>
        </w:rPr>
        <w:t>.</w:t>
      </w:r>
      <w:r w:rsidR="0067781A" w:rsidRPr="00197493">
        <w:rPr>
          <w:lang w:val="en-GB"/>
        </w:rPr>
        <w:tab/>
        <w:t xml:space="preserve">With the introduction of CNG/LNG and LPG as fuel the interpretation problems were introduced. In ADR 2023 they read as follows (old wording in the subsections in </w:t>
      </w:r>
      <w:r w:rsidR="0067781A" w:rsidRPr="00197493">
        <w:rPr>
          <w:i/>
          <w:iCs/>
          <w:lang w:val="en-GB"/>
        </w:rPr>
        <w:t>italic script</w:t>
      </w:r>
      <w:r w:rsidR="0067781A" w:rsidRPr="00197493">
        <w:rPr>
          <w:lang w:val="en-GB"/>
        </w:rPr>
        <w:t>)</w:t>
      </w:r>
      <w:r w:rsidR="00666F7B" w:rsidRPr="00197493">
        <w:rPr>
          <w:lang w:val="en-GB"/>
        </w:rPr>
        <w:t>.</w:t>
      </w:r>
    </w:p>
    <w:p w14:paraId="0C839987" w14:textId="4BA300CB" w:rsidR="0067781A" w:rsidRPr="00197493" w:rsidRDefault="0067781A" w:rsidP="00475F8D">
      <w:pPr>
        <w:pStyle w:val="SingleTxtG"/>
        <w:rPr>
          <w:b/>
          <w:bCs/>
          <w:lang w:val="en-GB"/>
        </w:rPr>
      </w:pPr>
      <w:r w:rsidRPr="00197493">
        <w:rPr>
          <w:b/>
          <w:bCs/>
          <w:lang w:val="en-GB"/>
        </w:rPr>
        <w:t>“9.2.4.3</w:t>
      </w:r>
      <w:r w:rsidRPr="00197493">
        <w:rPr>
          <w:b/>
          <w:bCs/>
          <w:lang w:val="en-GB"/>
        </w:rPr>
        <w:tab/>
      </w:r>
      <w:r w:rsidRPr="00197493">
        <w:rPr>
          <w:b/>
          <w:bCs/>
          <w:i/>
          <w:iCs/>
          <w:lang w:val="en-GB"/>
        </w:rPr>
        <w:t>Fuel tanks and cylinders</w:t>
      </w:r>
    </w:p>
    <w:p w14:paraId="2FA59521" w14:textId="77777777" w:rsidR="0067781A" w:rsidRPr="00197493" w:rsidRDefault="0067781A" w:rsidP="002162BB">
      <w:pPr>
        <w:pStyle w:val="ADRnote"/>
        <w:ind w:left="1134" w:right="1134"/>
      </w:pPr>
      <w:r w:rsidRPr="00197493">
        <w:rPr>
          <w:b/>
          <w:bCs/>
        </w:rPr>
        <w:t>NOTE:  </w:t>
      </w:r>
      <w:r w:rsidRPr="00197493">
        <w:t>9.2.4.3 likewise applies to fuel tanks and cylinders used for hybrid vehicles which include an electric power train in the mechanical driveline of the internal combustion engine or use an internal combustion engine to drive a generator to energize the electric power train.</w:t>
      </w:r>
    </w:p>
    <w:p w14:paraId="7E56D898" w14:textId="77777777" w:rsidR="0067781A" w:rsidRPr="00197493" w:rsidRDefault="0067781A" w:rsidP="002162BB">
      <w:pPr>
        <w:pStyle w:val="SingleTxtG"/>
        <w:rPr>
          <w:lang w:val="en-GB"/>
        </w:rPr>
      </w:pPr>
      <w:r w:rsidRPr="00197493">
        <w:rPr>
          <w:lang w:val="en-GB"/>
        </w:rPr>
        <w:tab/>
        <w:t>The fuel tanks and cylinders supplying the engine of the vehicle shall meet the following requirements:</w:t>
      </w:r>
    </w:p>
    <w:p w14:paraId="64C0359B" w14:textId="46079DE1" w:rsidR="0067781A" w:rsidRPr="00197493" w:rsidRDefault="0067781A" w:rsidP="002162BB">
      <w:pPr>
        <w:pStyle w:val="SingleTxtG"/>
        <w:rPr>
          <w:i/>
          <w:iCs/>
          <w:lang w:val="en-GB"/>
        </w:rPr>
      </w:pPr>
      <w:r w:rsidRPr="00197493">
        <w:rPr>
          <w:lang w:val="en-GB"/>
        </w:rPr>
        <w:t>(a)</w:t>
      </w:r>
      <w:r w:rsidRPr="00197493">
        <w:rPr>
          <w:lang w:val="en-GB"/>
        </w:rPr>
        <w:tab/>
      </w:r>
      <w:r w:rsidRPr="00197493">
        <w:rPr>
          <w:i/>
          <w:iCs/>
          <w:lang w:val="en-GB"/>
        </w:rPr>
        <w:t>In the event of any leakage under normal conditions of carriage, the liquid fuel or the liquid phase of a gaseous fuel shall drain to the ground and not come into contact with the load or hot parts of the vehicle</w:t>
      </w:r>
      <w:r w:rsidR="009202DC" w:rsidRPr="00197493">
        <w:rPr>
          <w:i/>
          <w:iCs/>
          <w:lang w:val="en-GB"/>
        </w:rPr>
        <w:t>.</w:t>
      </w:r>
    </w:p>
    <w:p w14:paraId="3CD554D9" w14:textId="77777777" w:rsidR="0067781A" w:rsidRPr="00197493" w:rsidRDefault="0067781A" w:rsidP="002162BB">
      <w:pPr>
        <w:pStyle w:val="SingleTxtG"/>
        <w:rPr>
          <w:lang w:val="en-GB"/>
        </w:rPr>
      </w:pPr>
      <w:r w:rsidRPr="00197493">
        <w:rPr>
          <w:lang w:val="en-GB"/>
        </w:rPr>
        <w:t>(b)</w:t>
      </w:r>
      <w:r w:rsidRPr="00197493">
        <w:rPr>
          <w:lang w:val="en-GB"/>
        </w:rPr>
        <w:tab/>
        <w:t xml:space="preserve">Fuel tanks for liquid fuels shall meet the requirements of UN Regulation No. 34; </w:t>
      </w:r>
      <w:r w:rsidRPr="00197493">
        <w:rPr>
          <w:i/>
          <w:iCs/>
          <w:lang w:val="en-GB"/>
        </w:rPr>
        <w:t>fuel tanks containing petrol shall be equipped with an effective flame trap at the filler opening or with a closure enabling the opening to be kept hermetically sealed</w:t>
      </w:r>
      <w:r w:rsidRPr="00197493">
        <w:rPr>
          <w:lang w:val="en-GB"/>
        </w:rPr>
        <w:t>. Fuel tanks and cylinders for LNG and for CNG respectively shall meet the relevant requirements of UN Regulation No. 110. Fuel tanks for LPG shall meet the relevant requirements of UN Regulation No. 67.</w:t>
      </w:r>
    </w:p>
    <w:p w14:paraId="5F24E4FE" w14:textId="77777777" w:rsidR="0067781A" w:rsidRPr="00197493" w:rsidRDefault="0067781A" w:rsidP="002162BB">
      <w:pPr>
        <w:pStyle w:val="SingleTxtG"/>
        <w:rPr>
          <w:lang w:val="en-GB"/>
        </w:rPr>
      </w:pPr>
      <w:r w:rsidRPr="00197493">
        <w:rPr>
          <w:iCs/>
          <w:lang w:val="en-GB"/>
        </w:rPr>
        <w:t>(c)</w:t>
      </w:r>
      <w:r w:rsidRPr="00197493">
        <w:rPr>
          <w:i/>
          <w:lang w:val="en-GB"/>
        </w:rPr>
        <w:tab/>
      </w:r>
      <w:r w:rsidRPr="00197493">
        <w:rPr>
          <w:lang w:val="en-GB"/>
        </w:rPr>
        <w:t>The discharge opening(s) of pressure relief devices and/or pressure relief valves of fuel tanks containing gaseous fuels shall be directed away from air intakes, fuel tanks, the load or hot parts of the vehicle and shall not impinge on enclosed areas, other vehicles, exterior-mounted systems with air intake (i.e., air-conditioning systems), engine intakes, or engine exhaust. Pipes of the fuel system shall not be fixed on the shell containing the load.</w:t>
      </w:r>
    </w:p>
    <w:p w14:paraId="2571CE26" w14:textId="3C342BC7" w:rsidR="0067781A" w:rsidRPr="00197493" w:rsidRDefault="0067781A" w:rsidP="002162BB">
      <w:pPr>
        <w:pStyle w:val="SingleTxtG"/>
        <w:rPr>
          <w:b/>
          <w:lang w:val="en-GB"/>
        </w:rPr>
      </w:pPr>
      <w:r w:rsidRPr="00197493">
        <w:rPr>
          <w:b/>
          <w:lang w:val="en-GB"/>
        </w:rPr>
        <w:t>9.2.4.4</w:t>
      </w:r>
      <w:r w:rsidR="006600C1" w:rsidRPr="00197493">
        <w:rPr>
          <w:b/>
          <w:lang w:val="en-GB"/>
        </w:rPr>
        <w:tab/>
      </w:r>
      <w:r w:rsidRPr="00197493">
        <w:rPr>
          <w:b/>
          <w:lang w:val="en-GB"/>
        </w:rPr>
        <w:tab/>
      </w:r>
      <w:r w:rsidRPr="00197493">
        <w:rPr>
          <w:b/>
          <w:i/>
          <w:lang w:val="en-GB"/>
        </w:rPr>
        <w:t>Engine</w:t>
      </w:r>
    </w:p>
    <w:p w14:paraId="19FE5489" w14:textId="77777777" w:rsidR="0067781A" w:rsidRPr="00197493" w:rsidRDefault="0067781A" w:rsidP="002162BB">
      <w:pPr>
        <w:pStyle w:val="ADRnote"/>
        <w:ind w:left="1134" w:right="1134"/>
      </w:pPr>
      <w:r w:rsidRPr="00197493">
        <w:rPr>
          <w:b/>
          <w:bCs/>
        </w:rPr>
        <w:t>NOTE:  </w:t>
      </w:r>
      <w:r w:rsidRPr="00197493">
        <w:t>9.2.4.4 likewise applies to hybrid vehicles which include an electric power train in the mechanical driveline of the internal combustion engine or use an internal combustion engine to drive a generator to energize the electric power train.</w:t>
      </w:r>
    </w:p>
    <w:p w14:paraId="4CFDBF3F" w14:textId="77777777" w:rsidR="0067781A" w:rsidRPr="00197493" w:rsidRDefault="0067781A" w:rsidP="002162BB">
      <w:pPr>
        <w:pStyle w:val="SingleTxtG"/>
        <w:rPr>
          <w:lang w:val="en-GB"/>
        </w:rPr>
      </w:pPr>
      <w:r w:rsidRPr="00197493">
        <w:rPr>
          <w:i/>
          <w:iCs/>
          <w:lang w:val="en-GB"/>
        </w:rPr>
        <w:t>The engine propelling the vehicle shall be so equipped and situated to avoid any danger to the load through heating or ignition.</w:t>
      </w:r>
      <w:r w:rsidRPr="00197493">
        <w:rPr>
          <w:lang w:val="en-GB"/>
        </w:rPr>
        <w:t xml:space="preserve"> The use of CNG or LNG as fuel shall be permitted only if the specific components for CNG and LNG are approved according to UN Regulation No. 110 and meet the provisions of 9.2.2. The installation on the vehicle shall meet the technical requirements of 9.2.2 and UN Regulation No. 110. The use of LPG as fuel shall be permitted only if the specific components for LPG are approved according to UN Regulation No. 67 and meet the provisions of 9.2.2. The installation on the vehicle shall meet the technical requirements of 9.2.2 and UN Regulation No. 67. </w:t>
      </w:r>
      <w:r w:rsidRPr="00197493">
        <w:rPr>
          <w:i/>
          <w:iCs/>
          <w:lang w:val="en-GB"/>
        </w:rPr>
        <w:t>In the case of EX/II and EX/III vehicles the engine shall be of compression-ignition construction using only liquid fuels with a flashpoint above 55 °C. Gases shall not be used.</w:t>
      </w:r>
    </w:p>
    <w:p w14:paraId="0A423858" w14:textId="1E2AE4CC" w:rsidR="0067781A" w:rsidRPr="00197493" w:rsidRDefault="0067781A" w:rsidP="002162BB">
      <w:pPr>
        <w:pStyle w:val="SingleTxtG"/>
        <w:rPr>
          <w:b/>
          <w:bCs/>
          <w:lang w:val="en-GB"/>
        </w:rPr>
      </w:pPr>
      <w:r w:rsidRPr="00197493">
        <w:rPr>
          <w:b/>
          <w:bCs/>
          <w:lang w:val="en-GB"/>
        </w:rPr>
        <w:t>9.2.4.6</w:t>
      </w:r>
      <w:r w:rsidRPr="00197493">
        <w:rPr>
          <w:b/>
          <w:bCs/>
          <w:lang w:val="en-GB"/>
        </w:rPr>
        <w:tab/>
      </w:r>
      <w:r w:rsidR="001E7C7F" w:rsidRPr="00197493">
        <w:rPr>
          <w:b/>
          <w:bCs/>
          <w:lang w:val="en-GB"/>
        </w:rPr>
        <w:tab/>
      </w:r>
      <w:r w:rsidRPr="00197493">
        <w:rPr>
          <w:b/>
          <w:bCs/>
          <w:i/>
          <w:iCs/>
          <w:lang w:val="en-GB"/>
        </w:rPr>
        <w:t>Electric power train</w:t>
      </w:r>
    </w:p>
    <w:p w14:paraId="29782FD5" w14:textId="77777777" w:rsidR="0067781A" w:rsidRPr="00197493" w:rsidRDefault="0067781A" w:rsidP="002162BB">
      <w:pPr>
        <w:pStyle w:val="ADRnote"/>
        <w:ind w:left="1134" w:right="1134"/>
      </w:pPr>
      <w:r w:rsidRPr="00197493">
        <w:rPr>
          <w:b/>
          <w:bCs/>
        </w:rPr>
        <w:t>NOTE:  </w:t>
      </w:r>
      <w:r w:rsidRPr="00197493">
        <w:t>9.2.4.6 likewise applies to hybrid vehicles that include an electric power train in the mechanical driveline of an internal combustion engine. Electric power trains shall not be used for EX and FL vehicles.</w:t>
      </w:r>
    </w:p>
    <w:p w14:paraId="0B5CCFF3" w14:textId="3C9400EB" w:rsidR="002154EF" w:rsidRPr="00197493" w:rsidRDefault="0067781A" w:rsidP="002162BB">
      <w:pPr>
        <w:pStyle w:val="SingleTxtG"/>
        <w:rPr>
          <w:lang w:val="en-GB"/>
        </w:rPr>
      </w:pPr>
      <w:r w:rsidRPr="00197493">
        <w:rPr>
          <w:lang w:val="en-GB"/>
        </w:rPr>
        <w:tab/>
        <w:t>The electric power train shall meet the requirements of UN Regulation No. 100, as amended at least by the 03 series of amendments. Measures shall be taken to prevent any danger to the load by heating or ignition.</w:t>
      </w:r>
      <w:r w:rsidR="001E7C7F" w:rsidRPr="00197493">
        <w:rPr>
          <w:lang w:val="en-GB"/>
        </w:rPr>
        <w:t>”</w:t>
      </w:r>
    </w:p>
    <w:p w14:paraId="040F3D18" w14:textId="2BFE6D6F" w:rsidR="00AF5CCB" w:rsidRPr="00197493" w:rsidRDefault="001E7C7F" w:rsidP="00F866D5">
      <w:pPr>
        <w:spacing w:before="240"/>
        <w:jc w:val="center"/>
        <w:rPr>
          <w:u w:val="single"/>
        </w:rPr>
      </w:pPr>
      <w:r w:rsidRPr="00197493">
        <w:rPr>
          <w:u w:val="single"/>
        </w:rPr>
        <w:tab/>
      </w:r>
      <w:r w:rsidRPr="00197493">
        <w:rPr>
          <w:u w:val="single"/>
        </w:rPr>
        <w:tab/>
      </w:r>
      <w:r w:rsidRPr="00197493">
        <w:rPr>
          <w:u w:val="single"/>
        </w:rPr>
        <w:tab/>
      </w:r>
    </w:p>
    <w:sectPr w:rsidR="00AF5CCB" w:rsidRPr="00197493" w:rsidSect="003E77A0">
      <w:headerReference w:type="even" r:id="rId11"/>
      <w:headerReference w:type="default" r:id="rId12"/>
      <w:footerReference w:type="even" r:id="rId13"/>
      <w:footerReference w:type="default" r:id="rId14"/>
      <w:headerReference w:type="first" r:id="rId15"/>
      <w:footnotePr>
        <w:numRestart w:val="eachSect"/>
      </w:footnotePr>
      <w:pgSz w:w="11907" w:h="16840" w:code="9"/>
      <w:pgMar w:top="1134" w:right="1134" w:bottom="1134" w:left="1134" w:header="851" w:footer="794"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AE2CE" w14:textId="77777777" w:rsidR="00FC4248" w:rsidRDefault="00FC4248"/>
  </w:endnote>
  <w:endnote w:type="continuationSeparator" w:id="0">
    <w:p w14:paraId="75A309BD" w14:textId="77777777" w:rsidR="00FC4248" w:rsidRDefault="00FC4248"/>
  </w:endnote>
  <w:endnote w:type="continuationNotice" w:id="1">
    <w:p w14:paraId="0CCD2D6B" w14:textId="77777777" w:rsidR="00FC4248" w:rsidRDefault="00FC42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4691B" w14:textId="77777777" w:rsidR="0092434D" w:rsidRPr="00982036" w:rsidRDefault="0092434D" w:rsidP="00982036">
    <w:pPr>
      <w:pStyle w:val="Footer"/>
      <w:tabs>
        <w:tab w:val="right" w:pos="9638"/>
      </w:tabs>
      <w:rPr>
        <w:sz w:val="18"/>
      </w:rPr>
    </w:pPr>
    <w:r w:rsidRPr="00982036">
      <w:rPr>
        <w:b/>
        <w:sz w:val="18"/>
      </w:rPr>
      <w:fldChar w:fldCharType="begin"/>
    </w:r>
    <w:r w:rsidRPr="00982036">
      <w:rPr>
        <w:b/>
        <w:sz w:val="18"/>
      </w:rPr>
      <w:instrText xml:space="preserve"> PAGE  \* MERGEFORMAT </w:instrText>
    </w:r>
    <w:r w:rsidRPr="00982036">
      <w:rPr>
        <w:b/>
        <w:sz w:val="18"/>
      </w:rPr>
      <w:fldChar w:fldCharType="separate"/>
    </w:r>
    <w:r w:rsidR="00F13886">
      <w:rPr>
        <w:b/>
        <w:noProof/>
        <w:sz w:val="18"/>
      </w:rPr>
      <w:t>2</w:t>
    </w:r>
    <w:r w:rsidRPr="00982036">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CB9AC" w14:textId="77777777" w:rsidR="0092434D" w:rsidRPr="00982036" w:rsidRDefault="0092434D" w:rsidP="00982036">
    <w:pPr>
      <w:pStyle w:val="Footer"/>
      <w:tabs>
        <w:tab w:val="right" w:pos="9638"/>
      </w:tabs>
      <w:rPr>
        <w:b/>
        <w:sz w:val="18"/>
      </w:rPr>
    </w:pPr>
    <w:r>
      <w:tab/>
    </w:r>
    <w:r w:rsidRPr="00982036">
      <w:rPr>
        <w:b/>
        <w:sz w:val="18"/>
      </w:rPr>
      <w:fldChar w:fldCharType="begin"/>
    </w:r>
    <w:r w:rsidRPr="00982036">
      <w:rPr>
        <w:b/>
        <w:sz w:val="18"/>
      </w:rPr>
      <w:instrText xml:space="preserve"> PAGE  \* MERGEFORMAT </w:instrText>
    </w:r>
    <w:r w:rsidRPr="00982036">
      <w:rPr>
        <w:b/>
        <w:sz w:val="18"/>
      </w:rPr>
      <w:fldChar w:fldCharType="separate"/>
    </w:r>
    <w:r w:rsidR="00B170C8">
      <w:rPr>
        <w:b/>
        <w:noProof/>
        <w:sz w:val="18"/>
      </w:rPr>
      <w:t>3</w:t>
    </w:r>
    <w:r w:rsidRPr="00982036">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A7215" w14:textId="77777777" w:rsidR="00FC4248" w:rsidRPr="000B175B" w:rsidRDefault="00FC4248" w:rsidP="000B175B">
      <w:pPr>
        <w:tabs>
          <w:tab w:val="right" w:pos="2155"/>
        </w:tabs>
        <w:spacing w:after="80"/>
        <w:ind w:left="680"/>
        <w:rPr>
          <w:u w:val="single"/>
        </w:rPr>
      </w:pPr>
      <w:r>
        <w:rPr>
          <w:u w:val="single"/>
        </w:rPr>
        <w:tab/>
      </w:r>
    </w:p>
  </w:footnote>
  <w:footnote w:type="continuationSeparator" w:id="0">
    <w:p w14:paraId="772C4DBE" w14:textId="77777777" w:rsidR="00FC4248" w:rsidRPr="00FC68B7" w:rsidRDefault="00FC4248" w:rsidP="00FC68B7">
      <w:pPr>
        <w:tabs>
          <w:tab w:val="left" w:pos="2155"/>
        </w:tabs>
        <w:spacing w:after="80"/>
        <w:ind w:left="680"/>
        <w:rPr>
          <w:u w:val="single"/>
        </w:rPr>
      </w:pPr>
      <w:r>
        <w:rPr>
          <w:u w:val="single"/>
        </w:rPr>
        <w:tab/>
      </w:r>
    </w:p>
  </w:footnote>
  <w:footnote w:type="continuationNotice" w:id="1">
    <w:p w14:paraId="56C73A8B" w14:textId="77777777" w:rsidR="00FC4248" w:rsidRDefault="00FC424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CFB17" w14:textId="0040B75A" w:rsidR="0092434D" w:rsidRPr="00617E96" w:rsidRDefault="0092434D">
    <w:pPr>
      <w:pStyle w:val="Header"/>
      <w:rPr>
        <w:lang w:val="fr-CH"/>
      </w:rPr>
    </w:pPr>
    <w:r>
      <w:rPr>
        <w:lang w:val="fr-CH"/>
      </w:rPr>
      <w:t>INF</w:t>
    </w:r>
    <w:r w:rsidR="009B2FAA">
      <w:rPr>
        <w:lang w:val="fr-CH"/>
      </w:rPr>
      <w:t>.</w:t>
    </w:r>
    <w:r w:rsidR="0038451B">
      <w:rPr>
        <w:lang w:val="fr-CH"/>
      </w:rPr>
      <w:t>10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EDCB1" w14:textId="61BFEC23" w:rsidR="0092434D" w:rsidRPr="00353300" w:rsidRDefault="0092434D" w:rsidP="00982036">
    <w:pPr>
      <w:pStyle w:val="Header"/>
      <w:jc w:val="right"/>
      <w:rPr>
        <w:sz w:val="28"/>
        <w:szCs w:val="28"/>
        <w:lang w:val="fr-CH"/>
      </w:rPr>
    </w:pPr>
    <w:r w:rsidRPr="00353300">
      <w:rPr>
        <w:sz w:val="28"/>
        <w:szCs w:val="28"/>
        <w:lang w:val="fr-CH"/>
      </w:rPr>
      <w:t>INF.</w:t>
    </w:r>
    <w:r w:rsidR="00C625AD">
      <w:rPr>
        <w:sz w:val="28"/>
        <w:szCs w:val="28"/>
        <w:lang w:val="fr-CH"/>
      </w:rPr>
      <w:t>10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C7418" w14:textId="2283B637" w:rsidR="0092434D" w:rsidRPr="00617E96" w:rsidRDefault="00B170C8" w:rsidP="00617E96">
    <w:pPr>
      <w:pStyle w:val="Header"/>
      <w:jc w:val="right"/>
      <w:rPr>
        <w:sz w:val="28"/>
        <w:szCs w:val="28"/>
        <w:lang w:val="fr-CH"/>
      </w:rPr>
    </w:pPr>
    <w:r>
      <w:rPr>
        <w:sz w:val="28"/>
        <w:szCs w:val="28"/>
        <w:lang w:val="fr-CH"/>
      </w:rPr>
      <w:t>INF.</w:t>
    </w:r>
    <w:r w:rsidR="00833EDE">
      <w:rPr>
        <w:sz w:val="28"/>
        <w:szCs w:val="28"/>
        <w:lang w:val="fr-CH"/>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52132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1289895708">
    <w:abstractNumId w:val="1"/>
  </w:num>
  <w:num w:numId="2" w16cid:durableId="996959843">
    <w:abstractNumId w:val="0"/>
  </w:num>
  <w:num w:numId="3" w16cid:durableId="21782556">
    <w:abstractNumId w:val="2"/>
  </w:num>
  <w:num w:numId="4" w16cid:durableId="36055766">
    <w:abstractNumId w:val="3"/>
  </w:num>
  <w:num w:numId="5" w16cid:durableId="976104305">
    <w:abstractNumId w:val="8"/>
  </w:num>
  <w:num w:numId="6" w16cid:durableId="497697996">
    <w:abstractNumId w:val="9"/>
  </w:num>
  <w:num w:numId="7" w16cid:durableId="1621718062">
    <w:abstractNumId w:val="7"/>
  </w:num>
  <w:num w:numId="8" w16cid:durableId="1904826200">
    <w:abstractNumId w:val="6"/>
  </w:num>
  <w:num w:numId="9" w16cid:durableId="1763989290">
    <w:abstractNumId w:val="5"/>
  </w:num>
  <w:num w:numId="10" w16cid:durableId="415982656">
    <w:abstractNumId w:val="4"/>
  </w:num>
  <w:num w:numId="11" w16cid:durableId="1986155221">
    <w:abstractNumId w:val="12"/>
  </w:num>
  <w:num w:numId="12" w16cid:durableId="201477978">
    <w:abstractNumId w:val="11"/>
  </w:num>
  <w:num w:numId="13" w16cid:durableId="1537044853">
    <w:abstractNumId w:val="10"/>
  </w:num>
  <w:num w:numId="14" w16cid:durableId="1820686275">
    <w:abstractNumId w:val="13"/>
  </w:num>
  <w:num w:numId="15" w16cid:durableId="1163938294">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fr-CH" w:vendorID="64" w:dllVersion="6" w:nlCheck="1" w:checkStyle="0"/>
  <w:activeWritingStyle w:appName="MSWord" w:lang="en-GB" w:vendorID="64" w:dllVersion="0" w:nlCheck="1" w:checkStyle="0"/>
  <w:activeWritingStyle w:appName="MSWord" w:lang="fr-CH" w:vendorID="64" w:dllVersion="0" w:nlCheck="1" w:checkStyle="0"/>
  <w:activeWritingStyle w:appName="MSWord" w:lang="en-US" w:vendorID="64" w:dllVersion="0" w:nlCheck="1" w:checkStyle="0"/>
  <w:activeWritingStyle w:appName="MSWord" w:lang="fr-FR" w:vendorID="64" w:dllVersion="0" w:nlCheck="1" w:checkStyle="0"/>
  <w:activeWritingStyle w:appName="MSWord" w:lang="es-ES" w:vendorID="64" w:dllVersion="6" w:nlCheck="1" w:checkStyle="0"/>
  <w:activeWritingStyle w:appName="MSWord" w:lang="es-ES" w:vendorID="64" w:dllVersion="0" w:nlCheck="1" w:checkStyle="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9A0"/>
    <w:rsid w:val="00001223"/>
    <w:rsid w:val="00002A79"/>
    <w:rsid w:val="00005CBF"/>
    <w:rsid w:val="00011932"/>
    <w:rsid w:val="000162D9"/>
    <w:rsid w:val="00016E9B"/>
    <w:rsid w:val="00017909"/>
    <w:rsid w:val="000241F2"/>
    <w:rsid w:val="000268D3"/>
    <w:rsid w:val="00027AE2"/>
    <w:rsid w:val="00033B5A"/>
    <w:rsid w:val="00033C7D"/>
    <w:rsid w:val="0003511A"/>
    <w:rsid w:val="00042739"/>
    <w:rsid w:val="00042905"/>
    <w:rsid w:val="000457B4"/>
    <w:rsid w:val="00046B1F"/>
    <w:rsid w:val="00047596"/>
    <w:rsid w:val="00050F6B"/>
    <w:rsid w:val="00051169"/>
    <w:rsid w:val="000575AC"/>
    <w:rsid w:val="00057E97"/>
    <w:rsid w:val="000646F4"/>
    <w:rsid w:val="0006491B"/>
    <w:rsid w:val="0007158C"/>
    <w:rsid w:val="00071BC9"/>
    <w:rsid w:val="00072C8C"/>
    <w:rsid w:val="000733B5"/>
    <w:rsid w:val="00081815"/>
    <w:rsid w:val="00084795"/>
    <w:rsid w:val="00085285"/>
    <w:rsid w:val="00085982"/>
    <w:rsid w:val="000865A4"/>
    <w:rsid w:val="00091CFC"/>
    <w:rsid w:val="000931C0"/>
    <w:rsid w:val="00095890"/>
    <w:rsid w:val="00096C84"/>
    <w:rsid w:val="000A0B10"/>
    <w:rsid w:val="000A0DF5"/>
    <w:rsid w:val="000A17BA"/>
    <w:rsid w:val="000A1A88"/>
    <w:rsid w:val="000A309E"/>
    <w:rsid w:val="000A6C53"/>
    <w:rsid w:val="000A7999"/>
    <w:rsid w:val="000B0595"/>
    <w:rsid w:val="000B0EB8"/>
    <w:rsid w:val="000B175B"/>
    <w:rsid w:val="000B3A0F"/>
    <w:rsid w:val="000B491C"/>
    <w:rsid w:val="000B4EF7"/>
    <w:rsid w:val="000C0012"/>
    <w:rsid w:val="000C2763"/>
    <w:rsid w:val="000C2C03"/>
    <w:rsid w:val="000C2D2E"/>
    <w:rsid w:val="000D08B9"/>
    <w:rsid w:val="000D3E3E"/>
    <w:rsid w:val="000E0415"/>
    <w:rsid w:val="000E0637"/>
    <w:rsid w:val="000E5D68"/>
    <w:rsid w:val="000E79DA"/>
    <w:rsid w:val="000F0041"/>
    <w:rsid w:val="000F25FD"/>
    <w:rsid w:val="000F2981"/>
    <w:rsid w:val="00110035"/>
    <w:rsid w:val="001103AA"/>
    <w:rsid w:val="00110611"/>
    <w:rsid w:val="00111A5C"/>
    <w:rsid w:val="001132DF"/>
    <w:rsid w:val="0011666B"/>
    <w:rsid w:val="00121272"/>
    <w:rsid w:val="00121D95"/>
    <w:rsid w:val="00123E78"/>
    <w:rsid w:val="001264AE"/>
    <w:rsid w:val="0013292C"/>
    <w:rsid w:val="0013299E"/>
    <w:rsid w:val="001336B7"/>
    <w:rsid w:val="0013484F"/>
    <w:rsid w:val="00144750"/>
    <w:rsid w:val="00145971"/>
    <w:rsid w:val="00147824"/>
    <w:rsid w:val="00153201"/>
    <w:rsid w:val="00153C2C"/>
    <w:rsid w:val="00155060"/>
    <w:rsid w:val="0015659F"/>
    <w:rsid w:val="001611D7"/>
    <w:rsid w:val="0016467F"/>
    <w:rsid w:val="00164FF7"/>
    <w:rsid w:val="00165F3A"/>
    <w:rsid w:val="001662FC"/>
    <w:rsid w:val="0016663C"/>
    <w:rsid w:val="0017318C"/>
    <w:rsid w:val="00173696"/>
    <w:rsid w:val="00174A17"/>
    <w:rsid w:val="00175E6F"/>
    <w:rsid w:val="00177C0F"/>
    <w:rsid w:val="001817D6"/>
    <w:rsid w:val="00191ECB"/>
    <w:rsid w:val="00197493"/>
    <w:rsid w:val="00197AA1"/>
    <w:rsid w:val="001A1D4B"/>
    <w:rsid w:val="001A2105"/>
    <w:rsid w:val="001A3035"/>
    <w:rsid w:val="001A411A"/>
    <w:rsid w:val="001A5573"/>
    <w:rsid w:val="001A56AF"/>
    <w:rsid w:val="001A6E11"/>
    <w:rsid w:val="001A6F83"/>
    <w:rsid w:val="001A782B"/>
    <w:rsid w:val="001B00C8"/>
    <w:rsid w:val="001B4B04"/>
    <w:rsid w:val="001C346C"/>
    <w:rsid w:val="001C4DE5"/>
    <w:rsid w:val="001C6663"/>
    <w:rsid w:val="001C7895"/>
    <w:rsid w:val="001D0C8C"/>
    <w:rsid w:val="001D1419"/>
    <w:rsid w:val="001D1F83"/>
    <w:rsid w:val="001D26DF"/>
    <w:rsid w:val="001D3A03"/>
    <w:rsid w:val="001D4954"/>
    <w:rsid w:val="001D4AEC"/>
    <w:rsid w:val="001D65CC"/>
    <w:rsid w:val="001D7516"/>
    <w:rsid w:val="001D7750"/>
    <w:rsid w:val="001E1C0C"/>
    <w:rsid w:val="001E3EEF"/>
    <w:rsid w:val="001E4C81"/>
    <w:rsid w:val="001E6507"/>
    <w:rsid w:val="001E7B67"/>
    <w:rsid w:val="001E7C7F"/>
    <w:rsid w:val="001F2713"/>
    <w:rsid w:val="001F715D"/>
    <w:rsid w:val="00202DA8"/>
    <w:rsid w:val="00207AC3"/>
    <w:rsid w:val="00210872"/>
    <w:rsid w:val="00210C59"/>
    <w:rsid w:val="00211E0B"/>
    <w:rsid w:val="00211EBF"/>
    <w:rsid w:val="002154EF"/>
    <w:rsid w:val="002162BB"/>
    <w:rsid w:val="0021784B"/>
    <w:rsid w:val="00217B3D"/>
    <w:rsid w:val="00222740"/>
    <w:rsid w:val="002228E6"/>
    <w:rsid w:val="00222DF8"/>
    <w:rsid w:val="00223A66"/>
    <w:rsid w:val="00224D92"/>
    <w:rsid w:val="00227D47"/>
    <w:rsid w:val="00230F34"/>
    <w:rsid w:val="00234B7A"/>
    <w:rsid w:val="00234DF2"/>
    <w:rsid w:val="00237E67"/>
    <w:rsid w:val="00240F17"/>
    <w:rsid w:val="0024149F"/>
    <w:rsid w:val="0024345C"/>
    <w:rsid w:val="00246797"/>
    <w:rsid w:val="0024772E"/>
    <w:rsid w:val="00250271"/>
    <w:rsid w:val="002514D4"/>
    <w:rsid w:val="0025285B"/>
    <w:rsid w:val="002551FD"/>
    <w:rsid w:val="00256205"/>
    <w:rsid w:val="00261ACC"/>
    <w:rsid w:val="002646A4"/>
    <w:rsid w:val="0026752F"/>
    <w:rsid w:val="00267B69"/>
    <w:rsid w:val="00267F5F"/>
    <w:rsid w:val="002709B0"/>
    <w:rsid w:val="002715FF"/>
    <w:rsid w:val="00271AEC"/>
    <w:rsid w:val="0027769C"/>
    <w:rsid w:val="00277A65"/>
    <w:rsid w:val="00282751"/>
    <w:rsid w:val="00284318"/>
    <w:rsid w:val="002864E1"/>
    <w:rsid w:val="00286B4D"/>
    <w:rsid w:val="00287AA9"/>
    <w:rsid w:val="00292E0A"/>
    <w:rsid w:val="0029372B"/>
    <w:rsid w:val="00297AB0"/>
    <w:rsid w:val="00297B04"/>
    <w:rsid w:val="002A4C9A"/>
    <w:rsid w:val="002A5459"/>
    <w:rsid w:val="002B0104"/>
    <w:rsid w:val="002B3B6C"/>
    <w:rsid w:val="002B5655"/>
    <w:rsid w:val="002C03AE"/>
    <w:rsid w:val="002C1C36"/>
    <w:rsid w:val="002C1C5D"/>
    <w:rsid w:val="002C6AC2"/>
    <w:rsid w:val="002D0CA9"/>
    <w:rsid w:val="002D0CAD"/>
    <w:rsid w:val="002D2F3E"/>
    <w:rsid w:val="002D3908"/>
    <w:rsid w:val="002D4643"/>
    <w:rsid w:val="002D54BC"/>
    <w:rsid w:val="002D595F"/>
    <w:rsid w:val="002E03A0"/>
    <w:rsid w:val="002E2802"/>
    <w:rsid w:val="002E4DE5"/>
    <w:rsid w:val="002E5FA3"/>
    <w:rsid w:val="002E6E9F"/>
    <w:rsid w:val="002F0F82"/>
    <w:rsid w:val="002F175C"/>
    <w:rsid w:val="002F5EA4"/>
    <w:rsid w:val="00302E18"/>
    <w:rsid w:val="0032228E"/>
    <w:rsid w:val="003229D8"/>
    <w:rsid w:val="0032493B"/>
    <w:rsid w:val="00330464"/>
    <w:rsid w:val="00330595"/>
    <w:rsid w:val="00330F1A"/>
    <w:rsid w:val="0033107C"/>
    <w:rsid w:val="003336F3"/>
    <w:rsid w:val="00335F6D"/>
    <w:rsid w:val="00350C7B"/>
    <w:rsid w:val="00352709"/>
    <w:rsid w:val="00353300"/>
    <w:rsid w:val="00353B6A"/>
    <w:rsid w:val="003545CB"/>
    <w:rsid w:val="003619B5"/>
    <w:rsid w:val="00362309"/>
    <w:rsid w:val="00365763"/>
    <w:rsid w:val="00367D25"/>
    <w:rsid w:val="00371178"/>
    <w:rsid w:val="003711BC"/>
    <w:rsid w:val="00371590"/>
    <w:rsid w:val="00374973"/>
    <w:rsid w:val="00375224"/>
    <w:rsid w:val="00377020"/>
    <w:rsid w:val="003776D0"/>
    <w:rsid w:val="0038451B"/>
    <w:rsid w:val="003902BF"/>
    <w:rsid w:val="0039050A"/>
    <w:rsid w:val="00391C71"/>
    <w:rsid w:val="00392E47"/>
    <w:rsid w:val="00394CC5"/>
    <w:rsid w:val="003951A6"/>
    <w:rsid w:val="003A4C47"/>
    <w:rsid w:val="003A6810"/>
    <w:rsid w:val="003A6E52"/>
    <w:rsid w:val="003A76FA"/>
    <w:rsid w:val="003A7818"/>
    <w:rsid w:val="003B173B"/>
    <w:rsid w:val="003B1FA8"/>
    <w:rsid w:val="003B2A95"/>
    <w:rsid w:val="003B4873"/>
    <w:rsid w:val="003B7991"/>
    <w:rsid w:val="003C0075"/>
    <w:rsid w:val="003C2CC4"/>
    <w:rsid w:val="003C7018"/>
    <w:rsid w:val="003C7D05"/>
    <w:rsid w:val="003D0503"/>
    <w:rsid w:val="003D1847"/>
    <w:rsid w:val="003D4B23"/>
    <w:rsid w:val="003D4E4D"/>
    <w:rsid w:val="003D5644"/>
    <w:rsid w:val="003D5C99"/>
    <w:rsid w:val="003D6CB1"/>
    <w:rsid w:val="003E130E"/>
    <w:rsid w:val="003E4B14"/>
    <w:rsid w:val="003E5BA5"/>
    <w:rsid w:val="003E7397"/>
    <w:rsid w:val="003E77A0"/>
    <w:rsid w:val="003E7CC4"/>
    <w:rsid w:val="003F5FFC"/>
    <w:rsid w:val="003F64D6"/>
    <w:rsid w:val="004021CB"/>
    <w:rsid w:val="0040539F"/>
    <w:rsid w:val="00405965"/>
    <w:rsid w:val="004066A5"/>
    <w:rsid w:val="00410988"/>
    <w:rsid w:val="00410C89"/>
    <w:rsid w:val="004114BC"/>
    <w:rsid w:val="0041211C"/>
    <w:rsid w:val="00413063"/>
    <w:rsid w:val="0042179A"/>
    <w:rsid w:val="00421FE8"/>
    <w:rsid w:val="004225D2"/>
    <w:rsid w:val="00422E03"/>
    <w:rsid w:val="0042319F"/>
    <w:rsid w:val="004240EB"/>
    <w:rsid w:val="0042588A"/>
    <w:rsid w:val="00426607"/>
    <w:rsid w:val="00426B9B"/>
    <w:rsid w:val="00431FA3"/>
    <w:rsid w:val="004325CB"/>
    <w:rsid w:val="00442A83"/>
    <w:rsid w:val="00444795"/>
    <w:rsid w:val="0044563F"/>
    <w:rsid w:val="0044641D"/>
    <w:rsid w:val="0045495B"/>
    <w:rsid w:val="004561E5"/>
    <w:rsid w:val="00456D22"/>
    <w:rsid w:val="004570B1"/>
    <w:rsid w:val="004732BE"/>
    <w:rsid w:val="0047379F"/>
    <w:rsid w:val="004740A8"/>
    <w:rsid w:val="00474D31"/>
    <w:rsid w:val="00475F8D"/>
    <w:rsid w:val="0048397A"/>
    <w:rsid w:val="00485071"/>
    <w:rsid w:val="004855FB"/>
    <w:rsid w:val="00485CBB"/>
    <w:rsid w:val="004866B7"/>
    <w:rsid w:val="004913B2"/>
    <w:rsid w:val="004928FE"/>
    <w:rsid w:val="00494B8E"/>
    <w:rsid w:val="00495E99"/>
    <w:rsid w:val="004A27BC"/>
    <w:rsid w:val="004A2BD3"/>
    <w:rsid w:val="004A5098"/>
    <w:rsid w:val="004A6F63"/>
    <w:rsid w:val="004B0E6A"/>
    <w:rsid w:val="004B1837"/>
    <w:rsid w:val="004B2EAF"/>
    <w:rsid w:val="004B33A8"/>
    <w:rsid w:val="004B7EEB"/>
    <w:rsid w:val="004C0E2A"/>
    <w:rsid w:val="004C2461"/>
    <w:rsid w:val="004C7462"/>
    <w:rsid w:val="004D0588"/>
    <w:rsid w:val="004D1404"/>
    <w:rsid w:val="004D33EE"/>
    <w:rsid w:val="004D6927"/>
    <w:rsid w:val="004E06DC"/>
    <w:rsid w:val="004E0B9C"/>
    <w:rsid w:val="004E6FFC"/>
    <w:rsid w:val="004E77B2"/>
    <w:rsid w:val="004F3AA0"/>
    <w:rsid w:val="004F4A91"/>
    <w:rsid w:val="0050113C"/>
    <w:rsid w:val="00504603"/>
    <w:rsid w:val="00504B2D"/>
    <w:rsid w:val="00513E3A"/>
    <w:rsid w:val="005144B8"/>
    <w:rsid w:val="00520744"/>
    <w:rsid w:val="0052136D"/>
    <w:rsid w:val="00522680"/>
    <w:rsid w:val="0052326E"/>
    <w:rsid w:val="0052714B"/>
    <w:rsid w:val="0052775E"/>
    <w:rsid w:val="00530714"/>
    <w:rsid w:val="0053784E"/>
    <w:rsid w:val="0054034C"/>
    <w:rsid w:val="005420F2"/>
    <w:rsid w:val="00542350"/>
    <w:rsid w:val="00542F00"/>
    <w:rsid w:val="00544504"/>
    <w:rsid w:val="00547B54"/>
    <w:rsid w:val="0055186F"/>
    <w:rsid w:val="00552CEB"/>
    <w:rsid w:val="00557EE5"/>
    <w:rsid w:val="005602DA"/>
    <w:rsid w:val="0056099E"/>
    <w:rsid w:val="00561B06"/>
    <w:rsid w:val="005628B6"/>
    <w:rsid w:val="0056374F"/>
    <w:rsid w:val="005720FA"/>
    <w:rsid w:val="00575310"/>
    <w:rsid w:val="00575B3B"/>
    <w:rsid w:val="00575C6F"/>
    <w:rsid w:val="0057735C"/>
    <w:rsid w:val="005778AE"/>
    <w:rsid w:val="005878E1"/>
    <w:rsid w:val="00587F34"/>
    <w:rsid w:val="0059135D"/>
    <w:rsid w:val="00591D4E"/>
    <w:rsid w:val="005941DC"/>
    <w:rsid w:val="005941EC"/>
    <w:rsid w:val="005958A0"/>
    <w:rsid w:val="00595BEC"/>
    <w:rsid w:val="00596156"/>
    <w:rsid w:val="0059659B"/>
    <w:rsid w:val="0059724D"/>
    <w:rsid w:val="005A0711"/>
    <w:rsid w:val="005A1264"/>
    <w:rsid w:val="005A1A08"/>
    <w:rsid w:val="005A2E0F"/>
    <w:rsid w:val="005A7D56"/>
    <w:rsid w:val="005B12FF"/>
    <w:rsid w:val="005B3DB3"/>
    <w:rsid w:val="005B4E13"/>
    <w:rsid w:val="005C2865"/>
    <w:rsid w:val="005C342F"/>
    <w:rsid w:val="005C5D02"/>
    <w:rsid w:val="005C7D7A"/>
    <w:rsid w:val="005D0D8E"/>
    <w:rsid w:val="005D2A67"/>
    <w:rsid w:val="005D36CF"/>
    <w:rsid w:val="005D4078"/>
    <w:rsid w:val="005D4D80"/>
    <w:rsid w:val="005D7213"/>
    <w:rsid w:val="005D7CAC"/>
    <w:rsid w:val="005E0601"/>
    <w:rsid w:val="005E50D9"/>
    <w:rsid w:val="005E526F"/>
    <w:rsid w:val="005E5BC9"/>
    <w:rsid w:val="005F5489"/>
    <w:rsid w:val="005F7B75"/>
    <w:rsid w:val="006001EE"/>
    <w:rsid w:val="006005F7"/>
    <w:rsid w:val="00602F7B"/>
    <w:rsid w:val="00603174"/>
    <w:rsid w:val="006033AF"/>
    <w:rsid w:val="006033FE"/>
    <w:rsid w:val="006039E1"/>
    <w:rsid w:val="00605042"/>
    <w:rsid w:val="0060603F"/>
    <w:rsid w:val="00611FC4"/>
    <w:rsid w:val="00612C68"/>
    <w:rsid w:val="006156A8"/>
    <w:rsid w:val="00615E39"/>
    <w:rsid w:val="006176FB"/>
    <w:rsid w:val="00617BC3"/>
    <w:rsid w:val="00617E96"/>
    <w:rsid w:val="00624A1A"/>
    <w:rsid w:val="00625FFB"/>
    <w:rsid w:val="0063012C"/>
    <w:rsid w:val="00632C71"/>
    <w:rsid w:val="00636B88"/>
    <w:rsid w:val="00636F0C"/>
    <w:rsid w:val="006372C5"/>
    <w:rsid w:val="006404E9"/>
    <w:rsid w:val="00640B26"/>
    <w:rsid w:val="006453DD"/>
    <w:rsid w:val="0065178B"/>
    <w:rsid w:val="00652D0A"/>
    <w:rsid w:val="006600C1"/>
    <w:rsid w:val="006620EF"/>
    <w:rsid w:val="00662BB6"/>
    <w:rsid w:val="00662CFB"/>
    <w:rsid w:val="00663E9F"/>
    <w:rsid w:val="006642B6"/>
    <w:rsid w:val="006653F1"/>
    <w:rsid w:val="00666315"/>
    <w:rsid w:val="006669F8"/>
    <w:rsid w:val="00666F7B"/>
    <w:rsid w:val="00672FDA"/>
    <w:rsid w:val="00675849"/>
    <w:rsid w:val="00676606"/>
    <w:rsid w:val="0067781A"/>
    <w:rsid w:val="0068064E"/>
    <w:rsid w:val="006806CD"/>
    <w:rsid w:val="00684C21"/>
    <w:rsid w:val="006904BE"/>
    <w:rsid w:val="0069139D"/>
    <w:rsid w:val="006924F6"/>
    <w:rsid w:val="00693A89"/>
    <w:rsid w:val="00695084"/>
    <w:rsid w:val="006A21D6"/>
    <w:rsid w:val="006A2530"/>
    <w:rsid w:val="006A2A1C"/>
    <w:rsid w:val="006A32FE"/>
    <w:rsid w:val="006A681C"/>
    <w:rsid w:val="006C1AF1"/>
    <w:rsid w:val="006C3589"/>
    <w:rsid w:val="006C3758"/>
    <w:rsid w:val="006C4EEB"/>
    <w:rsid w:val="006C74F5"/>
    <w:rsid w:val="006D0168"/>
    <w:rsid w:val="006D37AF"/>
    <w:rsid w:val="006D3E79"/>
    <w:rsid w:val="006D51D0"/>
    <w:rsid w:val="006D5FB9"/>
    <w:rsid w:val="006D746A"/>
    <w:rsid w:val="006E0AEF"/>
    <w:rsid w:val="006E19F2"/>
    <w:rsid w:val="006E1D88"/>
    <w:rsid w:val="006E564B"/>
    <w:rsid w:val="006E5927"/>
    <w:rsid w:val="006E7191"/>
    <w:rsid w:val="006F0206"/>
    <w:rsid w:val="006F7410"/>
    <w:rsid w:val="006F7D87"/>
    <w:rsid w:val="007005C2"/>
    <w:rsid w:val="007011A3"/>
    <w:rsid w:val="00703577"/>
    <w:rsid w:val="007047A9"/>
    <w:rsid w:val="00705894"/>
    <w:rsid w:val="00706FB2"/>
    <w:rsid w:val="00714F99"/>
    <w:rsid w:val="007178A8"/>
    <w:rsid w:val="00717FC3"/>
    <w:rsid w:val="00724C17"/>
    <w:rsid w:val="0072632A"/>
    <w:rsid w:val="00726B63"/>
    <w:rsid w:val="007327D5"/>
    <w:rsid w:val="0073593C"/>
    <w:rsid w:val="00737E7A"/>
    <w:rsid w:val="00740C7C"/>
    <w:rsid w:val="00747A63"/>
    <w:rsid w:val="00750BAB"/>
    <w:rsid w:val="00752B30"/>
    <w:rsid w:val="00754A2F"/>
    <w:rsid w:val="007629C8"/>
    <w:rsid w:val="007642DF"/>
    <w:rsid w:val="00765790"/>
    <w:rsid w:val="0076669C"/>
    <w:rsid w:val="00767D48"/>
    <w:rsid w:val="0077047D"/>
    <w:rsid w:val="007708A5"/>
    <w:rsid w:val="00773A2D"/>
    <w:rsid w:val="007851CB"/>
    <w:rsid w:val="00787DDB"/>
    <w:rsid w:val="007931F7"/>
    <w:rsid w:val="00794709"/>
    <w:rsid w:val="00796CC1"/>
    <w:rsid w:val="007A0D0E"/>
    <w:rsid w:val="007A1699"/>
    <w:rsid w:val="007A2153"/>
    <w:rsid w:val="007B2176"/>
    <w:rsid w:val="007B249A"/>
    <w:rsid w:val="007B5332"/>
    <w:rsid w:val="007B619C"/>
    <w:rsid w:val="007B6BA5"/>
    <w:rsid w:val="007C3390"/>
    <w:rsid w:val="007C38EF"/>
    <w:rsid w:val="007C4F4B"/>
    <w:rsid w:val="007C554F"/>
    <w:rsid w:val="007D3162"/>
    <w:rsid w:val="007D784A"/>
    <w:rsid w:val="007D79D0"/>
    <w:rsid w:val="007E01E9"/>
    <w:rsid w:val="007E4066"/>
    <w:rsid w:val="007E63F3"/>
    <w:rsid w:val="007F32E1"/>
    <w:rsid w:val="007F6611"/>
    <w:rsid w:val="008062A7"/>
    <w:rsid w:val="008066CE"/>
    <w:rsid w:val="0081086B"/>
    <w:rsid w:val="00811920"/>
    <w:rsid w:val="00812BD8"/>
    <w:rsid w:val="00813BFE"/>
    <w:rsid w:val="00815AD0"/>
    <w:rsid w:val="00816F53"/>
    <w:rsid w:val="0081790F"/>
    <w:rsid w:val="00822FF0"/>
    <w:rsid w:val="008242D7"/>
    <w:rsid w:val="008254F7"/>
    <w:rsid w:val="008257B1"/>
    <w:rsid w:val="00826FDE"/>
    <w:rsid w:val="0082782C"/>
    <w:rsid w:val="00827BC0"/>
    <w:rsid w:val="008304B4"/>
    <w:rsid w:val="00832334"/>
    <w:rsid w:val="00833EDE"/>
    <w:rsid w:val="0083467A"/>
    <w:rsid w:val="0083730B"/>
    <w:rsid w:val="008405E1"/>
    <w:rsid w:val="00843767"/>
    <w:rsid w:val="0085511B"/>
    <w:rsid w:val="008600BB"/>
    <w:rsid w:val="00863F32"/>
    <w:rsid w:val="00866414"/>
    <w:rsid w:val="008679D9"/>
    <w:rsid w:val="00871049"/>
    <w:rsid w:val="008731E4"/>
    <w:rsid w:val="00875766"/>
    <w:rsid w:val="008878DE"/>
    <w:rsid w:val="0089025B"/>
    <w:rsid w:val="008907CF"/>
    <w:rsid w:val="0089303C"/>
    <w:rsid w:val="00894669"/>
    <w:rsid w:val="00895577"/>
    <w:rsid w:val="00895BAB"/>
    <w:rsid w:val="008979B1"/>
    <w:rsid w:val="008A3214"/>
    <w:rsid w:val="008A50EE"/>
    <w:rsid w:val="008A6B25"/>
    <w:rsid w:val="008A6C4F"/>
    <w:rsid w:val="008B08E1"/>
    <w:rsid w:val="008B146F"/>
    <w:rsid w:val="008B2335"/>
    <w:rsid w:val="008B3C63"/>
    <w:rsid w:val="008B4680"/>
    <w:rsid w:val="008B63C4"/>
    <w:rsid w:val="008B6BA3"/>
    <w:rsid w:val="008C271F"/>
    <w:rsid w:val="008C4B88"/>
    <w:rsid w:val="008D2334"/>
    <w:rsid w:val="008D7D91"/>
    <w:rsid w:val="008E0678"/>
    <w:rsid w:val="008E14A7"/>
    <w:rsid w:val="008E2D75"/>
    <w:rsid w:val="008E321F"/>
    <w:rsid w:val="008E5914"/>
    <w:rsid w:val="008E6D2E"/>
    <w:rsid w:val="008E7508"/>
    <w:rsid w:val="008E7E09"/>
    <w:rsid w:val="008F1159"/>
    <w:rsid w:val="008F31D2"/>
    <w:rsid w:val="008F6553"/>
    <w:rsid w:val="00901FEE"/>
    <w:rsid w:val="0090465E"/>
    <w:rsid w:val="009064B3"/>
    <w:rsid w:val="00906F94"/>
    <w:rsid w:val="00907870"/>
    <w:rsid w:val="00911B7A"/>
    <w:rsid w:val="00913EE1"/>
    <w:rsid w:val="00914B7C"/>
    <w:rsid w:val="009166EB"/>
    <w:rsid w:val="00917FDE"/>
    <w:rsid w:val="009202DC"/>
    <w:rsid w:val="00920CA3"/>
    <w:rsid w:val="009215C9"/>
    <w:rsid w:val="009223CA"/>
    <w:rsid w:val="00922C88"/>
    <w:rsid w:val="00922F9C"/>
    <w:rsid w:val="0092434D"/>
    <w:rsid w:val="00931EB3"/>
    <w:rsid w:val="00931EDD"/>
    <w:rsid w:val="00933D40"/>
    <w:rsid w:val="00936E4A"/>
    <w:rsid w:val="00940F93"/>
    <w:rsid w:val="0094283D"/>
    <w:rsid w:val="00943B52"/>
    <w:rsid w:val="00943DE2"/>
    <w:rsid w:val="009460CD"/>
    <w:rsid w:val="00957EB6"/>
    <w:rsid w:val="0096269B"/>
    <w:rsid w:val="0096507F"/>
    <w:rsid w:val="0096751C"/>
    <w:rsid w:val="00970847"/>
    <w:rsid w:val="009731FD"/>
    <w:rsid w:val="009737DD"/>
    <w:rsid w:val="00973BBC"/>
    <w:rsid w:val="00973C44"/>
    <w:rsid w:val="0097444F"/>
    <w:rsid w:val="009760F3"/>
    <w:rsid w:val="00976388"/>
    <w:rsid w:val="0097696C"/>
    <w:rsid w:val="00976CFB"/>
    <w:rsid w:val="00977458"/>
    <w:rsid w:val="009812D6"/>
    <w:rsid w:val="00982036"/>
    <w:rsid w:val="009920E9"/>
    <w:rsid w:val="009941AF"/>
    <w:rsid w:val="0099747B"/>
    <w:rsid w:val="009A0830"/>
    <w:rsid w:val="009A0E8D"/>
    <w:rsid w:val="009A1090"/>
    <w:rsid w:val="009A54A0"/>
    <w:rsid w:val="009A5C6E"/>
    <w:rsid w:val="009A6244"/>
    <w:rsid w:val="009A658E"/>
    <w:rsid w:val="009A776B"/>
    <w:rsid w:val="009A7D9E"/>
    <w:rsid w:val="009B12E0"/>
    <w:rsid w:val="009B26E7"/>
    <w:rsid w:val="009B2FAA"/>
    <w:rsid w:val="009B4305"/>
    <w:rsid w:val="009B7A75"/>
    <w:rsid w:val="009C2407"/>
    <w:rsid w:val="009C5849"/>
    <w:rsid w:val="009D0A7A"/>
    <w:rsid w:val="009D4F2D"/>
    <w:rsid w:val="009D5D5F"/>
    <w:rsid w:val="009D6B04"/>
    <w:rsid w:val="009E076B"/>
    <w:rsid w:val="009E5596"/>
    <w:rsid w:val="009E5870"/>
    <w:rsid w:val="009E7286"/>
    <w:rsid w:val="00A00697"/>
    <w:rsid w:val="00A00A3F"/>
    <w:rsid w:val="00A01489"/>
    <w:rsid w:val="00A046A3"/>
    <w:rsid w:val="00A0593B"/>
    <w:rsid w:val="00A072AF"/>
    <w:rsid w:val="00A144E6"/>
    <w:rsid w:val="00A16C93"/>
    <w:rsid w:val="00A25514"/>
    <w:rsid w:val="00A3026E"/>
    <w:rsid w:val="00A31309"/>
    <w:rsid w:val="00A31CCF"/>
    <w:rsid w:val="00A327A3"/>
    <w:rsid w:val="00A32D45"/>
    <w:rsid w:val="00A32DEF"/>
    <w:rsid w:val="00A32E4E"/>
    <w:rsid w:val="00A338F1"/>
    <w:rsid w:val="00A34804"/>
    <w:rsid w:val="00A35BE0"/>
    <w:rsid w:val="00A35FB5"/>
    <w:rsid w:val="00A37149"/>
    <w:rsid w:val="00A41D9D"/>
    <w:rsid w:val="00A4373C"/>
    <w:rsid w:val="00A50BDE"/>
    <w:rsid w:val="00A50DC4"/>
    <w:rsid w:val="00A52DCB"/>
    <w:rsid w:val="00A543D8"/>
    <w:rsid w:val="00A54C24"/>
    <w:rsid w:val="00A55EB9"/>
    <w:rsid w:val="00A568EC"/>
    <w:rsid w:val="00A6052C"/>
    <w:rsid w:val="00A60EC9"/>
    <w:rsid w:val="00A6129C"/>
    <w:rsid w:val="00A6405E"/>
    <w:rsid w:val="00A65994"/>
    <w:rsid w:val="00A661B4"/>
    <w:rsid w:val="00A72178"/>
    <w:rsid w:val="00A72F22"/>
    <w:rsid w:val="00A7360F"/>
    <w:rsid w:val="00A748A6"/>
    <w:rsid w:val="00A769F4"/>
    <w:rsid w:val="00A776B4"/>
    <w:rsid w:val="00A77EA9"/>
    <w:rsid w:val="00A820AF"/>
    <w:rsid w:val="00A86C48"/>
    <w:rsid w:val="00A878C5"/>
    <w:rsid w:val="00A93480"/>
    <w:rsid w:val="00A94361"/>
    <w:rsid w:val="00A96913"/>
    <w:rsid w:val="00AA293C"/>
    <w:rsid w:val="00AA5E3A"/>
    <w:rsid w:val="00AA626D"/>
    <w:rsid w:val="00AA6B02"/>
    <w:rsid w:val="00AB19EA"/>
    <w:rsid w:val="00AB3532"/>
    <w:rsid w:val="00AB5C99"/>
    <w:rsid w:val="00AC3B92"/>
    <w:rsid w:val="00AC3F1A"/>
    <w:rsid w:val="00AC4528"/>
    <w:rsid w:val="00AC4589"/>
    <w:rsid w:val="00AC4D43"/>
    <w:rsid w:val="00AD283B"/>
    <w:rsid w:val="00AD321C"/>
    <w:rsid w:val="00AD78FB"/>
    <w:rsid w:val="00AE08F1"/>
    <w:rsid w:val="00AE2E12"/>
    <w:rsid w:val="00AE4E51"/>
    <w:rsid w:val="00AE5CFB"/>
    <w:rsid w:val="00AF0DF6"/>
    <w:rsid w:val="00AF0EA9"/>
    <w:rsid w:val="00AF5CCB"/>
    <w:rsid w:val="00B0107C"/>
    <w:rsid w:val="00B15F1E"/>
    <w:rsid w:val="00B170C8"/>
    <w:rsid w:val="00B25C37"/>
    <w:rsid w:val="00B30179"/>
    <w:rsid w:val="00B311B6"/>
    <w:rsid w:val="00B317ED"/>
    <w:rsid w:val="00B3351A"/>
    <w:rsid w:val="00B33B8F"/>
    <w:rsid w:val="00B347A9"/>
    <w:rsid w:val="00B35CD5"/>
    <w:rsid w:val="00B36897"/>
    <w:rsid w:val="00B40092"/>
    <w:rsid w:val="00B421C1"/>
    <w:rsid w:val="00B50352"/>
    <w:rsid w:val="00B53483"/>
    <w:rsid w:val="00B55C71"/>
    <w:rsid w:val="00B567A2"/>
    <w:rsid w:val="00B56E4A"/>
    <w:rsid w:val="00B56E9C"/>
    <w:rsid w:val="00B57803"/>
    <w:rsid w:val="00B6329F"/>
    <w:rsid w:val="00B64191"/>
    <w:rsid w:val="00B64B1F"/>
    <w:rsid w:val="00B6553F"/>
    <w:rsid w:val="00B7025D"/>
    <w:rsid w:val="00B72BE1"/>
    <w:rsid w:val="00B74C28"/>
    <w:rsid w:val="00B777AE"/>
    <w:rsid w:val="00B77D05"/>
    <w:rsid w:val="00B807BE"/>
    <w:rsid w:val="00B81206"/>
    <w:rsid w:val="00B8120A"/>
    <w:rsid w:val="00B81E12"/>
    <w:rsid w:val="00B876F7"/>
    <w:rsid w:val="00B93280"/>
    <w:rsid w:val="00B94CC5"/>
    <w:rsid w:val="00B955CD"/>
    <w:rsid w:val="00B96BDE"/>
    <w:rsid w:val="00BA0C9E"/>
    <w:rsid w:val="00BA4B7E"/>
    <w:rsid w:val="00BB3F2F"/>
    <w:rsid w:val="00BB47A7"/>
    <w:rsid w:val="00BB7FC2"/>
    <w:rsid w:val="00BC32D7"/>
    <w:rsid w:val="00BC3460"/>
    <w:rsid w:val="00BC3FA0"/>
    <w:rsid w:val="00BC4834"/>
    <w:rsid w:val="00BC5010"/>
    <w:rsid w:val="00BC6CF4"/>
    <w:rsid w:val="00BC74E9"/>
    <w:rsid w:val="00BD43A5"/>
    <w:rsid w:val="00BD4F40"/>
    <w:rsid w:val="00BD546B"/>
    <w:rsid w:val="00BD793A"/>
    <w:rsid w:val="00BE3161"/>
    <w:rsid w:val="00BE350D"/>
    <w:rsid w:val="00BE7B63"/>
    <w:rsid w:val="00BF0CF2"/>
    <w:rsid w:val="00BF0D1B"/>
    <w:rsid w:val="00BF1786"/>
    <w:rsid w:val="00BF2D3A"/>
    <w:rsid w:val="00BF2EF3"/>
    <w:rsid w:val="00BF48D9"/>
    <w:rsid w:val="00BF5486"/>
    <w:rsid w:val="00BF67DE"/>
    <w:rsid w:val="00BF68A8"/>
    <w:rsid w:val="00BF7515"/>
    <w:rsid w:val="00BF76F9"/>
    <w:rsid w:val="00C00B59"/>
    <w:rsid w:val="00C00FC2"/>
    <w:rsid w:val="00C02471"/>
    <w:rsid w:val="00C04E88"/>
    <w:rsid w:val="00C11A03"/>
    <w:rsid w:val="00C14EC4"/>
    <w:rsid w:val="00C17B9D"/>
    <w:rsid w:val="00C21D15"/>
    <w:rsid w:val="00C22C0C"/>
    <w:rsid w:val="00C259BE"/>
    <w:rsid w:val="00C25CAF"/>
    <w:rsid w:val="00C2766D"/>
    <w:rsid w:val="00C35539"/>
    <w:rsid w:val="00C43DD2"/>
    <w:rsid w:val="00C44674"/>
    <w:rsid w:val="00C4527F"/>
    <w:rsid w:val="00C463DD"/>
    <w:rsid w:val="00C465BB"/>
    <w:rsid w:val="00C4724C"/>
    <w:rsid w:val="00C51AD6"/>
    <w:rsid w:val="00C548B7"/>
    <w:rsid w:val="00C55F19"/>
    <w:rsid w:val="00C55F50"/>
    <w:rsid w:val="00C566DB"/>
    <w:rsid w:val="00C56A00"/>
    <w:rsid w:val="00C60884"/>
    <w:rsid w:val="00C60D3B"/>
    <w:rsid w:val="00C625AD"/>
    <w:rsid w:val="00C629A0"/>
    <w:rsid w:val="00C62EBB"/>
    <w:rsid w:val="00C63A9D"/>
    <w:rsid w:val="00C64629"/>
    <w:rsid w:val="00C64CBC"/>
    <w:rsid w:val="00C66D32"/>
    <w:rsid w:val="00C711ED"/>
    <w:rsid w:val="00C745C3"/>
    <w:rsid w:val="00C75A4D"/>
    <w:rsid w:val="00C75D0C"/>
    <w:rsid w:val="00C82751"/>
    <w:rsid w:val="00C87EDE"/>
    <w:rsid w:val="00C91922"/>
    <w:rsid w:val="00C933EF"/>
    <w:rsid w:val="00C95303"/>
    <w:rsid w:val="00C96DF2"/>
    <w:rsid w:val="00C97150"/>
    <w:rsid w:val="00CA31C6"/>
    <w:rsid w:val="00CA6D93"/>
    <w:rsid w:val="00CA6F1E"/>
    <w:rsid w:val="00CA7D2A"/>
    <w:rsid w:val="00CB0F53"/>
    <w:rsid w:val="00CB1A0F"/>
    <w:rsid w:val="00CB1E48"/>
    <w:rsid w:val="00CB3E03"/>
    <w:rsid w:val="00CB63B8"/>
    <w:rsid w:val="00CB6EF7"/>
    <w:rsid w:val="00CC2893"/>
    <w:rsid w:val="00CC5BC3"/>
    <w:rsid w:val="00CC7C67"/>
    <w:rsid w:val="00CD1B04"/>
    <w:rsid w:val="00CD2052"/>
    <w:rsid w:val="00CD4AA6"/>
    <w:rsid w:val="00CD53F3"/>
    <w:rsid w:val="00CD6B94"/>
    <w:rsid w:val="00CD6BFA"/>
    <w:rsid w:val="00CE156F"/>
    <w:rsid w:val="00CE1E84"/>
    <w:rsid w:val="00CE37CD"/>
    <w:rsid w:val="00CE4A8F"/>
    <w:rsid w:val="00CE51BA"/>
    <w:rsid w:val="00CE6614"/>
    <w:rsid w:val="00CF1F51"/>
    <w:rsid w:val="00CF299F"/>
    <w:rsid w:val="00CF7F94"/>
    <w:rsid w:val="00D00EBF"/>
    <w:rsid w:val="00D02987"/>
    <w:rsid w:val="00D04C98"/>
    <w:rsid w:val="00D077D0"/>
    <w:rsid w:val="00D1175B"/>
    <w:rsid w:val="00D11F71"/>
    <w:rsid w:val="00D121DE"/>
    <w:rsid w:val="00D12F38"/>
    <w:rsid w:val="00D13D3B"/>
    <w:rsid w:val="00D2031B"/>
    <w:rsid w:val="00D21BAC"/>
    <w:rsid w:val="00D21DB9"/>
    <w:rsid w:val="00D248B6"/>
    <w:rsid w:val="00D25FE2"/>
    <w:rsid w:val="00D27692"/>
    <w:rsid w:val="00D27891"/>
    <w:rsid w:val="00D3022D"/>
    <w:rsid w:val="00D311B4"/>
    <w:rsid w:val="00D32264"/>
    <w:rsid w:val="00D329C1"/>
    <w:rsid w:val="00D35A18"/>
    <w:rsid w:val="00D37B31"/>
    <w:rsid w:val="00D37C72"/>
    <w:rsid w:val="00D4244C"/>
    <w:rsid w:val="00D43252"/>
    <w:rsid w:val="00D46113"/>
    <w:rsid w:val="00D46394"/>
    <w:rsid w:val="00D47EEA"/>
    <w:rsid w:val="00D500EA"/>
    <w:rsid w:val="00D518DF"/>
    <w:rsid w:val="00D52237"/>
    <w:rsid w:val="00D603FD"/>
    <w:rsid w:val="00D61562"/>
    <w:rsid w:val="00D61A5D"/>
    <w:rsid w:val="00D70D53"/>
    <w:rsid w:val="00D71300"/>
    <w:rsid w:val="00D74333"/>
    <w:rsid w:val="00D75E21"/>
    <w:rsid w:val="00D773DF"/>
    <w:rsid w:val="00D830D9"/>
    <w:rsid w:val="00D858D0"/>
    <w:rsid w:val="00D87BCE"/>
    <w:rsid w:val="00D902F4"/>
    <w:rsid w:val="00D92FF4"/>
    <w:rsid w:val="00D95303"/>
    <w:rsid w:val="00D963AC"/>
    <w:rsid w:val="00D978C6"/>
    <w:rsid w:val="00DA12A5"/>
    <w:rsid w:val="00DA1781"/>
    <w:rsid w:val="00DA1CBD"/>
    <w:rsid w:val="00DA3C1C"/>
    <w:rsid w:val="00DA5035"/>
    <w:rsid w:val="00DB12D7"/>
    <w:rsid w:val="00DB214F"/>
    <w:rsid w:val="00DB518F"/>
    <w:rsid w:val="00DB5C6F"/>
    <w:rsid w:val="00DB6987"/>
    <w:rsid w:val="00DC1C1D"/>
    <w:rsid w:val="00DC2717"/>
    <w:rsid w:val="00DC393A"/>
    <w:rsid w:val="00DC7544"/>
    <w:rsid w:val="00DD1088"/>
    <w:rsid w:val="00DD1AD4"/>
    <w:rsid w:val="00DD49D6"/>
    <w:rsid w:val="00DE4193"/>
    <w:rsid w:val="00DE6B06"/>
    <w:rsid w:val="00DE7029"/>
    <w:rsid w:val="00DE7DD1"/>
    <w:rsid w:val="00DF1827"/>
    <w:rsid w:val="00DF33EE"/>
    <w:rsid w:val="00DF3C28"/>
    <w:rsid w:val="00DF4D79"/>
    <w:rsid w:val="00DF4F7A"/>
    <w:rsid w:val="00DF5FF4"/>
    <w:rsid w:val="00DF6C26"/>
    <w:rsid w:val="00E0189C"/>
    <w:rsid w:val="00E038CD"/>
    <w:rsid w:val="00E039CB"/>
    <w:rsid w:val="00E046DF"/>
    <w:rsid w:val="00E0480A"/>
    <w:rsid w:val="00E164BE"/>
    <w:rsid w:val="00E2083E"/>
    <w:rsid w:val="00E20B22"/>
    <w:rsid w:val="00E214F0"/>
    <w:rsid w:val="00E223D3"/>
    <w:rsid w:val="00E22415"/>
    <w:rsid w:val="00E228DB"/>
    <w:rsid w:val="00E27346"/>
    <w:rsid w:val="00E27888"/>
    <w:rsid w:val="00E27B0C"/>
    <w:rsid w:val="00E37533"/>
    <w:rsid w:val="00E4210E"/>
    <w:rsid w:val="00E43BF2"/>
    <w:rsid w:val="00E5372B"/>
    <w:rsid w:val="00E55408"/>
    <w:rsid w:val="00E570EE"/>
    <w:rsid w:val="00E602B5"/>
    <w:rsid w:val="00E60869"/>
    <w:rsid w:val="00E60FE7"/>
    <w:rsid w:val="00E62E40"/>
    <w:rsid w:val="00E64CFF"/>
    <w:rsid w:val="00E65DC4"/>
    <w:rsid w:val="00E70BBC"/>
    <w:rsid w:val="00E70D09"/>
    <w:rsid w:val="00E71BC8"/>
    <w:rsid w:val="00E7260F"/>
    <w:rsid w:val="00E73F5D"/>
    <w:rsid w:val="00E75BBF"/>
    <w:rsid w:val="00E77E4E"/>
    <w:rsid w:val="00E811EC"/>
    <w:rsid w:val="00E83930"/>
    <w:rsid w:val="00E92145"/>
    <w:rsid w:val="00E94ED4"/>
    <w:rsid w:val="00E96630"/>
    <w:rsid w:val="00E97BAF"/>
    <w:rsid w:val="00EA1549"/>
    <w:rsid w:val="00EA3A7D"/>
    <w:rsid w:val="00EA3EFB"/>
    <w:rsid w:val="00EA3FC3"/>
    <w:rsid w:val="00EB0855"/>
    <w:rsid w:val="00EB09F5"/>
    <w:rsid w:val="00EB3696"/>
    <w:rsid w:val="00EB3B4B"/>
    <w:rsid w:val="00EC291F"/>
    <w:rsid w:val="00EC60D8"/>
    <w:rsid w:val="00EC737C"/>
    <w:rsid w:val="00ED1ECC"/>
    <w:rsid w:val="00ED2918"/>
    <w:rsid w:val="00ED7297"/>
    <w:rsid w:val="00ED7A2A"/>
    <w:rsid w:val="00EE105C"/>
    <w:rsid w:val="00EE5423"/>
    <w:rsid w:val="00EE5A98"/>
    <w:rsid w:val="00EE5EA4"/>
    <w:rsid w:val="00EF1D7F"/>
    <w:rsid w:val="00EF4C20"/>
    <w:rsid w:val="00EF64B3"/>
    <w:rsid w:val="00F001E2"/>
    <w:rsid w:val="00F00792"/>
    <w:rsid w:val="00F015F8"/>
    <w:rsid w:val="00F0171B"/>
    <w:rsid w:val="00F01A34"/>
    <w:rsid w:val="00F03CEF"/>
    <w:rsid w:val="00F12D83"/>
    <w:rsid w:val="00F13886"/>
    <w:rsid w:val="00F15436"/>
    <w:rsid w:val="00F2057B"/>
    <w:rsid w:val="00F20959"/>
    <w:rsid w:val="00F23D5B"/>
    <w:rsid w:val="00F259E5"/>
    <w:rsid w:val="00F31E5F"/>
    <w:rsid w:val="00F3308B"/>
    <w:rsid w:val="00F333A2"/>
    <w:rsid w:val="00F350BD"/>
    <w:rsid w:val="00F36F52"/>
    <w:rsid w:val="00F42032"/>
    <w:rsid w:val="00F46348"/>
    <w:rsid w:val="00F5116B"/>
    <w:rsid w:val="00F5186B"/>
    <w:rsid w:val="00F52C77"/>
    <w:rsid w:val="00F55403"/>
    <w:rsid w:val="00F6087B"/>
    <w:rsid w:val="00F6100A"/>
    <w:rsid w:val="00F62D92"/>
    <w:rsid w:val="00F66275"/>
    <w:rsid w:val="00F668FA"/>
    <w:rsid w:val="00F66C5E"/>
    <w:rsid w:val="00F71BEF"/>
    <w:rsid w:val="00F7208B"/>
    <w:rsid w:val="00F73520"/>
    <w:rsid w:val="00F73C19"/>
    <w:rsid w:val="00F75087"/>
    <w:rsid w:val="00F76A5C"/>
    <w:rsid w:val="00F8066F"/>
    <w:rsid w:val="00F83AA3"/>
    <w:rsid w:val="00F866D5"/>
    <w:rsid w:val="00F87036"/>
    <w:rsid w:val="00F9073B"/>
    <w:rsid w:val="00F93375"/>
    <w:rsid w:val="00F93781"/>
    <w:rsid w:val="00F93844"/>
    <w:rsid w:val="00F95073"/>
    <w:rsid w:val="00F95EDE"/>
    <w:rsid w:val="00FA1097"/>
    <w:rsid w:val="00FA2703"/>
    <w:rsid w:val="00FA2C1E"/>
    <w:rsid w:val="00FA7D6D"/>
    <w:rsid w:val="00FB014F"/>
    <w:rsid w:val="00FB22B2"/>
    <w:rsid w:val="00FB4929"/>
    <w:rsid w:val="00FB5590"/>
    <w:rsid w:val="00FB613B"/>
    <w:rsid w:val="00FC4248"/>
    <w:rsid w:val="00FC42E5"/>
    <w:rsid w:val="00FC5A83"/>
    <w:rsid w:val="00FC6205"/>
    <w:rsid w:val="00FC67FE"/>
    <w:rsid w:val="00FC68B7"/>
    <w:rsid w:val="00FD39C5"/>
    <w:rsid w:val="00FD3F98"/>
    <w:rsid w:val="00FD45B6"/>
    <w:rsid w:val="00FD67D2"/>
    <w:rsid w:val="00FE106A"/>
    <w:rsid w:val="00FE358A"/>
    <w:rsid w:val="00FE50DE"/>
    <w:rsid w:val="00FE746D"/>
    <w:rsid w:val="00FF145D"/>
    <w:rsid w:val="00FF436A"/>
    <w:rsid w:val="00FF500E"/>
    <w:rsid w:val="00FF7D0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41D37E"/>
  <w15:docId w15:val="{192DFEFD-36C3-41F9-9D3B-9440317AA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46F4"/>
    <w:pPr>
      <w:suppressAutoHyphens/>
      <w:spacing w:line="240" w:lineRule="atLeast"/>
    </w:pPr>
    <w:rPr>
      <w:lang w:eastAsia="en-US"/>
    </w:rPr>
  </w:style>
  <w:style w:type="paragraph" w:styleId="Heading1">
    <w:name w:val="heading 1"/>
    <w:aliases w:val="Table_G"/>
    <w:basedOn w:val="SingleTxtG"/>
    <w:next w:val="SingleTxtG"/>
    <w:qFormat/>
    <w:rsid w:val="000646F4"/>
    <w:pPr>
      <w:spacing w:after="0" w:line="240" w:lineRule="auto"/>
      <w:ind w:right="0"/>
      <w:jc w:val="left"/>
      <w:outlineLvl w:val="0"/>
    </w:pPr>
  </w:style>
  <w:style w:type="paragraph" w:styleId="Heading2">
    <w:name w:val="heading 2"/>
    <w:basedOn w:val="Normal"/>
    <w:next w:val="Normal"/>
    <w:link w:val="Heading2Char"/>
    <w:qFormat/>
    <w:rsid w:val="000646F4"/>
    <w:pPr>
      <w:spacing w:line="240" w:lineRule="auto"/>
      <w:outlineLvl w:val="1"/>
    </w:pPr>
  </w:style>
  <w:style w:type="paragraph" w:styleId="Heading3">
    <w:name w:val="heading 3"/>
    <w:basedOn w:val="Normal"/>
    <w:next w:val="Normal"/>
    <w:link w:val="Heading3Char"/>
    <w:qFormat/>
    <w:rsid w:val="000646F4"/>
    <w:pPr>
      <w:spacing w:line="240" w:lineRule="auto"/>
      <w:outlineLvl w:val="2"/>
    </w:pPr>
  </w:style>
  <w:style w:type="paragraph" w:styleId="Heading4">
    <w:name w:val="heading 4"/>
    <w:basedOn w:val="Normal"/>
    <w:next w:val="Normal"/>
    <w:link w:val="Heading4Char"/>
    <w:qFormat/>
    <w:rsid w:val="000646F4"/>
    <w:pPr>
      <w:spacing w:line="240" w:lineRule="auto"/>
      <w:outlineLvl w:val="3"/>
    </w:pPr>
  </w:style>
  <w:style w:type="paragraph" w:styleId="Heading5">
    <w:name w:val="heading 5"/>
    <w:basedOn w:val="Normal"/>
    <w:next w:val="Normal"/>
    <w:qFormat/>
    <w:rsid w:val="000646F4"/>
    <w:pPr>
      <w:spacing w:line="240" w:lineRule="auto"/>
      <w:outlineLvl w:val="4"/>
    </w:pPr>
  </w:style>
  <w:style w:type="paragraph" w:styleId="Heading6">
    <w:name w:val="heading 6"/>
    <w:basedOn w:val="Normal"/>
    <w:next w:val="Normal"/>
    <w:qFormat/>
    <w:rsid w:val="000646F4"/>
    <w:pPr>
      <w:spacing w:line="240" w:lineRule="auto"/>
      <w:outlineLvl w:val="5"/>
    </w:pPr>
  </w:style>
  <w:style w:type="paragraph" w:styleId="Heading7">
    <w:name w:val="heading 7"/>
    <w:basedOn w:val="Normal"/>
    <w:next w:val="Normal"/>
    <w:qFormat/>
    <w:rsid w:val="000646F4"/>
    <w:pPr>
      <w:spacing w:line="240" w:lineRule="auto"/>
      <w:outlineLvl w:val="6"/>
    </w:pPr>
  </w:style>
  <w:style w:type="paragraph" w:styleId="Heading8">
    <w:name w:val="heading 8"/>
    <w:basedOn w:val="Normal"/>
    <w:next w:val="Normal"/>
    <w:qFormat/>
    <w:rsid w:val="000646F4"/>
    <w:pPr>
      <w:spacing w:line="240" w:lineRule="auto"/>
      <w:outlineLvl w:val="7"/>
    </w:pPr>
  </w:style>
  <w:style w:type="paragraph" w:styleId="Heading9">
    <w:name w:val="heading 9"/>
    <w:basedOn w:val="Normal"/>
    <w:next w:val="Normal"/>
    <w:qFormat/>
    <w:rsid w:val="000646F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qFormat/>
    <w:rsid w:val="000646F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0646F4"/>
    <w:pPr>
      <w:keepNext/>
      <w:keepLines/>
      <w:tabs>
        <w:tab w:val="right" w:pos="851"/>
      </w:tabs>
      <w:spacing w:before="360" w:after="240" w:line="300" w:lineRule="exact"/>
      <w:ind w:left="1134" w:right="1134" w:hanging="1134"/>
    </w:pPr>
    <w:rPr>
      <w:b/>
      <w:sz w:val="28"/>
      <w:lang w:val="x-none"/>
    </w:rPr>
  </w:style>
  <w:style w:type="paragraph" w:styleId="BalloonText">
    <w:name w:val="Balloon Text"/>
    <w:basedOn w:val="Normal"/>
    <w:link w:val="BalloonTextChar"/>
    <w:rsid w:val="00816F53"/>
    <w:pPr>
      <w:spacing w:line="240" w:lineRule="auto"/>
    </w:pPr>
    <w:rPr>
      <w:rFonts w:ascii="Tahoma" w:hAnsi="Tahoma"/>
      <w:sz w:val="16"/>
      <w:szCs w:val="16"/>
    </w:rPr>
  </w:style>
  <w:style w:type="paragraph" w:customStyle="1" w:styleId="SingleTxtG">
    <w:name w:val="_ Single Txt_G"/>
    <w:basedOn w:val="Normal"/>
    <w:link w:val="SingleTxtGChar"/>
    <w:qFormat/>
    <w:rsid w:val="000646F4"/>
    <w:pPr>
      <w:spacing w:after="120"/>
      <w:ind w:left="1134" w:right="1134"/>
      <w:jc w:val="both"/>
    </w:pPr>
    <w:rPr>
      <w:lang w:val="x-none"/>
    </w:rPr>
  </w:style>
  <w:style w:type="character" w:styleId="PageNumber">
    <w:name w:val="page number"/>
    <w:aliases w:val="7_G"/>
    <w:rsid w:val="000646F4"/>
    <w:rPr>
      <w:rFonts w:ascii="Times New Roman" w:hAnsi="Times New Roman"/>
      <w:b/>
      <w:sz w:val="18"/>
    </w:rPr>
  </w:style>
  <w:style w:type="paragraph" w:styleId="PlainText">
    <w:name w:val="Plain Text"/>
    <w:basedOn w:val="Normal"/>
    <w:semiHidden/>
    <w:rPr>
      <w:rFonts w:cs="Courier New"/>
    </w:rPr>
  </w:style>
  <w:style w:type="paragraph" w:styleId="BodyText">
    <w:name w:val="Body Text"/>
    <w:basedOn w:val="Normal"/>
    <w:next w:val="Normal"/>
    <w:semiHidden/>
  </w:style>
  <w:style w:type="paragraph" w:styleId="BodyTextIndent">
    <w:name w:val="Body Text Indent"/>
    <w:basedOn w:val="Normal"/>
    <w:semiHidden/>
    <w:pPr>
      <w:spacing w:after="120"/>
      <w:ind w:left="283"/>
    </w:pPr>
  </w:style>
  <w:style w:type="paragraph" w:styleId="BlockText">
    <w:name w:val="Block Text"/>
    <w:basedOn w:val="Normal"/>
    <w:semiHidden/>
    <w:pPr>
      <w:ind w:left="1440" w:right="1440"/>
    </w:pPr>
  </w:style>
  <w:style w:type="paragraph" w:customStyle="1" w:styleId="SMG">
    <w:name w:val="__S_M_G"/>
    <w:basedOn w:val="Normal"/>
    <w:next w:val="Normal"/>
    <w:rsid w:val="000646F4"/>
    <w:pPr>
      <w:keepNext/>
      <w:keepLines/>
      <w:spacing w:before="240" w:after="240" w:line="420" w:lineRule="exact"/>
      <w:ind w:left="1134" w:right="1134"/>
    </w:pPr>
    <w:rPr>
      <w:b/>
      <w:sz w:val="40"/>
    </w:rPr>
  </w:style>
  <w:style w:type="paragraph" w:customStyle="1" w:styleId="SLG">
    <w:name w:val="__S_L_G"/>
    <w:basedOn w:val="Normal"/>
    <w:next w:val="Normal"/>
    <w:rsid w:val="000646F4"/>
    <w:pPr>
      <w:keepNext/>
      <w:keepLines/>
      <w:spacing w:before="240" w:after="240" w:line="580" w:lineRule="exact"/>
      <w:ind w:left="1134" w:right="1134"/>
    </w:pPr>
    <w:rPr>
      <w:b/>
      <w:sz w:val="56"/>
    </w:rPr>
  </w:style>
  <w:style w:type="paragraph" w:customStyle="1" w:styleId="SSG">
    <w:name w:val="__S_S_G"/>
    <w:basedOn w:val="Normal"/>
    <w:next w:val="Normal"/>
    <w:rsid w:val="000646F4"/>
    <w:pPr>
      <w:keepNext/>
      <w:keepLines/>
      <w:spacing w:before="240" w:after="240" w:line="300" w:lineRule="exact"/>
      <w:ind w:left="1134" w:right="1134"/>
    </w:pPr>
    <w:rPr>
      <w:b/>
      <w:sz w:val="28"/>
    </w:rPr>
  </w:style>
  <w:style w:type="character" w:styleId="EndnoteReference">
    <w:name w:val="endnote reference"/>
    <w:aliases w:val="1_G"/>
    <w:basedOn w:val="FootnoteReference"/>
    <w:rsid w:val="000646F4"/>
    <w:rPr>
      <w:rFonts w:ascii="Times New Roman" w:hAnsi="Times New Roman"/>
      <w:sz w:val="18"/>
      <w:vertAlign w:val="superscript"/>
    </w:rPr>
  </w:style>
  <w:style w:type="character" w:styleId="FootnoteReference">
    <w:name w:val="footnote reference"/>
    <w:aliases w:val="4_G,Footnote Reference/,4_GR"/>
    <w:qFormat/>
    <w:rsid w:val="000646F4"/>
    <w:rPr>
      <w:rFonts w:ascii="Times New Roman" w:hAnsi="Times New Roman"/>
      <w:sz w:val="18"/>
      <w:vertAlign w:val="superscript"/>
    </w:rPr>
  </w:style>
  <w:style w:type="paragraph" w:styleId="FootnoteText">
    <w:name w:val="footnote text"/>
    <w:aliases w:val="5_G,5_GR"/>
    <w:basedOn w:val="Normal"/>
    <w:link w:val="FootnoteTextChar"/>
    <w:qFormat/>
    <w:rsid w:val="000646F4"/>
    <w:pPr>
      <w:tabs>
        <w:tab w:val="right" w:pos="1021"/>
      </w:tabs>
      <w:spacing w:line="220" w:lineRule="exact"/>
      <w:ind w:left="1134" w:right="1134" w:hanging="1134"/>
    </w:pPr>
    <w:rPr>
      <w:sz w:val="18"/>
    </w:rPr>
  </w:style>
  <w:style w:type="paragraph" w:customStyle="1" w:styleId="XLargeG">
    <w:name w:val="__XLarge_G"/>
    <w:basedOn w:val="Normal"/>
    <w:next w:val="Normal"/>
    <w:rsid w:val="000646F4"/>
    <w:pPr>
      <w:keepNext/>
      <w:keepLines/>
      <w:spacing w:before="240" w:after="240" w:line="420" w:lineRule="exact"/>
      <w:ind w:left="1134" w:right="1134"/>
    </w:pPr>
    <w:rPr>
      <w:b/>
      <w:sz w:val="40"/>
    </w:rPr>
  </w:style>
  <w:style w:type="paragraph" w:customStyle="1" w:styleId="Bullet1G">
    <w:name w:val="_Bullet 1_G"/>
    <w:basedOn w:val="Normal"/>
    <w:rsid w:val="000646F4"/>
    <w:pPr>
      <w:numPr>
        <w:numId w:val="14"/>
      </w:numPr>
      <w:spacing w:after="120"/>
      <w:ind w:right="1134"/>
      <w:jc w:val="both"/>
    </w:pPr>
  </w:style>
  <w:style w:type="paragraph" w:styleId="EndnoteText">
    <w:name w:val="endnote text"/>
    <w:aliases w:val="2_G"/>
    <w:basedOn w:val="FootnoteText"/>
    <w:rsid w:val="000646F4"/>
  </w:style>
  <w:style w:type="character" w:styleId="CommentReference">
    <w:name w:val="annotation reference"/>
    <w:semiHidden/>
    <w:rPr>
      <w:sz w:val="6"/>
    </w:rPr>
  </w:style>
  <w:style w:type="paragraph" w:styleId="CommentText">
    <w:name w:val="annotation text"/>
    <w:basedOn w:val="Normal"/>
    <w:link w:val="CommentTextChar"/>
    <w:semiHidden/>
  </w:style>
  <w:style w:type="character" w:styleId="LineNumber">
    <w:name w:val="line number"/>
    <w:semiHidden/>
    <w:rPr>
      <w:sz w:val="14"/>
    </w:rPr>
  </w:style>
  <w:style w:type="paragraph" w:customStyle="1" w:styleId="Bullet2G">
    <w:name w:val="_Bullet 2_G"/>
    <w:basedOn w:val="Normal"/>
    <w:rsid w:val="000646F4"/>
    <w:pPr>
      <w:numPr>
        <w:numId w:val="15"/>
      </w:numPr>
      <w:spacing w:after="120"/>
      <w:ind w:right="1134"/>
      <w:jc w:val="both"/>
    </w:pPr>
  </w:style>
  <w:style w:type="paragraph" w:customStyle="1" w:styleId="H1G">
    <w:name w:val="_ H_1_G"/>
    <w:basedOn w:val="Normal"/>
    <w:next w:val="Normal"/>
    <w:link w:val="H1GChar"/>
    <w:qFormat/>
    <w:rsid w:val="000646F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link w:val="H23GChar"/>
    <w:qFormat/>
    <w:rsid w:val="000646F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0646F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0646F4"/>
    <w:pPr>
      <w:keepNext/>
      <w:keepLines/>
      <w:tabs>
        <w:tab w:val="right" w:pos="851"/>
      </w:tabs>
      <w:spacing w:before="240" w:after="120" w:line="240" w:lineRule="exact"/>
      <w:ind w:left="1134" w:right="1134" w:hanging="1134"/>
    </w:pPr>
  </w:style>
  <w:style w:type="numbering" w:styleId="111111">
    <w:name w:val="Outline List 2"/>
    <w:basedOn w:val="NoList"/>
    <w:semiHidden/>
    <w:rsid w:val="008A6C4F"/>
    <w:pPr>
      <w:numPr>
        <w:numId w:val="11"/>
      </w:numPr>
    </w:pPr>
  </w:style>
  <w:style w:type="numbering" w:styleId="1ai">
    <w:name w:val="Outline List 1"/>
    <w:basedOn w:val="NoList"/>
    <w:semiHidden/>
    <w:rsid w:val="008A6C4F"/>
    <w:pPr>
      <w:numPr>
        <w:numId w:val="12"/>
      </w:numPr>
    </w:pPr>
  </w:style>
  <w:style w:type="numbering" w:styleId="ArticleSection">
    <w:name w:val="Outline List 3"/>
    <w:basedOn w:val="NoList"/>
    <w:semiHidden/>
    <w:rsid w:val="008A6C4F"/>
    <w:pPr>
      <w:numPr>
        <w:numId w:val="13"/>
      </w:numPr>
    </w:pPr>
  </w:style>
  <w:style w:type="paragraph" w:styleId="BodyText2">
    <w:name w:val="Body Text 2"/>
    <w:basedOn w:val="Normal"/>
    <w:semiHidden/>
    <w:rsid w:val="008A6C4F"/>
    <w:pPr>
      <w:spacing w:after="120" w:line="480" w:lineRule="auto"/>
    </w:pPr>
  </w:style>
  <w:style w:type="paragraph" w:styleId="BodyText3">
    <w:name w:val="Body Text 3"/>
    <w:basedOn w:val="Normal"/>
    <w:semiHidden/>
    <w:rsid w:val="008A6C4F"/>
    <w:pPr>
      <w:spacing w:after="120"/>
    </w:pPr>
    <w:rPr>
      <w:sz w:val="16"/>
      <w:szCs w:val="16"/>
    </w:rPr>
  </w:style>
  <w:style w:type="paragraph" w:styleId="BodyTextFirstIndent">
    <w:name w:val="Body Text First Indent"/>
    <w:basedOn w:val="BodyText"/>
    <w:semiHidden/>
    <w:rsid w:val="008A6C4F"/>
    <w:pPr>
      <w:spacing w:after="120"/>
      <w:ind w:firstLine="210"/>
    </w:pPr>
  </w:style>
  <w:style w:type="paragraph" w:styleId="BodyTextFirstIndent2">
    <w:name w:val="Body Text First Indent 2"/>
    <w:basedOn w:val="BodyTextIndent"/>
    <w:semiHidden/>
    <w:rsid w:val="008A6C4F"/>
    <w:pPr>
      <w:ind w:firstLine="210"/>
    </w:pPr>
  </w:style>
  <w:style w:type="paragraph" w:styleId="BodyTextIndent2">
    <w:name w:val="Body Text Indent 2"/>
    <w:basedOn w:val="Normal"/>
    <w:semiHidden/>
    <w:rsid w:val="008A6C4F"/>
    <w:pPr>
      <w:spacing w:after="120" w:line="480" w:lineRule="auto"/>
      <w:ind w:left="283"/>
    </w:pPr>
  </w:style>
  <w:style w:type="paragraph" w:styleId="BodyTextIndent3">
    <w:name w:val="Body Text Indent 3"/>
    <w:basedOn w:val="Normal"/>
    <w:semiHidden/>
    <w:rsid w:val="008A6C4F"/>
    <w:pPr>
      <w:spacing w:after="120"/>
      <w:ind w:left="283"/>
    </w:pPr>
    <w:rPr>
      <w:sz w:val="16"/>
      <w:szCs w:val="16"/>
    </w:rPr>
  </w:style>
  <w:style w:type="paragraph" w:styleId="Closing">
    <w:name w:val="Closing"/>
    <w:basedOn w:val="Normal"/>
    <w:semiHidden/>
    <w:rsid w:val="008A6C4F"/>
    <w:pPr>
      <w:ind w:left="4252"/>
    </w:pPr>
  </w:style>
  <w:style w:type="paragraph" w:styleId="Date">
    <w:name w:val="Date"/>
    <w:basedOn w:val="Normal"/>
    <w:next w:val="Normal"/>
    <w:semiHidden/>
    <w:rsid w:val="008A6C4F"/>
  </w:style>
  <w:style w:type="paragraph" w:styleId="E-mailSignature">
    <w:name w:val="E-mail Signature"/>
    <w:basedOn w:val="Normal"/>
    <w:semiHidden/>
    <w:rsid w:val="008A6C4F"/>
  </w:style>
  <w:style w:type="character" w:styleId="Emphasis">
    <w:name w:val="Emphasis"/>
    <w:qFormat/>
    <w:rsid w:val="008A6C4F"/>
    <w:rPr>
      <w:i/>
      <w:iCs/>
    </w:rPr>
  </w:style>
  <w:style w:type="paragraph" w:styleId="EnvelopeReturn">
    <w:name w:val="envelope return"/>
    <w:basedOn w:val="Normal"/>
    <w:semiHidden/>
    <w:rsid w:val="008A6C4F"/>
    <w:rPr>
      <w:rFonts w:ascii="Arial" w:hAnsi="Arial" w:cs="Arial"/>
    </w:rPr>
  </w:style>
  <w:style w:type="character" w:styleId="FollowedHyperlink">
    <w:name w:val="FollowedHyperlink"/>
    <w:semiHidden/>
    <w:rsid w:val="000646F4"/>
    <w:rPr>
      <w:color w:val="auto"/>
      <w:u w:val="none"/>
    </w:rPr>
  </w:style>
  <w:style w:type="character" w:styleId="HTMLAcronym">
    <w:name w:val="HTML Acronym"/>
    <w:basedOn w:val="DefaultParagraphFont"/>
    <w:semiHidden/>
    <w:rsid w:val="008A6C4F"/>
  </w:style>
  <w:style w:type="paragraph" w:styleId="HTMLAddress">
    <w:name w:val="HTML Address"/>
    <w:basedOn w:val="Normal"/>
    <w:semiHidden/>
    <w:rsid w:val="008A6C4F"/>
    <w:rPr>
      <w:i/>
      <w:iCs/>
    </w:rPr>
  </w:style>
  <w:style w:type="character" w:styleId="HTMLCite">
    <w:name w:val="HTML Cite"/>
    <w:semiHidden/>
    <w:rsid w:val="008A6C4F"/>
    <w:rPr>
      <w:i/>
      <w:iCs/>
    </w:rPr>
  </w:style>
  <w:style w:type="character" w:styleId="HTMLCode">
    <w:name w:val="HTML Code"/>
    <w:semiHidden/>
    <w:rsid w:val="008A6C4F"/>
    <w:rPr>
      <w:rFonts w:ascii="Courier New" w:hAnsi="Courier New" w:cs="Courier New"/>
      <w:sz w:val="20"/>
      <w:szCs w:val="20"/>
    </w:rPr>
  </w:style>
  <w:style w:type="character" w:styleId="HTMLDefinition">
    <w:name w:val="HTML Definition"/>
    <w:semiHidden/>
    <w:rsid w:val="008A6C4F"/>
    <w:rPr>
      <w:i/>
      <w:iCs/>
    </w:rPr>
  </w:style>
  <w:style w:type="character" w:styleId="HTMLKeyboard">
    <w:name w:val="HTML Keyboard"/>
    <w:semiHidden/>
    <w:rsid w:val="008A6C4F"/>
    <w:rPr>
      <w:rFonts w:ascii="Courier New" w:hAnsi="Courier New" w:cs="Courier New"/>
      <w:sz w:val="20"/>
      <w:szCs w:val="20"/>
    </w:rPr>
  </w:style>
  <w:style w:type="paragraph" w:styleId="HTMLPreformatted">
    <w:name w:val="HTML Preformatted"/>
    <w:basedOn w:val="Normal"/>
    <w:semiHidden/>
    <w:rsid w:val="008A6C4F"/>
    <w:rPr>
      <w:rFonts w:ascii="Courier New" w:hAnsi="Courier New" w:cs="Courier New"/>
    </w:rPr>
  </w:style>
  <w:style w:type="character" w:styleId="HTMLSample">
    <w:name w:val="HTML Sample"/>
    <w:semiHidden/>
    <w:rsid w:val="008A6C4F"/>
    <w:rPr>
      <w:rFonts w:ascii="Courier New" w:hAnsi="Courier New" w:cs="Courier New"/>
    </w:rPr>
  </w:style>
  <w:style w:type="character" w:styleId="HTMLTypewriter">
    <w:name w:val="HTML Typewriter"/>
    <w:semiHidden/>
    <w:rsid w:val="008A6C4F"/>
    <w:rPr>
      <w:rFonts w:ascii="Courier New" w:hAnsi="Courier New" w:cs="Courier New"/>
      <w:sz w:val="20"/>
      <w:szCs w:val="20"/>
    </w:rPr>
  </w:style>
  <w:style w:type="character" w:styleId="HTMLVariable">
    <w:name w:val="HTML Variable"/>
    <w:semiHidden/>
    <w:rsid w:val="008A6C4F"/>
    <w:rPr>
      <w:i/>
      <w:iCs/>
    </w:rPr>
  </w:style>
  <w:style w:type="character" w:styleId="Hyperlink">
    <w:name w:val="Hyperlink"/>
    <w:rsid w:val="000646F4"/>
    <w:rPr>
      <w:color w:val="auto"/>
      <w:u w:val="none"/>
    </w:rPr>
  </w:style>
  <w:style w:type="paragraph" w:styleId="List">
    <w:name w:val="List"/>
    <w:basedOn w:val="Normal"/>
    <w:semiHidden/>
    <w:rsid w:val="008A6C4F"/>
    <w:pPr>
      <w:ind w:left="283" w:hanging="283"/>
    </w:pPr>
  </w:style>
  <w:style w:type="paragraph" w:styleId="List2">
    <w:name w:val="List 2"/>
    <w:basedOn w:val="Normal"/>
    <w:semiHidden/>
    <w:rsid w:val="008A6C4F"/>
    <w:pPr>
      <w:ind w:left="566" w:hanging="283"/>
    </w:pPr>
  </w:style>
  <w:style w:type="paragraph" w:styleId="List3">
    <w:name w:val="List 3"/>
    <w:basedOn w:val="Normal"/>
    <w:semiHidden/>
    <w:rsid w:val="008A6C4F"/>
    <w:pPr>
      <w:ind w:left="849" w:hanging="283"/>
    </w:pPr>
  </w:style>
  <w:style w:type="paragraph" w:styleId="List4">
    <w:name w:val="List 4"/>
    <w:basedOn w:val="Normal"/>
    <w:semiHidden/>
    <w:rsid w:val="008A6C4F"/>
    <w:pPr>
      <w:ind w:left="1132" w:hanging="283"/>
    </w:pPr>
  </w:style>
  <w:style w:type="paragraph" w:styleId="List5">
    <w:name w:val="List 5"/>
    <w:basedOn w:val="Normal"/>
    <w:semiHidden/>
    <w:rsid w:val="008A6C4F"/>
    <w:pPr>
      <w:ind w:left="1415" w:hanging="283"/>
    </w:pPr>
  </w:style>
  <w:style w:type="paragraph" w:styleId="ListBullet">
    <w:name w:val="List Bullet"/>
    <w:basedOn w:val="Normal"/>
    <w:semiHidden/>
    <w:rsid w:val="008A6C4F"/>
    <w:pPr>
      <w:numPr>
        <w:numId w:val="6"/>
      </w:numPr>
    </w:pPr>
  </w:style>
  <w:style w:type="paragraph" w:styleId="ListBullet2">
    <w:name w:val="List Bullet 2"/>
    <w:basedOn w:val="Normal"/>
    <w:semiHidden/>
    <w:rsid w:val="008A6C4F"/>
    <w:pPr>
      <w:numPr>
        <w:numId w:val="7"/>
      </w:numPr>
    </w:pPr>
  </w:style>
  <w:style w:type="paragraph" w:styleId="ListBullet3">
    <w:name w:val="List Bullet 3"/>
    <w:basedOn w:val="Normal"/>
    <w:semiHidden/>
    <w:rsid w:val="008A6C4F"/>
    <w:pPr>
      <w:numPr>
        <w:numId w:val="8"/>
      </w:numPr>
    </w:pPr>
  </w:style>
  <w:style w:type="paragraph" w:styleId="ListBullet4">
    <w:name w:val="List Bullet 4"/>
    <w:basedOn w:val="Normal"/>
    <w:semiHidden/>
    <w:rsid w:val="008A6C4F"/>
    <w:pPr>
      <w:numPr>
        <w:numId w:val="9"/>
      </w:numPr>
    </w:pPr>
  </w:style>
  <w:style w:type="paragraph" w:styleId="ListBullet5">
    <w:name w:val="List Bullet 5"/>
    <w:basedOn w:val="Normal"/>
    <w:semiHidden/>
    <w:rsid w:val="008A6C4F"/>
    <w:pPr>
      <w:numPr>
        <w:numId w:val="10"/>
      </w:numPr>
    </w:pPr>
  </w:style>
  <w:style w:type="paragraph" w:styleId="ListContinue">
    <w:name w:val="List Continue"/>
    <w:basedOn w:val="Normal"/>
    <w:semiHidden/>
    <w:rsid w:val="008A6C4F"/>
    <w:pPr>
      <w:spacing w:after="120"/>
      <w:ind w:left="283"/>
    </w:pPr>
  </w:style>
  <w:style w:type="paragraph" w:styleId="ListContinue2">
    <w:name w:val="List Continue 2"/>
    <w:basedOn w:val="Normal"/>
    <w:semiHidden/>
    <w:rsid w:val="008A6C4F"/>
    <w:pPr>
      <w:spacing w:after="120"/>
      <w:ind w:left="566"/>
    </w:pPr>
  </w:style>
  <w:style w:type="paragraph" w:styleId="ListContinue3">
    <w:name w:val="List Continue 3"/>
    <w:basedOn w:val="Normal"/>
    <w:semiHidden/>
    <w:rsid w:val="008A6C4F"/>
    <w:pPr>
      <w:spacing w:after="120"/>
      <w:ind w:left="849"/>
    </w:pPr>
  </w:style>
  <w:style w:type="paragraph" w:styleId="ListContinue4">
    <w:name w:val="List Continue 4"/>
    <w:basedOn w:val="Normal"/>
    <w:semiHidden/>
    <w:rsid w:val="008A6C4F"/>
    <w:pPr>
      <w:spacing w:after="120"/>
      <w:ind w:left="1132"/>
    </w:pPr>
  </w:style>
  <w:style w:type="paragraph" w:styleId="ListContinue5">
    <w:name w:val="List Continue 5"/>
    <w:basedOn w:val="Normal"/>
    <w:semiHidden/>
    <w:rsid w:val="008A6C4F"/>
    <w:pPr>
      <w:spacing w:after="120"/>
      <w:ind w:left="1415"/>
    </w:pPr>
  </w:style>
  <w:style w:type="paragraph" w:styleId="ListNumber">
    <w:name w:val="List Number"/>
    <w:basedOn w:val="Normal"/>
    <w:semiHidden/>
    <w:rsid w:val="008A6C4F"/>
    <w:pPr>
      <w:numPr>
        <w:numId w:val="5"/>
      </w:numPr>
    </w:pPr>
  </w:style>
  <w:style w:type="paragraph" w:styleId="ListNumber2">
    <w:name w:val="List Number 2"/>
    <w:basedOn w:val="Normal"/>
    <w:semiHidden/>
    <w:rsid w:val="008A6C4F"/>
    <w:pPr>
      <w:numPr>
        <w:numId w:val="4"/>
      </w:numPr>
    </w:pPr>
  </w:style>
  <w:style w:type="paragraph" w:styleId="ListNumber3">
    <w:name w:val="List Number 3"/>
    <w:basedOn w:val="Normal"/>
    <w:semiHidden/>
    <w:rsid w:val="008A6C4F"/>
    <w:pPr>
      <w:numPr>
        <w:numId w:val="3"/>
      </w:numPr>
    </w:pPr>
  </w:style>
  <w:style w:type="paragraph" w:styleId="ListNumber4">
    <w:name w:val="List Number 4"/>
    <w:basedOn w:val="Normal"/>
    <w:semiHidden/>
    <w:rsid w:val="008A6C4F"/>
    <w:pPr>
      <w:numPr>
        <w:numId w:val="1"/>
      </w:numPr>
    </w:pPr>
  </w:style>
  <w:style w:type="paragraph" w:styleId="ListNumber5">
    <w:name w:val="List Number 5"/>
    <w:basedOn w:val="Normal"/>
    <w:semiHidden/>
    <w:rsid w:val="008A6C4F"/>
    <w:pPr>
      <w:numPr>
        <w:numId w:val="2"/>
      </w:numPr>
    </w:pPr>
  </w:style>
  <w:style w:type="paragraph" w:styleId="MessageHeader">
    <w:name w:val="Message Header"/>
    <w:basedOn w:val="Normal"/>
    <w:semiHidden/>
    <w:rsid w:val="008A6C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rsid w:val="008A6C4F"/>
    <w:rPr>
      <w:sz w:val="24"/>
      <w:szCs w:val="24"/>
    </w:rPr>
  </w:style>
  <w:style w:type="paragraph" w:styleId="NormalIndent">
    <w:name w:val="Normal Indent"/>
    <w:basedOn w:val="Normal"/>
    <w:semiHidden/>
    <w:rsid w:val="008A6C4F"/>
    <w:pPr>
      <w:ind w:left="567"/>
    </w:pPr>
  </w:style>
  <w:style w:type="paragraph" w:styleId="NoteHeading">
    <w:name w:val="Note Heading"/>
    <w:basedOn w:val="Normal"/>
    <w:next w:val="Normal"/>
    <w:semiHidden/>
    <w:rsid w:val="008A6C4F"/>
  </w:style>
  <w:style w:type="paragraph" w:styleId="Salutation">
    <w:name w:val="Salutation"/>
    <w:basedOn w:val="Normal"/>
    <w:next w:val="Normal"/>
    <w:semiHidden/>
    <w:rsid w:val="008A6C4F"/>
  </w:style>
  <w:style w:type="paragraph" w:styleId="Signature">
    <w:name w:val="Signature"/>
    <w:basedOn w:val="Normal"/>
    <w:semiHidden/>
    <w:rsid w:val="008A6C4F"/>
    <w:pPr>
      <w:ind w:left="4252"/>
    </w:pPr>
  </w:style>
  <w:style w:type="character" w:styleId="Strong">
    <w:name w:val="Strong"/>
    <w:uiPriority w:val="22"/>
    <w:qFormat/>
    <w:rsid w:val="008A6C4F"/>
    <w:rPr>
      <w:b/>
      <w:bCs/>
    </w:rPr>
  </w:style>
  <w:style w:type="paragraph" w:styleId="Subtitle">
    <w:name w:val="Subtitle"/>
    <w:basedOn w:val="Normal"/>
    <w:qFormat/>
    <w:rsid w:val="008A6C4F"/>
    <w:pPr>
      <w:spacing w:after="60"/>
      <w:jc w:val="center"/>
      <w:outlineLvl w:val="1"/>
    </w:pPr>
    <w:rPr>
      <w:rFonts w:ascii="Arial" w:hAnsi="Arial" w:cs="Arial"/>
      <w:sz w:val="24"/>
      <w:szCs w:val="24"/>
    </w:rPr>
  </w:style>
  <w:style w:type="table" w:styleId="Table3Deffects1">
    <w:name w:val="Table 3D effects 1"/>
    <w:basedOn w:val="TableNormal"/>
    <w:semiHidden/>
    <w:rsid w:val="008A6C4F"/>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8A6C4F"/>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8A6C4F"/>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A6C4F"/>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A6C4F"/>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A6C4F"/>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A6C4F"/>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A6C4F"/>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8A6C4F"/>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A6C4F"/>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A6C4F"/>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A6C4F"/>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A6C4F"/>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8A6C4F"/>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A6C4F"/>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46F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1">
    <w:name w:val="Table Grid 1"/>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A6C4F"/>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A6C4F"/>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A6C4F"/>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A6C4F"/>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A6C4F"/>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8A6C4F"/>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A6C4F"/>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A6C4F"/>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A6C4F"/>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8A6C4F"/>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A6C4F"/>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8A6C4F"/>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A6C4F"/>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8A6C4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8A6C4F"/>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A6C4F"/>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A6C4F"/>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8A6C4F"/>
    <w:pPr>
      <w:spacing w:before="240" w:after="60"/>
      <w:jc w:val="center"/>
      <w:outlineLvl w:val="0"/>
    </w:pPr>
    <w:rPr>
      <w:rFonts w:ascii="Arial" w:hAnsi="Arial" w:cs="Arial"/>
      <w:b/>
      <w:bCs/>
      <w:kern w:val="28"/>
      <w:sz w:val="32"/>
      <w:szCs w:val="32"/>
    </w:rPr>
  </w:style>
  <w:style w:type="paragraph" w:styleId="EnvelopeAddress">
    <w:name w:val="envelope address"/>
    <w:basedOn w:val="Normal"/>
    <w:semiHidden/>
    <w:rsid w:val="008A6C4F"/>
    <w:pPr>
      <w:framePr w:w="7920" w:h="1980" w:hRule="exact" w:hSpace="180" w:wrap="auto" w:hAnchor="page" w:xAlign="center" w:yAlign="bottom"/>
      <w:ind w:left="2880"/>
    </w:pPr>
    <w:rPr>
      <w:rFonts w:ascii="Arial" w:hAnsi="Arial" w:cs="Arial"/>
      <w:sz w:val="24"/>
      <w:szCs w:val="24"/>
    </w:rPr>
  </w:style>
  <w:style w:type="paragraph" w:styleId="Footer">
    <w:name w:val="footer"/>
    <w:aliases w:val="3_G"/>
    <w:basedOn w:val="Normal"/>
    <w:link w:val="FooterChar"/>
    <w:uiPriority w:val="99"/>
    <w:rsid w:val="000646F4"/>
    <w:pPr>
      <w:spacing w:line="240" w:lineRule="auto"/>
    </w:pPr>
    <w:rPr>
      <w:sz w:val="16"/>
    </w:rPr>
  </w:style>
  <w:style w:type="paragraph" w:styleId="Header">
    <w:name w:val="header"/>
    <w:aliases w:val="6_G"/>
    <w:basedOn w:val="Normal"/>
    <w:link w:val="HeaderChar"/>
    <w:rsid w:val="000646F4"/>
    <w:pPr>
      <w:pBdr>
        <w:bottom w:val="single" w:sz="4" w:space="4" w:color="auto"/>
      </w:pBdr>
      <w:spacing w:line="240" w:lineRule="auto"/>
    </w:pPr>
    <w:rPr>
      <w:b/>
      <w:sz w:val="18"/>
    </w:rPr>
  </w:style>
  <w:style w:type="character" w:customStyle="1" w:styleId="BalloonTextChar">
    <w:name w:val="Balloon Text Char"/>
    <w:link w:val="BalloonText"/>
    <w:rsid w:val="00816F53"/>
    <w:rPr>
      <w:rFonts w:ascii="Tahoma" w:hAnsi="Tahoma" w:cs="Tahoma"/>
      <w:sz w:val="16"/>
      <w:szCs w:val="16"/>
      <w:lang w:val="en-GB" w:eastAsia="en-US"/>
    </w:rPr>
  </w:style>
  <w:style w:type="character" w:customStyle="1" w:styleId="SingleTxtGChar">
    <w:name w:val="_ Single Txt_G Char"/>
    <w:link w:val="SingleTxtG"/>
    <w:qFormat/>
    <w:rsid w:val="00271AEC"/>
    <w:rPr>
      <w:lang w:eastAsia="en-US"/>
    </w:rPr>
  </w:style>
  <w:style w:type="character" w:customStyle="1" w:styleId="HChGChar">
    <w:name w:val="_ H _Ch_G Char"/>
    <w:link w:val="HChG"/>
    <w:rsid w:val="00617E96"/>
    <w:rPr>
      <w:b/>
      <w:sz w:val="28"/>
      <w:lang w:eastAsia="en-US"/>
    </w:rPr>
  </w:style>
  <w:style w:type="character" w:customStyle="1" w:styleId="SingleTxtGCar">
    <w:name w:val="_ Single Txt_G Car"/>
    <w:rsid w:val="00914B7C"/>
    <w:rPr>
      <w:lang w:val="en-GB" w:eastAsia="en-US"/>
    </w:rPr>
  </w:style>
  <w:style w:type="paragraph" w:customStyle="1" w:styleId="Default">
    <w:name w:val="Default"/>
    <w:rsid w:val="003C7018"/>
    <w:pPr>
      <w:autoSpaceDE w:val="0"/>
      <w:autoSpaceDN w:val="0"/>
      <w:adjustRightInd w:val="0"/>
    </w:pPr>
    <w:rPr>
      <w:color w:val="000000"/>
      <w:sz w:val="24"/>
      <w:szCs w:val="24"/>
      <w:lang w:val="fr-FR" w:eastAsia="fr-FR"/>
    </w:rPr>
  </w:style>
  <w:style w:type="character" w:customStyle="1" w:styleId="UnresolvedMention1">
    <w:name w:val="Unresolved Mention1"/>
    <w:basedOn w:val="DefaultParagraphFont"/>
    <w:uiPriority w:val="99"/>
    <w:semiHidden/>
    <w:unhideWhenUsed/>
    <w:rsid w:val="0013299E"/>
    <w:rPr>
      <w:color w:val="808080"/>
      <w:shd w:val="clear" w:color="auto" w:fill="E6E6E6"/>
    </w:rPr>
  </w:style>
  <w:style w:type="table" w:customStyle="1" w:styleId="TableGrid10">
    <w:name w:val="Table Grid1"/>
    <w:basedOn w:val="TableNormal"/>
    <w:next w:val="TableGrid"/>
    <w:rsid w:val="00943DE2"/>
    <w:pPr>
      <w:suppressAutoHyphens/>
      <w:spacing w:line="240" w:lineRule="atLeast"/>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CommentTextChar">
    <w:name w:val="Comment Text Char"/>
    <w:basedOn w:val="DefaultParagraphFont"/>
    <w:link w:val="CommentText"/>
    <w:semiHidden/>
    <w:rsid w:val="00A41D9D"/>
    <w:rPr>
      <w:lang w:eastAsia="en-US"/>
    </w:rPr>
  </w:style>
  <w:style w:type="character" w:styleId="UnresolvedMention">
    <w:name w:val="Unresolved Mention"/>
    <w:basedOn w:val="DefaultParagraphFont"/>
    <w:uiPriority w:val="99"/>
    <w:semiHidden/>
    <w:unhideWhenUsed/>
    <w:rsid w:val="00595BEC"/>
    <w:rPr>
      <w:color w:val="605E5C"/>
      <w:shd w:val="clear" w:color="auto" w:fill="E1DFDD"/>
    </w:rPr>
  </w:style>
  <w:style w:type="paragraph" w:styleId="ListParagraph">
    <w:name w:val="List Paragraph"/>
    <w:basedOn w:val="Normal"/>
    <w:uiPriority w:val="34"/>
    <w:qFormat/>
    <w:rsid w:val="002D0CAD"/>
    <w:pPr>
      <w:ind w:left="720"/>
      <w:contextualSpacing/>
    </w:pPr>
  </w:style>
  <w:style w:type="paragraph" w:styleId="Revision">
    <w:name w:val="Revision"/>
    <w:hidden/>
    <w:uiPriority w:val="99"/>
    <w:semiHidden/>
    <w:rsid w:val="00530714"/>
    <w:rPr>
      <w:lang w:eastAsia="en-US"/>
    </w:rPr>
  </w:style>
  <w:style w:type="paragraph" w:styleId="CommentSubject">
    <w:name w:val="annotation subject"/>
    <w:basedOn w:val="CommentText"/>
    <w:next w:val="CommentText"/>
    <w:link w:val="CommentSubjectChar"/>
    <w:semiHidden/>
    <w:unhideWhenUsed/>
    <w:rsid w:val="00BF1786"/>
    <w:pPr>
      <w:spacing w:line="240" w:lineRule="auto"/>
    </w:pPr>
    <w:rPr>
      <w:b/>
      <w:bCs/>
    </w:rPr>
  </w:style>
  <w:style w:type="character" w:customStyle="1" w:styleId="CommentSubjectChar">
    <w:name w:val="Comment Subject Char"/>
    <w:basedOn w:val="CommentTextChar"/>
    <w:link w:val="CommentSubject"/>
    <w:semiHidden/>
    <w:rsid w:val="00BF1786"/>
    <w:rPr>
      <w:b/>
      <w:bCs/>
      <w:lang w:eastAsia="en-US"/>
    </w:rPr>
  </w:style>
  <w:style w:type="table" w:customStyle="1" w:styleId="TableGrid20">
    <w:name w:val="Table Grid2"/>
    <w:basedOn w:val="TableNormal"/>
    <w:next w:val="TableGrid"/>
    <w:uiPriority w:val="39"/>
    <w:rsid w:val="000E79DA"/>
    <w:pPr>
      <w:widowControl w:val="0"/>
      <w:autoSpaceDE w:val="0"/>
      <w:autoSpaceDN w:val="0"/>
    </w:pPr>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FC6205"/>
    <w:rPr>
      <w:lang w:eastAsia="en-US"/>
    </w:rPr>
  </w:style>
  <w:style w:type="character" w:customStyle="1" w:styleId="Heading3Char">
    <w:name w:val="Heading 3 Char"/>
    <w:basedOn w:val="DefaultParagraphFont"/>
    <w:link w:val="Heading3"/>
    <w:rsid w:val="00FC6205"/>
    <w:rPr>
      <w:lang w:eastAsia="en-US"/>
    </w:rPr>
  </w:style>
  <w:style w:type="character" w:customStyle="1" w:styleId="Heading4Char">
    <w:name w:val="Heading 4 Char"/>
    <w:basedOn w:val="DefaultParagraphFont"/>
    <w:link w:val="Heading4"/>
    <w:rsid w:val="00FC6205"/>
    <w:rPr>
      <w:lang w:eastAsia="en-US"/>
    </w:rPr>
  </w:style>
  <w:style w:type="character" w:customStyle="1" w:styleId="FooterChar">
    <w:name w:val="Footer Char"/>
    <w:aliases w:val="3_G Char"/>
    <w:basedOn w:val="DefaultParagraphFont"/>
    <w:link w:val="Footer"/>
    <w:uiPriority w:val="99"/>
    <w:rsid w:val="00FC6205"/>
    <w:rPr>
      <w:sz w:val="16"/>
      <w:lang w:eastAsia="en-US"/>
    </w:rPr>
  </w:style>
  <w:style w:type="character" w:customStyle="1" w:styleId="FootnoteTextChar">
    <w:name w:val="Footnote Text Char"/>
    <w:aliases w:val="5_G Char,5_GR Char"/>
    <w:basedOn w:val="DefaultParagraphFont"/>
    <w:link w:val="FootnoteText"/>
    <w:rsid w:val="00FC6205"/>
    <w:rPr>
      <w:sz w:val="18"/>
      <w:lang w:eastAsia="en-US"/>
    </w:rPr>
  </w:style>
  <w:style w:type="character" w:customStyle="1" w:styleId="HeaderChar">
    <w:name w:val="Header Char"/>
    <w:aliases w:val="6_G Char"/>
    <w:basedOn w:val="DefaultParagraphFont"/>
    <w:link w:val="Header"/>
    <w:rsid w:val="00FC6205"/>
    <w:rPr>
      <w:b/>
      <w:sz w:val="18"/>
      <w:lang w:eastAsia="en-US"/>
    </w:rPr>
  </w:style>
  <w:style w:type="paragraph" w:customStyle="1" w:styleId="ADRnote">
    <w:name w:val="ADRnote"/>
    <w:basedOn w:val="Normal"/>
    <w:link w:val="ADRnoteChar"/>
    <w:qFormat/>
    <w:rsid w:val="00FC6205"/>
    <w:pPr>
      <w:tabs>
        <w:tab w:val="left" w:pos="2552"/>
      </w:tabs>
      <w:suppressAutoHyphens w:val="0"/>
      <w:spacing w:after="200" w:line="240" w:lineRule="auto"/>
      <w:ind w:left="1418"/>
      <w:jc w:val="both"/>
    </w:pPr>
    <w:rPr>
      <w:i/>
      <w:iCs/>
    </w:rPr>
  </w:style>
  <w:style w:type="character" w:customStyle="1" w:styleId="ADRnoteChar">
    <w:name w:val="ADRnote Char"/>
    <w:basedOn w:val="DefaultParagraphFont"/>
    <w:link w:val="ADRnote"/>
    <w:rsid w:val="00FC6205"/>
    <w:rPr>
      <w:i/>
      <w:iCs/>
      <w:lang w:eastAsia="en-US"/>
    </w:rPr>
  </w:style>
  <w:style w:type="paragraph" w:customStyle="1" w:styleId="ADR">
    <w:name w:val="ADR"/>
    <w:basedOn w:val="Normal"/>
    <w:link w:val="ADRChar"/>
    <w:qFormat/>
    <w:rsid w:val="00FC6205"/>
    <w:pPr>
      <w:suppressAutoHyphens w:val="0"/>
      <w:spacing w:after="200" w:line="240" w:lineRule="auto"/>
      <w:ind w:left="1418" w:hanging="1418"/>
      <w:jc w:val="both"/>
    </w:pPr>
  </w:style>
  <w:style w:type="character" w:customStyle="1" w:styleId="ADRChar">
    <w:name w:val="ADR Char"/>
    <w:basedOn w:val="DefaultParagraphFont"/>
    <w:link w:val="ADR"/>
    <w:rsid w:val="00FC6205"/>
    <w:rPr>
      <w:lang w:eastAsia="en-US"/>
    </w:rPr>
  </w:style>
  <w:style w:type="character" w:customStyle="1" w:styleId="H1GChar">
    <w:name w:val="_ H_1_G Char"/>
    <w:link w:val="H1G"/>
    <w:rsid w:val="0016467F"/>
    <w:rPr>
      <w:b/>
      <w:sz w:val="24"/>
      <w:lang w:eastAsia="en-US"/>
    </w:rPr>
  </w:style>
  <w:style w:type="character" w:customStyle="1" w:styleId="H23GChar">
    <w:name w:val="_ H_2/3_G Char"/>
    <w:link w:val="H23G"/>
    <w:locked/>
    <w:rsid w:val="009B2FAA"/>
    <w:rPr>
      <w:b/>
      <w:lang w:eastAsia="en-US"/>
    </w:rPr>
  </w:style>
  <w:style w:type="character" w:customStyle="1" w:styleId="markedcontent">
    <w:name w:val="markedcontent"/>
    <w:basedOn w:val="DefaultParagraphFont"/>
    <w:rsid w:val="009D4F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45867">
      <w:bodyDiv w:val="1"/>
      <w:marLeft w:val="0"/>
      <w:marRight w:val="0"/>
      <w:marTop w:val="0"/>
      <w:marBottom w:val="0"/>
      <w:divBdr>
        <w:top w:val="none" w:sz="0" w:space="0" w:color="auto"/>
        <w:left w:val="none" w:sz="0" w:space="0" w:color="auto"/>
        <w:bottom w:val="none" w:sz="0" w:space="0" w:color="auto"/>
        <w:right w:val="none" w:sz="0" w:space="0" w:color="auto"/>
      </w:divBdr>
    </w:div>
    <w:div w:id="80876543">
      <w:bodyDiv w:val="1"/>
      <w:marLeft w:val="0"/>
      <w:marRight w:val="0"/>
      <w:marTop w:val="0"/>
      <w:marBottom w:val="0"/>
      <w:divBdr>
        <w:top w:val="none" w:sz="0" w:space="0" w:color="auto"/>
        <w:left w:val="none" w:sz="0" w:space="0" w:color="auto"/>
        <w:bottom w:val="none" w:sz="0" w:space="0" w:color="auto"/>
        <w:right w:val="none" w:sz="0" w:space="0" w:color="auto"/>
      </w:divBdr>
    </w:div>
    <w:div w:id="318264548">
      <w:bodyDiv w:val="1"/>
      <w:marLeft w:val="0"/>
      <w:marRight w:val="0"/>
      <w:marTop w:val="0"/>
      <w:marBottom w:val="0"/>
      <w:divBdr>
        <w:top w:val="none" w:sz="0" w:space="0" w:color="auto"/>
        <w:left w:val="none" w:sz="0" w:space="0" w:color="auto"/>
        <w:bottom w:val="none" w:sz="0" w:space="0" w:color="auto"/>
        <w:right w:val="none" w:sz="0" w:space="0" w:color="auto"/>
      </w:divBdr>
    </w:div>
    <w:div w:id="325402037">
      <w:bodyDiv w:val="1"/>
      <w:marLeft w:val="0"/>
      <w:marRight w:val="0"/>
      <w:marTop w:val="0"/>
      <w:marBottom w:val="0"/>
      <w:divBdr>
        <w:top w:val="none" w:sz="0" w:space="0" w:color="auto"/>
        <w:left w:val="none" w:sz="0" w:space="0" w:color="auto"/>
        <w:bottom w:val="none" w:sz="0" w:space="0" w:color="auto"/>
        <w:right w:val="none" w:sz="0" w:space="0" w:color="auto"/>
      </w:divBdr>
    </w:div>
    <w:div w:id="391276510">
      <w:bodyDiv w:val="1"/>
      <w:marLeft w:val="0"/>
      <w:marRight w:val="0"/>
      <w:marTop w:val="0"/>
      <w:marBottom w:val="0"/>
      <w:divBdr>
        <w:top w:val="none" w:sz="0" w:space="0" w:color="auto"/>
        <w:left w:val="none" w:sz="0" w:space="0" w:color="auto"/>
        <w:bottom w:val="none" w:sz="0" w:space="0" w:color="auto"/>
        <w:right w:val="none" w:sz="0" w:space="0" w:color="auto"/>
      </w:divBdr>
    </w:div>
    <w:div w:id="567112222">
      <w:bodyDiv w:val="1"/>
      <w:marLeft w:val="0"/>
      <w:marRight w:val="0"/>
      <w:marTop w:val="0"/>
      <w:marBottom w:val="0"/>
      <w:divBdr>
        <w:top w:val="none" w:sz="0" w:space="0" w:color="auto"/>
        <w:left w:val="none" w:sz="0" w:space="0" w:color="auto"/>
        <w:bottom w:val="none" w:sz="0" w:space="0" w:color="auto"/>
        <w:right w:val="none" w:sz="0" w:space="0" w:color="auto"/>
      </w:divBdr>
      <w:divsChild>
        <w:div w:id="101809336">
          <w:marLeft w:val="0"/>
          <w:marRight w:val="0"/>
          <w:marTop w:val="0"/>
          <w:marBottom w:val="0"/>
          <w:divBdr>
            <w:top w:val="none" w:sz="0" w:space="0" w:color="auto"/>
            <w:left w:val="none" w:sz="0" w:space="0" w:color="auto"/>
            <w:bottom w:val="none" w:sz="0" w:space="0" w:color="auto"/>
            <w:right w:val="none" w:sz="0" w:space="0" w:color="auto"/>
          </w:divBdr>
          <w:divsChild>
            <w:div w:id="375393871">
              <w:marLeft w:val="0"/>
              <w:marRight w:val="0"/>
              <w:marTop w:val="0"/>
              <w:marBottom w:val="0"/>
              <w:divBdr>
                <w:top w:val="none" w:sz="0" w:space="0" w:color="auto"/>
                <w:left w:val="none" w:sz="0" w:space="0" w:color="auto"/>
                <w:bottom w:val="none" w:sz="0" w:space="0" w:color="auto"/>
                <w:right w:val="none" w:sz="0" w:space="0" w:color="auto"/>
              </w:divBdr>
              <w:divsChild>
                <w:div w:id="623846490">
                  <w:marLeft w:val="0"/>
                  <w:marRight w:val="0"/>
                  <w:marTop w:val="0"/>
                  <w:marBottom w:val="0"/>
                  <w:divBdr>
                    <w:top w:val="none" w:sz="0" w:space="0" w:color="auto"/>
                    <w:left w:val="none" w:sz="0" w:space="0" w:color="auto"/>
                    <w:bottom w:val="none" w:sz="0" w:space="0" w:color="auto"/>
                    <w:right w:val="none" w:sz="0" w:space="0" w:color="auto"/>
                  </w:divBdr>
                  <w:divsChild>
                    <w:div w:id="1419138935">
                      <w:marLeft w:val="0"/>
                      <w:marRight w:val="0"/>
                      <w:marTop w:val="0"/>
                      <w:marBottom w:val="0"/>
                      <w:divBdr>
                        <w:top w:val="none" w:sz="0" w:space="0" w:color="auto"/>
                        <w:left w:val="none" w:sz="0" w:space="0" w:color="auto"/>
                        <w:bottom w:val="none" w:sz="0" w:space="0" w:color="auto"/>
                        <w:right w:val="none" w:sz="0" w:space="0" w:color="auto"/>
                      </w:divBdr>
                      <w:divsChild>
                        <w:div w:id="78665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7383070">
          <w:marLeft w:val="0"/>
          <w:marRight w:val="0"/>
          <w:marTop w:val="0"/>
          <w:marBottom w:val="0"/>
          <w:divBdr>
            <w:top w:val="none" w:sz="0" w:space="0" w:color="auto"/>
            <w:left w:val="none" w:sz="0" w:space="0" w:color="auto"/>
            <w:bottom w:val="none" w:sz="0" w:space="0" w:color="auto"/>
            <w:right w:val="none" w:sz="0" w:space="0" w:color="auto"/>
          </w:divBdr>
          <w:divsChild>
            <w:div w:id="495267462">
              <w:marLeft w:val="0"/>
              <w:marRight w:val="0"/>
              <w:marTop w:val="0"/>
              <w:marBottom w:val="0"/>
              <w:divBdr>
                <w:top w:val="none" w:sz="0" w:space="0" w:color="auto"/>
                <w:left w:val="none" w:sz="0" w:space="0" w:color="auto"/>
                <w:bottom w:val="none" w:sz="0" w:space="0" w:color="auto"/>
                <w:right w:val="none" w:sz="0" w:space="0" w:color="auto"/>
              </w:divBdr>
              <w:divsChild>
                <w:div w:id="1359968355">
                  <w:marLeft w:val="0"/>
                  <w:marRight w:val="0"/>
                  <w:marTop w:val="0"/>
                  <w:marBottom w:val="0"/>
                  <w:divBdr>
                    <w:top w:val="none" w:sz="0" w:space="0" w:color="auto"/>
                    <w:left w:val="none" w:sz="0" w:space="0" w:color="auto"/>
                    <w:bottom w:val="none" w:sz="0" w:space="0" w:color="auto"/>
                    <w:right w:val="none" w:sz="0" w:space="0" w:color="auto"/>
                  </w:divBdr>
                  <w:divsChild>
                    <w:div w:id="353921540">
                      <w:marLeft w:val="0"/>
                      <w:marRight w:val="0"/>
                      <w:marTop w:val="0"/>
                      <w:marBottom w:val="0"/>
                      <w:divBdr>
                        <w:top w:val="none" w:sz="0" w:space="0" w:color="auto"/>
                        <w:left w:val="none" w:sz="0" w:space="0" w:color="auto"/>
                        <w:bottom w:val="none" w:sz="0" w:space="0" w:color="auto"/>
                        <w:right w:val="none" w:sz="0" w:space="0" w:color="auto"/>
                      </w:divBdr>
                      <w:divsChild>
                        <w:div w:id="134414493">
                          <w:marLeft w:val="0"/>
                          <w:marRight w:val="0"/>
                          <w:marTop w:val="0"/>
                          <w:marBottom w:val="0"/>
                          <w:divBdr>
                            <w:top w:val="none" w:sz="0" w:space="0" w:color="auto"/>
                            <w:left w:val="none" w:sz="0" w:space="0" w:color="auto"/>
                            <w:bottom w:val="none" w:sz="0" w:space="0" w:color="auto"/>
                            <w:right w:val="none" w:sz="0" w:space="0" w:color="auto"/>
                          </w:divBdr>
                          <w:divsChild>
                            <w:div w:id="855772031">
                              <w:marLeft w:val="0"/>
                              <w:marRight w:val="0"/>
                              <w:marTop w:val="0"/>
                              <w:marBottom w:val="0"/>
                              <w:divBdr>
                                <w:top w:val="none" w:sz="0" w:space="0" w:color="auto"/>
                                <w:left w:val="none" w:sz="0" w:space="0" w:color="auto"/>
                                <w:bottom w:val="none" w:sz="0" w:space="0" w:color="auto"/>
                                <w:right w:val="none" w:sz="0" w:space="0" w:color="auto"/>
                              </w:divBdr>
                              <w:divsChild>
                                <w:div w:id="144750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6474558">
      <w:bodyDiv w:val="1"/>
      <w:marLeft w:val="0"/>
      <w:marRight w:val="0"/>
      <w:marTop w:val="0"/>
      <w:marBottom w:val="0"/>
      <w:divBdr>
        <w:top w:val="none" w:sz="0" w:space="0" w:color="auto"/>
        <w:left w:val="none" w:sz="0" w:space="0" w:color="auto"/>
        <w:bottom w:val="none" w:sz="0" w:space="0" w:color="auto"/>
        <w:right w:val="none" w:sz="0" w:space="0" w:color="auto"/>
      </w:divBdr>
    </w:div>
    <w:div w:id="918290774">
      <w:bodyDiv w:val="1"/>
      <w:marLeft w:val="0"/>
      <w:marRight w:val="0"/>
      <w:marTop w:val="0"/>
      <w:marBottom w:val="0"/>
      <w:divBdr>
        <w:top w:val="none" w:sz="0" w:space="0" w:color="auto"/>
        <w:left w:val="none" w:sz="0" w:space="0" w:color="auto"/>
        <w:bottom w:val="none" w:sz="0" w:space="0" w:color="auto"/>
        <w:right w:val="none" w:sz="0" w:space="0" w:color="auto"/>
      </w:divBdr>
      <w:divsChild>
        <w:div w:id="398098079">
          <w:marLeft w:val="720"/>
          <w:marRight w:val="0"/>
          <w:marTop w:val="0"/>
          <w:marBottom w:val="0"/>
          <w:divBdr>
            <w:top w:val="none" w:sz="0" w:space="0" w:color="auto"/>
            <w:left w:val="none" w:sz="0" w:space="0" w:color="auto"/>
            <w:bottom w:val="none" w:sz="0" w:space="0" w:color="auto"/>
            <w:right w:val="none" w:sz="0" w:space="0" w:color="auto"/>
          </w:divBdr>
        </w:div>
      </w:divsChild>
    </w:div>
    <w:div w:id="1279412143">
      <w:bodyDiv w:val="1"/>
      <w:marLeft w:val="0"/>
      <w:marRight w:val="0"/>
      <w:marTop w:val="0"/>
      <w:marBottom w:val="0"/>
      <w:divBdr>
        <w:top w:val="none" w:sz="0" w:space="0" w:color="auto"/>
        <w:left w:val="none" w:sz="0" w:space="0" w:color="auto"/>
        <w:bottom w:val="none" w:sz="0" w:space="0" w:color="auto"/>
        <w:right w:val="none" w:sz="0" w:space="0" w:color="auto"/>
      </w:divBdr>
    </w:div>
    <w:div w:id="1383939025">
      <w:bodyDiv w:val="1"/>
      <w:marLeft w:val="0"/>
      <w:marRight w:val="0"/>
      <w:marTop w:val="0"/>
      <w:marBottom w:val="0"/>
      <w:divBdr>
        <w:top w:val="none" w:sz="0" w:space="0" w:color="auto"/>
        <w:left w:val="none" w:sz="0" w:space="0" w:color="auto"/>
        <w:bottom w:val="none" w:sz="0" w:space="0" w:color="auto"/>
        <w:right w:val="none" w:sz="0" w:space="0" w:color="auto"/>
      </w:divBdr>
      <w:divsChild>
        <w:div w:id="372655404">
          <w:marLeft w:val="0"/>
          <w:marRight w:val="0"/>
          <w:marTop w:val="0"/>
          <w:marBottom w:val="0"/>
          <w:divBdr>
            <w:top w:val="none" w:sz="0" w:space="0" w:color="auto"/>
            <w:left w:val="none" w:sz="0" w:space="0" w:color="auto"/>
            <w:bottom w:val="none" w:sz="0" w:space="0" w:color="auto"/>
            <w:right w:val="none" w:sz="0" w:space="0" w:color="auto"/>
          </w:divBdr>
          <w:divsChild>
            <w:div w:id="985427743">
              <w:marLeft w:val="0"/>
              <w:marRight w:val="0"/>
              <w:marTop w:val="0"/>
              <w:marBottom w:val="0"/>
              <w:divBdr>
                <w:top w:val="none" w:sz="0" w:space="0" w:color="auto"/>
                <w:left w:val="none" w:sz="0" w:space="0" w:color="auto"/>
                <w:bottom w:val="none" w:sz="0" w:space="0" w:color="auto"/>
                <w:right w:val="none" w:sz="0" w:space="0" w:color="auto"/>
              </w:divBdr>
              <w:divsChild>
                <w:div w:id="1162815919">
                  <w:marLeft w:val="75"/>
                  <w:marRight w:val="75"/>
                  <w:marTop w:val="0"/>
                  <w:marBottom w:val="0"/>
                  <w:divBdr>
                    <w:top w:val="none" w:sz="0" w:space="0" w:color="auto"/>
                    <w:left w:val="none" w:sz="0" w:space="0" w:color="auto"/>
                    <w:bottom w:val="none" w:sz="0" w:space="0" w:color="auto"/>
                    <w:right w:val="none" w:sz="0" w:space="0" w:color="auto"/>
                  </w:divBdr>
                  <w:divsChild>
                    <w:div w:id="1052970841">
                      <w:marLeft w:val="0"/>
                      <w:marRight w:val="0"/>
                      <w:marTop w:val="0"/>
                      <w:marBottom w:val="0"/>
                      <w:divBdr>
                        <w:top w:val="none" w:sz="0" w:space="0" w:color="auto"/>
                        <w:left w:val="none" w:sz="0" w:space="0" w:color="auto"/>
                        <w:bottom w:val="none" w:sz="0" w:space="0" w:color="auto"/>
                        <w:right w:val="none" w:sz="0" w:space="0" w:color="auto"/>
                      </w:divBdr>
                      <w:divsChild>
                        <w:div w:id="1972664603">
                          <w:marLeft w:val="0"/>
                          <w:marRight w:val="0"/>
                          <w:marTop w:val="0"/>
                          <w:marBottom w:val="120"/>
                          <w:divBdr>
                            <w:top w:val="single" w:sz="6" w:space="0" w:color="D2E2FF"/>
                            <w:left w:val="single" w:sz="6" w:space="0" w:color="D2E2FF"/>
                            <w:bottom w:val="single" w:sz="6" w:space="0" w:color="D2E2FF"/>
                            <w:right w:val="single" w:sz="6" w:space="0" w:color="D2E2FF"/>
                          </w:divBdr>
                          <w:divsChild>
                            <w:div w:id="1204757473">
                              <w:marLeft w:val="0"/>
                              <w:marRight w:val="0"/>
                              <w:marTop w:val="0"/>
                              <w:marBottom w:val="0"/>
                              <w:divBdr>
                                <w:top w:val="none" w:sz="0" w:space="0" w:color="auto"/>
                                <w:left w:val="none" w:sz="0" w:space="0" w:color="auto"/>
                                <w:bottom w:val="none" w:sz="0" w:space="0" w:color="auto"/>
                                <w:right w:val="none" w:sz="0" w:space="0" w:color="auto"/>
                              </w:divBdr>
                              <w:divsChild>
                                <w:div w:id="77725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1261107">
      <w:bodyDiv w:val="1"/>
      <w:marLeft w:val="0"/>
      <w:marRight w:val="0"/>
      <w:marTop w:val="0"/>
      <w:marBottom w:val="0"/>
      <w:divBdr>
        <w:top w:val="none" w:sz="0" w:space="0" w:color="auto"/>
        <w:left w:val="none" w:sz="0" w:space="0" w:color="auto"/>
        <w:bottom w:val="none" w:sz="0" w:space="0" w:color="auto"/>
        <w:right w:val="none" w:sz="0" w:space="0" w:color="auto"/>
      </w:divBdr>
    </w:div>
    <w:div w:id="2057314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SharedWithUsers xmlns="4b4a1c0d-4a69-4996-a84a-fc699b9f49de">
      <UserInfo>
        <DisplayName>Sabrina Mansion</DisplayName>
        <AccountId>71</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8" ma:contentTypeDescription="Create a new document." ma:contentTypeScope="" ma:versionID="e62f3c52afbfb087cbf0486b24bccade">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0897c4342d1b21160e8184e77b1557a4"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EA5214-0593-4FE1-BBF6-E97700B7D58B}">
  <ds:schemaRefs>
    <ds:schemaRef ds:uri="http://schemas.microsoft.com/office/2006/metadata/properties"/>
    <ds:schemaRef ds:uri="http://schemas.microsoft.com/office/infopath/2007/PartnerControls"/>
    <ds:schemaRef ds:uri="acccb6d4-dbe5-46d2-b4d3-5733603d8cc6"/>
    <ds:schemaRef ds:uri="985ec44e-1bab-4c0b-9df0-6ba128686fc9"/>
    <ds:schemaRef ds:uri="4b4a1c0d-4a69-4996-a84a-fc699b9f49de"/>
  </ds:schemaRefs>
</ds:datastoreItem>
</file>

<file path=customXml/itemProps2.xml><?xml version="1.0" encoding="utf-8"?>
<ds:datastoreItem xmlns:ds="http://schemas.openxmlformats.org/officeDocument/2006/customXml" ds:itemID="{F77F1B1D-8A4B-4211-ABC8-BAF90B2DA3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4E03AB-372A-4C46-B331-DC72299E4156}">
  <ds:schemaRefs>
    <ds:schemaRef ds:uri="http://schemas.openxmlformats.org/officeDocument/2006/bibliography"/>
  </ds:schemaRefs>
</ds:datastoreItem>
</file>

<file path=customXml/itemProps4.xml><?xml version="1.0" encoding="utf-8"?>
<ds:datastoreItem xmlns:ds="http://schemas.openxmlformats.org/officeDocument/2006/customXml" ds:itemID="{CC14138A-20B3-49ED-AA81-84ABCB79FC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3</Pages>
  <Words>1268</Words>
  <Characters>6976</Characters>
  <Application>Microsoft Office Word</Application>
  <DocSecurity>0</DocSecurity>
  <Lines>58</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ECE-TRANS-WP15-114-GE-inf-09e</vt:lpstr>
      <vt:lpstr>United Nations</vt:lpstr>
    </vt:vector>
  </TitlesOfParts>
  <Company>CSD</Company>
  <LinksUpToDate>false</LinksUpToDate>
  <CharactersWithSpaces>8228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ECE-TRANS-WP15-114-GE-inf-10e</dc:title>
  <dc:subject/>
  <dc:creator/>
  <cp:keywords/>
  <cp:lastModifiedBy>Editorial</cp:lastModifiedBy>
  <cp:revision>48</cp:revision>
  <cp:lastPrinted>2018-05-10T03:23:00Z</cp:lastPrinted>
  <dcterms:created xsi:type="dcterms:W3CDTF">2023-10-18T14:49:00Z</dcterms:created>
  <dcterms:modified xsi:type="dcterms:W3CDTF">2023-10-19T07:41:00Z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MediaServiceImageTags">
    <vt:lpwstr/>
  </property>
  <property fmtid="{D5CDD505-2E9C-101B-9397-08002B2CF9AE}" pid="4" name="Office_x0020_of_x0020_Origin">
    <vt:lpwstr/>
  </property>
  <property fmtid="{D5CDD505-2E9C-101B-9397-08002B2CF9AE}" pid="5" name="gba66df640194346a5267c50f24d4797">
    <vt:lpwstr/>
  </property>
  <property fmtid="{D5CDD505-2E9C-101B-9397-08002B2CF9AE}" pid="6" name="Office of Origin">
    <vt:lpwstr/>
  </property>
</Properties>
</file>