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F0D4AF0" w14:textId="77777777" w:rsidTr="00C97039">
        <w:trPr>
          <w:trHeight w:hRule="exact" w:val="851"/>
        </w:trPr>
        <w:tc>
          <w:tcPr>
            <w:tcW w:w="1276" w:type="dxa"/>
            <w:tcBorders>
              <w:bottom w:val="single" w:sz="4" w:space="0" w:color="auto"/>
            </w:tcBorders>
          </w:tcPr>
          <w:p w14:paraId="14F40D23" w14:textId="77777777" w:rsidR="00F35BAF" w:rsidRPr="00DB58B5" w:rsidRDefault="00F35BAF" w:rsidP="009C5557"/>
        </w:tc>
        <w:tc>
          <w:tcPr>
            <w:tcW w:w="2268" w:type="dxa"/>
            <w:tcBorders>
              <w:bottom w:val="single" w:sz="4" w:space="0" w:color="auto"/>
            </w:tcBorders>
            <w:vAlign w:val="bottom"/>
          </w:tcPr>
          <w:p w14:paraId="71A8A33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D8B962E" w14:textId="72A0FDCB" w:rsidR="00F35BAF" w:rsidRPr="00DB58B5" w:rsidRDefault="009C5557" w:rsidP="009C5557">
            <w:pPr>
              <w:jc w:val="right"/>
            </w:pPr>
            <w:r w:rsidRPr="009C5557">
              <w:rPr>
                <w:sz w:val="40"/>
              </w:rPr>
              <w:t>ECE</w:t>
            </w:r>
            <w:r>
              <w:t>/TRANS/WP.29/GRSP/2023/38</w:t>
            </w:r>
          </w:p>
        </w:tc>
      </w:tr>
      <w:tr w:rsidR="00F35BAF" w:rsidRPr="00DB58B5" w14:paraId="598D4FDC" w14:textId="77777777" w:rsidTr="00C97039">
        <w:trPr>
          <w:trHeight w:hRule="exact" w:val="2835"/>
        </w:trPr>
        <w:tc>
          <w:tcPr>
            <w:tcW w:w="1276" w:type="dxa"/>
            <w:tcBorders>
              <w:top w:val="single" w:sz="4" w:space="0" w:color="auto"/>
              <w:bottom w:val="single" w:sz="12" w:space="0" w:color="auto"/>
            </w:tcBorders>
          </w:tcPr>
          <w:p w14:paraId="5C00A623" w14:textId="77777777" w:rsidR="00F35BAF" w:rsidRPr="00DB58B5" w:rsidRDefault="00F35BAF" w:rsidP="00C97039">
            <w:pPr>
              <w:spacing w:before="120"/>
              <w:jc w:val="center"/>
            </w:pPr>
            <w:r>
              <w:rPr>
                <w:noProof/>
                <w:lang w:eastAsia="fr-CH"/>
              </w:rPr>
              <w:drawing>
                <wp:inline distT="0" distB="0" distL="0" distR="0" wp14:anchorId="5135D735" wp14:editId="198DDE9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FF27B7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10B111D" w14:textId="77777777" w:rsidR="00F35BAF" w:rsidRDefault="009C5557" w:rsidP="00C97039">
            <w:pPr>
              <w:spacing w:before="240"/>
            </w:pPr>
            <w:proofErr w:type="spellStart"/>
            <w:r>
              <w:t>Distr</w:t>
            </w:r>
            <w:proofErr w:type="spellEnd"/>
            <w:r>
              <w:t>. générale</w:t>
            </w:r>
          </w:p>
          <w:p w14:paraId="3A765E6A" w14:textId="77777777" w:rsidR="009C5557" w:rsidRDefault="009C5557" w:rsidP="009C5557">
            <w:pPr>
              <w:spacing w:line="240" w:lineRule="exact"/>
            </w:pPr>
            <w:r>
              <w:t>22 septembre 2023</w:t>
            </w:r>
          </w:p>
          <w:p w14:paraId="60B3B891" w14:textId="77777777" w:rsidR="009C5557" w:rsidRDefault="009C5557" w:rsidP="009C5557">
            <w:pPr>
              <w:spacing w:line="240" w:lineRule="exact"/>
            </w:pPr>
            <w:r>
              <w:t>Français</w:t>
            </w:r>
          </w:p>
          <w:p w14:paraId="3477232D" w14:textId="7F95935A" w:rsidR="009C5557" w:rsidRPr="00DB58B5" w:rsidRDefault="009C5557" w:rsidP="009C5557">
            <w:pPr>
              <w:spacing w:line="240" w:lineRule="exact"/>
            </w:pPr>
            <w:r>
              <w:t>Original : anglais</w:t>
            </w:r>
          </w:p>
        </w:tc>
      </w:tr>
    </w:tbl>
    <w:p w14:paraId="1D3D94F3" w14:textId="77777777" w:rsidR="007F20FA" w:rsidRPr="000312C0" w:rsidRDefault="007F20FA" w:rsidP="007F20FA">
      <w:pPr>
        <w:spacing w:before="120"/>
        <w:rPr>
          <w:b/>
          <w:sz w:val="28"/>
          <w:szCs w:val="28"/>
        </w:rPr>
      </w:pPr>
      <w:r w:rsidRPr="000312C0">
        <w:rPr>
          <w:b/>
          <w:sz w:val="28"/>
          <w:szCs w:val="28"/>
        </w:rPr>
        <w:t>Commission économique pour l’Europe</w:t>
      </w:r>
    </w:p>
    <w:p w14:paraId="5E87E293" w14:textId="77777777" w:rsidR="007F20FA" w:rsidRDefault="007F20FA" w:rsidP="007F20FA">
      <w:pPr>
        <w:spacing w:before="120"/>
        <w:rPr>
          <w:sz w:val="28"/>
          <w:szCs w:val="28"/>
        </w:rPr>
      </w:pPr>
      <w:r w:rsidRPr="00685843">
        <w:rPr>
          <w:sz w:val="28"/>
          <w:szCs w:val="28"/>
        </w:rPr>
        <w:t>Comité des transports intérieurs</w:t>
      </w:r>
    </w:p>
    <w:p w14:paraId="06FEF191" w14:textId="4FE9472E" w:rsidR="000C5F00" w:rsidRPr="000C5F00" w:rsidRDefault="000C5F00" w:rsidP="000C5F00">
      <w:pPr>
        <w:spacing w:before="120"/>
        <w:rPr>
          <w:rFonts w:asciiTheme="majorBidi" w:hAnsiTheme="majorBidi" w:cstheme="majorBidi"/>
          <w:b/>
          <w:sz w:val="24"/>
          <w:szCs w:val="24"/>
        </w:rPr>
      </w:pPr>
      <w:r w:rsidRPr="000C5F00">
        <w:rPr>
          <w:b/>
          <w:bCs/>
          <w:sz w:val="24"/>
          <w:szCs w:val="24"/>
          <w:lang w:val="fr-FR"/>
        </w:rPr>
        <w:t xml:space="preserve">Forum mondial de l’harmonisation des Règlements </w:t>
      </w:r>
      <w:r>
        <w:rPr>
          <w:b/>
          <w:bCs/>
          <w:sz w:val="24"/>
          <w:szCs w:val="24"/>
          <w:lang w:val="fr-FR"/>
        </w:rPr>
        <w:br/>
      </w:r>
      <w:r w:rsidRPr="000C5F00">
        <w:rPr>
          <w:b/>
          <w:bCs/>
          <w:sz w:val="24"/>
          <w:szCs w:val="24"/>
          <w:lang w:val="fr-FR"/>
        </w:rPr>
        <w:t>concernant les véhicules</w:t>
      </w:r>
    </w:p>
    <w:p w14:paraId="7D860616" w14:textId="77777777" w:rsidR="000C5F00" w:rsidRPr="000F4C12" w:rsidRDefault="000C5F00" w:rsidP="000C5F00">
      <w:pPr>
        <w:spacing w:before="120"/>
        <w:rPr>
          <w:rFonts w:asciiTheme="majorBidi" w:hAnsiTheme="majorBidi" w:cstheme="majorBidi"/>
          <w:b/>
        </w:rPr>
      </w:pPr>
      <w:r>
        <w:rPr>
          <w:b/>
          <w:bCs/>
          <w:lang w:val="fr-FR"/>
        </w:rPr>
        <w:t>Groupe de travail de la sécurité passive</w:t>
      </w:r>
    </w:p>
    <w:p w14:paraId="19A485F6" w14:textId="77777777" w:rsidR="000C5F00" w:rsidRPr="000F4C12" w:rsidRDefault="000C5F00" w:rsidP="000C5F00">
      <w:pPr>
        <w:spacing w:before="120"/>
        <w:rPr>
          <w:rFonts w:asciiTheme="majorBidi" w:hAnsiTheme="majorBidi" w:cstheme="majorBidi"/>
          <w:b/>
        </w:rPr>
      </w:pPr>
      <w:r>
        <w:rPr>
          <w:b/>
          <w:bCs/>
          <w:lang w:val="fr-FR"/>
        </w:rPr>
        <w:t>Soixante-quatorzième session</w:t>
      </w:r>
    </w:p>
    <w:p w14:paraId="57B3ED88" w14:textId="77777777" w:rsidR="000C5F00" w:rsidRPr="000F4C12" w:rsidRDefault="000C5F00" w:rsidP="000C5F00">
      <w:pPr>
        <w:rPr>
          <w:rFonts w:asciiTheme="majorBidi" w:hAnsiTheme="majorBidi" w:cstheme="majorBidi"/>
        </w:rPr>
      </w:pPr>
      <w:r>
        <w:rPr>
          <w:lang w:val="fr-FR"/>
        </w:rPr>
        <w:t>Genève, 4-8 décembre 2023</w:t>
      </w:r>
    </w:p>
    <w:p w14:paraId="2CAC58F8" w14:textId="77777777" w:rsidR="000C5F00" w:rsidRPr="000F4C12" w:rsidRDefault="000C5F00" w:rsidP="000C5F00">
      <w:pPr>
        <w:rPr>
          <w:rFonts w:asciiTheme="majorBidi" w:hAnsiTheme="majorBidi" w:cstheme="majorBidi"/>
        </w:rPr>
      </w:pPr>
      <w:r>
        <w:rPr>
          <w:lang w:val="fr-FR"/>
        </w:rPr>
        <w:t>Point 12 de l’ordre du jour provisoire</w:t>
      </w:r>
    </w:p>
    <w:p w14:paraId="6ADDDE69" w14:textId="77777777" w:rsidR="000C5F00" w:rsidRPr="000F4C12" w:rsidRDefault="000C5F00" w:rsidP="000C5F00">
      <w:pPr>
        <w:rPr>
          <w:b/>
        </w:rPr>
      </w:pPr>
      <w:r>
        <w:rPr>
          <w:b/>
          <w:bCs/>
          <w:lang w:val="fr-FR"/>
        </w:rPr>
        <w:t>Règlement ONU n</w:t>
      </w:r>
      <w:r w:rsidRPr="002D3051">
        <w:rPr>
          <w:b/>
          <w:bCs/>
          <w:vertAlign w:val="superscript"/>
          <w:lang w:val="fr-FR"/>
        </w:rPr>
        <w:t>o</w:t>
      </w:r>
      <w:r>
        <w:rPr>
          <w:b/>
          <w:bCs/>
          <w:lang w:val="fr-FR"/>
        </w:rPr>
        <w:t> 129 (Systèmes améliorés de retenue pour enfants)</w:t>
      </w:r>
    </w:p>
    <w:p w14:paraId="5CAA4473" w14:textId="5B8E084A" w:rsidR="000C5F00" w:rsidRPr="000F4C12" w:rsidRDefault="000C5F00" w:rsidP="000C5F00">
      <w:pPr>
        <w:pStyle w:val="HChG"/>
      </w:pPr>
      <w:r>
        <w:rPr>
          <w:lang w:val="fr-FR"/>
        </w:rPr>
        <w:tab/>
      </w:r>
      <w:r>
        <w:rPr>
          <w:lang w:val="fr-FR"/>
        </w:rPr>
        <w:tab/>
        <w:t xml:space="preserve">Proposition de complément 11 à la série 03 d’amendements et de complément 1 à la série 04 d’amendements au Règlement ONU </w:t>
      </w:r>
      <w:r w:rsidRPr="000C5F00">
        <w:rPr>
          <w:rFonts w:eastAsia="MS Mincho"/>
          <w:lang w:val="fr-FR"/>
        </w:rPr>
        <w:t>n</w:t>
      </w:r>
      <w:r w:rsidRPr="000C5F00">
        <w:rPr>
          <w:rFonts w:eastAsia="MS Mincho"/>
          <w:vertAlign w:val="superscript"/>
          <w:lang w:val="fr-FR"/>
        </w:rPr>
        <w:t>o</w:t>
      </w:r>
      <w:r>
        <w:rPr>
          <w:lang w:val="fr-FR"/>
        </w:rPr>
        <w:t> </w:t>
      </w:r>
      <w:r>
        <w:rPr>
          <w:lang w:val="fr-FR"/>
        </w:rPr>
        <w:t>129 (Systèmes améliorés de retenue pour enfants)</w:t>
      </w:r>
      <w:r w:rsidRPr="000C5F00">
        <w:rPr>
          <w:rStyle w:val="Appelnotedebasdep"/>
          <w:b w:val="0"/>
          <w:bCs/>
          <w:sz w:val="20"/>
          <w:vertAlign w:val="baseline"/>
        </w:rPr>
        <w:footnoteReference w:customMarkFollows="1" w:id="2"/>
        <w:t>*</w:t>
      </w:r>
    </w:p>
    <w:p w14:paraId="0B10D59C" w14:textId="10C951B0" w:rsidR="000C5F00" w:rsidRPr="000F4C12" w:rsidRDefault="005A1309" w:rsidP="000C5F00">
      <w:pPr>
        <w:pStyle w:val="H1G"/>
      </w:pPr>
      <w:r>
        <w:tab/>
      </w:r>
      <w:r>
        <w:tab/>
      </w:r>
      <w:r w:rsidR="000C5F00">
        <w:rPr>
          <w:lang w:val="fr-FR"/>
        </w:rPr>
        <w:t>Communication de l’expert de l’</w:t>
      </w:r>
      <w:proofErr w:type="spellStart"/>
      <w:r w:rsidR="000C5F00">
        <w:rPr>
          <w:lang w:val="fr-FR"/>
        </w:rPr>
        <w:t>European</w:t>
      </w:r>
      <w:proofErr w:type="spellEnd"/>
      <w:r w:rsidR="000C5F00">
        <w:rPr>
          <w:lang w:val="fr-FR"/>
        </w:rPr>
        <w:t xml:space="preserve"> Association of Automotive </w:t>
      </w:r>
      <w:proofErr w:type="spellStart"/>
      <w:r w:rsidR="000C5F00">
        <w:rPr>
          <w:lang w:val="fr-FR"/>
        </w:rPr>
        <w:t>Suppliers</w:t>
      </w:r>
      <w:proofErr w:type="spellEnd"/>
    </w:p>
    <w:p w14:paraId="1FDF6F61" w14:textId="406913DE" w:rsidR="000C5F00" w:rsidRDefault="000C5F00" w:rsidP="005A1309">
      <w:pPr>
        <w:pStyle w:val="SingleTxtG"/>
        <w:ind w:firstLine="567"/>
      </w:pPr>
      <w:r>
        <w:rPr>
          <w:lang w:val="fr-FR"/>
        </w:rPr>
        <w:t>Le texte ci-après, établi par l’expert de l’</w:t>
      </w:r>
      <w:proofErr w:type="spellStart"/>
      <w:r>
        <w:rPr>
          <w:lang w:val="fr-FR"/>
        </w:rPr>
        <w:t>European</w:t>
      </w:r>
      <w:proofErr w:type="spellEnd"/>
      <w:r>
        <w:rPr>
          <w:lang w:val="fr-FR"/>
        </w:rPr>
        <w:t xml:space="preserve"> Association of Automotive </w:t>
      </w:r>
      <w:proofErr w:type="spellStart"/>
      <w:r>
        <w:rPr>
          <w:lang w:val="fr-FR"/>
        </w:rPr>
        <w:t>Suppliers</w:t>
      </w:r>
      <w:proofErr w:type="spellEnd"/>
      <w:r>
        <w:rPr>
          <w:lang w:val="fr-FR"/>
        </w:rPr>
        <w:t xml:space="preserve"> (CLEPA), vise à préciser les situations dans lesquelles les systèmes améliorés de retenue pour enfants doivent être soumis aux essais dans une carrosserie de véhicule. Cette proposition se fonde sur le document informel GRSP-73-42, distribué à la soixante-treizième session du Groupe de travail de la sécurité passive (GRSP), et vise en outre à corriger une erreur d’édition introduite au moment de l’ajout du complément 3 à la série</w:t>
      </w:r>
      <w:r w:rsidR="00FB20D4">
        <w:rPr>
          <w:lang w:val="fr-FR"/>
        </w:rPr>
        <w:t> </w:t>
      </w:r>
      <w:r>
        <w:rPr>
          <w:lang w:val="fr-FR"/>
        </w:rPr>
        <w:t>03 d’amendements. Les modifications qu’il est proposé d’apporter au texte actuel du Règlement (y compris le document ECE/TRANS/WP.29/2023/109) figurent en caractères gras pour les ajouts et biffés pour les suppressions.</w:t>
      </w:r>
    </w:p>
    <w:p w14:paraId="59C0AE6F" w14:textId="77777777" w:rsidR="000C5F00" w:rsidRPr="000F4C12" w:rsidRDefault="000C5F00" w:rsidP="000C5F00">
      <w:pPr>
        <w:suppressAutoHyphens w:val="0"/>
        <w:spacing w:line="240" w:lineRule="auto"/>
      </w:pPr>
      <w:r w:rsidRPr="000F4C12">
        <w:br w:type="page"/>
      </w:r>
    </w:p>
    <w:p w14:paraId="4FF0BC21" w14:textId="28CA0912" w:rsidR="000C5F00" w:rsidRPr="000F4C12" w:rsidRDefault="005A1309" w:rsidP="005A1309">
      <w:pPr>
        <w:pStyle w:val="HChG"/>
      </w:pPr>
      <w:r>
        <w:rPr>
          <w:lang w:val="fr-FR"/>
        </w:rPr>
        <w:lastRenderedPageBreak/>
        <w:tab/>
      </w:r>
      <w:r w:rsidR="000C5F00">
        <w:rPr>
          <w:lang w:val="fr-FR"/>
        </w:rPr>
        <w:t>I.</w:t>
      </w:r>
      <w:r w:rsidR="000C5F00">
        <w:rPr>
          <w:lang w:val="fr-FR"/>
        </w:rPr>
        <w:tab/>
        <w:t>Proposition</w:t>
      </w:r>
    </w:p>
    <w:p w14:paraId="616E15BA" w14:textId="77777777" w:rsidR="000C5F00" w:rsidRPr="000F4C12" w:rsidRDefault="000C5F00" w:rsidP="005A1309">
      <w:pPr>
        <w:pStyle w:val="SingleTxtG"/>
        <w:keepNext/>
      </w:pPr>
      <w:r w:rsidRPr="005A1309">
        <w:rPr>
          <w:i/>
          <w:iCs/>
          <w:lang w:val="fr-FR"/>
        </w:rPr>
        <w:t>Paragraphe 6.1.3.4</w:t>
      </w:r>
      <w:r>
        <w:rPr>
          <w:lang w:val="fr-FR"/>
        </w:rPr>
        <w:t>, lire :</w:t>
      </w:r>
    </w:p>
    <w:p w14:paraId="5744754F" w14:textId="3A8304B0" w:rsidR="000C5F00" w:rsidRPr="000F4C12" w:rsidRDefault="000C5F00" w:rsidP="00145464">
      <w:pPr>
        <w:pStyle w:val="SingleTxtG"/>
        <w:ind w:left="2268" w:hanging="1134"/>
      </w:pPr>
      <w:r>
        <w:rPr>
          <w:lang w:val="fr-FR"/>
        </w:rPr>
        <w:t>« 6.1.3.4</w:t>
      </w:r>
      <w:r>
        <w:rPr>
          <w:lang w:val="fr-FR"/>
        </w:rPr>
        <w:tab/>
        <w:t xml:space="preserve">Les systèmes améliorés de retenue pour enfants de type siège rehausseur et coussin d’appoint doivent comporter </w:t>
      </w:r>
      <w:r>
        <w:rPr>
          <w:b/>
          <w:bCs/>
          <w:lang w:val="fr-FR"/>
        </w:rPr>
        <w:t xml:space="preserve">un seul trajet pour la ceinture de sécurité pour adulte et </w:t>
      </w:r>
      <w:r>
        <w:rPr>
          <w:lang w:val="fr-FR"/>
        </w:rPr>
        <w:t xml:space="preserve">un point principal d’application des charges, situé entre le système amélioré de retenue pour enfants et la ceinture de sécurité pour adultes. Ce point </w:t>
      </w:r>
      <w:r w:rsidRPr="009E6B2B">
        <w:rPr>
          <w:lang w:val="fr-FR"/>
        </w:rPr>
        <w:t xml:space="preserve">ne doit pas se trouver à moins de </w:t>
      </w:r>
      <w:r>
        <w:rPr>
          <w:lang w:val="fr-FR"/>
        </w:rPr>
        <w:t>150</w:t>
      </w:r>
      <w:r w:rsidR="00FB20D4">
        <w:rPr>
          <w:lang w:val="fr-FR"/>
        </w:rPr>
        <w:t> </w:t>
      </w:r>
      <w:r>
        <w:rPr>
          <w:lang w:val="fr-FR"/>
        </w:rPr>
        <w:t>mm de l’axe Cr</w:t>
      </w:r>
      <w:r w:rsidRPr="00413B50">
        <w:rPr>
          <w:lang w:val="fr-FR"/>
        </w:rPr>
        <w:t xml:space="preserve"> </w:t>
      </w:r>
      <w:r w:rsidRPr="00EB1F0B">
        <w:rPr>
          <w:lang w:val="fr-FR"/>
        </w:rPr>
        <w:t>les mesures étant effectuées lorsque</w:t>
      </w:r>
      <w:r>
        <w:rPr>
          <w:lang w:val="fr-FR"/>
        </w:rPr>
        <w:t xml:space="preserve"> le système amélioré de retenue pour enfants est placé sur la banquette d’essai dynamique, installée conformément au paragraphe</w:t>
      </w:r>
      <w:r w:rsidR="00117A7D">
        <w:rPr>
          <w:lang w:val="fr-FR"/>
        </w:rPr>
        <w:t> </w:t>
      </w:r>
      <w:r>
        <w:rPr>
          <w:lang w:val="fr-FR"/>
        </w:rPr>
        <w:t>7.1.3.5.2.2 du présent Règlement, sans mannequin. Cette condition s’applique pour tous les réglages et à tous les trajets de la sangle. ».</w:t>
      </w:r>
    </w:p>
    <w:p w14:paraId="78553163" w14:textId="77777777" w:rsidR="000C5F00" w:rsidRPr="000F4C12" w:rsidRDefault="000C5F00" w:rsidP="005A1309">
      <w:pPr>
        <w:pStyle w:val="SingleTxtG"/>
        <w:keepNext/>
        <w:rPr>
          <w:i/>
        </w:rPr>
      </w:pPr>
      <w:r>
        <w:rPr>
          <w:i/>
          <w:iCs/>
          <w:lang w:val="fr-FR"/>
        </w:rPr>
        <w:t>Paragraphes 6.6.4 à 6.6.4.1.2.3</w:t>
      </w:r>
      <w:r>
        <w:rPr>
          <w:lang w:val="fr-FR"/>
        </w:rPr>
        <w:t>, lire :</w:t>
      </w:r>
    </w:p>
    <w:p w14:paraId="77548D0F" w14:textId="77777777" w:rsidR="000C5F00" w:rsidRPr="000F4C12" w:rsidRDefault="000C5F00" w:rsidP="00BE3D02">
      <w:pPr>
        <w:pStyle w:val="SingleTxtG"/>
        <w:keepNext/>
        <w:ind w:left="2268" w:hanging="1134"/>
        <w:jc w:val="left"/>
      </w:pPr>
      <w:r>
        <w:rPr>
          <w:lang w:val="fr-FR"/>
        </w:rPr>
        <w:t>« 6.6.4</w:t>
      </w:r>
      <w:r>
        <w:rPr>
          <w:lang w:val="fr-FR"/>
        </w:rPr>
        <w:tab/>
        <w:t>Essais dynamiques</w:t>
      </w:r>
    </w:p>
    <w:p w14:paraId="01B48073" w14:textId="32DD9311" w:rsidR="000C5F00" w:rsidRPr="000F4C12" w:rsidRDefault="000C5F00" w:rsidP="00145464">
      <w:pPr>
        <w:pStyle w:val="SingleTxtG"/>
        <w:ind w:left="2268" w:hanging="1134"/>
        <w:rPr>
          <w:bCs/>
        </w:rPr>
      </w:pPr>
      <w:r>
        <w:rPr>
          <w:lang w:val="fr-FR"/>
        </w:rPr>
        <w:t>6.6.4.1</w:t>
      </w:r>
      <w:r>
        <w:rPr>
          <w:lang w:val="fr-FR"/>
        </w:rPr>
        <w:tab/>
        <w:t>Dispositions générales</w:t>
      </w:r>
      <w:r w:rsidR="00BE3D02">
        <w:rPr>
          <w:lang w:val="fr-FR"/>
        </w:rPr>
        <w:t> </w:t>
      </w:r>
      <w:r>
        <w:rPr>
          <w:lang w:val="fr-FR"/>
        </w:rPr>
        <w:t>: Les systèmes améliorés de retenue pour enfants qui n’ont pas encore été soumis à une quelconque charge doivent être soumis aux essais dynamiques indiqués dans le tableau 3, conformément au paragraphe</w:t>
      </w:r>
      <w:r w:rsidR="00BE3D02">
        <w:rPr>
          <w:lang w:val="fr-FR"/>
        </w:rPr>
        <w:t> </w:t>
      </w:r>
      <w:r>
        <w:rPr>
          <w:lang w:val="fr-FR"/>
        </w:rPr>
        <w:t>7.1.3 ci-dessous :</w:t>
      </w:r>
    </w:p>
    <w:p w14:paraId="7DD1777E" w14:textId="61100DF8" w:rsidR="000C5F00" w:rsidRPr="000F4C12" w:rsidRDefault="000C5F00" w:rsidP="00155D22">
      <w:pPr>
        <w:pStyle w:val="Titre1"/>
        <w:tabs>
          <w:tab w:val="left" w:pos="720"/>
        </w:tabs>
        <w:spacing w:after="120"/>
        <w:ind w:left="0"/>
        <w:rPr>
          <w:b/>
        </w:rPr>
      </w:pPr>
      <w:r>
        <w:rPr>
          <w:lang w:val="fr-FR"/>
        </w:rPr>
        <w:t>Tableau 3</w:t>
      </w:r>
      <w:r w:rsidR="00BE3D02">
        <w:rPr>
          <w:lang w:val="fr-FR"/>
        </w:rPr>
        <w:br/>
      </w:r>
      <w:r>
        <w:rPr>
          <w:b/>
          <w:bCs/>
          <w:lang w:val="fr-FR"/>
        </w:rPr>
        <w:t>Application de différents critères selon le montage d’essai</w:t>
      </w:r>
      <w:r w:rsidR="00155D22">
        <w:rPr>
          <w:b/>
          <w:bCs/>
          <w:lang w:val="fr-FR"/>
        </w:rPr>
        <w:t xml:space="preserve"> </w:t>
      </w:r>
    </w:p>
    <w:tbl>
      <w:tblPr>
        <w:tblW w:w="9638" w:type="dxa"/>
        <w:tblLayout w:type="fixed"/>
        <w:tblCellMar>
          <w:left w:w="0" w:type="dxa"/>
          <w:right w:w="0" w:type="dxa"/>
        </w:tblCellMar>
        <w:tblLook w:val="04A0" w:firstRow="1" w:lastRow="0" w:firstColumn="1" w:lastColumn="0" w:noHBand="0" w:noVBand="1"/>
      </w:tblPr>
      <w:tblGrid>
        <w:gridCol w:w="849"/>
        <w:gridCol w:w="1164"/>
        <w:gridCol w:w="933"/>
        <w:gridCol w:w="1091"/>
        <w:gridCol w:w="1604"/>
        <w:gridCol w:w="1862"/>
        <w:gridCol w:w="800"/>
        <w:gridCol w:w="1335"/>
      </w:tblGrid>
      <w:tr w:rsidR="00B765A7" w:rsidRPr="00B765A7" w14:paraId="5B5EE3D2" w14:textId="77777777" w:rsidTr="00494B41">
        <w:trPr>
          <w:tblHeader/>
        </w:trPr>
        <w:tc>
          <w:tcPr>
            <w:tcW w:w="4037" w:type="dxa"/>
            <w:gridSpan w:val="4"/>
            <w:tcBorders>
              <w:top w:val="single" w:sz="4" w:space="0" w:color="auto"/>
              <w:bottom w:val="single" w:sz="4" w:space="0" w:color="auto"/>
            </w:tcBorders>
            <w:shd w:val="clear" w:color="auto" w:fill="auto"/>
            <w:vAlign w:val="bottom"/>
            <w:hideMark/>
          </w:tcPr>
          <w:p w14:paraId="67E224D5" w14:textId="77777777" w:rsidR="000C5F00" w:rsidRPr="00B765A7" w:rsidRDefault="000C5F00" w:rsidP="00155D22">
            <w:pPr>
              <w:spacing w:before="80" w:after="80" w:line="200" w:lineRule="exact"/>
              <w:ind w:right="113"/>
              <w:jc w:val="center"/>
              <w:rPr>
                <w:i/>
                <w:sz w:val="16"/>
                <w:szCs w:val="18"/>
              </w:rPr>
            </w:pPr>
            <w:r w:rsidRPr="00B765A7">
              <w:rPr>
                <w:i/>
                <w:sz w:val="16"/>
                <w:lang w:val="fr-FR"/>
              </w:rPr>
              <w:t>Choc avant</w:t>
            </w:r>
          </w:p>
        </w:tc>
        <w:tc>
          <w:tcPr>
            <w:tcW w:w="3466" w:type="dxa"/>
            <w:gridSpan w:val="2"/>
            <w:tcBorders>
              <w:top w:val="single" w:sz="4" w:space="0" w:color="auto"/>
              <w:bottom w:val="single" w:sz="4" w:space="0" w:color="auto"/>
            </w:tcBorders>
            <w:shd w:val="clear" w:color="auto" w:fill="auto"/>
            <w:vAlign w:val="bottom"/>
            <w:hideMark/>
          </w:tcPr>
          <w:p w14:paraId="69ABEB0C" w14:textId="77777777" w:rsidR="000C5F00" w:rsidRPr="00B765A7" w:rsidRDefault="000C5F00" w:rsidP="00155D22">
            <w:pPr>
              <w:spacing w:before="80" w:after="80" w:line="200" w:lineRule="exact"/>
              <w:ind w:right="113"/>
              <w:jc w:val="center"/>
              <w:rPr>
                <w:i/>
                <w:sz w:val="16"/>
                <w:szCs w:val="18"/>
              </w:rPr>
            </w:pPr>
            <w:r w:rsidRPr="00B765A7">
              <w:rPr>
                <w:i/>
                <w:sz w:val="16"/>
                <w:lang w:val="fr-FR"/>
              </w:rPr>
              <w:t>Choc arrière</w:t>
            </w:r>
          </w:p>
        </w:tc>
        <w:tc>
          <w:tcPr>
            <w:tcW w:w="2135" w:type="dxa"/>
            <w:gridSpan w:val="2"/>
            <w:tcBorders>
              <w:top w:val="single" w:sz="4" w:space="0" w:color="auto"/>
              <w:bottom w:val="single" w:sz="4" w:space="0" w:color="auto"/>
            </w:tcBorders>
            <w:shd w:val="clear" w:color="auto" w:fill="auto"/>
            <w:vAlign w:val="bottom"/>
            <w:hideMark/>
          </w:tcPr>
          <w:p w14:paraId="03652C3D" w14:textId="77777777" w:rsidR="000C5F00" w:rsidRPr="00B765A7" w:rsidRDefault="000C5F00" w:rsidP="00155D22">
            <w:pPr>
              <w:spacing w:before="80" w:after="80" w:line="200" w:lineRule="exact"/>
              <w:ind w:right="113"/>
              <w:jc w:val="center"/>
              <w:rPr>
                <w:i/>
                <w:sz w:val="16"/>
                <w:szCs w:val="18"/>
              </w:rPr>
            </w:pPr>
            <w:r w:rsidRPr="00B765A7">
              <w:rPr>
                <w:i/>
                <w:sz w:val="16"/>
                <w:lang w:val="fr-FR"/>
              </w:rPr>
              <w:t>Choc latéral</w:t>
            </w:r>
          </w:p>
        </w:tc>
      </w:tr>
      <w:tr w:rsidR="00B765A7" w:rsidRPr="00155D22" w14:paraId="553B4486" w14:textId="77777777" w:rsidTr="00494B41">
        <w:tc>
          <w:tcPr>
            <w:tcW w:w="2013" w:type="dxa"/>
            <w:gridSpan w:val="2"/>
            <w:tcBorders>
              <w:top w:val="single" w:sz="4" w:space="0" w:color="auto"/>
              <w:bottom w:val="single" w:sz="12" w:space="0" w:color="auto"/>
            </w:tcBorders>
            <w:shd w:val="clear" w:color="auto" w:fill="auto"/>
            <w:hideMark/>
          </w:tcPr>
          <w:p w14:paraId="6256C9F3" w14:textId="1DE1FEF7" w:rsidR="000C5F00" w:rsidRPr="00155D22" w:rsidRDefault="000C5F00" w:rsidP="00155D22">
            <w:pPr>
              <w:spacing w:before="80" w:after="80" w:line="200" w:lineRule="exact"/>
              <w:ind w:right="113"/>
              <w:jc w:val="center"/>
              <w:rPr>
                <w:i/>
                <w:sz w:val="16"/>
                <w:lang w:val="fr-FR"/>
              </w:rPr>
            </w:pPr>
            <w:r w:rsidRPr="00155D22">
              <w:rPr>
                <w:i/>
                <w:sz w:val="16"/>
                <w:lang w:val="fr-FR"/>
              </w:rPr>
              <w:t xml:space="preserve">Essai sur chariot </w:t>
            </w:r>
            <w:r w:rsidR="00494B41">
              <w:rPr>
                <w:i/>
                <w:sz w:val="16"/>
                <w:lang w:val="fr-FR"/>
              </w:rPr>
              <w:br/>
            </w:r>
            <w:r w:rsidRPr="00155D22">
              <w:rPr>
                <w:i/>
                <w:sz w:val="16"/>
                <w:lang w:val="fr-FR"/>
              </w:rPr>
              <w:t>+ siège normalisé</w:t>
            </w:r>
          </w:p>
        </w:tc>
        <w:tc>
          <w:tcPr>
            <w:tcW w:w="2024" w:type="dxa"/>
            <w:gridSpan w:val="2"/>
            <w:tcBorders>
              <w:top w:val="single" w:sz="4" w:space="0" w:color="auto"/>
              <w:bottom w:val="single" w:sz="12" w:space="0" w:color="auto"/>
            </w:tcBorders>
            <w:shd w:val="clear" w:color="auto" w:fill="auto"/>
            <w:hideMark/>
          </w:tcPr>
          <w:p w14:paraId="368E673D" w14:textId="42324731" w:rsidR="000C5F00" w:rsidRPr="00155D22" w:rsidRDefault="000C5F00" w:rsidP="00155D22">
            <w:pPr>
              <w:spacing w:before="80" w:after="80" w:line="200" w:lineRule="exact"/>
              <w:ind w:right="113"/>
              <w:jc w:val="center"/>
              <w:rPr>
                <w:i/>
                <w:sz w:val="16"/>
                <w:lang w:val="fr-FR"/>
              </w:rPr>
            </w:pPr>
            <w:r w:rsidRPr="00155D22">
              <w:rPr>
                <w:i/>
                <w:sz w:val="16"/>
                <w:lang w:val="fr-FR"/>
              </w:rPr>
              <w:t xml:space="preserve">Essai dans une carrosserie </w:t>
            </w:r>
            <w:r w:rsidR="00494B41">
              <w:rPr>
                <w:i/>
                <w:sz w:val="16"/>
                <w:lang w:val="fr-FR"/>
              </w:rPr>
              <w:br/>
            </w:r>
            <w:r w:rsidRPr="00155D22">
              <w:rPr>
                <w:i/>
                <w:sz w:val="16"/>
                <w:lang w:val="fr-FR"/>
              </w:rPr>
              <w:t>de véhicule</w:t>
            </w:r>
          </w:p>
        </w:tc>
        <w:tc>
          <w:tcPr>
            <w:tcW w:w="1604" w:type="dxa"/>
            <w:tcBorders>
              <w:top w:val="single" w:sz="4" w:space="0" w:color="auto"/>
              <w:bottom w:val="single" w:sz="12" w:space="0" w:color="auto"/>
            </w:tcBorders>
            <w:shd w:val="clear" w:color="auto" w:fill="auto"/>
            <w:hideMark/>
          </w:tcPr>
          <w:p w14:paraId="101B6196" w14:textId="01FF0D3F" w:rsidR="000C5F00" w:rsidRPr="00155D22" w:rsidRDefault="000C5F00" w:rsidP="00155D22">
            <w:pPr>
              <w:spacing w:before="80" w:after="80" w:line="200" w:lineRule="exact"/>
              <w:ind w:right="113"/>
              <w:jc w:val="center"/>
              <w:rPr>
                <w:i/>
                <w:sz w:val="16"/>
                <w:lang w:val="fr-FR"/>
              </w:rPr>
            </w:pPr>
            <w:r w:rsidRPr="00155D22">
              <w:rPr>
                <w:i/>
                <w:sz w:val="16"/>
                <w:lang w:val="fr-FR"/>
              </w:rPr>
              <w:t xml:space="preserve">Essai sur chariot </w:t>
            </w:r>
            <w:r w:rsidR="00494B41">
              <w:rPr>
                <w:i/>
                <w:sz w:val="16"/>
                <w:lang w:val="fr-FR"/>
              </w:rPr>
              <w:br/>
            </w:r>
            <w:r w:rsidRPr="00155D22">
              <w:rPr>
                <w:i/>
                <w:sz w:val="16"/>
                <w:lang w:val="fr-FR"/>
              </w:rPr>
              <w:t>+ siège normalisé</w:t>
            </w:r>
          </w:p>
        </w:tc>
        <w:tc>
          <w:tcPr>
            <w:tcW w:w="1862" w:type="dxa"/>
            <w:tcBorders>
              <w:top w:val="single" w:sz="4" w:space="0" w:color="auto"/>
              <w:bottom w:val="single" w:sz="12" w:space="0" w:color="auto"/>
            </w:tcBorders>
            <w:shd w:val="clear" w:color="auto" w:fill="auto"/>
            <w:hideMark/>
          </w:tcPr>
          <w:p w14:paraId="057B637B" w14:textId="77777777" w:rsidR="000C5F00" w:rsidRPr="00155D22" w:rsidRDefault="000C5F00" w:rsidP="00155D22">
            <w:pPr>
              <w:spacing w:before="80" w:after="80" w:line="200" w:lineRule="exact"/>
              <w:ind w:right="113"/>
              <w:jc w:val="center"/>
              <w:rPr>
                <w:i/>
                <w:sz w:val="16"/>
                <w:lang w:val="fr-FR"/>
              </w:rPr>
            </w:pPr>
            <w:r w:rsidRPr="00155D22">
              <w:rPr>
                <w:i/>
                <w:sz w:val="16"/>
                <w:lang w:val="fr-FR"/>
              </w:rPr>
              <w:t>Essai dans une carrosserie de véhicule</w:t>
            </w:r>
          </w:p>
        </w:tc>
        <w:tc>
          <w:tcPr>
            <w:tcW w:w="2135" w:type="dxa"/>
            <w:gridSpan w:val="2"/>
            <w:tcBorders>
              <w:top w:val="single" w:sz="4" w:space="0" w:color="auto"/>
              <w:bottom w:val="single" w:sz="12" w:space="0" w:color="auto"/>
            </w:tcBorders>
            <w:shd w:val="clear" w:color="auto" w:fill="auto"/>
            <w:hideMark/>
          </w:tcPr>
          <w:p w14:paraId="69A40AB2" w14:textId="3BAA472C" w:rsidR="000C5F00" w:rsidRPr="00155D22" w:rsidRDefault="000C5F00" w:rsidP="00155D22">
            <w:pPr>
              <w:spacing w:before="80" w:after="80" w:line="200" w:lineRule="exact"/>
              <w:ind w:right="113"/>
              <w:jc w:val="center"/>
              <w:rPr>
                <w:i/>
                <w:sz w:val="16"/>
                <w:lang w:val="fr-FR"/>
              </w:rPr>
            </w:pPr>
            <w:r w:rsidRPr="00155D22">
              <w:rPr>
                <w:i/>
                <w:sz w:val="16"/>
                <w:lang w:val="fr-FR"/>
              </w:rPr>
              <w:t xml:space="preserve">Essai sur chariot </w:t>
            </w:r>
            <w:r w:rsidR="00155D22">
              <w:rPr>
                <w:i/>
                <w:sz w:val="16"/>
                <w:lang w:val="fr-FR"/>
              </w:rPr>
              <w:br/>
            </w:r>
            <w:r w:rsidRPr="00155D22">
              <w:rPr>
                <w:i/>
                <w:sz w:val="16"/>
                <w:lang w:val="fr-FR"/>
              </w:rPr>
              <w:t>+ siège normalisé</w:t>
            </w:r>
          </w:p>
        </w:tc>
      </w:tr>
      <w:tr w:rsidR="00494B41" w:rsidRPr="00155D22" w14:paraId="2D1644D7" w14:textId="77777777" w:rsidTr="00494B41">
        <w:tc>
          <w:tcPr>
            <w:tcW w:w="849" w:type="dxa"/>
            <w:tcBorders>
              <w:top w:val="single" w:sz="12" w:space="0" w:color="auto"/>
              <w:bottom w:val="single" w:sz="12" w:space="0" w:color="auto"/>
            </w:tcBorders>
            <w:shd w:val="clear" w:color="auto" w:fill="auto"/>
            <w:hideMark/>
          </w:tcPr>
          <w:p w14:paraId="5DC0BE2A"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l’avant</w:t>
            </w:r>
          </w:p>
        </w:tc>
        <w:tc>
          <w:tcPr>
            <w:tcW w:w="1164" w:type="dxa"/>
            <w:tcBorders>
              <w:top w:val="single" w:sz="12" w:space="0" w:color="auto"/>
              <w:bottom w:val="single" w:sz="12" w:space="0" w:color="auto"/>
            </w:tcBorders>
            <w:shd w:val="clear" w:color="auto" w:fill="auto"/>
            <w:hideMark/>
          </w:tcPr>
          <w:p w14:paraId="464C4A44"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933" w:type="dxa"/>
            <w:tcBorders>
              <w:top w:val="single" w:sz="12" w:space="0" w:color="auto"/>
              <w:bottom w:val="single" w:sz="12" w:space="0" w:color="auto"/>
            </w:tcBorders>
            <w:shd w:val="clear" w:color="auto" w:fill="auto"/>
            <w:hideMark/>
          </w:tcPr>
          <w:p w14:paraId="77C9F9F4"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l’avant</w:t>
            </w:r>
          </w:p>
        </w:tc>
        <w:tc>
          <w:tcPr>
            <w:tcW w:w="1091" w:type="dxa"/>
            <w:tcBorders>
              <w:top w:val="single" w:sz="12" w:space="0" w:color="auto"/>
              <w:bottom w:val="single" w:sz="12" w:space="0" w:color="auto"/>
            </w:tcBorders>
            <w:shd w:val="clear" w:color="auto" w:fill="auto"/>
            <w:hideMark/>
          </w:tcPr>
          <w:p w14:paraId="1A86EB05"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1604" w:type="dxa"/>
            <w:tcBorders>
              <w:top w:val="single" w:sz="12" w:space="0" w:color="auto"/>
              <w:bottom w:val="single" w:sz="12" w:space="0" w:color="auto"/>
            </w:tcBorders>
            <w:shd w:val="clear" w:color="auto" w:fill="auto"/>
            <w:hideMark/>
          </w:tcPr>
          <w:p w14:paraId="44F2EF84"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1862" w:type="dxa"/>
            <w:tcBorders>
              <w:top w:val="single" w:sz="12" w:space="0" w:color="auto"/>
              <w:bottom w:val="single" w:sz="12" w:space="0" w:color="auto"/>
            </w:tcBorders>
            <w:shd w:val="clear" w:color="auto" w:fill="auto"/>
            <w:hideMark/>
          </w:tcPr>
          <w:p w14:paraId="36DB667B"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800" w:type="dxa"/>
            <w:tcBorders>
              <w:top w:val="single" w:sz="12" w:space="0" w:color="auto"/>
              <w:bottom w:val="single" w:sz="12" w:space="0" w:color="auto"/>
            </w:tcBorders>
            <w:shd w:val="clear" w:color="auto" w:fill="auto"/>
            <w:hideMark/>
          </w:tcPr>
          <w:p w14:paraId="19F75A1F"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l’avant</w:t>
            </w:r>
          </w:p>
        </w:tc>
        <w:tc>
          <w:tcPr>
            <w:tcW w:w="1335" w:type="dxa"/>
            <w:tcBorders>
              <w:top w:val="single" w:sz="12" w:space="0" w:color="auto"/>
              <w:bottom w:val="single" w:sz="12" w:space="0" w:color="auto"/>
            </w:tcBorders>
            <w:shd w:val="clear" w:color="auto" w:fill="auto"/>
            <w:hideMark/>
          </w:tcPr>
          <w:p w14:paraId="41491E25" w14:textId="77777777" w:rsidR="000C5F00" w:rsidRPr="00155D22" w:rsidRDefault="000C5F00" w:rsidP="00155D22">
            <w:pPr>
              <w:spacing w:before="40" w:after="120" w:line="220" w:lineRule="atLeast"/>
              <w:ind w:right="113"/>
              <w:rPr>
                <w:b/>
                <w:sz w:val="18"/>
                <w:szCs w:val="18"/>
              </w:rPr>
            </w:pPr>
            <w:r w:rsidRPr="00155D22">
              <w:rPr>
                <w:sz w:val="18"/>
                <w:szCs w:val="18"/>
                <w:lang w:val="fr-FR"/>
              </w:rPr>
              <w:t>Sièges faisant face vers l’arrière et sièges faisant face vers le côté</w:t>
            </w:r>
          </w:p>
        </w:tc>
      </w:tr>
    </w:tbl>
    <w:p w14:paraId="71AF313B" w14:textId="77777777" w:rsidR="00B765A7" w:rsidRPr="00117A7D" w:rsidRDefault="00BE3D02" w:rsidP="00117A7D">
      <w:pPr>
        <w:pStyle w:val="SingleTxtG"/>
        <w:spacing w:before="120" w:after="0" w:line="220" w:lineRule="atLeast"/>
        <w:ind w:left="0" w:right="0" w:firstLine="170"/>
        <w:rPr>
          <w:sz w:val="18"/>
          <w:szCs w:val="18"/>
          <w:lang w:val="fr-FR"/>
        </w:rPr>
      </w:pPr>
      <w:r w:rsidRPr="00117A7D">
        <w:rPr>
          <w:i/>
          <w:iCs/>
          <w:sz w:val="18"/>
          <w:szCs w:val="18"/>
          <w:lang w:val="fr-FR"/>
        </w:rPr>
        <w:t xml:space="preserve">Note 1 </w:t>
      </w:r>
      <w:r w:rsidRPr="00117A7D">
        <w:rPr>
          <w:sz w:val="18"/>
          <w:szCs w:val="18"/>
          <w:lang w:val="fr-FR"/>
        </w:rPr>
        <w:t>: Par siège normalisé, on entend un siège d’essai ou une banquette d’essai, selon les définitions de l’annexe 6.</w:t>
      </w:r>
    </w:p>
    <w:p w14:paraId="7AC962BE" w14:textId="345D1303" w:rsidR="000C5F00" w:rsidRPr="00117A7D" w:rsidRDefault="00BE3D02" w:rsidP="00117A7D">
      <w:pPr>
        <w:pStyle w:val="SingleTxtG"/>
        <w:spacing w:after="240" w:line="220" w:lineRule="atLeast"/>
        <w:ind w:left="0" w:right="0" w:firstLine="170"/>
        <w:rPr>
          <w:sz w:val="18"/>
          <w:szCs w:val="18"/>
        </w:rPr>
      </w:pPr>
      <w:r w:rsidRPr="00117A7D">
        <w:rPr>
          <w:i/>
          <w:iCs/>
          <w:sz w:val="18"/>
          <w:szCs w:val="18"/>
        </w:rPr>
        <w:t>Note 2</w:t>
      </w:r>
      <w:r w:rsidRPr="00117A7D">
        <w:rPr>
          <w:sz w:val="18"/>
          <w:szCs w:val="18"/>
        </w:rPr>
        <w:t xml:space="preserve"> : Dans le cas des systèmes améliorés de retenue pour enfants faisant face vers le côté lors d’un choc latéral, si deux positions sont possibles, la tête du mannequin doit se trouver près de la porte latérale.</w:t>
      </w:r>
    </w:p>
    <w:p w14:paraId="1ADE0CC9" w14:textId="4F8326B4" w:rsidR="000C5F00" w:rsidRPr="000F4C12" w:rsidRDefault="000C5F00" w:rsidP="00145464">
      <w:pPr>
        <w:pStyle w:val="SingleTxtG"/>
        <w:ind w:left="2268" w:hanging="1134"/>
      </w:pPr>
      <w:bookmarkStart w:id="0" w:name="_Hlk144986689"/>
      <w:r>
        <w:rPr>
          <w:lang w:val="fr-FR"/>
        </w:rPr>
        <w:t>6.6.4.1.1</w:t>
      </w:r>
      <w:r>
        <w:rPr>
          <w:lang w:val="fr-FR"/>
        </w:rPr>
        <w:tab/>
        <w:t xml:space="preserve">Les systèmes améliorés de retenue pour enfants </w:t>
      </w:r>
      <w:proofErr w:type="spellStart"/>
      <w:r>
        <w:rPr>
          <w:lang w:val="fr-FR"/>
        </w:rPr>
        <w:t>d</w:t>
      </w:r>
      <w:r>
        <w:rPr>
          <w:b/>
          <w:bCs/>
          <w:lang w:val="fr-FR"/>
        </w:rPr>
        <w:t>es</w:t>
      </w:r>
      <w:r>
        <w:rPr>
          <w:strike/>
          <w:lang w:val="fr-FR"/>
        </w:rPr>
        <w:t>u</w:t>
      </w:r>
      <w:proofErr w:type="spellEnd"/>
      <w:r>
        <w:rPr>
          <w:lang w:val="fr-FR"/>
        </w:rPr>
        <w:t xml:space="preserve"> type</w:t>
      </w:r>
      <w:r>
        <w:rPr>
          <w:b/>
          <w:bCs/>
          <w:lang w:val="fr-FR"/>
        </w:rPr>
        <w:t>s</w:t>
      </w:r>
      <w:r>
        <w:rPr>
          <w:lang w:val="fr-FR"/>
        </w:rPr>
        <w:t xml:space="preserve"> i-Size </w:t>
      </w:r>
      <w:r>
        <w:rPr>
          <w:b/>
          <w:bCs/>
          <w:lang w:val="fr-FR"/>
        </w:rPr>
        <w:t xml:space="preserve">et universel </w:t>
      </w:r>
      <w:r>
        <w:rPr>
          <w:lang w:val="fr-FR"/>
        </w:rPr>
        <w:t>doivent être soumis aux essais sur le chariot d’essai, au moyen de la banquette d’essai prescrite à l’annexe 6, et conformément au paragraphe</w:t>
      </w:r>
      <w:r w:rsidR="00117A7D">
        <w:rPr>
          <w:lang w:val="fr-FR"/>
        </w:rPr>
        <w:t> </w:t>
      </w:r>
      <w:r>
        <w:rPr>
          <w:lang w:val="fr-FR"/>
        </w:rPr>
        <w:t>7.1.3.1 ci</w:t>
      </w:r>
      <w:r w:rsidR="000A3CAE">
        <w:rPr>
          <w:lang w:val="fr-FR"/>
        </w:rPr>
        <w:noBreakHyphen/>
      </w:r>
      <w:r>
        <w:rPr>
          <w:lang w:val="fr-FR"/>
        </w:rPr>
        <w:t>dessous.</w:t>
      </w:r>
    </w:p>
    <w:p w14:paraId="539D34F0" w14:textId="77777777" w:rsidR="000C5F00" w:rsidRPr="000F4C12" w:rsidRDefault="000C5F00" w:rsidP="00145464">
      <w:pPr>
        <w:pStyle w:val="SingleTxtG"/>
        <w:ind w:left="2268" w:hanging="1134"/>
        <w:rPr>
          <w:iCs/>
        </w:rPr>
      </w:pPr>
      <w:bookmarkStart w:id="1" w:name="_Hlk144986699"/>
      <w:bookmarkEnd w:id="0"/>
      <w:r>
        <w:rPr>
          <w:lang w:val="fr-FR"/>
        </w:rPr>
        <w:t xml:space="preserve">6.6.4.1.2 </w:t>
      </w:r>
      <w:r>
        <w:rPr>
          <w:lang w:val="fr-FR"/>
        </w:rPr>
        <w:tab/>
      </w:r>
      <w:r>
        <w:rPr>
          <w:strike/>
          <w:lang w:val="fr-FR"/>
        </w:rPr>
        <w:t>Les systèmes améliorés de retenue pour enfants spécifiques à un véhicule doivent être soumis aux essais dans chacun des modèles de véhicule pour lesquels ces systèmes sont conçus.</w:t>
      </w:r>
      <w:r>
        <w:rPr>
          <w:lang w:val="fr-FR"/>
        </w:rPr>
        <w:t xml:space="preserve"> </w:t>
      </w:r>
      <w:r>
        <w:rPr>
          <w:strike/>
          <w:lang w:val="fr-FR"/>
        </w:rPr>
        <w:t>Le service technique chargé des essais peut réduire le nombre de configurations de véhicule soumis aux essais, à condition que ces dernières ne présentent pas de grandes différences en ce qui concerne les aspects énumérés au paragraphe 6.6.4.1.2.3 du présent Règlement.</w:t>
      </w:r>
      <w:r>
        <w:rPr>
          <w:lang w:val="fr-FR"/>
        </w:rPr>
        <w:t xml:space="preserve"> Les systèmes améliorés de retenue pour enfants </w:t>
      </w:r>
      <w:r>
        <w:rPr>
          <w:b/>
          <w:bCs/>
          <w:lang w:val="fr-FR"/>
        </w:rPr>
        <w:t>spécifiques à un véhicule</w:t>
      </w:r>
      <w:r>
        <w:rPr>
          <w:lang w:val="fr-FR"/>
        </w:rPr>
        <w:t xml:space="preserve"> doivent être soumis aux essais</w:t>
      </w:r>
      <w:r>
        <w:rPr>
          <w:strike/>
          <w:lang w:val="fr-FR"/>
        </w:rPr>
        <w:t xml:space="preserve"> dynamiques</w:t>
      </w:r>
      <w:r>
        <w:rPr>
          <w:lang w:val="fr-FR"/>
        </w:rPr>
        <w:t xml:space="preserve"> selon l’une des modalités suivantes :</w:t>
      </w:r>
    </w:p>
    <w:p w14:paraId="5104C4B0" w14:textId="77777777" w:rsidR="000C5F00" w:rsidRPr="00413B50" w:rsidRDefault="000C5F00" w:rsidP="00145464">
      <w:pPr>
        <w:pStyle w:val="SingleTxtG"/>
        <w:ind w:left="2268" w:hanging="1134"/>
        <w:rPr>
          <w:bCs/>
        </w:rPr>
      </w:pPr>
      <w:bookmarkStart w:id="2" w:name="_Hlk144986722"/>
      <w:bookmarkEnd w:id="1"/>
      <w:r>
        <w:rPr>
          <w:lang w:val="fr-FR"/>
        </w:rPr>
        <w:t>6.6.4.1.2.1</w:t>
      </w:r>
      <w:r>
        <w:rPr>
          <w:lang w:val="fr-FR"/>
        </w:rPr>
        <w:tab/>
      </w:r>
      <w:r>
        <w:rPr>
          <w:strike/>
          <w:lang w:val="fr-FR"/>
        </w:rPr>
        <w:t xml:space="preserve">S’agissant </w:t>
      </w:r>
      <w:proofErr w:type="spellStart"/>
      <w:r>
        <w:rPr>
          <w:strike/>
          <w:lang w:val="fr-FR"/>
        </w:rPr>
        <w:t>d</w:t>
      </w:r>
      <w:r>
        <w:rPr>
          <w:b/>
          <w:bCs/>
          <w:lang w:val="fr-FR"/>
        </w:rPr>
        <w:t>L</w:t>
      </w:r>
      <w:r>
        <w:rPr>
          <w:lang w:val="fr-FR"/>
        </w:rPr>
        <w:t>es</w:t>
      </w:r>
      <w:proofErr w:type="spellEnd"/>
      <w:r>
        <w:rPr>
          <w:lang w:val="fr-FR"/>
        </w:rPr>
        <w:t xml:space="preserve"> systèmes améliorés de retenue pour enfants </w:t>
      </w:r>
      <w:r>
        <w:rPr>
          <w:b/>
          <w:bCs/>
          <w:lang w:val="fr-FR"/>
        </w:rPr>
        <w:t>spécifiques à un véhicule</w:t>
      </w:r>
      <w:r>
        <w:rPr>
          <w:strike/>
          <w:lang w:val="fr-FR"/>
        </w:rPr>
        <w:t xml:space="preserve"> définis au paragraphe 2.7 et conformes aux dispositions du paragraphe 6.3 du présent Règlement qui entrent dans au moins une enveloppe définie à l’appendice 2 de l’annexe 17 du Règlement ONU no 16,</w:t>
      </w:r>
      <w:r>
        <w:rPr>
          <w:lang w:val="fr-FR"/>
        </w:rPr>
        <w:t xml:space="preserve"> </w:t>
      </w:r>
      <w:r>
        <w:rPr>
          <w:b/>
          <w:bCs/>
          <w:lang w:val="fr-FR"/>
        </w:rPr>
        <w:t xml:space="preserve">qui se fixent à l’aide de la ceinture de sécurité pour adultes ou d’attaches ISOFIX qui satisfont aux prescriptions du paragraphe 6.3.3 doivent être soumis aux essais dynamiques </w:t>
      </w:r>
      <w:r>
        <w:rPr>
          <w:lang w:val="fr-FR"/>
        </w:rPr>
        <w:t>sur la banquette d’essai prescrite à l’annexe 6 et conformément au paragraphe 7.1.3.1 du présent Règlement</w:t>
      </w:r>
      <w:r>
        <w:rPr>
          <w:b/>
          <w:bCs/>
          <w:lang w:val="fr-FR"/>
        </w:rPr>
        <w:t>.</w:t>
      </w:r>
      <w:r>
        <w:rPr>
          <w:lang w:val="fr-FR"/>
        </w:rPr>
        <w:t xml:space="preserve"> </w:t>
      </w:r>
      <w:r>
        <w:rPr>
          <w:b/>
          <w:bCs/>
          <w:lang w:val="fr-FR"/>
        </w:rPr>
        <w:t xml:space="preserve">Cette condition </w:t>
      </w:r>
      <w:r>
        <w:rPr>
          <w:b/>
          <w:bCs/>
          <w:lang w:val="fr-FR"/>
        </w:rPr>
        <w:lastRenderedPageBreak/>
        <w:t xml:space="preserve">s’applique uniquement aux systèmes améliorés de retenue pour enfants ISOFIX spécifiques à un véhicule qui sont équipés d’un système </w:t>
      </w:r>
      <w:proofErr w:type="spellStart"/>
      <w:r>
        <w:rPr>
          <w:b/>
          <w:bCs/>
          <w:lang w:val="fr-FR"/>
        </w:rPr>
        <w:t>antirotation</w:t>
      </w:r>
      <w:proofErr w:type="spellEnd"/>
      <w:r>
        <w:rPr>
          <w:b/>
          <w:bCs/>
          <w:lang w:val="fr-FR"/>
        </w:rPr>
        <w:t xml:space="preserve"> conforme aux prescriptions des paragraphes 6.3.4 ou 6.3.5.</w:t>
      </w:r>
      <w:r>
        <w:rPr>
          <w:lang w:val="fr-FR"/>
        </w:rPr>
        <w:t xml:space="preserve"> </w:t>
      </w:r>
      <w:r>
        <w:rPr>
          <w:b/>
          <w:bCs/>
          <w:lang w:val="fr-FR"/>
        </w:rPr>
        <w:t>Ces systèmes de retenue peuvent aussi être soumis aux essais</w:t>
      </w:r>
      <w:r>
        <w:rPr>
          <w:lang w:val="fr-FR"/>
        </w:rPr>
        <w:t xml:space="preserve"> </w:t>
      </w:r>
      <w:r>
        <w:rPr>
          <w:strike/>
          <w:lang w:val="fr-FR"/>
        </w:rPr>
        <w:t xml:space="preserve">ou </w:t>
      </w:r>
      <w:r>
        <w:rPr>
          <w:lang w:val="fr-FR"/>
        </w:rPr>
        <w:t>dans une carrosserie de véhicule, conformément au paragraphe 7.1.3.2 du présent Règlement.</w:t>
      </w:r>
    </w:p>
    <w:p w14:paraId="3EFA6430" w14:textId="77777777" w:rsidR="000C5F00" w:rsidRPr="000F4C12" w:rsidRDefault="000C5F00" w:rsidP="00145464">
      <w:pPr>
        <w:pStyle w:val="SingleTxtG"/>
        <w:ind w:left="2268" w:hanging="1134"/>
        <w:rPr>
          <w:i/>
        </w:rPr>
      </w:pPr>
      <w:bookmarkStart w:id="3" w:name="_Hlk144987253"/>
      <w:bookmarkEnd w:id="2"/>
      <w:r>
        <w:rPr>
          <w:lang w:val="fr-FR"/>
        </w:rPr>
        <w:t>6.6.4.1.2.2</w:t>
      </w:r>
      <w:r>
        <w:rPr>
          <w:lang w:val="fr-FR"/>
        </w:rPr>
        <w:tab/>
      </w:r>
      <w:r>
        <w:rPr>
          <w:strike/>
          <w:lang w:val="fr-FR"/>
        </w:rPr>
        <w:t xml:space="preserve">S’agissant </w:t>
      </w:r>
      <w:proofErr w:type="spellStart"/>
      <w:r>
        <w:rPr>
          <w:strike/>
          <w:lang w:val="fr-FR"/>
        </w:rPr>
        <w:t>d</w:t>
      </w:r>
      <w:r>
        <w:rPr>
          <w:b/>
          <w:bCs/>
          <w:lang w:val="fr-FR"/>
        </w:rPr>
        <w:t>L</w:t>
      </w:r>
      <w:r>
        <w:rPr>
          <w:lang w:val="fr-FR"/>
        </w:rPr>
        <w:t>es</w:t>
      </w:r>
      <w:proofErr w:type="spellEnd"/>
      <w:r>
        <w:rPr>
          <w:lang w:val="fr-FR"/>
        </w:rPr>
        <w:t xml:space="preserve"> systèmes améliorés de retenue pour enfants </w:t>
      </w:r>
      <w:r>
        <w:rPr>
          <w:b/>
          <w:bCs/>
          <w:lang w:val="fr-FR"/>
        </w:rPr>
        <w:t xml:space="preserve">spécifiques à un véhicule </w:t>
      </w:r>
      <w:r>
        <w:rPr>
          <w:strike/>
          <w:lang w:val="fr-FR"/>
        </w:rPr>
        <w:t xml:space="preserve">qui sont conformes aux dispositions du paragraphe 6.3 du présent Règlement (par exemple, les systèmes de retenue non équipés d’un système </w:t>
      </w:r>
      <w:proofErr w:type="spellStart"/>
      <w:r>
        <w:rPr>
          <w:strike/>
          <w:lang w:val="fr-FR"/>
        </w:rPr>
        <w:t>antirotation</w:t>
      </w:r>
      <w:proofErr w:type="spellEnd"/>
      <w:r>
        <w:rPr>
          <w:strike/>
          <w:lang w:val="fr-FR"/>
        </w:rPr>
        <w:t xml:space="preserve"> ou pourvus d’ancrages supplémentaires) ou qui n’entrent dans aucune enveloppe définie à l’appendice 2 de l’annexe 17 du Règlement ONU no 16,</w:t>
      </w:r>
      <w:r>
        <w:rPr>
          <w:lang w:val="fr-FR"/>
        </w:rPr>
        <w:t xml:space="preserve"> </w:t>
      </w:r>
      <w:r>
        <w:rPr>
          <w:b/>
          <w:bCs/>
          <w:lang w:val="fr-FR"/>
        </w:rPr>
        <w:t xml:space="preserve">dont les méthodes de fixation ne sont pas définies dans le présent Règlement doivent être soumis aux essais dynamiques </w:t>
      </w:r>
      <w:r w:rsidRPr="00413B50">
        <w:rPr>
          <w:lang w:val="fr-FR"/>
        </w:rPr>
        <w:t>dans une carrosserie de véhicule</w:t>
      </w:r>
      <w:r>
        <w:rPr>
          <w:strike/>
          <w:lang w:val="fr-FR"/>
        </w:rPr>
        <w:t xml:space="preserve"> montée sur le chariot d’essai</w:t>
      </w:r>
      <w:r>
        <w:rPr>
          <w:lang w:val="fr-FR"/>
        </w:rPr>
        <w:t xml:space="preserve">, conformément au paragraphe 7.1.3.2 du présent Règlement ou dans un véhicule complet, conformément au paragraphe 7.1.3.3 du présent Règlement. </w:t>
      </w:r>
      <w:r>
        <w:rPr>
          <w:b/>
          <w:bCs/>
          <w:lang w:val="fr-FR"/>
        </w:rPr>
        <w:t>Nonobstant les dispositions du paragraphe 6.6.4.1.2.2.1 ci-après, ces essais doivent être menés pour chaque véhicule spécifié dans la liste d’installation du système amélioré de retenue pour enfants.</w:t>
      </w:r>
      <w:r>
        <w:rPr>
          <w:lang w:val="fr-FR"/>
        </w:rPr>
        <w:t xml:space="preserve"> </w:t>
      </w:r>
      <w:r>
        <w:rPr>
          <w:b/>
          <w:bCs/>
          <w:lang w:val="fr-FR"/>
        </w:rPr>
        <w:t xml:space="preserve">Cette condition s’applique également aux systèmes améliorés de retenue pour enfants ISOFIX spécifiques à un véhicule qui ne sont pas équipés d’un système </w:t>
      </w:r>
      <w:proofErr w:type="spellStart"/>
      <w:r>
        <w:rPr>
          <w:b/>
          <w:bCs/>
          <w:lang w:val="fr-FR"/>
        </w:rPr>
        <w:t>antirotation</w:t>
      </w:r>
      <w:proofErr w:type="spellEnd"/>
      <w:r>
        <w:rPr>
          <w:b/>
          <w:bCs/>
          <w:lang w:val="fr-FR"/>
        </w:rPr>
        <w:t xml:space="preserve"> conforme aux prescriptions des paragraphes 6.3.4 ou 6.3.5,</w:t>
      </w:r>
      <w:r>
        <w:rPr>
          <w:lang w:val="fr-FR"/>
        </w:rPr>
        <w:t xml:space="preserve"> </w:t>
      </w:r>
      <w:r>
        <w:rPr>
          <w:b/>
          <w:bCs/>
          <w:lang w:val="fr-FR"/>
        </w:rPr>
        <w:t>mais pour lesquels l’assise du siège du véhicule sert de moyen de limiter la rotation du système de retenue en cas de choc avant.</w:t>
      </w:r>
    </w:p>
    <w:p w14:paraId="26E24D85" w14:textId="77777777" w:rsidR="000C5F00" w:rsidRPr="000F4C12" w:rsidRDefault="000C5F00" w:rsidP="00145464">
      <w:pPr>
        <w:pStyle w:val="SingleTxtG"/>
        <w:ind w:left="2268" w:hanging="1134"/>
      </w:pPr>
      <w:bookmarkStart w:id="4" w:name="_Hlk144988522"/>
      <w:bookmarkEnd w:id="3"/>
      <w:r>
        <w:rPr>
          <w:lang w:val="fr-FR"/>
        </w:rPr>
        <w:t>6.6.4.1.2.</w:t>
      </w:r>
      <w:r>
        <w:rPr>
          <w:strike/>
          <w:lang w:val="fr-FR"/>
        </w:rPr>
        <w:t>3</w:t>
      </w:r>
      <w:r>
        <w:rPr>
          <w:b/>
          <w:bCs/>
          <w:lang w:val="fr-FR"/>
        </w:rPr>
        <w:t>.2.1</w:t>
      </w:r>
      <w:r>
        <w:rPr>
          <w:lang w:val="fr-FR"/>
        </w:rPr>
        <w:t xml:space="preserve"> </w:t>
      </w:r>
      <w:r>
        <w:rPr>
          <w:b/>
          <w:bCs/>
          <w:lang w:val="fr-FR"/>
        </w:rPr>
        <w:t>Avant de procéder aux essais dynamiques dans une carrosserie de véhicule, il convient de vérifier l’installation du système amélioré de retenue pour enfant dans chaque véhicule spécifié dans la liste d’installation.</w:t>
      </w:r>
      <w:r>
        <w:rPr>
          <w:lang w:val="fr-FR"/>
        </w:rPr>
        <w:t xml:space="preserve"> </w:t>
      </w:r>
      <w:r>
        <w:rPr>
          <w:b/>
          <w:bCs/>
          <w:lang w:val="fr-FR"/>
        </w:rPr>
        <w:t xml:space="preserve">Le service technique doit ensuite s’assurer que les essais dynamiques sont réalisés </w:t>
      </w:r>
      <w:proofErr w:type="spellStart"/>
      <w:r>
        <w:rPr>
          <w:b/>
          <w:bCs/>
          <w:lang w:val="fr-FR"/>
        </w:rPr>
        <w:t>s</w:t>
      </w:r>
      <w:r>
        <w:rPr>
          <w:strike/>
          <w:lang w:val="fr-FR"/>
        </w:rPr>
        <w:t>S</w:t>
      </w:r>
      <w:r>
        <w:rPr>
          <w:lang w:val="fr-FR"/>
        </w:rPr>
        <w:t>ur</w:t>
      </w:r>
      <w:proofErr w:type="spellEnd"/>
      <w:r>
        <w:rPr>
          <w:lang w:val="fr-FR"/>
        </w:rPr>
        <w:t xml:space="preserve"> des parties de </w:t>
      </w:r>
      <w:proofErr w:type="spellStart"/>
      <w:r>
        <w:rPr>
          <w:b/>
          <w:bCs/>
          <w:lang w:val="fr-FR"/>
        </w:rPr>
        <w:t>chaque</w:t>
      </w:r>
      <w:r>
        <w:rPr>
          <w:strike/>
          <w:lang w:val="fr-FR"/>
        </w:rPr>
        <w:t>la</w:t>
      </w:r>
      <w:proofErr w:type="spellEnd"/>
      <w:r>
        <w:rPr>
          <w:lang w:val="fr-FR"/>
        </w:rPr>
        <w:t xml:space="preserve"> carrosserie </w:t>
      </w:r>
      <w:proofErr w:type="spellStart"/>
      <w:r>
        <w:rPr>
          <w:lang w:val="fr-FR"/>
        </w:rPr>
        <w:t>d</w:t>
      </w:r>
      <w:r>
        <w:rPr>
          <w:b/>
          <w:bCs/>
          <w:lang w:val="fr-FR"/>
        </w:rPr>
        <w:t>e</w:t>
      </w:r>
      <w:r>
        <w:rPr>
          <w:strike/>
          <w:lang w:val="fr-FR"/>
        </w:rPr>
        <w:t>u</w:t>
      </w:r>
      <w:proofErr w:type="spellEnd"/>
      <w:r>
        <w:rPr>
          <w:lang w:val="fr-FR"/>
        </w:rPr>
        <w:t xml:space="preserve"> véhicule en nombre suffisant pour être représentatives de</w:t>
      </w:r>
      <w:r>
        <w:rPr>
          <w:b/>
          <w:bCs/>
          <w:lang w:val="fr-FR"/>
        </w:rPr>
        <w:t>s</w:t>
      </w:r>
      <w:r>
        <w:rPr>
          <w:lang w:val="fr-FR"/>
        </w:rPr>
        <w:t xml:space="preserve"> </w:t>
      </w:r>
      <w:r>
        <w:rPr>
          <w:strike/>
          <w:lang w:val="fr-FR"/>
        </w:rPr>
        <w:t xml:space="preserve">la </w:t>
      </w:r>
      <w:r>
        <w:rPr>
          <w:lang w:val="fr-FR"/>
        </w:rPr>
        <w:t>structure</w:t>
      </w:r>
      <w:r>
        <w:rPr>
          <w:b/>
          <w:bCs/>
          <w:lang w:val="fr-FR"/>
        </w:rPr>
        <w:t>s</w:t>
      </w:r>
      <w:r>
        <w:rPr>
          <w:lang w:val="fr-FR"/>
        </w:rPr>
        <w:t xml:space="preserve"> du véhicule et des surfaces d’impact</w:t>
      </w:r>
      <w:r>
        <w:rPr>
          <w:b/>
          <w:bCs/>
          <w:lang w:val="fr-FR"/>
        </w:rPr>
        <w:t>, y compris l’assise du siège du véhicule et les structures sous-jacentes</w:t>
      </w:r>
      <w:r>
        <w:rPr>
          <w:lang w:val="fr-FR"/>
        </w:rPr>
        <w:t xml:space="preserve">. Dans le cas des systèmes améliorés de retenue destinés à être utilisés sur les sièges arrière, ces parties doivent comprendre l’arrière du siège avant, le siège arrière, le plancher, les montants milieu et arrière et le toit. Dans le cas des systèmes améliorés de retenue destinés au siège avant, ces parties doivent comprendre la planche de bord, les montants avant, le pare-brise, tous les leviers ou boutons installés sur le plancher ou sur une console, le siège avant, le plancher et le toit. Le service technique chargé des essais </w:t>
      </w:r>
      <w:r>
        <w:rPr>
          <w:b/>
          <w:bCs/>
          <w:lang w:val="fr-FR"/>
        </w:rPr>
        <w:t xml:space="preserve">dynamiques </w:t>
      </w:r>
      <w:r>
        <w:rPr>
          <w:lang w:val="fr-FR"/>
        </w:rPr>
        <w:t xml:space="preserve">peut autoriser l’omission de certains éléments s’ils semblent superflus. </w:t>
      </w:r>
      <w:r>
        <w:rPr>
          <w:b/>
          <w:bCs/>
          <w:lang w:val="fr-FR"/>
        </w:rPr>
        <w:t>Le service technique peut aussi réduire le nombre de véhicules soumis aux essais s’ils ne présentent pas de grandes différences en ce qui concerne les aspects énumérés ci-dessus.</w:t>
      </w:r>
      <w:r>
        <w:rPr>
          <w:lang w:val="fr-FR"/>
        </w:rPr>
        <w:t xml:space="preserve"> </w:t>
      </w:r>
      <w:r>
        <w:rPr>
          <w:b/>
          <w:bCs/>
          <w:lang w:val="fr-FR"/>
        </w:rPr>
        <w:t>En revanche, il ne peut se contenter d’effectuer des essais sur des véhicules qui présentent des différences extrêmes en ce qui concerne les dimensions ou les propriétés des matériaux.</w:t>
      </w:r>
      <w:r>
        <w:rPr>
          <w:lang w:val="fr-FR"/>
        </w:rPr>
        <w:t xml:space="preserve"> Les essais doivent suivre la procédure prescrite au paragraphe 7.1.3.2 du présent Règlement, sauf les essais de choc latéral. ».</w:t>
      </w:r>
    </w:p>
    <w:bookmarkEnd w:id="4"/>
    <w:p w14:paraId="43FDBF47" w14:textId="77777777" w:rsidR="00DD3601" w:rsidRDefault="00DD3601">
      <w:pPr>
        <w:suppressAutoHyphens w:val="0"/>
        <w:kinsoku/>
        <w:overflowPunct/>
        <w:autoSpaceDE/>
        <w:autoSpaceDN/>
        <w:adjustRightInd/>
        <w:snapToGrid/>
        <w:spacing w:after="200" w:line="276" w:lineRule="auto"/>
        <w:rPr>
          <w:i/>
          <w:iCs/>
          <w:lang w:val="fr-FR"/>
        </w:rPr>
      </w:pPr>
      <w:r>
        <w:rPr>
          <w:i/>
          <w:iCs/>
          <w:lang w:val="fr-FR"/>
        </w:rPr>
        <w:br w:type="page"/>
      </w:r>
    </w:p>
    <w:p w14:paraId="52C4B71D" w14:textId="0418BC55" w:rsidR="000C5F00" w:rsidRPr="000F4C12" w:rsidRDefault="000C5F00" w:rsidP="005A1309">
      <w:pPr>
        <w:pStyle w:val="SingleTxtG"/>
        <w:keepNext/>
        <w:rPr>
          <w:iCs/>
        </w:rPr>
      </w:pPr>
      <w:r>
        <w:rPr>
          <w:i/>
          <w:iCs/>
          <w:lang w:val="fr-FR"/>
        </w:rPr>
        <w:lastRenderedPageBreak/>
        <w:t>Annexe 27</w:t>
      </w:r>
      <w:r>
        <w:rPr>
          <w:lang w:val="fr-FR"/>
        </w:rPr>
        <w:t>, lire :</w:t>
      </w:r>
    </w:p>
    <w:p w14:paraId="5FB1BE88" w14:textId="5C9C4096" w:rsidR="000C5F00" w:rsidRDefault="000C5F00" w:rsidP="000A3CAE">
      <w:pPr>
        <w:pStyle w:val="HChG"/>
      </w:pPr>
      <w:r w:rsidRPr="000A3CAE">
        <w:rPr>
          <w:b w:val="0"/>
          <w:bCs/>
          <w:sz w:val="20"/>
          <w:lang w:val="fr-FR"/>
        </w:rPr>
        <w:t>«</w:t>
      </w:r>
      <w:r w:rsidR="00F31BE4">
        <w:rPr>
          <w:b w:val="0"/>
          <w:bCs/>
          <w:sz w:val="20"/>
          <w:lang w:val="fr-FR"/>
        </w:rPr>
        <w:t> </w:t>
      </w:r>
      <w:r>
        <w:rPr>
          <w:lang w:val="fr-FR"/>
        </w:rPr>
        <w:t>Annexe 27</w:t>
      </w:r>
    </w:p>
    <w:p w14:paraId="40E74FEE" w14:textId="1472F6D1" w:rsidR="000C5F00" w:rsidRDefault="000A3CAE" w:rsidP="000A3CAE">
      <w:pPr>
        <w:pStyle w:val="HChG"/>
      </w:pPr>
      <w:r>
        <w:rPr>
          <w:lang w:val="fr-FR"/>
        </w:rPr>
        <w:tab/>
      </w:r>
      <w:r>
        <w:rPr>
          <w:lang w:val="fr-FR"/>
        </w:rPr>
        <w:tab/>
      </w:r>
      <w:r w:rsidR="000C5F00">
        <w:rPr>
          <w:lang w:val="fr-FR"/>
        </w:rPr>
        <w:t>Modèle de procès-verbal d’essai pour l’homologation de type</w:t>
      </w:r>
    </w:p>
    <w:p w14:paraId="04F24637" w14:textId="6746EC83" w:rsidR="000C5F00" w:rsidRDefault="000C5F00" w:rsidP="000A3CAE">
      <w:pPr>
        <w:pStyle w:val="SingleTxtG"/>
      </w:pPr>
      <w:r>
        <w:rPr>
          <w:lang w:val="fr-FR"/>
        </w:rPr>
        <w:t>…</w:t>
      </w:r>
    </w:p>
    <w:tbl>
      <w:tblPr>
        <w:tblW w:w="8504" w:type="dxa"/>
        <w:tblInd w:w="1134" w:type="dxa"/>
        <w:tblLayout w:type="fixed"/>
        <w:tblCellMar>
          <w:left w:w="0" w:type="dxa"/>
          <w:right w:w="0" w:type="dxa"/>
        </w:tblCellMar>
        <w:tblLook w:val="04A0" w:firstRow="1" w:lastRow="0" w:firstColumn="1" w:lastColumn="0" w:noHBand="0" w:noVBand="1"/>
      </w:tblPr>
      <w:tblGrid>
        <w:gridCol w:w="648"/>
        <w:gridCol w:w="5345"/>
        <w:gridCol w:w="712"/>
        <w:gridCol w:w="6"/>
        <w:gridCol w:w="1793"/>
      </w:tblGrid>
      <w:tr w:rsidR="000C5F00" w:rsidRPr="007058EB" w14:paraId="3D09B5D2" w14:textId="77777777" w:rsidTr="007058EB">
        <w:trPr>
          <w:tblHeader/>
        </w:trPr>
        <w:tc>
          <w:tcPr>
            <w:tcW w:w="648" w:type="dxa"/>
            <w:tcBorders>
              <w:top w:val="single" w:sz="4" w:space="0" w:color="auto"/>
              <w:left w:val="nil"/>
              <w:bottom w:val="single" w:sz="12" w:space="0" w:color="auto"/>
              <w:right w:val="nil"/>
            </w:tcBorders>
            <w:vAlign w:val="bottom"/>
            <w:hideMark/>
          </w:tcPr>
          <w:p w14:paraId="07052194" w14:textId="77777777" w:rsidR="000C5F00" w:rsidRPr="007058EB" w:rsidRDefault="000C5F00" w:rsidP="007501E2">
            <w:pPr>
              <w:spacing w:before="80" w:after="80" w:line="200" w:lineRule="exact"/>
              <w:ind w:right="113"/>
              <w:rPr>
                <w:rFonts w:eastAsia="SimSun"/>
                <w:i/>
                <w:sz w:val="16"/>
                <w:szCs w:val="16"/>
              </w:rPr>
            </w:pPr>
            <w:r w:rsidRPr="007058EB">
              <w:rPr>
                <w:i/>
                <w:iCs/>
                <w:sz w:val="16"/>
                <w:szCs w:val="16"/>
                <w:lang w:val="fr-FR"/>
              </w:rPr>
              <w:t>8.1</w:t>
            </w:r>
          </w:p>
        </w:tc>
        <w:tc>
          <w:tcPr>
            <w:tcW w:w="5345" w:type="dxa"/>
            <w:tcBorders>
              <w:top w:val="single" w:sz="4" w:space="0" w:color="auto"/>
              <w:left w:val="nil"/>
              <w:bottom w:val="single" w:sz="12" w:space="0" w:color="auto"/>
              <w:right w:val="nil"/>
            </w:tcBorders>
            <w:vAlign w:val="bottom"/>
            <w:hideMark/>
          </w:tcPr>
          <w:p w14:paraId="6AE5D074" w14:textId="77777777" w:rsidR="000C5F00" w:rsidRPr="007058EB" w:rsidRDefault="000C5F00" w:rsidP="007501E2">
            <w:pPr>
              <w:spacing w:before="80" w:after="80" w:line="200" w:lineRule="exact"/>
              <w:ind w:right="113"/>
              <w:rPr>
                <w:i/>
                <w:sz w:val="16"/>
                <w:szCs w:val="16"/>
              </w:rPr>
            </w:pPr>
            <w:r w:rsidRPr="007058EB">
              <w:rPr>
                <w:i/>
                <w:iCs/>
                <w:sz w:val="16"/>
                <w:szCs w:val="16"/>
                <w:lang w:val="fr-FR"/>
              </w:rPr>
              <w:t>Informations à fournir au minimum pour les essais dynamiques (par essai)</w:t>
            </w:r>
          </w:p>
        </w:tc>
        <w:tc>
          <w:tcPr>
            <w:tcW w:w="2511" w:type="dxa"/>
            <w:gridSpan w:val="3"/>
            <w:tcBorders>
              <w:top w:val="single" w:sz="4" w:space="0" w:color="auto"/>
              <w:left w:val="nil"/>
              <w:bottom w:val="single" w:sz="12" w:space="0" w:color="auto"/>
              <w:right w:val="nil"/>
            </w:tcBorders>
            <w:vAlign w:val="bottom"/>
          </w:tcPr>
          <w:p w14:paraId="0D7AD9FF" w14:textId="77777777" w:rsidR="000C5F00" w:rsidRPr="007058EB" w:rsidRDefault="000C5F00" w:rsidP="007501E2">
            <w:pPr>
              <w:spacing w:before="80" w:after="80" w:line="200" w:lineRule="exact"/>
              <w:ind w:right="113"/>
              <w:rPr>
                <w:b/>
                <w:bCs/>
                <w:i/>
                <w:sz w:val="16"/>
                <w:szCs w:val="16"/>
              </w:rPr>
            </w:pPr>
          </w:p>
        </w:tc>
      </w:tr>
      <w:tr w:rsidR="000C5F00" w:rsidRPr="00413B50" w14:paraId="5565AE9E" w14:textId="77777777" w:rsidTr="007058EB">
        <w:trPr>
          <w:trHeight w:hRule="exact" w:val="113"/>
        </w:trPr>
        <w:tc>
          <w:tcPr>
            <w:tcW w:w="648" w:type="dxa"/>
            <w:tcBorders>
              <w:top w:val="single" w:sz="12" w:space="0" w:color="auto"/>
              <w:left w:val="nil"/>
              <w:bottom w:val="nil"/>
              <w:right w:val="nil"/>
            </w:tcBorders>
          </w:tcPr>
          <w:p w14:paraId="38911D3F" w14:textId="77777777" w:rsidR="000C5F00" w:rsidRPr="000F4C12" w:rsidRDefault="000C5F00" w:rsidP="007501E2">
            <w:pPr>
              <w:spacing w:before="40" w:after="120"/>
              <w:ind w:right="113"/>
            </w:pPr>
          </w:p>
        </w:tc>
        <w:tc>
          <w:tcPr>
            <w:tcW w:w="5345" w:type="dxa"/>
            <w:tcBorders>
              <w:top w:val="single" w:sz="12" w:space="0" w:color="auto"/>
              <w:left w:val="nil"/>
              <w:bottom w:val="nil"/>
              <w:right w:val="nil"/>
            </w:tcBorders>
          </w:tcPr>
          <w:p w14:paraId="321BB934" w14:textId="77777777" w:rsidR="000C5F00" w:rsidRPr="000F4C12" w:rsidRDefault="000C5F00" w:rsidP="007501E2">
            <w:pPr>
              <w:spacing w:before="40" w:after="120"/>
              <w:ind w:right="113"/>
            </w:pPr>
          </w:p>
        </w:tc>
        <w:tc>
          <w:tcPr>
            <w:tcW w:w="2511" w:type="dxa"/>
            <w:gridSpan w:val="3"/>
            <w:tcBorders>
              <w:top w:val="single" w:sz="12" w:space="0" w:color="auto"/>
              <w:left w:val="nil"/>
              <w:bottom w:val="nil"/>
              <w:right w:val="nil"/>
            </w:tcBorders>
          </w:tcPr>
          <w:p w14:paraId="6C9CC605" w14:textId="77777777" w:rsidR="000C5F00" w:rsidRPr="000F4C12" w:rsidRDefault="000C5F00" w:rsidP="007501E2">
            <w:pPr>
              <w:spacing w:before="40" w:after="120"/>
              <w:ind w:right="113"/>
              <w:rPr>
                <w:b/>
                <w:bCs/>
              </w:rPr>
            </w:pPr>
          </w:p>
        </w:tc>
      </w:tr>
      <w:tr w:rsidR="007058EB" w14:paraId="34CE6EF0" w14:textId="77777777" w:rsidTr="00C75664">
        <w:tc>
          <w:tcPr>
            <w:tcW w:w="8504" w:type="dxa"/>
            <w:gridSpan w:val="5"/>
            <w:hideMark/>
          </w:tcPr>
          <w:p w14:paraId="23E57536" w14:textId="78F6CAD7" w:rsidR="007058EB" w:rsidRDefault="007058EB" w:rsidP="007501E2">
            <w:pPr>
              <w:spacing w:before="40" w:after="120"/>
              <w:ind w:right="113"/>
              <w:rPr>
                <w:b/>
                <w:bCs/>
              </w:rPr>
            </w:pPr>
            <w:r>
              <w:rPr>
                <w:i/>
                <w:iCs/>
                <w:lang w:val="fr-FR"/>
              </w:rPr>
              <w:t>…</w:t>
            </w:r>
          </w:p>
        </w:tc>
      </w:tr>
      <w:tr w:rsidR="007058EB" w:rsidRPr="00413B50" w14:paraId="168B089E" w14:textId="77777777" w:rsidTr="00B558EF">
        <w:tc>
          <w:tcPr>
            <w:tcW w:w="8504" w:type="dxa"/>
            <w:gridSpan w:val="5"/>
            <w:hideMark/>
          </w:tcPr>
          <w:p w14:paraId="5F0D2681" w14:textId="1EDEBA5F" w:rsidR="007058EB" w:rsidRPr="000F4C12" w:rsidRDefault="007058EB" w:rsidP="007501E2">
            <w:pPr>
              <w:spacing w:before="40" w:after="120"/>
              <w:ind w:right="113"/>
              <w:rPr>
                <w:b/>
                <w:bCs/>
              </w:rPr>
            </w:pPr>
            <w:r>
              <w:rPr>
                <w:lang w:val="fr-FR"/>
              </w:rPr>
              <w:t>Type de chariot (de décélération/d’accélération)</w:t>
            </w:r>
          </w:p>
        </w:tc>
      </w:tr>
      <w:tr w:rsidR="007058EB" w:rsidRPr="00413B50" w14:paraId="3B77A5C5" w14:textId="77777777" w:rsidTr="00745AFC">
        <w:tc>
          <w:tcPr>
            <w:tcW w:w="6711" w:type="dxa"/>
            <w:gridSpan w:val="4"/>
          </w:tcPr>
          <w:p w14:paraId="6ED6627F" w14:textId="655CDBF1" w:rsidR="007058EB" w:rsidRPr="000F4C12" w:rsidRDefault="007058EB" w:rsidP="007501E2">
            <w:pPr>
              <w:spacing w:before="40" w:after="120"/>
              <w:ind w:right="113"/>
              <w:rPr>
                <w:b/>
                <w:bCs/>
              </w:rPr>
            </w:pPr>
            <w:r>
              <w:rPr>
                <w:b/>
                <w:bCs/>
                <w:lang w:val="fr-FR"/>
              </w:rPr>
              <w:t xml:space="preserve">Type de banquette d’essai (essai sur chariot + siège normalisé/essai dans </w:t>
            </w:r>
            <w:r>
              <w:rPr>
                <w:b/>
                <w:bCs/>
                <w:lang w:val="fr-FR"/>
              </w:rPr>
              <w:br/>
            </w:r>
            <w:r>
              <w:rPr>
                <w:b/>
                <w:bCs/>
                <w:lang w:val="fr-FR"/>
              </w:rPr>
              <w:t>une carrosserie de véhicule)</w:t>
            </w:r>
          </w:p>
          <w:p w14:paraId="318D9ED2" w14:textId="77777777" w:rsidR="007058EB" w:rsidRPr="000F4C12" w:rsidRDefault="007058EB" w:rsidP="007501E2">
            <w:pPr>
              <w:spacing w:before="40" w:after="120"/>
              <w:ind w:right="113"/>
              <w:rPr>
                <w:b/>
                <w:bCs/>
              </w:rPr>
            </w:pPr>
            <w:r>
              <w:rPr>
                <w:b/>
                <w:bCs/>
                <w:lang w:val="fr-FR"/>
              </w:rPr>
              <w:t>En cas d’essai dans une carrosserie de véhicule, préciser la marque/le modèle</w:t>
            </w:r>
            <w:r>
              <w:rPr>
                <w:lang w:val="fr-FR"/>
              </w:rPr>
              <w:t xml:space="preserve"> </w:t>
            </w:r>
          </w:p>
        </w:tc>
        <w:tc>
          <w:tcPr>
            <w:tcW w:w="1793" w:type="dxa"/>
          </w:tcPr>
          <w:p w14:paraId="61DECD52" w14:textId="77777777" w:rsidR="007058EB" w:rsidRPr="000F4C12" w:rsidRDefault="007058EB" w:rsidP="007501E2">
            <w:pPr>
              <w:spacing w:before="40" w:after="120"/>
              <w:ind w:right="113"/>
              <w:rPr>
                <w:b/>
                <w:bCs/>
              </w:rPr>
            </w:pPr>
          </w:p>
        </w:tc>
      </w:tr>
      <w:tr w:rsidR="000C5F00" w14:paraId="72497806" w14:textId="77777777" w:rsidTr="00F31BE4">
        <w:tc>
          <w:tcPr>
            <w:tcW w:w="5993" w:type="dxa"/>
            <w:gridSpan w:val="2"/>
          </w:tcPr>
          <w:p w14:paraId="781F4E61" w14:textId="77777777" w:rsidR="000C5F00" w:rsidRPr="000F4C12" w:rsidRDefault="000C5F00" w:rsidP="007501E2">
            <w:pPr>
              <w:spacing w:before="40" w:after="120"/>
              <w:ind w:right="113"/>
            </w:pPr>
            <w:r>
              <w:rPr>
                <w:lang w:val="fr-FR"/>
              </w:rPr>
              <w:t>Vitesse au moment du choc</w:t>
            </w:r>
          </w:p>
        </w:tc>
        <w:tc>
          <w:tcPr>
            <w:tcW w:w="712" w:type="dxa"/>
          </w:tcPr>
          <w:p w14:paraId="640EDAF1" w14:textId="77777777" w:rsidR="000C5F00" w:rsidRPr="000F4C12" w:rsidRDefault="000C5F00" w:rsidP="007501E2">
            <w:pPr>
              <w:spacing w:before="40" w:after="120"/>
              <w:ind w:right="113"/>
            </w:pPr>
          </w:p>
        </w:tc>
        <w:tc>
          <w:tcPr>
            <w:tcW w:w="1799" w:type="dxa"/>
            <w:gridSpan w:val="2"/>
          </w:tcPr>
          <w:p w14:paraId="28F24B8F" w14:textId="77777777" w:rsidR="000C5F00" w:rsidRPr="00806C5B" w:rsidRDefault="000C5F00" w:rsidP="007501E2">
            <w:pPr>
              <w:spacing w:before="40" w:after="120"/>
              <w:ind w:right="113"/>
            </w:pPr>
            <w:r>
              <w:rPr>
                <w:lang w:val="fr-FR"/>
              </w:rPr>
              <w:t>km/h</w:t>
            </w:r>
          </w:p>
        </w:tc>
      </w:tr>
      <w:tr w:rsidR="000C5F00" w14:paraId="06574DD1" w14:textId="77777777" w:rsidTr="00F31BE4">
        <w:tc>
          <w:tcPr>
            <w:tcW w:w="5993" w:type="dxa"/>
            <w:gridSpan w:val="2"/>
          </w:tcPr>
          <w:p w14:paraId="078E7E89" w14:textId="77777777" w:rsidR="000C5F00" w:rsidRPr="00806C5B" w:rsidRDefault="000C5F00" w:rsidP="007501E2">
            <w:pPr>
              <w:spacing w:before="40" w:after="120"/>
              <w:ind w:right="113"/>
            </w:pPr>
            <w:r>
              <w:rPr>
                <w:lang w:val="fr-FR"/>
              </w:rPr>
              <w:t>…</w:t>
            </w:r>
          </w:p>
        </w:tc>
        <w:tc>
          <w:tcPr>
            <w:tcW w:w="712" w:type="dxa"/>
          </w:tcPr>
          <w:p w14:paraId="00990718" w14:textId="77777777" w:rsidR="000C5F00" w:rsidRPr="00806C5B" w:rsidRDefault="000C5F00" w:rsidP="007501E2">
            <w:pPr>
              <w:spacing w:before="40" w:after="120"/>
              <w:ind w:right="113"/>
            </w:pPr>
          </w:p>
        </w:tc>
        <w:tc>
          <w:tcPr>
            <w:tcW w:w="1799" w:type="dxa"/>
            <w:gridSpan w:val="2"/>
          </w:tcPr>
          <w:p w14:paraId="09B1D57A" w14:textId="77777777" w:rsidR="000C5F00" w:rsidRPr="00806C5B" w:rsidRDefault="000C5F00" w:rsidP="007501E2">
            <w:pPr>
              <w:spacing w:before="40" w:after="120"/>
              <w:ind w:right="113"/>
            </w:pPr>
          </w:p>
        </w:tc>
      </w:tr>
    </w:tbl>
    <w:p w14:paraId="4E1F4149" w14:textId="2F4B6A32" w:rsidR="000C5F00" w:rsidRPr="00806C5B" w:rsidRDefault="007210DC" w:rsidP="00DD3601">
      <w:pPr>
        <w:pStyle w:val="HChG"/>
        <w:ind w:left="0" w:firstLine="0"/>
      </w:pPr>
      <w:r>
        <w:rPr>
          <w:lang w:val="fr-FR"/>
        </w:rPr>
        <w:tab/>
      </w:r>
      <w:r w:rsidR="000C5F00">
        <w:rPr>
          <w:lang w:val="fr-FR"/>
        </w:rPr>
        <w:t>II.</w:t>
      </w:r>
      <w:r w:rsidR="000C5F00">
        <w:rPr>
          <w:lang w:val="fr-FR"/>
        </w:rPr>
        <w:tab/>
        <w:t>Justification</w:t>
      </w:r>
    </w:p>
    <w:p w14:paraId="20186A82" w14:textId="4720AF0C" w:rsidR="000C5F00" w:rsidRPr="000F4C12" w:rsidRDefault="000C5F00" w:rsidP="007210DC">
      <w:pPr>
        <w:pStyle w:val="SingleTxtG"/>
        <w:rPr>
          <w:sz w:val="19"/>
          <w:szCs w:val="19"/>
        </w:rPr>
      </w:pPr>
      <w:r w:rsidRPr="000F4C12">
        <w:rPr>
          <w:szCs w:val="19"/>
        </w:rPr>
        <w:t>1.</w:t>
      </w:r>
      <w:r w:rsidRPr="000F4C12">
        <w:rPr>
          <w:szCs w:val="19"/>
        </w:rPr>
        <w:tab/>
      </w:r>
      <w:r>
        <w:rPr>
          <w:lang w:val="fr-FR"/>
        </w:rPr>
        <w:t xml:space="preserve">Le complément 3 à la série 03 d’amendements au Règlement ONU </w:t>
      </w:r>
      <w:r w:rsidR="00C56921" w:rsidRPr="00C56921">
        <w:rPr>
          <w:rFonts w:eastAsia="MS Mincho"/>
          <w:lang w:val="fr-FR"/>
        </w:rPr>
        <w:t>n</w:t>
      </w:r>
      <w:r w:rsidR="00C56921" w:rsidRPr="00C56921">
        <w:rPr>
          <w:rFonts w:eastAsia="MS Mincho"/>
          <w:vertAlign w:val="superscript"/>
          <w:lang w:val="fr-FR"/>
        </w:rPr>
        <w:t>o</w:t>
      </w:r>
      <w:r w:rsidR="00C56921">
        <w:rPr>
          <w:lang w:val="fr-FR"/>
        </w:rPr>
        <w:t> </w:t>
      </w:r>
      <w:r>
        <w:rPr>
          <w:lang w:val="fr-FR"/>
        </w:rPr>
        <w:t>129 visait à ajouter des dispositions relatives aux coussins d’appoint. Une référence aux coussins d’appoint a notamment été ajoutée au paragraphe 6.1.3.4, en plus de la référence aux rehausseurs qui y figurait déjà. Au moment de la modification du paragraphe</w:t>
      </w:r>
      <w:r w:rsidR="00C56921">
        <w:rPr>
          <w:lang w:val="fr-FR"/>
        </w:rPr>
        <w:t> </w:t>
      </w:r>
      <w:r>
        <w:rPr>
          <w:lang w:val="fr-FR"/>
        </w:rPr>
        <w:t>6.1.3.4, l’exigence selon laquelle les rehausseurs doivent comporter un seul trajet pour la ceinture de sécurité a été supprimée par inadvertance. Bien que cette exigence figure aussi au paragraphe</w:t>
      </w:r>
      <w:r w:rsidR="00C56921">
        <w:rPr>
          <w:lang w:val="fr-FR"/>
        </w:rPr>
        <w:t> </w:t>
      </w:r>
      <w:r>
        <w:rPr>
          <w:lang w:val="fr-FR"/>
        </w:rPr>
        <w:t>3.2.2, par souci de cohérence, il est préférable de la réintégrer au paragraphe</w:t>
      </w:r>
      <w:r w:rsidR="00C56921">
        <w:rPr>
          <w:lang w:val="fr-FR"/>
        </w:rPr>
        <w:t> </w:t>
      </w:r>
      <w:r>
        <w:rPr>
          <w:lang w:val="fr-FR"/>
        </w:rPr>
        <w:t>6.1.3.4.</w:t>
      </w:r>
    </w:p>
    <w:p w14:paraId="63BAC0A9" w14:textId="2F100551" w:rsidR="000C5F00" w:rsidRPr="000F4C12" w:rsidRDefault="000C5F00" w:rsidP="007210DC">
      <w:pPr>
        <w:pStyle w:val="SingleTxtG"/>
        <w:rPr>
          <w:sz w:val="19"/>
          <w:szCs w:val="19"/>
        </w:rPr>
      </w:pPr>
      <w:r w:rsidRPr="000F4C12">
        <w:rPr>
          <w:szCs w:val="19"/>
        </w:rPr>
        <w:t>2.</w:t>
      </w:r>
      <w:r w:rsidRPr="000F4C12">
        <w:rPr>
          <w:szCs w:val="19"/>
        </w:rPr>
        <w:tab/>
      </w:r>
      <w:r>
        <w:rPr>
          <w:lang w:val="fr-FR"/>
        </w:rPr>
        <w:t>Le document informel GRSP-73-18 soumis par les Pays-Bas à la soixante-treizième session du GRSP contenait des propositions de modifications à apporter à leur document de travail ECE/TRANS/WP.29/GRSP/2023/13. Il était notamment proposé d’ajouter une phrase au paragraphe 6.6.4.1.2.1 pour préciser les situations dans lesquelles les essais dynamiques devaient être menés sur une carrosserie de véhicule plutôt que sur la banquette d’essai. La</w:t>
      </w:r>
      <w:r w:rsidR="009D6017">
        <w:rPr>
          <w:lang w:val="fr-FR"/>
        </w:rPr>
        <w:t> </w:t>
      </w:r>
      <w:r>
        <w:rPr>
          <w:lang w:val="fr-FR"/>
        </w:rPr>
        <w:t>CLEPA a souscrit à l’initiative des Pays-Bas, mais elle estimait qu’il était nécessaire d’apporter des modifications plus approfondies au paragraphe 6.6.4.1.2 (y compris les sous</w:t>
      </w:r>
      <w:r w:rsidR="00EE1D3A">
        <w:rPr>
          <w:lang w:val="fr-FR"/>
        </w:rPr>
        <w:noBreakHyphen/>
      </w:r>
      <w:r>
        <w:rPr>
          <w:lang w:val="fr-FR"/>
        </w:rPr>
        <w:t>paragraphes</w:t>
      </w:r>
      <w:r w:rsidR="009D6017">
        <w:rPr>
          <w:lang w:val="fr-FR"/>
        </w:rPr>
        <w:t> </w:t>
      </w:r>
      <w:r>
        <w:rPr>
          <w:lang w:val="fr-FR"/>
        </w:rPr>
        <w:t>6.6.4.1.2.1 et 6.6.4.1.2.2) afin que l’objet de ces dispositions soit tout à fait clair. Elle a donc soumis le document informel GRSP-73-4</w:t>
      </w:r>
      <w:r w:rsidR="009D6017">
        <w:rPr>
          <w:lang w:val="fr-FR"/>
        </w:rPr>
        <w:t>2</w:t>
      </w:r>
      <w:r>
        <w:rPr>
          <w:lang w:val="fr-FR"/>
        </w:rPr>
        <w:t>, qui contenait des précisions supplémentaires fondées sur la proposition des Pays-Bas. Comme il est indiqué dans le rapport du Groupe de travail de la sécurité passive sur sa soixante-treizième session, le secrétariat a été prié de distribuer le document GRSP-73-42 sous une cote officielle à sa prochaine session. Le présent document fait suite à cette demande.</w:t>
      </w:r>
    </w:p>
    <w:p w14:paraId="4A3423CD" w14:textId="3D9AF241" w:rsidR="00F9573C" w:rsidRPr="000C5F00" w:rsidRDefault="000C5F00" w:rsidP="000C5F00">
      <w:pPr>
        <w:pStyle w:val="SingleTxtG"/>
        <w:spacing w:before="240" w:after="0"/>
        <w:jc w:val="center"/>
        <w:rPr>
          <w:u w:val="single"/>
        </w:rPr>
      </w:pPr>
      <w:r>
        <w:rPr>
          <w:u w:val="single"/>
        </w:rPr>
        <w:tab/>
      </w:r>
      <w:r>
        <w:rPr>
          <w:u w:val="single"/>
        </w:rPr>
        <w:tab/>
      </w:r>
      <w:r>
        <w:rPr>
          <w:u w:val="single"/>
        </w:rPr>
        <w:tab/>
      </w:r>
      <w:r>
        <w:rPr>
          <w:u w:val="single"/>
        </w:rPr>
        <w:tab/>
      </w:r>
    </w:p>
    <w:sectPr w:rsidR="00F9573C" w:rsidRPr="000C5F00" w:rsidSect="009C555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C06F" w14:textId="77777777" w:rsidR="00C507B5" w:rsidRDefault="00C507B5" w:rsidP="00F95C08">
      <w:pPr>
        <w:spacing w:line="240" w:lineRule="auto"/>
      </w:pPr>
    </w:p>
  </w:endnote>
  <w:endnote w:type="continuationSeparator" w:id="0">
    <w:p w14:paraId="2F46CF02" w14:textId="77777777" w:rsidR="00C507B5" w:rsidRPr="00AC3823" w:rsidRDefault="00C507B5" w:rsidP="00AC3823">
      <w:pPr>
        <w:pStyle w:val="Pieddepage"/>
      </w:pPr>
    </w:p>
  </w:endnote>
  <w:endnote w:type="continuationNotice" w:id="1">
    <w:p w14:paraId="392F7EE4" w14:textId="77777777" w:rsidR="00C507B5" w:rsidRDefault="00C507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5E1B" w14:textId="6D71E188" w:rsidR="009C5557" w:rsidRPr="009C5557" w:rsidRDefault="009C5557" w:rsidP="009C5557">
    <w:pPr>
      <w:pStyle w:val="Pieddepage"/>
      <w:tabs>
        <w:tab w:val="right" w:pos="9638"/>
      </w:tabs>
    </w:pPr>
    <w:r w:rsidRPr="009C5557">
      <w:rPr>
        <w:b/>
        <w:sz w:val="18"/>
      </w:rPr>
      <w:fldChar w:fldCharType="begin"/>
    </w:r>
    <w:r w:rsidRPr="009C5557">
      <w:rPr>
        <w:b/>
        <w:sz w:val="18"/>
      </w:rPr>
      <w:instrText xml:space="preserve"> PAGE  \* MERGEFORMAT </w:instrText>
    </w:r>
    <w:r w:rsidRPr="009C5557">
      <w:rPr>
        <w:b/>
        <w:sz w:val="18"/>
      </w:rPr>
      <w:fldChar w:fldCharType="separate"/>
    </w:r>
    <w:r w:rsidRPr="009C5557">
      <w:rPr>
        <w:b/>
        <w:noProof/>
        <w:sz w:val="18"/>
      </w:rPr>
      <w:t>2</w:t>
    </w:r>
    <w:r w:rsidRPr="009C5557">
      <w:rPr>
        <w:b/>
        <w:sz w:val="18"/>
      </w:rPr>
      <w:fldChar w:fldCharType="end"/>
    </w:r>
    <w:r>
      <w:rPr>
        <w:b/>
        <w:sz w:val="18"/>
      </w:rPr>
      <w:tab/>
    </w:r>
    <w:r>
      <w:t>GE.23-18233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76E" w14:textId="76F13EC6" w:rsidR="009C5557" w:rsidRPr="009C5557" w:rsidRDefault="009C5557" w:rsidP="009C5557">
    <w:pPr>
      <w:pStyle w:val="Pieddepage"/>
      <w:tabs>
        <w:tab w:val="right" w:pos="9638"/>
      </w:tabs>
      <w:rPr>
        <w:b/>
        <w:sz w:val="18"/>
      </w:rPr>
    </w:pPr>
    <w:r>
      <w:t>GE.23-18233</w:t>
    </w:r>
    <w:r>
      <w:tab/>
    </w:r>
    <w:r w:rsidRPr="009C5557">
      <w:rPr>
        <w:b/>
        <w:sz w:val="18"/>
      </w:rPr>
      <w:fldChar w:fldCharType="begin"/>
    </w:r>
    <w:r w:rsidRPr="009C5557">
      <w:rPr>
        <w:b/>
        <w:sz w:val="18"/>
      </w:rPr>
      <w:instrText xml:space="preserve"> PAGE  \* MERGEFORMAT </w:instrText>
    </w:r>
    <w:r w:rsidRPr="009C5557">
      <w:rPr>
        <w:b/>
        <w:sz w:val="18"/>
      </w:rPr>
      <w:fldChar w:fldCharType="separate"/>
    </w:r>
    <w:r w:rsidRPr="009C5557">
      <w:rPr>
        <w:b/>
        <w:noProof/>
        <w:sz w:val="18"/>
      </w:rPr>
      <w:t>3</w:t>
    </w:r>
    <w:r w:rsidRPr="009C555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3748" w14:textId="6365485C" w:rsidR="007F20FA" w:rsidRPr="009C5557" w:rsidRDefault="009C5557" w:rsidP="009C5557">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04A241A" wp14:editId="44BA293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23-18233  (F)</w:t>
    </w:r>
    <w:r>
      <w:rPr>
        <w:noProof/>
        <w:sz w:val="20"/>
      </w:rPr>
      <w:drawing>
        <wp:anchor distT="0" distB="0" distL="114300" distR="114300" simplePos="0" relativeHeight="251660288" behindDoc="0" locked="0" layoutInCell="1" allowOverlap="1" wp14:anchorId="35493AFE" wp14:editId="4A8D5AA2">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121023    121023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8552" w14:textId="77777777" w:rsidR="00C507B5" w:rsidRPr="00AC3823" w:rsidRDefault="00C507B5" w:rsidP="00AC3823">
      <w:pPr>
        <w:pStyle w:val="Pieddepage"/>
        <w:tabs>
          <w:tab w:val="right" w:pos="2155"/>
        </w:tabs>
        <w:spacing w:after="80" w:line="240" w:lineRule="atLeast"/>
        <w:ind w:left="680"/>
        <w:rPr>
          <w:u w:val="single"/>
        </w:rPr>
      </w:pPr>
      <w:r>
        <w:rPr>
          <w:u w:val="single"/>
        </w:rPr>
        <w:tab/>
      </w:r>
    </w:p>
  </w:footnote>
  <w:footnote w:type="continuationSeparator" w:id="0">
    <w:p w14:paraId="2DAE25DE" w14:textId="77777777" w:rsidR="00C507B5" w:rsidRPr="00AC3823" w:rsidRDefault="00C507B5" w:rsidP="00AC3823">
      <w:pPr>
        <w:pStyle w:val="Pieddepage"/>
        <w:tabs>
          <w:tab w:val="right" w:pos="2155"/>
        </w:tabs>
        <w:spacing w:after="80" w:line="240" w:lineRule="atLeast"/>
        <w:ind w:left="680"/>
        <w:rPr>
          <w:u w:val="single"/>
        </w:rPr>
      </w:pPr>
      <w:r>
        <w:rPr>
          <w:u w:val="single"/>
        </w:rPr>
        <w:tab/>
      </w:r>
    </w:p>
  </w:footnote>
  <w:footnote w:type="continuationNotice" w:id="1">
    <w:p w14:paraId="5D57E078" w14:textId="77777777" w:rsidR="00C507B5" w:rsidRPr="00AC3823" w:rsidRDefault="00C507B5">
      <w:pPr>
        <w:spacing w:line="240" w:lineRule="auto"/>
        <w:rPr>
          <w:sz w:val="2"/>
          <w:szCs w:val="2"/>
        </w:rPr>
      </w:pPr>
    </w:p>
  </w:footnote>
  <w:footnote w:id="2">
    <w:p w14:paraId="1A4E6F85" w14:textId="20A2A868" w:rsidR="000C5F00" w:rsidRDefault="000C5F00">
      <w:pPr>
        <w:pStyle w:val="Notedebasdepage"/>
        <w:rPr>
          <w:lang w:val="fr-FR"/>
        </w:rPr>
      </w:pPr>
      <w:r>
        <w:rPr>
          <w:rStyle w:val="Appelnotedebasdep"/>
        </w:rPr>
        <w:tab/>
      </w:r>
      <w:r w:rsidRPr="000C5F00">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2023 tel qu’il figure dans le projet de budget-programme pour 2023 (A/76/6 (Sect. 20), tableau 20.6), le Forum mondial a pour mission d’élaborer, d’harmoniser et de mettre à jour les Règlements ONU en vue d’améliorer les caractéristiques fonctionnelles des véhicules. Le présent document est soumis en vertu de ce mandat.</w:t>
      </w:r>
    </w:p>
    <w:p w14:paraId="1B2357DA" w14:textId="77777777" w:rsidR="00FB20D4" w:rsidRPr="000C5F00" w:rsidRDefault="00FB20D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E11" w14:textId="06DCBB9B" w:rsidR="009C5557" w:rsidRPr="009C5557" w:rsidRDefault="009C5557">
    <w:pPr>
      <w:pStyle w:val="En-tte"/>
    </w:pPr>
    <w:fldSimple w:instr=" TITLE  \* MERGEFORMAT ">
      <w:r>
        <w:t>ECE/TRANS/WP.29/GRSP/2023/38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8CB2" w14:textId="1FB4FF77" w:rsidR="009C5557" w:rsidRPr="009C5557" w:rsidRDefault="009C5557" w:rsidP="009C5557">
    <w:pPr>
      <w:pStyle w:val="En-tte"/>
      <w:jc w:val="right"/>
    </w:pPr>
    <w:fldSimple w:instr=" TITLE  \* MERGEFORMAT ">
      <w:r>
        <w:t>ECE/TRANS/WP.29/GRSP/2023/38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780226073">
    <w:abstractNumId w:val="12"/>
  </w:num>
  <w:num w:numId="2" w16cid:durableId="837888920">
    <w:abstractNumId w:val="11"/>
  </w:num>
  <w:num w:numId="3" w16cid:durableId="734162913">
    <w:abstractNumId w:val="10"/>
  </w:num>
  <w:num w:numId="4" w16cid:durableId="2113936166">
    <w:abstractNumId w:val="8"/>
  </w:num>
  <w:num w:numId="5" w16cid:durableId="1772235458">
    <w:abstractNumId w:val="3"/>
  </w:num>
  <w:num w:numId="6" w16cid:durableId="1768034787">
    <w:abstractNumId w:val="2"/>
  </w:num>
  <w:num w:numId="7" w16cid:durableId="1968118637">
    <w:abstractNumId w:val="1"/>
  </w:num>
  <w:num w:numId="8" w16cid:durableId="1045329304">
    <w:abstractNumId w:val="0"/>
  </w:num>
  <w:num w:numId="9" w16cid:durableId="650207819">
    <w:abstractNumId w:val="9"/>
  </w:num>
  <w:num w:numId="10" w16cid:durableId="651758888">
    <w:abstractNumId w:val="7"/>
  </w:num>
  <w:num w:numId="11" w16cid:durableId="2007394280">
    <w:abstractNumId w:val="6"/>
  </w:num>
  <w:num w:numId="12" w16cid:durableId="582229520">
    <w:abstractNumId w:val="5"/>
  </w:num>
  <w:num w:numId="13" w16cid:durableId="1229808369">
    <w:abstractNumId w:val="4"/>
  </w:num>
  <w:num w:numId="14" w16cid:durableId="1858041733">
    <w:abstractNumId w:val="12"/>
  </w:num>
  <w:num w:numId="15" w16cid:durableId="67852969">
    <w:abstractNumId w:val="11"/>
  </w:num>
  <w:num w:numId="16" w16cid:durableId="319505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B5"/>
    <w:rsid w:val="00017F94"/>
    <w:rsid w:val="00023842"/>
    <w:rsid w:val="000334F9"/>
    <w:rsid w:val="000410FB"/>
    <w:rsid w:val="00045FEB"/>
    <w:rsid w:val="0007796D"/>
    <w:rsid w:val="000A3CAE"/>
    <w:rsid w:val="000B7790"/>
    <w:rsid w:val="000C5F00"/>
    <w:rsid w:val="00111F2F"/>
    <w:rsid w:val="00117A7D"/>
    <w:rsid w:val="0014365E"/>
    <w:rsid w:val="00143C66"/>
    <w:rsid w:val="00145464"/>
    <w:rsid w:val="00155D22"/>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94B41"/>
    <w:rsid w:val="004E2EED"/>
    <w:rsid w:val="004E468C"/>
    <w:rsid w:val="005505B7"/>
    <w:rsid w:val="00573BE5"/>
    <w:rsid w:val="00586ED3"/>
    <w:rsid w:val="00596AA9"/>
    <w:rsid w:val="005A1309"/>
    <w:rsid w:val="007058EB"/>
    <w:rsid w:val="0071601D"/>
    <w:rsid w:val="007210DC"/>
    <w:rsid w:val="007A62E6"/>
    <w:rsid w:val="007F20FA"/>
    <w:rsid w:val="0080684C"/>
    <w:rsid w:val="00871C75"/>
    <w:rsid w:val="008776DC"/>
    <w:rsid w:val="008D5EF9"/>
    <w:rsid w:val="009446C0"/>
    <w:rsid w:val="009705C8"/>
    <w:rsid w:val="009C1CF4"/>
    <w:rsid w:val="009C5557"/>
    <w:rsid w:val="009D6017"/>
    <w:rsid w:val="009F6B74"/>
    <w:rsid w:val="00A3029F"/>
    <w:rsid w:val="00A30353"/>
    <w:rsid w:val="00AC3823"/>
    <w:rsid w:val="00AE323C"/>
    <w:rsid w:val="00AF0CB5"/>
    <w:rsid w:val="00B00181"/>
    <w:rsid w:val="00B00B0D"/>
    <w:rsid w:val="00B34D9F"/>
    <w:rsid w:val="00B45F2E"/>
    <w:rsid w:val="00B765A7"/>
    <w:rsid w:val="00B765F7"/>
    <w:rsid w:val="00B77993"/>
    <w:rsid w:val="00BA0CA9"/>
    <w:rsid w:val="00BE3D02"/>
    <w:rsid w:val="00C02897"/>
    <w:rsid w:val="00C507B5"/>
    <w:rsid w:val="00C56921"/>
    <w:rsid w:val="00C97039"/>
    <w:rsid w:val="00D3439C"/>
    <w:rsid w:val="00D7622E"/>
    <w:rsid w:val="00DB1831"/>
    <w:rsid w:val="00DD3601"/>
    <w:rsid w:val="00DD3BFD"/>
    <w:rsid w:val="00DF6678"/>
    <w:rsid w:val="00E0299A"/>
    <w:rsid w:val="00E85C74"/>
    <w:rsid w:val="00EA6547"/>
    <w:rsid w:val="00ED7237"/>
    <w:rsid w:val="00EE1D3A"/>
    <w:rsid w:val="00EF2E22"/>
    <w:rsid w:val="00F31BE4"/>
    <w:rsid w:val="00F35BAF"/>
    <w:rsid w:val="00F660DF"/>
    <w:rsid w:val="00F94664"/>
    <w:rsid w:val="00F9573C"/>
    <w:rsid w:val="00F95C08"/>
    <w:rsid w:val="00FB20D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6FCA"/>
  <w15:docId w15:val="{A67AE03D-80C3-4B7B-8D7E-7D1A9E1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locked/>
    <w:rsid w:val="000C5F00"/>
    <w:rPr>
      <w:rFonts w:ascii="Times New Roman" w:eastAsiaTheme="minorHAnsi" w:hAnsi="Times New Roman" w:cs="Times New Roman"/>
      <w:b/>
      <w:sz w:val="28"/>
      <w:szCs w:val="20"/>
      <w:lang w:eastAsia="en-US"/>
    </w:rPr>
  </w:style>
  <w:style w:type="character" w:customStyle="1" w:styleId="H1GChar">
    <w:name w:val="_ H_1_G Char"/>
    <w:link w:val="H1G"/>
    <w:locked/>
    <w:rsid w:val="000C5F00"/>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0C5F00"/>
    <w:rPr>
      <w:rFonts w:ascii="Times New Roman" w:eastAsiaTheme="minorHAnsi" w:hAnsi="Times New Roman" w:cs="Times New Roman"/>
      <w:sz w:val="20"/>
      <w:szCs w:val="20"/>
      <w:lang w:eastAsia="en-US"/>
    </w:rPr>
  </w:style>
  <w:style w:type="paragraph" w:customStyle="1" w:styleId="para">
    <w:name w:val="para"/>
    <w:basedOn w:val="Normal"/>
    <w:link w:val="paraChar"/>
    <w:qFormat/>
    <w:rsid w:val="000C5F00"/>
    <w:pPr>
      <w:spacing w:after="120"/>
      <w:ind w:left="2268" w:right="1134" w:hanging="1134"/>
      <w:jc w:val="both"/>
    </w:pPr>
  </w:style>
  <w:style w:type="character" w:customStyle="1" w:styleId="paraChar">
    <w:name w:val="para Char"/>
    <w:link w:val="para"/>
    <w:rsid w:val="000C5F00"/>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9E647-E996-4E74-9319-17BAFB60F0F1}"/>
</file>

<file path=customXml/itemProps2.xml><?xml version="1.0" encoding="utf-8"?>
<ds:datastoreItem xmlns:ds="http://schemas.openxmlformats.org/officeDocument/2006/customXml" ds:itemID="{0E77EAD7-C144-4519-9D16-D6545D361362}"/>
</file>

<file path=docProps/app.xml><?xml version="1.0" encoding="utf-8"?>
<Properties xmlns="http://schemas.openxmlformats.org/officeDocument/2006/extended-properties" xmlns:vt="http://schemas.openxmlformats.org/officeDocument/2006/docPropsVTypes">
  <Template>ECE_TRANS.dotm</Template>
  <TotalTime>1</TotalTime>
  <Pages>4</Pages>
  <Words>1325</Words>
  <Characters>9276</Characters>
  <Application>Microsoft Office Word</Application>
  <DocSecurity>0</DocSecurity>
  <Lines>773</Lines>
  <Paragraphs>424</Paragraphs>
  <ScaleCrop>false</ScaleCrop>
  <HeadingPairs>
    <vt:vector size="2" baseType="variant">
      <vt:variant>
        <vt:lpstr>Titre</vt:lpstr>
      </vt:variant>
      <vt:variant>
        <vt:i4>1</vt:i4>
      </vt:variant>
    </vt:vector>
  </HeadingPairs>
  <TitlesOfParts>
    <vt:vector size="1" baseType="lpstr">
      <vt:lpstr>ECE/TRANS/WP.29/GRSP/2023/38</vt:lpstr>
    </vt:vector>
  </TitlesOfParts>
  <Company>DCM</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ECE/TRANS/WP.29/GRSP/2023/38</dc:title>
  <dc:subject/>
  <dc:creator>Nathalie VITTOZ</dc:creator>
  <cp:keywords/>
  <cp:lastModifiedBy>Nathalie Vittoz</cp:lastModifiedBy>
  <cp:revision>2</cp:revision>
  <cp:lastPrinted>2014-05-14T10:59:00Z</cp:lastPrinted>
  <dcterms:created xsi:type="dcterms:W3CDTF">2023-10-12T12:32:00Z</dcterms:created>
  <dcterms:modified xsi:type="dcterms:W3CDTF">2023-10-12T12:32:00Z</dcterms:modified>
</cp:coreProperties>
</file>