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32A77B9" w14:textId="77777777" w:rsidTr="00C97039">
        <w:trPr>
          <w:trHeight w:hRule="exact" w:val="851"/>
        </w:trPr>
        <w:tc>
          <w:tcPr>
            <w:tcW w:w="1276" w:type="dxa"/>
            <w:tcBorders>
              <w:bottom w:val="single" w:sz="4" w:space="0" w:color="auto"/>
            </w:tcBorders>
          </w:tcPr>
          <w:p w14:paraId="785D5938" w14:textId="77777777" w:rsidR="00F35BAF" w:rsidRPr="00DB58B5" w:rsidRDefault="00F35BAF" w:rsidP="00381EF4"/>
        </w:tc>
        <w:tc>
          <w:tcPr>
            <w:tcW w:w="2268" w:type="dxa"/>
            <w:tcBorders>
              <w:bottom w:val="single" w:sz="4" w:space="0" w:color="auto"/>
            </w:tcBorders>
            <w:vAlign w:val="bottom"/>
          </w:tcPr>
          <w:p w14:paraId="3034A910"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F469E0E" w14:textId="44F09AB7" w:rsidR="00F35BAF" w:rsidRPr="00DB58B5" w:rsidRDefault="00381EF4" w:rsidP="00381EF4">
            <w:pPr>
              <w:jc w:val="right"/>
            </w:pPr>
            <w:r w:rsidRPr="00381EF4">
              <w:rPr>
                <w:sz w:val="40"/>
              </w:rPr>
              <w:t>ECE</w:t>
            </w:r>
            <w:r>
              <w:t>/TRANS/WP.29/GRSP/2023/35</w:t>
            </w:r>
          </w:p>
        </w:tc>
      </w:tr>
      <w:tr w:rsidR="00F35BAF" w:rsidRPr="00DB58B5" w14:paraId="3A13208C" w14:textId="77777777" w:rsidTr="00C97039">
        <w:trPr>
          <w:trHeight w:hRule="exact" w:val="2835"/>
        </w:trPr>
        <w:tc>
          <w:tcPr>
            <w:tcW w:w="1276" w:type="dxa"/>
            <w:tcBorders>
              <w:top w:val="single" w:sz="4" w:space="0" w:color="auto"/>
              <w:bottom w:val="single" w:sz="12" w:space="0" w:color="auto"/>
            </w:tcBorders>
          </w:tcPr>
          <w:p w14:paraId="0F3FB8C5" w14:textId="77777777" w:rsidR="00F35BAF" w:rsidRPr="00DB58B5" w:rsidRDefault="00F35BAF" w:rsidP="00C97039">
            <w:pPr>
              <w:spacing w:before="120"/>
              <w:jc w:val="center"/>
            </w:pPr>
            <w:r>
              <w:rPr>
                <w:noProof/>
                <w:lang w:eastAsia="fr-CH"/>
              </w:rPr>
              <w:drawing>
                <wp:inline distT="0" distB="0" distL="0" distR="0" wp14:anchorId="4A002E82" wp14:editId="0404FAC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AA018C4"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B6144D4" w14:textId="77777777" w:rsidR="00F35BAF" w:rsidRDefault="00381EF4" w:rsidP="00C97039">
            <w:pPr>
              <w:spacing w:before="240"/>
            </w:pPr>
            <w:r>
              <w:t>Distr. générale</w:t>
            </w:r>
          </w:p>
          <w:p w14:paraId="54692038" w14:textId="77777777" w:rsidR="00381EF4" w:rsidRDefault="00381EF4" w:rsidP="00381EF4">
            <w:pPr>
              <w:spacing w:line="240" w:lineRule="exact"/>
            </w:pPr>
            <w:r>
              <w:t>22 septembre 2023</w:t>
            </w:r>
          </w:p>
          <w:p w14:paraId="58FDF63F" w14:textId="77777777" w:rsidR="00381EF4" w:rsidRDefault="00381EF4" w:rsidP="00381EF4">
            <w:pPr>
              <w:spacing w:line="240" w:lineRule="exact"/>
            </w:pPr>
            <w:r>
              <w:t>Français</w:t>
            </w:r>
          </w:p>
          <w:p w14:paraId="0AE2CE5B" w14:textId="2BE53ADA" w:rsidR="00381EF4" w:rsidRPr="00DB58B5" w:rsidRDefault="00381EF4" w:rsidP="00381EF4">
            <w:pPr>
              <w:spacing w:line="240" w:lineRule="exact"/>
            </w:pPr>
            <w:r>
              <w:t>Original : anglais</w:t>
            </w:r>
          </w:p>
        </w:tc>
      </w:tr>
    </w:tbl>
    <w:p w14:paraId="0AD46A23" w14:textId="479A789F" w:rsidR="007F20FA" w:rsidRPr="000312C0" w:rsidRDefault="007F20FA" w:rsidP="007F20FA">
      <w:pPr>
        <w:spacing w:before="120"/>
        <w:rPr>
          <w:b/>
          <w:sz w:val="28"/>
          <w:szCs w:val="28"/>
        </w:rPr>
      </w:pPr>
      <w:r w:rsidRPr="000312C0">
        <w:rPr>
          <w:b/>
          <w:sz w:val="28"/>
          <w:szCs w:val="28"/>
        </w:rPr>
        <w:t>Commission économique pour l</w:t>
      </w:r>
      <w:r w:rsidR="00A5386E">
        <w:rPr>
          <w:b/>
          <w:sz w:val="28"/>
          <w:szCs w:val="28"/>
        </w:rPr>
        <w:t>’</w:t>
      </w:r>
      <w:r w:rsidRPr="000312C0">
        <w:rPr>
          <w:b/>
          <w:sz w:val="28"/>
          <w:szCs w:val="28"/>
        </w:rPr>
        <w:t>Europe</w:t>
      </w:r>
    </w:p>
    <w:p w14:paraId="11F87AF0" w14:textId="77777777" w:rsidR="007F20FA" w:rsidRDefault="007F20FA" w:rsidP="007F20FA">
      <w:pPr>
        <w:spacing w:before="120"/>
        <w:rPr>
          <w:sz w:val="28"/>
          <w:szCs w:val="28"/>
        </w:rPr>
      </w:pPr>
      <w:r w:rsidRPr="00685843">
        <w:rPr>
          <w:sz w:val="28"/>
          <w:szCs w:val="28"/>
        </w:rPr>
        <w:t>Comité des transports intérieurs</w:t>
      </w:r>
    </w:p>
    <w:p w14:paraId="25F9A00A" w14:textId="344FB341" w:rsidR="00304EA7" w:rsidRDefault="00304EA7" w:rsidP="00AF0CB5">
      <w:pPr>
        <w:spacing w:before="120"/>
        <w:rPr>
          <w:b/>
          <w:sz w:val="24"/>
          <w:szCs w:val="24"/>
        </w:rPr>
      </w:pPr>
      <w:r w:rsidRPr="00685843">
        <w:rPr>
          <w:b/>
          <w:sz w:val="24"/>
          <w:szCs w:val="24"/>
        </w:rPr>
        <w:t>Forum mondial de l</w:t>
      </w:r>
      <w:r w:rsidR="00A5386E">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747D6A42" w14:textId="77777777" w:rsidR="00304EA7" w:rsidRDefault="00304EA7" w:rsidP="00257168">
      <w:pPr>
        <w:spacing w:before="120" w:after="120" w:line="240" w:lineRule="exact"/>
        <w:rPr>
          <w:b/>
        </w:rPr>
      </w:pPr>
      <w:r>
        <w:rPr>
          <w:b/>
        </w:rPr>
        <w:t>Groupe de travail de la sécurité passive</w:t>
      </w:r>
    </w:p>
    <w:p w14:paraId="1195D692" w14:textId="77777777" w:rsidR="00304EA7" w:rsidRPr="004F5B76" w:rsidRDefault="00304EA7" w:rsidP="00304EA7">
      <w:pPr>
        <w:spacing w:before="120"/>
        <w:rPr>
          <w:rFonts w:asciiTheme="majorBidi" w:hAnsiTheme="majorBidi" w:cstheme="majorBidi"/>
          <w:b/>
          <w:lang w:val="fr-FR"/>
        </w:rPr>
      </w:pPr>
      <w:r>
        <w:rPr>
          <w:b/>
          <w:bCs/>
          <w:lang w:val="fr-FR"/>
        </w:rPr>
        <w:t>Soixante-quatorzième session</w:t>
      </w:r>
    </w:p>
    <w:p w14:paraId="3C55621A" w14:textId="77777777" w:rsidR="00304EA7" w:rsidRPr="004F5B76" w:rsidRDefault="00304EA7" w:rsidP="00304EA7">
      <w:pPr>
        <w:rPr>
          <w:rFonts w:asciiTheme="majorBidi" w:hAnsiTheme="majorBidi" w:cstheme="majorBidi"/>
          <w:lang w:val="fr-FR"/>
        </w:rPr>
      </w:pPr>
      <w:r>
        <w:rPr>
          <w:lang w:val="fr-FR"/>
        </w:rPr>
        <w:t>Genève, 4-8 décembre 2023</w:t>
      </w:r>
    </w:p>
    <w:p w14:paraId="32A148BA" w14:textId="44970CE1" w:rsidR="00304EA7" w:rsidRPr="004F5B76" w:rsidRDefault="00304EA7" w:rsidP="00304EA7">
      <w:pPr>
        <w:rPr>
          <w:rFonts w:asciiTheme="majorBidi" w:hAnsiTheme="majorBidi" w:cstheme="majorBidi"/>
          <w:lang w:val="fr-FR"/>
        </w:rPr>
      </w:pPr>
      <w:r>
        <w:rPr>
          <w:lang w:val="fr-FR"/>
        </w:rPr>
        <w:t>Point 10 de l</w:t>
      </w:r>
      <w:r w:rsidR="00A5386E">
        <w:rPr>
          <w:lang w:val="fr-FR"/>
        </w:rPr>
        <w:t>’</w:t>
      </w:r>
      <w:r>
        <w:rPr>
          <w:lang w:val="fr-FR"/>
        </w:rPr>
        <w:t>ordre du jour provisoire</w:t>
      </w:r>
    </w:p>
    <w:p w14:paraId="706FD3C5" w14:textId="0CFAA2EF" w:rsidR="00304EA7" w:rsidRPr="004F5B76" w:rsidRDefault="00304EA7" w:rsidP="00304EA7">
      <w:pPr>
        <w:rPr>
          <w:b/>
          <w:lang w:val="fr-FR"/>
        </w:rPr>
      </w:pPr>
      <w:r>
        <w:rPr>
          <w:b/>
          <w:bCs/>
          <w:lang w:val="fr-FR"/>
        </w:rPr>
        <w:t xml:space="preserve">Règlement ONU </w:t>
      </w:r>
      <w:r w:rsidR="00AB1801" w:rsidRPr="00AB1801">
        <w:rPr>
          <w:rFonts w:eastAsia="MS Mincho"/>
          <w:b/>
          <w:bCs/>
          <w:szCs w:val="22"/>
          <w:lang w:val="fr-FR"/>
        </w:rPr>
        <w:t>n</w:t>
      </w:r>
      <w:r w:rsidR="00AB1801" w:rsidRPr="00AB1801">
        <w:rPr>
          <w:rFonts w:eastAsia="MS Mincho"/>
          <w:b/>
          <w:bCs/>
          <w:szCs w:val="22"/>
          <w:vertAlign w:val="superscript"/>
          <w:lang w:val="fr-FR"/>
        </w:rPr>
        <w:t>o</w:t>
      </w:r>
      <w:r w:rsidR="00AB1801">
        <w:rPr>
          <w:b/>
          <w:bCs/>
          <w:lang w:val="fr-FR"/>
        </w:rPr>
        <w:t> </w:t>
      </w:r>
      <w:r>
        <w:rPr>
          <w:b/>
          <w:bCs/>
          <w:lang w:val="fr-FR"/>
        </w:rPr>
        <w:t>100 (Véhicules électriques)</w:t>
      </w:r>
    </w:p>
    <w:p w14:paraId="0D1C225B" w14:textId="387807E2" w:rsidR="00304EA7" w:rsidRPr="004F5B76" w:rsidRDefault="00304EA7" w:rsidP="00AB1801">
      <w:pPr>
        <w:pStyle w:val="HChG"/>
        <w:rPr>
          <w:bCs/>
          <w:lang w:val="fr-FR"/>
        </w:rPr>
      </w:pPr>
      <w:r>
        <w:rPr>
          <w:lang w:val="fr-FR"/>
        </w:rPr>
        <w:tab/>
      </w:r>
      <w:r>
        <w:rPr>
          <w:lang w:val="fr-FR"/>
        </w:rPr>
        <w:tab/>
        <w:t xml:space="preserve">Proposition de série 04 </w:t>
      </w:r>
      <w:r w:rsidRPr="00AB1801">
        <w:t>d</w:t>
      </w:r>
      <w:r w:rsidR="00A5386E">
        <w:t>’</w:t>
      </w:r>
      <w:r w:rsidRPr="00AB1801">
        <w:t>amendements</w:t>
      </w:r>
      <w:r>
        <w:rPr>
          <w:lang w:val="fr-FR"/>
        </w:rPr>
        <w:t xml:space="preserve"> au Règlement ONU </w:t>
      </w:r>
      <w:r w:rsidR="00AB1801" w:rsidRPr="00AB1801">
        <w:rPr>
          <w:rFonts w:eastAsia="MS Mincho"/>
          <w:szCs w:val="22"/>
          <w:lang w:val="fr-FR"/>
        </w:rPr>
        <w:t>n</w:t>
      </w:r>
      <w:r w:rsidR="00AB1801" w:rsidRPr="00AB1801">
        <w:rPr>
          <w:rFonts w:eastAsia="MS Mincho"/>
          <w:szCs w:val="22"/>
          <w:vertAlign w:val="superscript"/>
          <w:lang w:val="fr-FR"/>
        </w:rPr>
        <w:t>o</w:t>
      </w:r>
      <w:r w:rsidR="00AB1801">
        <w:rPr>
          <w:lang w:val="fr-FR"/>
        </w:rPr>
        <w:t> </w:t>
      </w:r>
      <w:r>
        <w:rPr>
          <w:lang w:val="fr-FR"/>
        </w:rPr>
        <w:t>100 (Véhicules électriques)</w:t>
      </w:r>
      <w:r w:rsidRPr="00AB1801">
        <w:rPr>
          <w:b w:val="0"/>
          <w:bCs/>
          <w:sz w:val="20"/>
          <w:lang w:val="fr-FR"/>
        </w:rPr>
        <w:t>*</w:t>
      </w:r>
    </w:p>
    <w:p w14:paraId="0B5EC538" w14:textId="18205930" w:rsidR="00304EA7" w:rsidRPr="00AB1801" w:rsidRDefault="00304EA7" w:rsidP="00AB1801">
      <w:pPr>
        <w:pStyle w:val="H1G"/>
      </w:pPr>
      <w:r>
        <w:rPr>
          <w:lang w:val="fr-FR"/>
        </w:rPr>
        <w:footnoteReference w:customMarkFollows="1" w:id="2"/>
        <w:tab/>
      </w:r>
      <w:r>
        <w:rPr>
          <w:lang w:val="fr-FR"/>
        </w:rPr>
        <w:tab/>
        <w:t>Communication de l</w:t>
      </w:r>
      <w:r w:rsidR="00A5386E">
        <w:rPr>
          <w:lang w:val="fr-FR"/>
        </w:rPr>
        <w:t>’</w:t>
      </w:r>
      <w:r>
        <w:rPr>
          <w:lang w:val="fr-FR"/>
        </w:rPr>
        <w:t>expert des Pays-Bas</w:t>
      </w:r>
    </w:p>
    <w:p w14:paraId="4DC0A5BF" w14:textId="6AB68125" w:rsidR="00304EA7" w:rsidRPr="004F5B76" w:rsidRDefault="00304EA7" w:rsidP="00304EA7">
      <w:pPr>
        <w:pStyle w:val="SingleTxtG"/>
        <w:ind w:firstLine="567"/>
        <w:rPr>
          <w:lang w:val="fr-FR"/>
        </w:rPr>
      </w:pPr>
      <w:r>
        <w:rPr>
          <w:lang w:val="fr-FR"/>
        </w:rPr>
        <w:t>Le texte ci-après, établi par l</w:t>
      </w:r>
      <w:r w:rsidR="00A5386E">
        <w:rPr>
          <w:lang w:val="fr-FR"/>
        </w:rPr>
        <w:t>’</w:t>
      </w:r>
      <w:r>
        <w:rPr>
          <w:lang w:val="fr-FR"/>
        </w:rPr>
        <w:t>expert des Pays-Bas, vise à l</w:t>
      </w:r>
      <w:r w:rsidR="00A5386E">
        <w:rPr>
          <w:lang w:val="fr-FR"/>
        </w:rPr>
        <w:t>’</w:t>
      </w:r>
      <w:r>
        <w:rPr>
          <w:lang w:val="fr-FR"/>
        </w:rPr>
        <w:t>identification des autobus et des camions équipés d</w:t>
      </w:r>
      <w:r w:rsidR="00A5386E">
        <w:rPr>
          <w:lang w:val="fr-FR"/>
        </w:rPr>
        <w:t>’</w:t>
      </w:r>
      <w:r>
        <w:rPr>
          <w:lang w:val="fr-FR"/>
        </w:rPr>
        <w:t>une chaîne de traction électrique, de manière cohérente avec la réglementation actuelle applicable aux autobus et aux camions fonctionnant au gaz de pétrole liquéfié (GPL), au gaz naturel comprimé (GNC) et à l</w:t>
      </w:r>
      <w:r w:rsidR="00A5386E">
        <w:rPr>
          <w:lang w:val="fr-FR"/>
        </w:rPr>
        <w:t>’</w:t>
      </w:r>
      <w:r>
        <w:rPr>
          <w:lang w:val="fr-FR"/>
        </w:rPr>
        <w:t>hydrogène comprimé (H</w:t>
      </w:r>
      <w:r w:rsidRPr="005C4CD6">
        <w:rPr>
          <w:vertAlign w:val="subscript"/>
          <w:lang w:val="fr-FR"/>
        </w:rPr>
        <w:t>2</w:t>
      </w:r>
      <w:r>
        <w:rPr>
          <w:lang w:val="fr-FR"/>
        </w:rPr>
        <w:t>). La présente proposition est fondée sur les documents ECE/TRANS/WP.29/GRSP/2023/10, GRSP-73-17 et GRSP-73-49. Les modifications qu</w:t>
      </w:r>
      <w:r w:rsidR="00A5386E">
        <w:rPr>
          <w:lang w:val="fr-FR"/>
        </w:rPr>
        <w:t>’</w:t>
      </w:r>
      <w:r>
        <w:rPr>
          <w:lang w:val="fr-FR"/>
        </w:rPr>
        <w:t>il est proposé d</w:t>
      </w:r>
      <w:r w:rsidR="00A5386E">
        <w:rPr>
          <w:lang w:val="fr-FR"/>
        </w:rPr>
        <w:t>’</w:t>
      </w:r>
      <w:r>
        <w:rPr>
          <w:lang w:val="fr-FR"/>
        </w:rPr>
        <w:t>apporter au texte actuel du Règlement ONU (y compris le document ECE/TRANS/WP.29/2023/118) figurent en caractères gras pour les ajouts et biffés pour les suppressions.</w:t>
      </w:r>
    </w:p>
    <w:p w14:paraId="04232E3E" w14:textId="77777777" w:rsidR="00304EA7" w:rsidRPr="004F5B76" w:rsidRDefault="00304EA7" w:rsidP="00304EA7">
      <w:pPr>
        <w:suppressAutoHyphens w:val="0"/>
        <w:spacing w:line="240" w:lineRule="auto"/>
        <w:rPr>
          <w:lang w:val="fr-FR"/>
        </w:rPr>
      </w:pPr>
      <w:r w:rsidRPr="004F5B76">
        <w:rPr>
          <w:lang w:val="fr-FR"/>
        </w:rPr>
        <w:br w:type="page"/>
      </w:r>
    </w:p>
    <w:p w14:paraId="54B1BF63" w14:textId="0972AAAA" w:rsidR="00304EA7" w:rsidRPr="004F5B76" w:rsidRDefault="00AB1801" w:rsidP="00AB1801">
      <w:pPr>
        <w:pStyle w:val="HChG"/>
        <w:rPr>
          <w:lang w:val="fr-FR"/>
        </w:rPr>
      </w:pPr>
      <w:r>
        <w:rPr>
          <w:lang w:val="fr-FR"/>
        </w:rPr>
        <w:lastRenderedPageBreak/>
        <w:tab/>
      </w:r>
      <w:r w:rsidR="00304EA7">
        <w:rPr>
          <w:lang w:val="fr-FR"/>
        </w:rPr>
        <w:t>I.</w:t>
      </w:r>
      <w:r w:rsidR="00304EA7">
        <w:rPr>
          <w:lang w:val="fr-FR"/>
        </w:rPr>
        <w:tab/>
      </w:r>
      <w:r w:rsidR="00304EA7" w:rsidRPr="00AB1801">
        <w:t>Proposition</w:t>
      </w:r>
    </w:p>
    <w:p w14:paraId="42082204" w14:textId="77777777" w:rsidR="00304EA7" w:rsidRPr="004F5B76" w:rsidRDefault="00304EA7" w:rsidP="00304EA7">
      <w:pPr>
        <w:pStyle w:val="SingleTxtG"/>
        <w:rPr>
          <w:i/>
          <w:lang w:val="fr-FR"/>
        </w:rPr>
      </w:pPr>
      <w:r w:rsidRPr="00E6775C">
        <w:rPr>
          <w:i/>
          <w:iCs/>
          <w:lang w:val="fr-FR"/>
        </w:rPr>
        <w:t>Table des matières, liste des annexes</w:t>
      </w:r>
      <w:r>
        <w:rPr>
          <w:lang w:val="fr-FR"/>
        </w:rPr>
        <w:t>, lire :</w:t>
      </w:r>
    </w:p>
    <w:p w14:paraId="14141FF0" w14:textId="5A5979C3" w:rsidR="00AB1801" w:rsidRPr="00AB1801" w:rsidRDefault="00304EA7" w:rsidP="00AB1801">
      <w:pPr>
        <w:spacing w:after="120"/>
        <w:rPr>
          <w:sz w:val="28"/>
        </w:rPr>
      </w:pPr>
      <w:r w:rsidRPr="00AB1801">
        <w:rPr>
          <w:sz w:val="28"/>
          <w:lang w:val="fr-FR"/>
        </w:rPr>
        <w:t>«</w:t>
      </w:r>
      <w:r w:rsidR="00AB1801" w:rsidRPr="00AB1801">
        <w:rPr>
          <w:sz w:val="28"/>
          <w:lang w:val="fr-FR"/>
        </w:rPr>
        <w:t> </w:t>
      </w:r>
      <w:r w:rsidR="00AB1801" w:rsidRPr="00AB1801">
        <w:rPr>
          <w:sz w:val="28"/>
        </w:rPr>
        <w:t>Table des matières</w:t>
      </w:r>
    </w:p>
    <w:p w14:paraId="23955E6C" w14:textId="77777777" w:rsidR="00304EA7" w:rsidRPr="004F5B76" w:rsidRDefault="00304EA7" w:rsidP="00304EA7">
      <w:pPr>
        <w:tabs>
          <w:tab w:val="right" w:pos="9638"/>
        </w:tabs>
        <w:spacing w:after="120"/>
        <w:ind w:left="283"/>
        <w:rPr>
          <w:sz w:val="18"/>
          <w:lang w:val="fr-FR"/>
        </w:rPr>
      </w:pPr>
      <w:r>
        <w:rPr>
          <w:lang w:val="fr-FR"/>
        </w:rPr>
        <w:tab/>
      </w:r>
      <w:r>
        <w:rPr>
          <w:i/>
          <w:iCs/>
          <w:lang w:val="fr-FR"/>
        </w:rPr>
        <w:t>Page</w:t>
      </w:r>
    </w:p>
    <w:p w14:paraId="345422C9" w14:textId="77777777" w:rsidR="00304EA7" w:rsidRPr="004F5B76" w:rsidRDefault="00304EA7" w:rsidP="00304EA7">
      <w:pPr>
        <w:tabs>
          <w:tab w:val="right" w:pos="850"/>
          <w:tab w:val="left" w:pos="1134"/>
          <w:tab w:val="left" w:pos="1559"/>
          <w:tab w:val="left" w:pos="1984"/>
          <w:tab w:val="left" w:leader="dot" w:pos="8929"/>
          <w:tab w:val="right" w:pos="9638"/>
        </w:tabs>
        <w:spacing w:after="120"/>
        <w:rPr>
          <w:lang w:val="fr-FR"/>
        </w:rPr>
      </w:pPr>
      <w:r>
        <w:rPr>
          <w:lang w:val="fr-FR"/>
        </w:rPr>
        <w:t>Règlement</w:t>
      </w:r>
    </w:p>
    <w:p w14:paraId="1AC752C9" w14:textId="6E57D79C"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1.</w:t>
      </w:r>
      <w:r>
        <w:rPr>
          <w:lang w:val="fr-FR"/>
        </w:rPr>
        <w:tab/>
        <w:t>Domaine d</w:t>
      </w:r>
      <w:r w:rsidR="00A5386E">
        <w:rPr>
          <w:lang w:val="fr-FR"/>
        </w:rPr>
        <w:t>’</w:t>
      </w:r>
      <w:r>
        <w:rPr>
          <w:lang w:val="fr-FR"/>
        </w:rPr>
        <w:t>application</w:t>
      </w:r>
      <w:r>
        <w:rPr>
          <w:lang w:val="fr-FR"/>
        </w:rPr>
        <w:tab/>
      </w:r>
      <w:r w:rsidRPr="00847A87">
        <w:rPr>
          <w:noProof/>
          <w:webHidden/>
          <w:lang w:val="fr-FR"/>
        </w:rPr>
        <w:tab/>
      </w:r>
    </w:p>
    <w:p w14:paraId="6BBFB3B8" w14:textId="77777777"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2.</w:t>
      </w:r>
      <w:r>
        <w:rPr>
          <w:lang w:val="fr-FR"/>
        </w:rPr>
        <w:tab/>
        <w:t>Définitions</w:t>
      </w:r>
      <w:r w:rsidRPr="00847A87">
        <w:rPr>
          <w:noProof/>
          <w:webHidden/>
          <w:lang w:val="fr-FR"/>
        </w:rPr>
        <w:tab/>
      </w:r>
      <w:r w:rsidRPr="00847A87">
        <w:rPr>
          <w:noProof/>
          <w:webHidden/>
          <w:lang w:val="fr-FR"/>
        </w:rPr>
        <w:tab/>
      </w:r>
    </w:p>
    <w:p w14:paraId="345E9DB8" w14:textId="3F3081F9"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3.</w:t>
      </w:r>
      <w:r>
        <w:rPr>
          <w:lang w:val="fr-FR"/>
        </w:rPr>
        <w:tab/>
        <w:t>Demande d</w:t>
      </w:r>
      <w:r w:rsidR="00A5386E">
        <w:rPr>
          <w:lang w:val="fr-FR"/>
        </w:rPr>
        <w:t>’</w:t>
      </w:r>
      <w:r>
        <w:rPr>
          <w:lang w:val="fr-FR"/>
        </w:rPr>
        <w:t>homologation</w:t>
      </w:r>
      <w:r>
        <w:rPr>
          <w:noProof/>
          <w:webHidden/>
          <w:lang w:val="fr-FR"/>
        </w:rPr>
        <w:tab/>
      </w:r>
      <w:r>
        <w:rPr>
          <w:noProof/>
          <w:webHidden/>
          <w:lang w:val="fr-FR"/>
        </w:rPr>
        <w:tab/>
      </w:r>
    </w:p>
    <w:p w14:paraId="2CD569B2" w14:textId="4E0960F8"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4.</w:t>
      </w:r>
      <w:r>
        <w:rPr>
          <w:lang w:val="fr-FR"/>
        </w:rPr>
        <w:tab/>
        <w:t>Homologation</w:t>
      </w:r>
      <w:r>
        <w:rPr>
          <w:lang w:val="fr-FR"/>
        </w:rPr>
        <w:tab/>
      </w:r>
      <w:r>
        <w:rPr>
          <w:lang w:val="fr-FR"/>
        </w:rPr>
        <w:tab/>
      </w:r>
    </w:p>
    <w:p w14:paraId="1244A0F1" w14:textId="77777777"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5.</w:t>
      </w:r>
      <w:r>
        <w:rPr>
          <w:lang w:val="fr-FR"/>
        </w:rPr>
        <w:tab/>
        <w:t>Partie I : Prescriptions applicables à un véhicule en ce qui concerne les dispositions particulières applicables à la chaîne de traction électrique</w:t>
      </w:r>
      <w:r>
        <w:rPr>
          <w:noProof/>
          <w:webHidden/>
          <w:lang w:val="fr-FR"/>
        </w:rPr>
        <w:tab/>
      </w:r>
      <w:r>
        <w:rPr>
          <w:noProof/>
          <w:webHidden/>
          <w:lang w:val="fr-FR"/>
        </w:rPr>
        <w:tab/>
      </w:r>
    </w:p>
    <w:p w14:paraId="6DDEF7C5" w14:textId="196425D8"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6.</w:t>
      </w:r>
      <w:r>
        <w:rPr>
          <w:lang w:val="fr-FR"/>
        </w:rPr>
        <w:tab/>
        <w:t>Partie II : Prescriptions applicables à un système rechargeable de stockage de l</w:t>
      </w:r>
      <w:r w:rsidR="00A5386E">
        <w:rPr>
          <w:lang w:val="fr-FR"/>
        </w:rPr>
        <w:t>’</w:t>
      </w:r>
      <w:r>
        <w:rPr>
          <w:lang w:val="fr-FR"/>
        </w:rPr>
        <w:t>énergie électrique (SRSEE) en ce qui concerne sa sécurité</w:t>
      </w:r>
      <w:r>
        <w:rPr>
          <w:noProof/>
          <w:webHidden/>
          <w:lang w:val="fr-FR"/>
        </w:rPr>
        <w:tab/>
      </w:r>
      <w:r>
        <w:rPr>
          <w:noProof/>
          <w:webHidden/>
          <w:lang w:val="fr-FR"/>
        </w:rPr>
        <w:tab/>
      </w:r>
    </w:p>
    <w:p w14:paraId="1DD41F94" w14:textId="2886475E"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7.</w:t>
      </w:r>
      <w:r>
        <w:rPr>
          <w:lang w:val="fr-FR"/>
        </w:rPr>
        <w:tab/>
        <w:t>Modifications et extension de l</w:t>
      </w:r>
      <w:r w:rsidR="00A5386E">
        <w:rPr>
          <w:lang w:val="fr-FR"/>
        </w:rPr>
        <w:t>’</w:t>
      </w:r>
      <w:r>
        <w:rPr>
          <w:lang w:val="fr-FR"/>
        </w:rPr>
        <w:t>homologation de type</w:t>
      </w:r>
      <w:r>
        <w:rPr>
          <w:noProof/>
          <w:webHidden/>
          <w:lang w:val="fr-FR"/>
        </w:rPr>
        <w:tab/>
      </w:r>
      <w:r>
        <w:rPr>
          <w:noProof/>
          <w:webHidden/>
          <w:lang w:val="fr-FR"/>
        </w:rPr>
        <w:tab/>
      </w:r>
    </w:p>
    <w:p w14:paraId="6DCC3087" w14:textId="77777777"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8.</w:t>
      </w:r>
      <w:r>
        <w:rPr>
          <w:lang w:val="fr-FR"/>
        </w:rPr>
        <w:tab/>
        <w:t>Conformité de la production</w:t>
      </w:r>
      <w:r>
        <w:rPr>
          <w:noProof/>
          <w:webHidden/>
          <w:lang w:val="fr-FR"/>
        </w:rPr>
        <w:tab/>
      </w:r>
      <w:r>
        <w:rPr>
          <w:noProof/>
          <w:webHidden/>
          <w:lang w:val="fr-FR"/>
        </w:rPr>
        <w:tab/>
      </w:r>
    </w:p>
    <w:p w14:paraId="4D6E9AFC" w14:textId="77777777"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9.</w:t>
      </w:r>
      <w:r>
        <w:rPr>
          <w:lang w:val="fr-FR"/>
        </w:rPr>
        <w:tab/>
        <w:t>Sanctions pour non-conformité de la production</w:t>
      </w:r>
      <w:r>
        <w:rPr>
          <w:noProof/>
          <w:webHidden/>
          <w:lang w:val="fr-FR"/>
        </w:rPr>
        <w:tab/>
      </w:r>
      <w:r>
        <w:rPr>
          <w:noProof/>
          <w:webHidden/>
          <w:lang w:val="fr-FR"/>
        </w:rPr>
        <w:tab/>
      </w:r>
    </w:p>
    <w:p w14:paraId="273C9DC6" w14:textId="77777777"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10.</w:t>
      </w:r>
      <w:r>
        <w:rPr>
          <w:lang w:val="fr-FR"/>
        </w:rPr>
        <w:tab/>
        <w:t>Arrêt définitif de la production</w:t>
      </w:r>
      <w:r>
        <w:rPr>
          <w:noProof/>
          <w:webHidden/>
          <w:lang w:val="fr-FR"/>
        </w:rPr>
        <w:tab/>
      </w:r>
      <w:r>
        <w:rPr>
          <w:noProof/>
          <w:webHidden/>
          <w:lang w:val="fr-FR"/>
        </w:rPr>
        <w:tab/>
      </w:r>
    </w:p>
    <w:p w14:paraId="5B7D81CE" w14:textId="49D22EF2" w:rsidR="00304EA7" w:rsidRPr="004F5B76" w:rsidRDefault="00304EA7" w:rsidP="00304EA7">
      <w:pPr>
        <w:tabs>
          <w:tab w:val="right" w:pos="567"/>
          <w:tab w:val="left" w:pos="1134"/>
          <w:tab w:val="left" w:pos="1984"/>
          <w:tab w:val="left" w:leader="dot" w:pos="8929"/>
          <w:tab w:val="right" w:pos="9638"/>
        </w:tabs>
        <w:spacing w:after="120"/>
        <w:ind w:left="1134" w:hanging="567"/>
        <w:rPr>
          <w:noProof/>
          <w:lang w:val="fr-FR"/>
        </w:rPr>
      </w:pPr>
      <w:r>
        <w:rPr>
          <w:lang w:val="fr-FR"/>
        </w:rPr>
        <w:t>11.</w:t>
      </w:r>
      <w:r>
        <w:rPr>
          <w:lang w:val="fr-FR"/>
        </w:rPr>
        <w:tab/>
        <w:t>Noms et adresses des services techniques chargés des essais d</w:t>
      </w:r>
      <w:r w:rsidR="00A5386E">
        <w:rPr>
          <w:lang w:val="fr-FR"/>
        </w:rPr>
        <w:t>’</w:t>
      </w:r>
      <w:r>
        <w:rPr>
          <w:lang w:val="fr-FR"/>
        </w:rPr>
        <w:t>homologation, et des autorités d</w:t>
      </w:r>
      <w:r w:rsidR="00A5386E">
        <w:rPr>
          <w:lang w:val="fr-FR"/>
        </w:rPr>
        <w:t>’</w:t>
      </w:r>
      <w:r>
        <w:rPr>
          <w:lang w:val="fr-FR"/>
        </w:rPr>
        <w:t>homologation de type</w:t>
      </w:r>
      <w:r>
        <w:rPr>
          <w:noProof/>
          <w:webHidden/>
          <w:lang w:val="fr-FR"/>
        </w:rPr>
        <w:tab/>
      </w:r>
      <w:r>
        <w:rPr>
          <w:noProof/>
          <w:webHidden/>
          <w:lang w:val="fr-FR"/>
        </w:rPr>
        <w:tab/>
      </w:r>
    </w:p>
    <w:p w14:paraId="78E9A39C" w14:textId="77777777"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12.</w:t>
      </w:r>
      <w:r>
        <w:rPr>
          <w:lang w:val="fr-FR"/>
        </w:rPr>
        <w:tab/>
        <w:t>Dispositions transitoires</w:t>
      </w:r>
      <w:r>
        <w:rPr>
          <w:noProof/>
          <w:webHidden/>
          <w:lang w:val="fr-FR"/>
        </w:rPr>
        <w:tab/>
      </w:r>
      <w:r>
        <w:rPr>
          <w:noProof/>
          <w:webHidden/>
          <w:lang w:val="fr-FR"/>
        </w:rPr>
        <w:tab/>
      </w:r>
    </w:p>
    <w:p w14:paraId="36368777" w14:textId="77777777" w:rsidR="00304EA7" w:rsidRPr="004F5B76" w:rsidRDefault="00304EA7" w:rsidP="00304EA7">
      <w:pPr>
        <w:tabs>
          <w:tab w:val="right" w:pos="567"/>
          <w:tab w:val="left" w:pos="1134"/>
          <w:tab w:val="left" w:pos="1559"/>
          <w:tab w:val="left" w:pos="1984"/>
          <w:tab w:val="left" w:leader="dot" w:pos="8929"/>
          <w:tab w:val="right" w:pos="9638"/>
        </w:tabs>
        <w:spacing w:after="120"/>
        <w:ind w:left="1131" w:hanging="1117"/>
        <w:rPr>
          <w:noProof/>
          <w:lang w:val="fr-FR"/>
        </w:rPr>
      </w:pPr>
      <w:r>
        <w:rPr>
          <w:lang w:val="fr-FR"/>
        </w:rPr>
        <w:t>Annexes</w:t>
      </w:r>
    </w:p>
    <w:p w14:paraId="64F7BA5E" w14:textId="77684F79"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1</w:t>
      </w:r>
      <w:r>
        <w:rPr>
          <w:lang w:val="fr-FR"/>
        </w:rPr>
        <w:tab/>
        <w:t>Communication concernant la délivrance ou l</w:t>
      </w:r>
      <w:r w:rsidR="00A5386E">
        <w:rPr>
          <w:lang w:val="fr-FR"/>
        </w:rPr>
        <w:t>’</w:t>
      </w:r>
      <w:r>
        <w:rPr>
          <w:lang w:val="fr-FR"/>
        </w:rPr>
        <w:t>extension ou le refus ou le retrait d</w:t>
      </w:r>
      <w:r w:rsidR="00A5386E">
        <w:rPr>
          <w:lang w:val="fr-FR"/>
        </w:rPr>
        <w:t>’</w:t>
      </w:r>
      <w:r>
        <w:rPr>
          <w:lang w:val="fr-FR"/>
        </w:rPr>
        <w:t xml:space="preserve">une </w:t>
      </w:r>
      <w:r w:rsidR="00A5386E">
        <w:rPr>
          <w:lang w:val="fr-FR"/>
        </w:rPr>
        <w:br/>
      </w:r>
      <w:r>
        <w:rPr>
          <w:lang w:val="fr-FR"/>
        </w:rPr>
        <w:t>homologation ou l</w:t>
      </w:r>
      <w:r w:rsidR="00A5386E">
        <w:rPr>
          <w:lang w:val="fr-FR"/>
        </w:rPr>
        <w:t>’</w:t>
      </w:r>
      <w:r>
        <w:rPr>
          <w:lang w:val="fr-FR"/>
        </w:rPr>
        <w:t>arrêt définitif de la production d</w:t>
      </w:r>
      <w:r w:rsidR="00A5386E">
        <w:rPr>
          <w:lang w:val="fr-FR"/>
        </w:rPr>
        <w:t>’</w:t>
      </w:r>
      <w:r>
        <w:rPr>
          <w:lang w:val="fr-FR"/>
        </w:rPr>
        <w:t xml:space="preserve">un type de véhicule en ce qui concerne </w:t>
      </w:r>
      <w:r w:rsidR="00A5386E">
        <w:rPr>
          <w:lang w:val="fr-FR"/>
        </w:rPr>
        <w:br/>
      </w:r>
      <w:r>
        <w:rPr>
          <w:lang w:val="fr-FR"/>
        </w:rPr>
        <w:t xml:space="preserve">sa sécurité électrique conformément au Règlement </w:t>
      </w:r>
      <w:r w:rsidR="00AB1801" w:rsidRPr="00AB1801">
        <w:rPr>
          <w:rFonts w:eastAsia="MS Mincho"/>
          <w:szCs w:val="22"/>
          <w:lang w:val="fr-FR"/>
        </w:rPr>
        <w:t>n</w:t>
      </w:r>
      <w:r w:rsidR="00AB1801" w:rsidRPr="00AB1801">
        <w:rPr>
          <w:rFonts w:eastAsia="MS Mincho"/>
          <w:szCs w:val="22"/>
          <w:vertAlign w:val="superscript"/>
          <w:lang w:val="fr-FR"/>
        </w:rPr>
        <w:t>o</w:t>
      </w:r>
      <w:r w:rsidR="00AB1801">
        <w:rPr>
          <w:lang w:val="fr-FR"/>
        </w:rPr>
        <w:t> </w:t>
      </w:r>
      <w:r>
        <w:rPr>
          <w:lang w:val="fr-FR"/>
        </w:rPr>
        <w:t>100</w:t>
      </w:r>
      <w:r w:rsidRPr="000A5508">
        <w:rPr>
          <w:noProof/>
          <w:webHidden/>
          <w:lang w:val="fr-FR"/>
        </w:rPr>
        <w:tab/>
      </w:r>
      <w:r w:rsidRPr="000A5508">
        <w:rPr>
          <w:noProof/>
          <w:webHidden/>
          <w:lang w:val="fr-FR"/>
        </w:rPr>
        <w:tab/>
      </w:r>
    </w:p>
    <w:p w14:paraId="0EB595B2" w14:textId="4617F521"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1</w:t>
      </w:r>
      <w:r>
        <w:rPr>
          <w:lang w:val="fr-FR"/>
        </w:rPr>
        <w:tab/>
      </w:r>
      <w:r>
        <w:rPr>
          <w:lang w:val="fr-FR"/>
        </w:rPr>
        <w:tab/>
        <w:t>Communication concernant la délivrance ou l</w:t>
      </w:r>
      <w:r w:rsidR="00A5386E">
        <w:rPr>
          <w:lang w:val="fr-FR"/>
        </w:rPr>
        <w:t>’</w:t>
      </w:r>
      <w:r>
        <w:rPr>
          <w:lang w:val="fr-FR"/>
        </w:rPr>
        <w:t>extension ou le refus ou le retrait d</w:t>
      </w:r>
      <w:r w:rsidR="00A5386E">
        <w:rPr>
          <w:lang w:val="fr-FR"/>
        </w:rPr>
        <w:t>’</w:t>
      </w:r>
      <w:r>
        <w:rPr>
          <w:lang w:val="fr-FR"/>
        </w:rPr>
        <w:t xml:space="preserve">une </w:t>
      </w:r>
      <w:r w:rsidR="00A5386E">
        <w:rPr>
          <w:lang w:val="fr-FR"/>
        </w:rPr>
        <w:br/>
      </w:r>
      <w:r>
        <w:rPr>
          <w:lang w:val="fr-FR"/>
        </w:rPr>
        <w:t>homologation ou l</w:t>
      </w:r>
      <w:r w:rsidR="00A5386E">
        <w:rPr>
          <w:lang w:val="fr-FR"/>
        </w:rPr>
        <w:t>’</w:t>
      </w:r>
      <w:r>
        <w:rPr>
          <w:lang w:val="fr-FR"/>
        </w:rPr>
        <w:t>arrêt définitif de la production d</w:t>
      </w:r>
      <w:r w:rsidR="00A5386E">
        <w:rPr>
          <w:lang w:val="fr-FR"/>
        </w:rPr>
        <w:t>’</w:t>
      </w:r>
      <w:r>
        <w:rPr>
          <w:lang w:val="fr-FR"/>
        </w:rPr>
        <w:t>un type de SRSEE en tant que composant/</w:t>
      </w:r>
      <w:r w:rsidR="00A5386E">
        <w:rPr>
          <w:lang w:val="fr-FR"/>
        </w:rPr>
        <w:br/>
      </w:r>
      <w:r>
        <w:rPr>
          <w:lang w:val="fr-FR"/>
        </w:rPr>
        <w:t xml:space="preserve">entité technique distincte conformément au Règlement </w:t>
      </w:r>
      <w:r w:rsidR="00AB1801" w:rsidRPr="00AB1801">
        <w:rPr>
          <w:rFonts w:eastAsia="MS Mincho"/>
          <w:szCs w:val="22"/>
          <w:lang w:val="fr-FR"/>
        </w:rPr>
        <w:t>n</w:t>
      </w:r>
      <w:r w:rsidR="00AB1801" w:rsidRPr="00AB1801">
        <w:rPr>
          <w:rFonts w:eastAsia="MS Mincho"/>
          <w:szCs w:val="22"/>
          <w:vertAlign w:val="superscript"/>
          <w:lang w:val="fr-FR"/>
        </w:rPr>
        <w:t>o</w:t>
      </w:r>
      <w:r w:rsidR="00AB1801">
        <w:rPr>
          <w:lang w:val="fr-FR"/>
        </w:rPr>
        <w:t> </w:t>
      </w:r>
      <w:r>
        <w:rPr>
          <w:lang w:val="fr-FR"/>
        </w:rPr>
        <w:t>100</w:t>
      </w:r>
      <w:r w:rsidRPr="000A5508">
        <w:rPr>
          <w:noProof/>
          <w:webHidden/>
          <w:lang w:val="fr-FR"/>
        </w:rPr>
        <w:tab/>
      </w:r>
      <w:r w:rsidRPr="000A5508">
        <w:rPr>
          <w:noProof/>
          <w:webHidden/>
          <w:lang w:val="fr-FR"/>
        </w:rPr>
        <w:tab/>
      </w:r>
    </w:p>
    <w:p w14:paraId="673C9691" w14:textId="77777777"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1</w:t>
      </w:r>
      <w:r>
        <w:rPr>
          <w:lang w:val="fr-FR"/>
        </w:rPr>
        <w:tab/>
        <w:t>Appendice 1</w:t>
      </w:r>
      <w:r>
        <w:rPr>
          <w:lang w:val="fr-FR"/>
        </w:rPr>
        <w:tab/>
      </w:r>
      <w:r>
        <w:rPr>
          <w:lang w:val="fr-FR"/>
        </w:rPr>
        <w:tab/>
      </w:r>
    </w:p>
    <w:p w14:paraId="1A692EC4" w14:textId="77777777"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1</w:t>
      </w:r>
      <w:r>
        <w:rPr>
          <w:lang w:val="fr-FR"/>
        </w:rPr>
        <w:tab/>
        <w:t>Appendice 2</w:t>
      </w:r>
      <w:r>
        <w:rPr>
          <w:lang w:val="fr-FR"/>
        </w:rPr>
        <w:tab/>
      </w:r>
      <w:r>
        <w:rPr>
          <w:lang w:val="fr-FR"/>
        </w:rPr>
        <w:tab/>
      </w:r>
    </w:p>
    <w:p w14:paraId="5033D2DE" w14:textId="0A5DC4DB"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2</w:t>
      </w:r>
      <w:r>
        <w:rPr>
          <w:lang w:val="fr-FR"/>
        </w:rPr>
        <w:tab/>
        <w:t>Exemples de marques d</w:t>
      </w:r>
      <w:r w:rsidR="00A5386E">
        <w:rPr>
          <w:lang w:val="fr-FR"/>
        </w:rPr>
        <w:t>’</w:t>
      </w:r>
      <w:r>
        <w:rPr>
          <w:lang w:val="fr-FR"/>
        </w:rPr>
        <w:t>homologation</w:t>
      </w:r>
      <w:r>
        <w:rPr>
          <w:noProof/>
          <w:webHidden/>
          <w:lang w:val="fr-FR"/>
        </w:rPr>
        <w:tab/>
      </w:r>
      <w:r>
        <w:rPr>
          <w:noProof/>
          <w:webHidden/>
          <w:lang w:val="fr-FR"/>
        </w:rPr>
        <w:tab/>
      </w:r>
    </w:p>
    <w:p w14:paraId="6F2D7B4B" w14:textId="77777777"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3</w:t>
      </w:r>
      <w:r>
        <w:rPr>
          <w:lang w:val="fr-FR"/>
        </w:rPr>
        <w:tab/>
        <w:t>Protection contre les contacts directs avec des pièces sous tension</w:t>
      </w:r>
      <w:r>
        <w:rPr>
          <w:noProof/>
          <w:webHidden/>
          <w:lang w:val="fr-FR"/>
        </w:rPr>
        <w:tab/>
      </w:r>
      <w:r>
        <w:rPr>
          <w:noProof/>
          <w:webHidden/>
          <w:lang w:val="fr-FR"/>
        </w:rPr>
        <w:tab/>
      </w:r>
    </w:p>
    <w:p w14:paraId="3EDFD49F" w14:textId="53AE76B4"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4</w:t>
      </w:r>
      <w:r>
        <w:rPr>
          <w:lang w:val="fr-FR"/>
        </w:rPr>
        <w:tab/>
        <w:t>Vérification de l</w:t>
      </w:r>
      <w:r w:rsidR="00A5386E">
        <w:rPr>
          <w:lang w:val="fr-FR"/>
        </w:rPr>
        <w:t>’</w:t>
      </w:r>
      <w:r>
        <w:rPr>
          <w:lang w:val="fr-FR"/>
        </w:rPr>
        <w:t>équipotentialité</w:t>
      </w:r>
      <w:r>
        <w:rPr>
          <w:lang w:val="fr-FR"/>
        </w:rPr>
        <w:tab/>
      </w:r>
      <w:r>
        <w:rPr>
          <w:lang w:val="fr-FR"/>
        </w:rPr>
        <w:tab/>
      </w:r>
    </w:p>
    <w:p w14:paraId="2BECB2A7" w14:textId="6C5CBD16"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5A</w:t>
      </w:r>
      <w:r w:rsidR="00AB1801">
        <w:rPr>
          <w:lang w:val="fr-FR"/>
        </w:rPr>
        <w:tab/>
      </w:r>
      <w:r>
        <w:rPr>
          <w:lang w:val="fr-FR"/>
        </w:rPr>
        <w:t>Méthode de mesure de la résistance d</w:t>
      </w:r>
      <w:r w:rsidR="00A5386E">
        <w:rPr>
          <w:lang w:val="fr-FR"/>
        </w:rPr>
        <w:t>’</w:t>
      </w:r>
      <w:r>
        <w:rPr>
          <w:lang w:val="fr-FR"/>
        </w:rPr>
        <w:t>isolement pour les essais sur un véhicule</w:t>
      </w:r>
      <w:r>
        <w:rPr>
          <w:noProof/>
          <w:webHidden/>
          <w:lang w:val="fr-FR"/>
        </w:rPr>
        <w:tab/>
      </w:r>
      <w:r>
        <w:rPr>
          <w:noProof/>
          <w:webHidden/>
          <w:lang w:val="fr-FR"/>
        </w:rPr>
        <w:tab/>
      </w:r>
    </w:p>
    <w:p w14:paraId="328E70CF" w14:textId="3011A992"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5B</w:t>
      </w:r>
      <w:r>
        <w:rPr>
          <w:lang w:val="fr-FR"/>
        </w:rPr>
        <w:tab/>
        <w:t>Méthode de mesure de la résistance d</w:t>
      </w:r>
      <w:r w:rsidR="00A5386E">
        <w:rPr>
          <w:lang w:val="fr-FR"/>
        </w:rPr>
        <w:t>’</w:t>
      </w:r>
      <w:r>
        <w:rPr>
          <w:lang w:val="fr-FR"/>
        </w:rPr>
        <w:t>isolement pour les essais sur les composants d</w:t>
      </w:r>
      <w:r w:rsidR="00A5386E">
        <w:rPr>
          <w:lang w:val="fr-FR"/>
        </w:rPr>
        <w:t>’</w:t>
      </w:r>
      <w:r>
        <w:rPr>
          <w:lang w:val="fr-FR"/>
        </w:rPr>
        <w:t>un SRSEE</w:t>
      </w:r>
      <w:r>
        <w:rPr>
          <w:noProof/>
          <w:webHidden/>
          <w:lang w:val="fr-FR"/>
        </w:rPr>
        <w:tab/>
      </w:r>
      <w:r>
        <w:rPr>
          <w:noProof/>
          <w:webHidden/>
          <w:lang w:val="fr-FR"/>
        </w:rPr>
        <w:tab/>
      </w:r>
    </w:p>
    <w:p w14:paraId="1D8A7B42" w14:textId="7A7E49C4"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noProof/>
          <w:webHidden/>
          <w:lang w:val="fr-FR"/>
        </w:rPr>
        <w:t>6</w:t>
      </w:r>
      <w:r>
        <w:rPr>
          <w:noProof/>
          <w:webHidden/>
          <w:lang w:val="fr-FR"/>
        </w:rPr>
        <w:tab/>
      </w:r>
      <w:r>
        <w:rPr>
          <w:lang w:val="fr-FR"/>
        </w:rPr>
        <w:t xml:space="preserve">Méthode de confirmation du bon fonctionnement du système embarqué de surveillance </w:t>
      </w:r>
      <w:r w:rsidR="00AB1801">
        <w:rPr>
          <w:lang w:val="fr-FR"/>
        </w:rPr>
        <w:br/>
      </w:r>
      <w:r>
        <w:rPr>
          <w:lang w:val="fr-FR"/>
        </w:rPr>
        <w:t>de la résistance d</w:t>
      </w:r>
      <w:r w:rsidR="00A5386E">
        <w:rPr>
          <w:lang w:val="fr-FR"/>
        </w:rPr>
        <w:t>’</w:t>
      </w:r>
      <w:r>
        <w:rPr>
          <w:lang w:val="fr-FR"/>
        </w:rPr>
        <w:t>isolement</w:t>
      </w:r>
      <w:r>
        <w:rPr>
          <w:noProof/>
          <w:webHidden/>
          <w:lang w:val="fr-FR"/>
        </w:rPr>
        <w:tab/>
      </w:r>
      <w:r>
        <w:rPr>
          <w:noProof/>
          <w:webHidden/>
          <w:lang w:val="fr-FR"/>
        </w:rPr>
        <w:tab/>
      </w:r>
    </w:p>
    <w:p w14:paraId="64A76672" w14:textId="6F2C5306"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lang w:val="fr-FR"/>
        </w:rPr>
      </w:pPr>
      <w:r>
        <w:rPr>
          <w:lang w:val="fr-FR"/>
        </w:rPr>
        <w:t>7A</w:t>
      </w:r>
      <w:r>
        <w:rPr>
          <w:lang w:val="fr-FR"/>
        </w:rPr>
        <w:tab/>
        <w:t>Méthode documentaire permettant aux autorités chargées des essais de s</w:t>
      </w:r>
      <w:r w:rsidR="00A5386E">
        <w:rPr>
          <w:lang w:val="fr-FR"/>
        </w:rPr>
        <w:t>’</w:t>
      </w:r>
      <w:r>
        <w:rPr>
          <w:lang w:val="fr-FR"/>
        </w:rPr>
        <w:t xml:space="preserve">assurer que le système </w:t>
      </w:r>
      <w:r w:rsidR="00A5386E">
        <w:rPr>
          <w:lang w:val="fr-FR"/>
        </w:rPr>
        <w:br/>
      </w:r>
      <w:r>
        <w:rPr>
          <w:lang w:val="fr-FR"/>
        </w:rPr>
        <w:t>électrique d</w:t>
      </w:r>
      <w:r w:rsidR="00A5386E">
        <w:rPr>
          <w:lang w:val="fr-FR"/>
        </w:rPr>
        <w:t>’</w:t>
      </w:r>
      <w:r>
        <w:rPr>
          <w:lang w:val="fr-FR"/>
        </w:rPr>
        <w:t>un véhicule satisfait aux prescriptions en matière de résistance à l</w:t>
      </w:r>
      <w:r w:rsidR="00A5386E">
        <w:rPr>
          <w:lang w:val="fr-FR"/>
        </w:rPr>
        <w:t>’</w:t>
      </w:r>
      <w:r>
        <w:rPr>
          <w:lang w:val="fr-FR"/>
        </w:rPr>
        <w:t xml:space="preserve">isolement </w:t>
      </w:r>
      <w:r w:rsidR="00A5386E">
        <w:rPr>
          <w:lang w:val="fr-FR"/>
        </w:rPr>
        <w:br/>
      </w:r>
      <w:r>
        <w:rPr>
          <w:lang w:val="fr-FR"/>
        </w:rPr>
        <w:t>après une exposition à l</w:t>
      </w:r>
      <w:r w:rsidR="00A5386E">
        <w:rPr>
          <w:lang w:val="fr-FR"/>
        </w:rPr>
        <w:t>’</w:t>
      </w:r>
      <w:r>
        <w:rPr>
          <w:lang w:val="fr-FR"/>
        </w:rPr>
        <w:t>eau</w:t>
      </w:r>
      <w:r w:rsidR="00A5386E">
        <w:rPr>
          <w:lang w:val="fr-FR"/>
        </w:rPr>
        <w:tab/>
      </w:r>
      <w:r w:rsidR="00A5386E">
        <w:rPr>
          <w:lang w:val="fr-FR"/>
        </w:rPr>
        <w:tab/>
      </w:r>
    </w:p>
    <w:p w14:paraId="05120A98" w14:textId="1924E252"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lang w:val="fr-FR"/>
        </w:rPr>
      </w:pPr>
      <w:r>
        <w:rPr>
          <w:lang w:val="fr-FR"/>
        </w:rPr>
        <w:t>7B</w:t>
      </w:r>
      <w:r>
        <w:rPr>
          <w:lang w:val="fr-FR"/>
        </w:rPr>
        <w:tab/>
        <w:t>Épreuve de protection du véhicule contre les effets de l</w:t>
      </w:r>
      <w:r w:rsidR="00A5386E">
        <w:rPr>
          <w:lang w:val="fr-FR"/>
        </w:rPr>
        <w:t>’</w:t>
      </w:r>
      <w:r>
        <w:rPr>
          <w:lang w:val="fr-FR"/>
        </w:rPr>
        <w:t>eau</w:t>
      </w:r>
      <w:r>
        <w:rPr>
          <w:lang w:val="fr-FR"/>
        </w:rPr>
        <w:tab/>
      </w:r>
      <w:r>
        <w:rPr>
          <w:lang w:val="fr-FR"/>
        </w:rPr>
        <w:tab/>
      </w:r>
    </w:p>
    <w:p w14:paraId="202D2144" w14:textId="3FD8D9C1" w:rsidR="00304EA7" w:rsidRPr="004F5B76" w:rsidRDefault="00304EA7" w:rsidP="00A5386E">
      <w:pPr>
        <w:keepNext/>
        <w:tabs>
          <w:tab w:val="right" w:pos="567"/>
          <w:tab w:val="left" w:pos="1134"/>
          <w:tab w:val="left" w:pos="1559"/>
          <w:tab w:val="left" w:pos="1984"/>
          <w:tab w:val="left" w:leader="dot" w:pos="8929"/>
          <w:tab w:val="right" w:pos="9638"/>
        </w:tabs>
        <w:spacing w:after="120"/>
        <w:ind w:left="1131" w:hanging="564"/>
        <w:rPr>
          <w:noProof/>
          <w:lang w:val="fr-FR"/>
        </w:rPr>
      </w:pPr>
      <w:r>
        <w:rPr>
          <w:lang w:val="fr-FR"/>
        </w:rPr>
        <w:lastRenderedPageBreak/>
        <w:t>8</w:t>
      </w:r>
      <w:r w:rsidR="00AB1801">
        <w:rPr>
          <w:lang w:val="fr-FR"/>
        </w:rPr>
        <w:tab/>
      </w:r>
      <w:r>
        <w:rPr>
          <w:lang w:val="fr-FR"/>
        </w:rPr>
        <w:t>Détermination des émissions d</w:t>
      </w:r>
      <w:r w:rsidR="00A5386E">
        <w:rPr>
          <w:lang w:val="fr-FR"/>
        </w:rPr>
        <w:t>’</w:t>
      </w:r>
      <w:r>
        <w:rPr>
          <w:lang w:val="fr-FR"/>
        </w:rPr>
        <w:t>hydrogène pendant les opérations de charge du SRSEE</w:t>
      </w:r>
      <w:r>
        <w:rPr>
          <w:noProof/>
          <w:webHidden/>
          <w:lang w:val="fr-FR"/>
        </w:rPr>
        <w:tab/>
      </w:r>
      <w:r>
        <w:rPr>
          <w:noProof/>
          <w:webHidden/>
          <w:lang w:val="fr-FR"/>
        </w:rPr>
        <w:tab/>
      </w:r>
    </w:p>
    <w:p w14:paraId="7E620272" w14:textId="771DC056" w:rsidR="00304EA7" w:rsidRPr="004F5B76" w:rsidRDefault="00304EA7" w:rsidP="00A5386E">
      <w:pPr>
        <w:keepNext/>
        <w:tabs>
          <w:tab w:val="right" w:pos="567"/>
          <w:tab w:val="left" w:pos="1134"/>
          <w:tab w:val="left" w:pos="1559"/>
          <w:tab w:val="left" w:pos="1984"/>
          <w:tab w:val="left" w:leader="dot" w:pos="8929"/>
          <w:tab w:val="right" w:pos="9638"/>
        </w:tabs>
        <w:spacing w:after="120"/>
        <w:ind w:left="1131"/>
        <w:rPr>
          <w:noProof/>
          <w:lang w:val="fr-FR"/>
        </w:rPr>
      </w:pPr>
      <w:r>
        <w:rPr>
          <w:lang w:val="fr-FR"/>
        </w:rPr>
        <w:tab/>
        <w:t>Appendice 1 − Étalonnage des appareils pour les essais d</w:t>
      </w:r>
      <w:r w:rsidR="00A5386E">
        <w:rPr>
          <w:lang w:val="fr-FR"/>
        </w:rPr>
        <w:t>’</w:t>
      </w:r>
      <w:r>
        <w:rPr>
          <w:lang w:val="fr-FR"/>
        </w:rPr>
        <w:t>émissions d</w:t>
      </w:r>
      <w:r w:rsidR="00A5386E">
        <w:rPr>
          <w:lang w:val="fr-FR"/>
        </w:rPr>
        <w:t>’</w:t>
      </w:r>
      <w:r>
        <w:rPr>
          <w:lang w:val="fr-FR"/>
        </w:rPr>
        <w:t>hydrogène</w:t>
      </w:r>
      <w:r>
        <w:rPr>
          <w:noProof/>
          <w:webHidden/>
          <w:lang w:val="fr-FR"/>
        </w:rPr>
        <w:tab/>
      </w:r>
      <w:r>
        <w:rPr>
          <w:noProof/>
          <w:webHidden/>
          <w:lang w:val="fr-FR"/>
        </w:rPr>
        <w:tab/>
      </w:r>
    </w:p>
    <w:p w14:paraId="1104B9F7" w14:textId="381F1253" w:rsidR="00304EA7" w:rsidRPr="004F5B76" w:rsidRDefault="00304EA7" w:rsidP="00A5386E">
      <w:pPr>
        <w:tabs>
          <w:tab w:val="right" w:pos="567"/>
          <w:tab w:val="left" w:pos="1134"/>
          <w:tab w:val="left" w:pos="1559"/>
          <w:tab w:val="left" w:pos="1984"/>
          <w:tab w:val="left" w:leader="dot" w:pos="8929"/>
          <w:tab w:val="right" w:pos="9638"/>
        </w:tabs>
        <w:spacing w:after="120"/>
        <w:ind w:left="1131"/>
        <w:rPr>
          <w:noProof/>
          <w:lang w:val="fr-FR"/>
        </w:rPr>
      </w:pPr>
      <w:r>
        <w:rPr>
          <w:lang w:val="fr-FR"/>
        </w:rPr>
        <w:tab/>
        <w:t xml:space="preserve">Appendice 2 </w:t>
      </w:r>
      <w:r w:rsidR="00A5386E">
        <w:rPr>
          <w:lang w:val="fr-FR"/>
        </w:rPr>
        <w:t>−</w:t>
      </w:r>
      <w:r>
        <w:rPr>
          <w:lang w:val="fr-FR"/>
        </w:rPr>
        <w:t xml:space="preserve"> Caractéristiques principales de la famille de véhicules</w:t>
      </w:r>
      <w:r>
        <w:rPr>
          <w:noProof/>
          <w:webHidden/>
          <w:lang w:val="fr-FR"/>
        </w:rPr>
        <w:tab/>
      </w:r>
      <w:r>
        <w:rPr>
          <w:noProof/>
          <w:webHidden/>
          <w:lang w:val="fr-FR"/>
        </w:rPr>
        <w:tab/>
      </w:r>
    </w:p>
    <w:p w14:paraId="7D5EF798" w14:textId="05BDFBE9"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9</w:t>
      </w:r>
      <w:r w:rsidR="00AB1801">
        <w:rPr>
          <w:lang w:val="fr-FR"/>
        </w:rPr>
        <w:tab/>
      </w:r>
      <w:r>
        <w:rPr>
          <w:lang w:val="fr-FR"/>
        </w:rPr>
        <w:t>Procédure d</w:t>
      </w:r>
      <w:r w:rsidR="00A5386E">
        <w:rPr>
          <w:lang w:val="fr-FR"/>
        </w:rPr>
        <w:t>’</w:t>
      </w:r>
      <w:r>
        <w:rPr>
          <w:lang w:val="fr-FR"/>
        </w:rPr>
        <w:t>essai applicable aux SRSEE</w:t>
      </w:r>
      <w:r>
        <w:rPr>
          <w:noProof/>
          <w:webHidden/>
          <w:lang w:val="fr-FR"/>
        </w:rPr>
        <w:tab/>
      </w:r>
      <w:r>
        <w:rPr>
          <w:noProof/>
          <w:webHidden/>
          <w:lang w:val="fr-FR"/>
        </w:rPr>
        <w:tab/>
      </w:r>
    </w:p>
    <w:p w14:paraId="3F4D6B45" w14:textId="77777777" w:rsidR="00304EA7" w:rsidRPr="004F5B76" w:rsidRDefault="00304EA7" w:rsidP="00A5386E">
      <w:pPr>
        <w:tabs>
          <w:tab w:val="right" w:pos="567"/>
          <w:tab w:val="left" w:pos="1134"/>
          <w:tab w:val="left" w:pos="1559"/>
          <w:tab w:val="left" w:pos="1984"/>
          <w:tab w:val="left" w:leader="dot" w:pos="8929"/>
          <w:tab w:val="right" w:pos="9638"/>
        </w:tabs>
        <w:spacing w:after="120"/>
        <w:ind w:left="1131"/>
        <w:rPr>
          <w:noProof/>
          <w:webHidden/>
          <w:lang w:val="fr-FR"/>
        </w:rPr>
      </w:pPr>
      <w:r>
        <w:rPr>
          <w:lang w:val="fr-FR"/>
        </w:rPr>
        <w:tab/>
        <w:t>Appendice 1 − Procédure à suivre pour effectuer un cycle standard</w:t>
      </w:r>
      <w:r>
        <w:rPr>
          <w:noProof/>
          <w:webHidden/>
          <w:lang w:val="fr-FR"/>
        </w:rPr>
        <w:tab/>
      </w:r>
      <w:r>
        <w:rPr>
          <w:noProof/>
          <w:webHidden/>
          <w:lang w:val="fr-FR"/>
        </w:rPr>
        <w:tab/>
      </w:r>
    </w:p>
    <w:p w14:paraId="18190305" w14:textId="760789F8" w:rsidR="00304EA7" w:rsidRPr="007628C9" w:rsidRDefault="00304EA7" w:rsidP="00A5386E">
      <w:pPr>
        <w:tabs>
          <w:tab w:val="right" w:pos="567"/>
          <w:tab w:val="left" w:pos="1134"/>
          <w:tab w:val="left" w:pos="1559"/>
          <w:tab w:val="left" w:pos="1984"/>
          <w:tab w:val="left" w:leader="dot" w:pos="8929"/>
          <w:tab w:val="right" w:pos="9638"/>
        </w:tabs>
        <w:spacing w:after="120"/>
        <w:ind w:left="1131"/>
        <w:rPr>
          <w:noProof/>
        </w:rPr>
      </w:pPr>
      <w:r w:rsidRPr="004F5B76">
        <w:rPr>
          <w:noProof/>
          <w:webHidden/>
          <w:lang w:val="fr-FR"/>
        </w:rPr>
        <w:tab/>
      </w:r>
      <w:r w:rsidR="007628C9">
        <w:rPr>
          <w:lang w:val="fr-FR"/>
        </w:rPr>
        <w:t>Appendice 2 − Procédure d’ajustement du niveau de charge</w:t>
      </w:r>
      <w:r w:rsidRPr="007628C9">
        <w:rPr>
          <w:noProof/>
          <w:webHidden/>
        </w:rPr>
        <w:tab/>
      </w:r>
      <w:r w:rsidRPr="007628C9">
        <w:rPr>
          <w:noProof/>
          <w:webHidden/>
        </w:rPr>
        <w:tab/>
      </w:r>
    </w:p>
    <w:p w14:paraId="12959F33" w14:textId="168A3ED7"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9A</w:t>
      </w:r>
      <w:r w:rsidR="00AB1801">
        <w:rPr>
          <w:lang w:val="fr-FR"/>
        </w:rPr>
        <w:tab/>
      </w:r>
      <w:r>
        <w:rPr>
          <w:lang w:val="fr-FR"/>
        </w:rPr>
        <w:t>Essai de vibration</w:t>
      </w:r>
      <w:r>
        <w:rPr>
          <w:noProof/>
          <w:webHidden/>
          <w:lang w:val="fr-FR"/>
        </w:rPr>
        <w:tab/>
      </w:r>
      <w:r>
        <w:rPr>
          <w:noProof/>
          <w:webHidden/>
          <w:lang w:val="fr-FR"/>
        </w:rPr>
        <w:tab/>
      </w:r>
    </w:p>
    <w:p w14:paraId="11092CD7" w14:textId="15D12F03"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9B</w:t>
      </w:r>
      <w:r w:rsidR="00AB1801">
        <w:rPr>
          <w:lang w:val="fr-FR"/>
        </w:rPr>
        <w:tab/>
      </w:r>
      <w:r>
        <w:rPr>
          <w:lang w:val="fr-FR"/>
        </w:rPr>
        <w:t>Essai de choc thermique et de cycles thermiques</w:t>
      </w:r>
      <w:r>
        <w:rPr>
          <w:noProof/>
          <w:webHidden/>
          <w:lang w:val="fr-FR"/>
        </w:rPr>
        <w:tab/>
      </w:r>
      <w:r>
        <w:rPr>
          <w:noProof/>
          <w:webHidden/>
          <w:lang w:val="fr-FR"/>
        </w:rPr>
        <w:tab/>
      </w:r>
    </w:p>
    <w:p w14:paraId="2809E842" w14:textId="4E962764"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9C</w:t>
      </w:r>
      <w:r w:rsidR="00AB1801">
        <w:rPr>
          <w:lang w:val="fr-FR"/>
        </w:rPr>
        <w:tab/>
      </w:r>
      <w:r>
        <w:rPr>
          <w:lang w:val="fr-FR"/>
        </w:rPr>
        <w:t>Choc mécanique</w:t>
      </w:r>
      <w:r>
        <w:rPr>
          <w:noProof/>
          <w:webHidden/>
          <w:lang w:val="fr-FR"/>
        </w:rPr>
        <w:tab/>
      </w:r>
      <w:r>
        <w:rPr>
          <w:noProof/>
          <w:webHidden/>
          <w:lang w:val="fr-FR"/>
        </w:rPr>
        <w:tab/>
      </w:r>
    </w:p>
    <w:p w14:paraId="1F1FEFA4" w14:textId="020586F5"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9D</w:t>
      </w:r>
      <w:r w:rsidR="00AB1801">
        <w:rPr>
          <w:lang w:val="fr-FR"/>
        </w:rPr>
        <w:tab/>
      </w:r>
      <w:r>
        <w:rPr>
          <w:lang w:val="fr-FR"/>
        </w:rPr>
        <w:t>Intégrité mécanique</w:t>
      </w:r>
      <w:r>
        <w:rPr>
          <w:noProof/>
          <w:webHidden/>
          <w:lang w:val="fr-FR"/>
        </w:rPr>
        <w:tab/>
      </w:r>
      <w:r>
        <w:rPr>
          <w:noProof/>
          <w:webHidden/>
          <w:lang w:val="fr-FR"/>
        </w:rPr>
        <w:tab/>
      </w:r>
    </w:p>
    <w:p w14:paraId="27391AE1" w14:textId="64ADA4AF"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9E</w:t>
      </w:r>
      <w:r w:rsidR="00AB1801">
        <w:rPr>
          <w:lang w:val="fr-FR"/>
        </w:rPr>
        <w:tab/>
      </w:r>
      <w:r w:rsidR="00AB1801">
        <w:rPr>
          <w:lang w:val="fr-FR"/>
        </w:rPr>
        <w:tab/>
      </w:r>
      <w:r>
        <w:rPr>
          <w:lang w:val="fr-FR"/>
        </w:rPr>
        <w:t>Résistance au feu</w:t>
      </w:r>
      <w:r>
        <w:rPr>
          <w:noProof/>
          <w:webHidden/>
          <w:lang w:val="fr-FR"/>
        </w:rPr>
        <w:tab/>
      </w:r>
      <w:r>
        <w:rPr>
          <w:noProof/>
          <w:webHidden/>
          <w:lang w:val="fr-FR"/>
        </w:rPr>
        <w:tab/>
      </w:r>
    </w:p>
    <w:p w14:paraId="54C8FB56" w14:textId="77777777" w:rsidR="00304EA7" w:rsidRPr="004F5B76" w:rsidRDefault="00304EA7" w:rsidP="00304EA7">
      <w:pPr>
        <w:tabs>
          <w:tab w:val="right" w:pos="567"/>
          <w:tab w:val="left" w:pos="1134"/>
          <w:tab w:val="left" w:pos="1559"/>
          <w:tab w:val="left" w:pos="1984"/>
          <w:tab w:val="left" w:leader="dot" w:pos="8929"/>
          <w:tab w:val="right" w:pos="9638"/>
        </w:tabs>
        <w:spacing w:after="120"/>
        <w:ind w:left="1131"/>
        <w:rPr>
          <w:noProof/>
          <w:lang w:val="fr-FR"/>
        </w:rPr>
      </w:pPr>
      <w:r>
        <w:rPr>
          <w:lang w:val="fr-FR"/>
        </w:rPr>
        <w:t>Appendice 1 − Cotes et caractéristiques techniques des briques réfractaires</w:t>
      </w:r>
      <w:r>
        <w:rPr>
          <w:noProof/>
          <w:webHidden/>
          <w:lang w:val="fr-FR"/>
        </w:rPr>
        <w:tab/>
      </w:r>
      <w:r>
        <w:rPr>
          <w:noProof/>
          <w:webHidden/>
          <w:lang w:val="fr-FR"/>
        </w:rPr>
        <w:tab/>
      </w:r>
    </w:p>
    <w:p w14:paraId="3D5EE4AA" w14:textId="0136C106"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9F</w:t>
      </w:r>
      <w:r w:rsidR="00AB1801">
        <w:rPr>
          <w:lang w:val="fr-FR"/>
        </w:rPr>
        <w:tab/>
      </w:r>
      <w:r>
        <w:rPr>
          <w:lang w:val="fr-FR"/>
        </w:rPr>
        <w:t>Protection contre les courts-circuits externes</w:t>
      </w:r>
      <w:r>
        <w:rPr>
          <w:noProof/>
          <w:webHidden/>
          <w:lang w:val="fr-FR"/>
        </w:rPr>
        <w:tab/>
      </w:r>
      <w:r>
        <w:rPr>
          <w:noProof/>
          <w:webHidden/>
          <w:lang w:val="fr-FR"/>
        </w:rPr>
        <w:tab/>
      </w:r>
    </w:p>
    <w:p w14:paraId="7C77201A" w14:textId="40DE14C4"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9G</w:t>
      </w:r>
      <w:r w:rsidR="00AB1801">
        <w:rPr>
          <w:lang w:val="fr-FR"/>
        </w:rPr>
        <w:tab/>
      </w:r>
      <w:r>
        <w:rPr>
          <w:lang w:val="fr-FR"/>
        </w:rPr>
        <w:t>Protection contre les surcharges</w:t>
      </w:r>
      <w:r>
        <w:rPr>
          <w:noProof/>
          <w:webHidden/>
          <w:lang w:val="fr-FR"/>
        </w:rPr>
        <w:tab/>
      </w:r>
      <w:r>
        <w:rPr>
          <w:noProof/>
          <w:webHidden/>
          <w:lang w:val="fr-FR"/>
        </w:rPr>
        <w:tab/>
      </w:r>
    </w:p>
    <w:p w14:paraId="01177731" w14:textId="48E1998D"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9H</w:t>
      </w:r>
      <w:r w:rsidR="00AB1801">
        <w:rPr>
          <w:lang w:val="fr-FR"/>
        </w:rPr>
        <w:tab/>
      </w:r>
      <w:r>
        <w:rPr>
          <w:lang w:val="fr-FR"/>
        </w:rPr>
        <w:t>Protection contre les décharges excessives</w:t>
      </w:r>
      <w:r>
        <w:rPr>
          <w:noProof/>
          <w:webHidden/>
          <w:lang w:val="fr-FR"/>
        </w:rPr>
        <w:tab/>
      </w:r>
      <w:r>
        <w:rPr>
          <w:noProof/>
          <w:webHidden/>
          <w:lang w:val="fr-FR"/>
        </w:rPr>
        <w:tab/>
      </w:r>
    </w:p>
    <w:p w14:paraId="7C443C15" w14:textId="15D7ACA1"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noProof/>
          <w:lang w:val="fr-FR"/>
        </w:rPr>
      </w:pPr>
      <w:r>
        <w:rPr>
          <w:lang w:val="fr-FR"/>
        </w:rPr>
        <w:t>9I</w:t>
      </w:r>
      <w:r w:rsidR="00AB1801">
        <w:rPr>
          <w:lang w:val="fr-FR"/>
        </w:rPr>
        <w:tab/>
      </w:r>
      <w:r>
        <w:rPr>
          <w:lang w:val="fr-FR"/>
        </w:rPr>
        <w:t>Protection contre la surchauffe</w:t>
      </w:r>
      <w:r>
        <w:rPr>
          <w:noProof/>
          <w:webHidden/>
          <w:lang w:val="fr-FR"/>
        </w:rPr>
        <w:tab/>
      </w:r>
      <w:r>
        <w:rPr>
          <w:noProof/>
          <w:webHidden/>
          <w:lang w:val="fr-FR"/>
        </w:rPr>
        <w:tab/>
      </w:r>
    </w:p>
    <w:p w14:paraId="60C1F50D" w14:textId="0E0654EA" w:rsidR="00304EA7" w:rsidRPr="004F5B76" w:rsidRDefault="00304EA7" w:rsidP="00304EA7">
      <w:pPr>
        <w:tabs>
          <w:tab w:val="right" w:pos="567"/>
          <w:tab w:val="left" w:pos="1134"/>
          <w:tab w:val="left" w:pos="1559"/>
          <w:tab w:val="left" w:pos="1984"/>
          <w:tab w:val="left" w:leader="dot" w:pos="8929"/>
          <w:tab w:val="right" w:pos="9638"/>
        </w:tabs>
        <w:spacing w:after="120"/>
        <w:ind w:left="1131" w:hanging="564"/>
        <w:rPr>
          <w:lang w:val="fr-FR"/>
        </w:rPr>
      </w:pPr>
      <w:r>
        <w:rPr>
          <w:lang w:val="fr-FR"/>
        </w:rPr>
        <w:t>9J</w:t>
      </w:r>
      <w:r>
        <w:rPr>
          <w:lang w:val="fr-FR"/>
        </w:rPr>
        <w:tab/>
        <w:t>Protection contre les surintensités</w:t>
      </w:r>
      <w:r>
        <w:rPr>
          <w:lang w:val="fr-FR"/>
        </w:rPr>
        <w:tab/>
      </w:r>
      <w:r w:rsidR="00AB1801">
        <w:rPr>
          <w:lang w:val="fr-FR"/>
        </w:rPr>
        <w:tab/>
      </w:r>
    </w:p>
    <w:p w14:paraId="0BE2F008" w14:textId="097FB86F" w:rsidR="008A524B" w:rsidRDefault="00304EA7" w:rsidP="00304EA7">
      <w:pPr>
        <w:tabs>
          <w:tab w:val="right" w:pos="567"/>
          <w:tab w:val="left" w:pos="1134"/>
          <w:tab w:val="left" w:pos="1559"/>
          <w:tab w:val="left" w:pos="1984"/>
          <w:tab w:val="left" w:leader="dot" w:pos="8929"/>
          <w:tab w:val="right" w:pos="9638"/>
        </w:tabs>
        <w:spacing w:after="120"/>
        <w:ind w:left="1131" w:hanging="564"/>
        <w:rPr>
          <w:lang w:val="fr-FR"/>
        </w:rPr>
      </w:pPr>
      <w:r>
        <w:rPr>
          <w:b/>
          <w:bCs/>
          <w:lang w:val="fr-FR"/>
        </w:rPr>
        <w:t>10</w:t>
      </w:r>
      <w:r>
        <w:rPr>
          <w:lang w:val="fr-FR"/>
        </w:rPr>
        <w:tab/>
      </w:r>
      <w:r>
        <w:rPr>
          <w:lang w:val="fr-FR"/>
        </w:rPr>
        <w:tab/>
      </w:r>
      <w:r>
        <w:rPr>
          <w:b/>
          <w:bCs/>
          <w:lang w:val="fr-FR"/>
        </w:rPr>
        <w:t>Dispositions relatives à l</w:t>
      </w:r>
      <w:r w:rsidR="00A5386E">
        <w:rPr>
          <w:b/>
          <w:bCs/>
          <w:lang w:val="fr-FR"/>
        </w:rPr>
        <w:t>’</w:t>
      </w:r>
      <w:r>
        <w:rPr>
          <w:b/>
          <w:bCs/>
          <w:lang w:val="fr-FR"/>
        </w:rPr>
        <w:t>étiquette à apposer sur les véhicules des catégories M</w:t>
      </w:r>
      <w:r w:rsidRPr="00A5386E">
        <w:rPr>
          <w:b/>
          <w:bCs/>
          <w:vertAlign w:val="subscript"/>
          <w:lang w:val="fr-FR"/>
        </w:rPr>
        <w:t>2</w:t>
      </w:r>
      <w:r>
        <w:rPr>
          <w:b/>
          <w:bCs/>
          <w:lang w:val="fr-FR"/>
        </w:rPr>
        <w:t>/N</w:t>
      </w:r>
      <w:r w:rsidRPr="001A6443">
        <w:rPr>
          <w:b/>
          <w:bCs/>
          <w:vertAlign w:val="subscript"/>
          <w:lang w:val="fr-FR"/>
        </w:rPr>
        <w:t>2</w:t>
      </w:r>
      <w:r>
        <w:rPr>
          <w:b/>
          <w:bCs/>
          <w:lang w:val="fr-FR"/>
        </w:rPr>
        <w:t xml:space="preserve"> </w:t>
      </w:r>
      <w:r w:rsidR="00AB1801">
        <w:rPr>
          <w:b/>
          <w:bCs/>
          <w:lang w:val="fr-FR"/>
        </w:rPr>
        <w:br/>
      </w:r>
      <w:r>
        <w:rPr>
          <w:b/>
          <w:bCs/>
          <w:lang w:val="fr-FR"/>
        </w:rPr>
        <w:t>et M</w:t>
      </w:r>
      <w:r w:rsidRPr="001A6443">
        <w:rPr>
          <w:b/>
          <w:bCs/>
          <w:vertAlign w:val="subscript"/>
          <w:lang w:val="fr-FR"/>
        </w:rPr>
        <w:t>3</w:t>
      </w:r>
      <w:r>
        <w:rPr>
          <w:b/>
          <w:bCs/>
          <w:lang w:val="fr-FR"/>
        </w:rPr>
        <w:t>/N</w:t>
      </w:r>
      <w:r w:rsidRPr="001A6443">
        <w:rPr>
          <w:b/>
          <w:bCs/>
          <w:vertAlign w:val="subscript"/>
          <w:lang w:val="fr-FR"/>
        </w:rPr>
        <w:t>3</w:t>
      </w:r>
      <w:r>
        <w:rPr>
          <w:b/>
          <w:bCs/>
          <w:lang w:val="fr-FR"/>
        </w:rPr>
        <w:t xml:space="preserve"> équipés d</w:t>
      </w:r>
      <w:r w:rsidR="00A5386E">
        <w:rPr>
          <w:b/>
          <w:bCs/>
          <w:lang w:val="fr-FR"/>
        </w:rPr>
        <w:t>’</w:t>
      </w:r>
      <w:r>
        <w:rPr>
          <w:b/>
          <w:bCs/>
          <w:lang w:val="fr-FR"/>
        </w:rPr>
        <w:t>une chaîne de traction électrique</w:t>
      </w:r>
      <w:r w:rsidR="00AB1801">
        <w:rPr>
          <w:b/>
          <w:bCs/>
          <w:lang w:val="fr-FR"/>
        </w:rPr>
        <w:tab/>
      </w:r>
      <w:r w:rsidR="00AB1801">
        <w:rPr>
          <w:lang w:val="fr-FR"/>
        </w:rPr>
        <w:t xml:space="preserve"> </w:t>
      </w:r>
      <w:r>
        <w:rPr>
          <w:lang w:val="fr-FR"/>
        </w:rPr>
        <w:t>» .</w:t>
      </w:r>
    </w:p>
    <w:p w14:paraId="242DD71B" w14:textId="77777777" w:rsidR="008A524B" w:rsidRDefault="008A524B">
      <w:pPr>
        <w:suppressAutoHyphens w:val="0"/>
        <w:kinsoku/>
        <w:overflowPunct/>
        <w:autoSpaceDE/>
        <w:autoSpaceDN/>
        <w:adjustRightInd/>
        <w:snapToGrid/>
        <w:spacing w:after="200" w:line="276" w:lineRule="auto"/>
        <w:rPr>
          <w:lang w:val="fr-FR"/>
        </w:rPr>
      </w:pPr>
      <w:r>
        <w:rPr>
          <w:lang w:val="fr-FR"/>
        </w:rPr>
        <w:br w:type="page"/>
      </w:r>
    </w:p>
    <w:p w14:paraId="71A188A3" w14:textId="77777777" w:rsidR="00304EA7" w:rsidRPr="004F5B76" w:rsidRDefault="00304EA7" w:rsidP="00304EA7">
      <w:pPr>
        <w:pStyle w:val="SingleTxtG"/>
        <w:ind w:left="2268" w:hanging="1134"/>
        <w:rPr>
          <w:i/>
          <w:lang w:val="fr-FR"/>
        </w:rPr>
      </w:pPr>
      <w:r w:rsidRPr="00E6775C">
        <w:rPr>
          <w:i/>
          <w:iCs/>
          <w:lang w:val="fr-FR"/>
        </w:rPr>
        <w:lastRenderedPageBreak/>
        <w:t>Ajouter les nouveaux paragraphes 5.5 à 5.5.3</w:t>
      </w:r>
      <w:r>
        <w:rPr>
          <w:lang w:val="fr-FR"/>
        </w:rPr>
        <w:t>, libellés comme suit :</w:t>
      </w:r>
    </w:p>
    <w:p w14:paraId="5D03DCAF" w14:textId="3732603D" w:rsidR="00304EA7" w:rsidRPr="004F5B76" w:rsidRDefault="00304EA7" w:rsidP="00304EA7">
      <w:pPr>
        <w:pStyle w:val="SingleTxtG"/>
        <w:ind w:left="2268" w:hanging="1134"/>
        <w:rPr>
          <w:b/>
          <w:lang w:val="fr-FR"/>
        </w:rPr>
      </w:pPr>
      <w:r>
        <w:rPr>
          <w:lang w:val="fr-FR"/>
        </w:rPr>
        <w:t>« </w:t>
      </w:r>
      <w:r>
        <w:rPr>
          <w:b/>
          <w:bCs/>
          <w:lang w:val="fr-FR"/>
        </w:rPr>
        <w:t>5.5</w:t>
      </w:r>
      <w:r>
        <w:rPr>
          <w:lang w:val="fr-FR"/>
        </w:rPr>
        <w:t xml:space="preserve"> </w:t>
      </w:r>
      <w:r>
        <w:rPr>
          <w:lang w:val="fr-FR"/>
        </w:rPr>
        <w:tab/>
      </w:r>
      <w:r>
        <w:rPr>
          <w:b/>
          <w:bCs/>
          <w:lang w:val="fr-FR"/>
        </w:rPr>
        <w:t>Identification des véhicules électriques</w:t>
      </w:r>
    </w:p>
    <w:p w14:paraId="78360EFF" w14:textId="7F8B03CA" w:rsidR="00304EA7" w:rsidRPr="004F5B76" w:rsidRDefault="00304EA7" w:rsidP="00304EA7">
      <w:pPr>
        <w:pStyle w:val="SingleTxtG"/>
        <w:ind w:left="2268" w:hanging="1134"/>
        <w:rPr>
          <w:b/>
          <w:lang w:val="fr-FR"/>
        </w:rPr>
      </w:pPr>
      <w:r>
        <w:rPr>
          <w:b/>
          <w:bCs/>
          <w:lang w:val="fr-FR"/>
        </w:rPr>
        <w:t>5.5.1</w:t>
      </w:r>
      <w:r>
        <w:rPr>
          <w:lang w:val="fr-FR"/>
        </w:rPr>
        <w:tab/>
      </w:r>
      <w:r>
        <w:rPr>
          <w:b/>
          <w:bCs/>
          <w:lang w:val="fr-FR"/>
        </w:rPr>
        <w:t>Une étiquette conforme aux prescriptions de l</w:t>
      </w:r>
      <w:r w:rsidR="00A5386E">
        <w:rPr>
          <w:b/>
          <w:bCs/>
          <w:lang w:val="fr-FR"/>
        </w:rPr>
        <w:t>’</w:t>
      </w:r>
      <w:r>
        <w:rPr>
          <w:b/>
          <w:bCs/>
          <w:lang w:val="fr-FR"/>
        </w:rPr>
        <w:t>annexe 10 doit être apposée sur les véhicules des catégories M</w:t>
      </w:r>
      <w:r w:rsidRPr="00E6775C">
        <w:rPr>
          <w:b/>
          <w:bCs/>
          <w:vertAlign w:val="subscript"/>
          <w:lang w:val="fr-FR"/>
        </w:rPr>
        <w:t>2</w:t>
      </w:r>
      <w:r>
        <w:rPr>
          <w:b/>
          <w:bCs/>
          <w:lang w:val="fr-FR"/>
        </w:rPr>
        <w:t>/N</w:t>
      </w:r>
      <w:r w:rsidRPr="00E6775C">
        <w:rPr>
          <w:b/>
          <w:bCs/>
          <w:vertAlign w:val="subscript"/>
          <w:lang w:val="fr-FR"/>
        </w:rPr>
        <w:t>2</w:t>
      </w:r>
      <w:r>
        <w:rPr>
          <w:b/>
          <w:bCs/>
          <w:lang w:val="fr-FR"/>
        </w:rPr>
        <w:t xml:space="preserve"> et M</w:t>
      </w:r>
      <w:r w:rsidRPr="00E6775C">
        <w:rPr>
          <w:b/>
          <w:bCs/>
          <w:vertAlign w:val="subscript"/>
          <w:lang w:val="fr-FR"/>
        </w:rPr>
        <w:t>3</w:t>
      </w:r>
      <w:r>
        <w:rPr>
          <w:b/>
          <w:bCs/>
          <w:lang w:val="fr-FR"/>
        </w:rPr>
        <w:t>/N</w:t>
      </w:r>
      <w:r w:rsidRPr="00E6775C">
        <w:rPr>
          <w:b/>
          <w:bCs/>
          <w:vertAlign w:val="subscript"/>
          <w:lang w:val="fr-FR"/>
        </w:rPr>
        <w:t>3</w:t>
      </w:r>
      <w:r>
        <w:rPr>
          <w:b/>
          <w:bCs/>
          <w:lang w:val="fr-FR"/>
        </w:rPr>
        <w:t xml:space="preserve"> équipés d</w:t>
      </w:r>
      <w:r w:rsidR="00A5386E">
        <w:rPr>
          <w:b/>
          <w:bCs/>
          <w:lang w:val="fr-FR"/>
        </w:rPr>
        <w:t>’</w:t>
      </w:r>
      <w:r>
        <w:rPr>
          <w:b/>
          <w:bCs/>
          <w:lang w:val="fr-FR"/>
        </w:rPr>
        <w:t>une chaîne de traction électrique à haute tension.</w:t>
      </w:r>
    </w:p>
    <w:p w14:paraId="4CEA3C48" w14:textId="50A00371" w:rsidR="00304EA7" w:rsidRPr="004F5B76" w:rsidRDefault="00304EA7" w:rsidP="00304EA7">
      <w:pPr>
        <w:pStyle w:val="SingleTxtG"/>
        <w:ind w:left="2268" w:hanging="1134"/>
        <w:rPr>
          <w:b/>
          <w:lang w:val="fr-FR"/>
        </w:rPr>
      </w:pPr>
      <w:r>
        <w:rPr>
          <w:b/>
          <w:bCs/>
          <w:lang w:val="fr-FR"/>
        </w:rPr>
        <w:t>5.5.1.1</w:t>
      </w:r>
      <w:r>
        <w:rPr>
          <w:lang w:val="fr-FR"/>
        </w:rPr>
        <w:tab/>
      </w:r>
      <w:r>
        <w:rPr>
          <w:b/>
          <w:bCs/>
          <w:lang w:val="fr-FR"/>
        </w:rPr>
        <w:t xml:space="preserve">La condition prescrite au paragraphe 5.5.1 est considérée comme satisfaite si les prescriptions du paragraphe 7.1.7 du Règlement ONU </w:t>
      </w:r>
      <w:r w:rsidR="00AB1801" w:rsidRPr="00AB1801">
        <w:rPr>
          <w:rFonts w:eastAsia="MS Mincho"/>
          <w:b/>
          <w:bCs/>
          <w:szCs w:val="22"/>
          <w:lang w:val="fr-FR"/>
        </w:rPr>
        <w:t>n</w:t>
      </w:r>
      <w:r w:rsidR="00AB1801" w:rsidRPr="00AB1801">
        <w:rPr>
          <w:rFonts w:eastAsia="MS Mincho"/>
          <w:b/>
          <w:bCs/>
          <w:szCs w:val="22"/>
          <w:vertAlign w:val="superscript"/>
          <w:lang w:val="fr-FR"/>
        </w:rPr>
        <w:t>o</w:t>
      </w:r>
      <w:r w:rsidR="00AB1801">
        <w:rPr>
          <w:b/>
          <w:bCs/>
          <w:lang w:val="fr-FR"/>
        </w:rPr>
        <w:t> </w:t>
      </w:r>
      <w:r>
        <w:rPr>
          <w:b/>
          <w:bCs/>
          <w:lang w:val="fr-FR"/>
        </w:rPr>
        <w:t>134 sont satisfaites.</w:t>
      </w:r>
    </w:p>
    <w:p w14:paraId="51176282" w14:textId="04F012D9" w:rsidR="00304EA7" w:rsidRPr="004F5B76" w:rsidRDefault="00304EA7" w:rsidP="00304EA7">
      <w:pPr>
        <w:pStyle w:val="SingleTxtG"/>
        <w:ind w:left="2268" w:hanging="1134"/>
        <w:rPr>
          <w:b/>
          <w:lang w:val="fr-FR"/>
        </w:rPr>
      </w:pPr>
      <w:r>
        <w:rPr>
          <w:b/>
          <w:bCs/>
          <w:lang w:val="fr-FR"/>
        </w:rPr>
        <w:t>5.5.2</w:t>
      </w:r>
      <w:r>
        <w:rPr>
          <w:lang w:val="fr-FR"/>
        </w:rPr>
        <w:tab/>
      </w:r>
      <w:r>
        <w:rPr>
          <w:b/>
          <w:bCs/>
          <w:lang w:val="fr-FR"/>
        </w:rPr>
        <w:t>Pour les véhicules électriques hybrides fonctionnant au diesel ou à l</w:t>
      </w:r>
      <w:r w:rsidR="00A5386E">
        <w:rPr>
          <w:b/>
          <w:bCs/>
          <w:lang w:val="fr-FR"/>
        </w:rPr>
        <w:t>’</w:t>
      </w:r>
      <w:r>
        <w:rPr>
          <w:b/>
          <w:bCs/>
          <w:lang w:val="fr-FR"/>
        </w:rPr>
        <w:t>essence, la chaîne de traction à haute tension est considérée comme la source d</w:t>
      </w:r>
      <w:r w:rsidR="00A5386E">
        <w:rPr>
          <w:b/>
          <w:bCs/>
          <w:lang w:val="fr-FR"/>
        </w:rPr>
        <w:t>’</w:t>
      </w:r>
      <w:r>
        <w:rPr>
          <w:b/>
          <w:bCs/>
          <w:lang w:val="fr-FR"/>
        </w:rPr>
        <w:t>énergie première du véhicule, quelle que soit la capacité du SRSEE.</w:t>
      </w:r>
    </w:p>
    <w:p w14:paraId="092AF297" w14:textId="47A22795" w:rsidR="00304EA7" w:rsidRPr="004F5B76" w:rsidRDefault="00304EA7" w:rsidP="00304EA7">
      <w:pPr>
        <w:pStyle w:val="SingleTxtG"/>
        <w:ind w:left="2268" w:hanging="1134"/>
        <w:rPr>
          <w:b/>
          <w:lang w:val="fr-FR"/>
        </w:rPr>
      </w:pPr>
      <w:r>
        <w:rPr>
          <w:b/>
          <w:bCs/>
          <w:lang w:val="fr-FR"/>
        </w:rPr>
        <w:t>5.5.3</w:t>
      </w:r>
      <w:r>
        <w:rPr>
          <w:lang w:val="fr-FR"/>
        </w:rPr>
        <w:t xml:space="preserve"> </w:t>
      </w:r>
      <w:r>
        <w:rPr>
          <w:lang w:val="fr-FR"/>
        </w:rPr>
        <w:tab/>
      </w:r>
      <w:r>
        <w:rPr>
          <w:b/>
          <w:bCs/>
          <w:lang w:val="fr-FR"/>
        </w:rPr>
        <w:t>Ces étiquettes doivent être placées à l</w:t>
      </w:r>
      <w:r w:rsidR="00A5386E">
        <w:rPr>
          <w:b/>
          <w:bCs/>
          <w:lang w:val="fr-FR"/>
        </w:rPr>
        <w:t>’</w:t>
      </w:r>
      <w:r>
        <w:rPr>
          <w:b/>
          <w:bCs/>
          <w:lang w:val="fr-FR"/>
        </w:rPr>
        <w:t>avant du véhicule, ainsi que sur les côtés gauche et droit de celui-ci ;</w:t>
      </w:r>
      <w:r>
        <w:rPr>
          <w:lang w:val="fr-FR"/>
        </w:rPr>
        <w:t xml:space="preserve"> </w:t>
      </w:r>
      <w:r>
        <w:rPr>
          <w:b/>
          <w:bCs/>
          <w:lang w:val="fr-FR"/>
        </w:rPr>
        <w:t>les étiquettes placées sur les côtés devraient l</w:t>
      </w:r>
      <w:r w:rsidR="00A5386E">
        <w:rPr>
          <w:b/>
          <w:bCs/>
          <w:lang w:val="fr-FR"/>
        </w:rPr>
        <w:t>’</w:t>
      </w:r>
      <w:r>
        <w:rPr>
          <w:b/>
          <w:bCs/>
          <w:lang w:val="fr-FR"/>
        </w:rPr>
        <w:t>être à proximité d</w:t>
      </w:r>
      <w:r w:rsidR="00A5386E">
        <w:rPr>
          <w:b/>
          <w:bCs/>
          <w:lang w:val="fr-FR"/>
        </w:rPr>
        <w:t>’</w:t>
      </w:r>
      <w:r>
        <w:rPr>
          <w:b/>
          <w:bCs/>
          <w:lang w:val="fr-FR"/>
        </w:rPr>
        <w:t>une porte avant, s</w:t>
      </w:r>
      <w:r w:rsidR="00A5386E">
        <w:rPr>
          <w:b/>
          <w:bCs/>
          <w:lang w:val="fr-FR"/>
        </w:rPr>
        <w:t>’</w:t>
      </w:r>
      <w:r>
        <w:rPr>
          <w:b/>
          <w:bCs/>
          <w:lang w:val="fr-FR"/>
        </w:rPr>
        <w:t>il y en a une.</w:t>
      </w:r>
      <w:r>
        <w:rPr>
          <w:lang w:val="fr-FR"/>
        </w:rPr>
        <w:t xml:space="preserve"> </w:t>
      </w:r>
      <w:r>
        <w:rPr>
          <w:b/>
          <w:bCs/>
          <w:lang w:val="fr-FR"/>
        </w:rPr>
        <w:t>En l</w:t>
      </w:r>
      <w:r w:rsidR="00A5386E">
        <w:rPr>
          <w:b/>
          <w:bCs/>
          <w:lang w:val="fr-FR"/>
        </w:rPr>
        <w:t>’</w:t>
      </w:r>
      <w:r>
        <w:rPr>
          <w:b/>
          <w:bCs/>
          <w:lang w:val="fr-FR"/>
        </w:rPr>
        <w:t>absence de porte avant, l</w:t>
      </w:r>
      <w:r w:rsidR="00A5386E">
        <w:rPr>
          <w:b/>
          <w:bCs/>
          <w:lang w:val="fr-FR"/>
        </w:rPr>
        <w:t>’</w:t>
      </w:r>
      <w:r>
        <w:rPr>
          <w:b/>
          <w:bCs/>
          <w:lang w:val="fr-FR"/>
        </w:rPr>
        <w:t>étiquette doit être placée sur le premier tiers de la longueur du véhicule.</w:t>
      </w:r>
    </w:p>
    <w:p w14:paraId="4FA94AC5" w14:textId="3B16D28C" w:rsidR="00304EA7" w:rsidRPr="008A524B" w:rsidRDefault="00304EA7" w:rsidP="00304EA7">
      <w:pPr>
        <w:pStyle w:val="SingleTxtG"/>
        <w:ind w:left="2268"/>
        <w:rPr>
          <w:bCs/>
          <w:lang w:val="fr-FR"/>
        </w:rPr>
      </w:pPr>
      <w:r>
        <w:rPr>
          <w:b/>
          <w:bCs/>
          <w:lang w:val="fr-FR"/>
        </w:rPr>
        <w:t>En outre, pour les véhicules des catégories M</w:t>
      </w:r>
      <w:r>
        <w:rPr>
          <w:b/>
          <w:bCs/>
          <w:vertAlign w:val="subscript"/>
          <w:lang w:val="fr-FR"/>
        </w:rPr>
        <w:t>2</w:t>
      </w:r>
      <w:r>
        <w:rPr>
          <w:b/>
          <w:bCs/>
          <w:lang w:val="fr-FR"/>
        </w:rPr>
        <w:t xml:space="preserve"> et M</w:t>
      </w:r>
      <w:r>
        <w:rPr>
          <w:b/>
          <w:bCs/>
          <w:vertAlign w:val="subscript"/>
          <w:lang w:val="fr-FR"/>
        </w:rPr>
        <w:t>3</w:t>
      </w:r>
      <w:r>
        <w:rPr>
          <w:b/>
          <w:bCs/>
          <w:lang w:val="fr-FR"/>
        </w:rPr>
        <w:t>, une étiquette doit être apposée à l</w:t>
      </w:r>
      <w:r w:rsidR="00A5386E">
        <w:rPr>
          <w:b/>
          <w:bCs/>
          <w:lang w:val="fr-FR"/>
        </w:rPr>
        <w:t>’</w:t>
      </w:r>
      <w:r>
        <w:rPr>
          <w:b/>
          <w:bCs/>
          <w:lang w:val="fr-FR"/>
        </w:rPr>
        <w:t>arrière du véhicule.</w:t>
      </w:r>
      <w:r w:rsidRPr="00A5386E">
        <w:rPr>
          <w:lang w:val="fr-FR"/>
        </w:rPr>
        <w:t> </w:t>
      </w:r>
      <w:r w:rsidRPr="008A524B">
        <w:rPr>
          <w:lang w:val="fr-FR"/>
        </w:rPr>
        <w:t>».</w:t>
      </w:r>
    </w:p>
    <w:p w14:paraId="2CA63F16" w14:textId="4AB20D07" w:rsidR="00304EA7" w:rsidRPr="004F5B76" w:rsidRDefault="00304EA7" w:rsidP="00304EA7">
      <w:pPr>
        <w:pStyle w:val="SingleTxtG"/>
        <w:ind w:left="2268" w:hanging="1134"/>
        <w:rPr>
          <w:i/>
          <w:lang w:val="fr-FR"/>
        </w:rPr>
      </w:pPr>
      <w:r>
        <w:rPr>
          <w:i/>
          <w:iCs/>
          <w:lang w:val="fr-FR"/>
        </w:rPr>
        <w:t>Ajouter les nouveaux paragraphes 12.6 à 12.9</w:t>
      </w:r>
      <w:r>
        <w:rPr>
          <w:lang w:val="fr-FR"/>
        </w:rPr>
        <w:t>, libellés comme suit :</w:t>
      </w:r>
      <w:bookmarkStart w:id="0" w:name="_Toc384289018"/>
    </w:p>
    <w:p w14:paraId="00CEE877" w14:textId="44EDD788" w:rsidR="00304EA7" w:rsidRPr="00341F66" w:rsidRDefault="00304EA7" w:rsidP="00304EA7">
      <w:pPr>
        <w:pStyle w:val="para"/>
        <w:rPr>
          <w:b/>
        </w:rPr>
      </w:pPr>
      <w:r>
        <w:t>« </w:t>
      </w:r>
      <w:r>
        <w:rPr>
          <w:b/>
          <w:bCs/>
        </w:rPr>
        <w:t>12.6</w:t>
      </w:r>
      <w:r>
        <w:tab/>
      </w:r>
      <w:r>
        <w:rPr>
          <w:b/>
          <w:bCs/>
        </w:rPr>
        <w:t>À compter de la date officielle d</w:t>
      </w:r>
      <w:r w:rsidR="00A5386E">
        <w:rPr>
          <w:b/>
          <w:bCs/>
        </w:rPr>
        <w:t>’</w:t>
      </w:r>
      <w:r>
        <w:rPr>
          <w:b/>
          <w:bCs/>
        </w:rPr>
        <w:t>entrée en vigueur de la série 04 d</w:t>
      </w:r>
      <w:r w:rsidR="00A5386E">
        <w:rPr>
          <w:b/>
          <w:bCs/>
        </w:rPr>
        <w:t>’</w:t>
      </w:r>
      <w:r>
        <w:rPr>
          <w:b/>
          <w:bCs/>
        </w:rPr>
        <w:t>amendements, aucune Partie contractante appliquant le présent Règlement ONU ne pourra refuser d</w:t>
      </w:r>
      <w:r w:rsidR="00A5386E">
        <w:rPr>
          <w:b/>
          <w:bCs/>
        </w:rPr>
        <w:t>’</w:t>
      </w:r>
      <w:r>
        <w:rPr>
          <w:b/>
          <w:bCs/>
        </w:rPr>
        <w:t>accorder ou d</w:t>
      </w:r>
      <w:r w:rsidR="00A5386E">
        <w:rPr>
          <w:b/>
          <w:bCs/>
        </w:rPr>
        <w:t>’</w:t>
      </w:r>
      <w:r>
        <w:rPr>
          <w:b/>
          <w:bCs/>
        </w:rPr>
        <w:t>accepter une homologation de type ONU en vertu dudit Règlement tel que modifié par la série 04 d</w:t>
      </w:r>
      <w:r w:rsidR="00A5386E">
        <w:rPr>
          <w:b/>
          <w:bCs/>
        </w:rPr>
        <w:t>’</w:t>
      </w:r>
      <w:r>
        <w:rPr>
          <w:b/>
          <w:bCs/>
        </w:rPr>
        <w:t>amendements.</w:t>
      </w:r>
    </w:p>
    <w:p w14:paraId="1CB8DCEC" w14:textId="6B42EFB6" w:rsidR="00304EA7" w:rsidRPr="00341F66" w:rsidRDefault="00304EA7" w:rsidP="00304EA7">
      <w:pPr>
        <w:pStyle w:val="para"/>
        <w:rPr>
          <w:b/>
        </w:rPr>
      </w:pPr>
      <w:r>
        <w:rPr>
          <w:b/>
          <w:bCs/>
        </w:rPr>
        <w:t>12.7</w:t>
      </w:r>
      <w:r>
        <w:tab/>
      </w:r>
      <w:r>
        <w:rPr>
          <w:b/>
          <w:bCs/>
        </w:rPr>
        <w:t>À compter du 1</w:t>
      </w:r>
      <w:r w:rsidR="00A5386E" w:rsidRPr="00A5386E">
        <w:rPr>
          <w:b/>
          <w:bCs/>
          <w:vertAlign w:val="superscript"/>
        </w:rPr>
        <w:t>er</w:t>
      </w:r>
      <w:r w:rsidR="00A5386E">
        <w:rPr>
          <w:b/>
          <w:bCs/>
        </w:rPr>
        <w:t> </w:t>
      </w:r>
      <w:r>
        <w:rPr>
          <w:b/>
          <w:bCs/>
        </w:rPr>
        <w:t>septembre 2025, les Parties contractantes appliquant le présent Règlement ONU ne seront plus tenues d</w:t>
      </w:r>
      <w:r w:rsidR="00A5386E">
        <w:rPr>
          <w:b/>
          <w:bCs/>
        </w:rPr>
        <w:t>’</w:t>
      </w:r>
      <w:r>
        <w:rPr>
          <w:b/>
          <w:bCs/>
        </w:rPr>
        <w:t>accepter les homologations de type ONU établies conformément aux précédentes séries d</w:t>
      </w:r>
      <w:r w:rsidR="00A5386E">
        <w:rPr>
          <w:b/>
          <w:bCs/>
        </w:rPr>
        <w:t>’</w:t>
      </w:r>
      <w:r>
        <w:rPr>
          <w:b/>
          <w:bCs/>
        </w:rPr>
        <w:t>amendements, délivrées pour la première fois le 1</w:t>
      </w:r>
      <w:r w:rsidR="00A5386E" w:rsidRPr="00A5386E">
        <w:rPr>
          <w:b/>
          <w:bCs/>
          <w:vertAlign w:val="superscript"/>
        </w:rPr>
        <w:t>er</w:t>
      </w:r>
      <w:r w:rsidR="00A5386E">
        <w:rPr>
          <w:b/>
          <w:bCs/>
        </w:rPr>
        <w:t> </w:t>
      </w:r>
      <w:r>
        <w:rPr>
          <w:b/>
          <w:bCs/>
        </w:rPr>
        <w:t>septembre 2025 ou après cette date.</w:t>
      </w:r>
    </w:p>
    <w:p w14:paraId="7B000C58" w14:textId="0E762619" w:rsidR="00304EA7" w:rsidRPr="00341F66" w:rsidRDefault="00304EA7" w:rsidP="00304EA7">
      <w:pPr>
        <w:pStyle w:val="para"/>
        <w:rPr>
          <w:b/>
        </w:rPr>
      </w:pPr>
      <w:r>
        <w:rPr>
          <w:b/>
          <w:bCs/>
        </w:rPr>
        <w:t>12.8</w:t>
      </w:r>
      <w:r>
        <w:tab/>
      </w:r>
      <w:r>
        <w:rPr>
          <w:b/>
          <w:bCs/>
        </w:rPr>
        <w:t>Jusqu</w:t>
      </w:r>
      <w:r w:rsidR="00A5386E">
        <w:rPr>
          <w:b/>
          <w:bCs/>
        </w:rPr>
        <w:t>’</w:t>
      </w:r>
      <w:r>
        <w:rPr>
          <w:b/>
          <w:bCs/>
        </w:rPr>
        <w:t>au 1</w:t>
      </w:r>
      <w:r w:rsidRPr="00AB1801">
        <w:rPr>
          <w:b/>
          <w:bCs/>
          <w:vertAlign w:val="superscript"/>
        </w:rPr>
        <w:t>er</w:t>
      </w:r>
      <w:r w:rsidR="00AB1801">
        <w:rPr>
          <w:b/>
          <w:bCs/>
        </w:rPr>
        <w:t> </w:t>
      </w:r>
      <w:r>
        <w:rPr>
          <w:b/>
          <w:bCs/>
        </w:rPr>
        <w:t>septembre 2026, les Parties contractantes appliquant le présent Règlement ONU seront tenues d</w:t>
      </w:r>
      <w:r w:rsidR="00A5386E">
        <w:rPr>
          <w:b/>
          <w:bCs/>
        </w:rPr>
        <w:t>’</w:t>
      </w:r>
      <w:r>
        <w:rPr>
          <w:b/>
          <w:bCs/>
        </w:rPr>
        <w:t>accepter les homologations de type ONU établies conformément aux précédentes séries d</w:t>
      </w:r>
      <w:r w:rsidR="00A5386E">
        <w:rPr>
          <w:b/>
          <w:bCs/>
        </w:rPr>
        <w:t>’</w:t>
      </w:r>
      <w:r>
        <w:rPr>
          <w:b/>
          <w:bCs/>
        </w:rPr>
        <w:t>amendements, délivrées pour la première fois avant le 1</w:t>
      </w:r>
      <w:r w:rsidR="00A5386E" w:rsidRPr="00A5386E">
        <w:rPr>
          <w:b/>
          <w:bCs/>
          <w:vertAlign w:val="superscript"/>
        </w:rPr>
        <w:t>er</w:t>
      </w:r>
      <w:r w:rsidR="00A5386E">
        <w:rPr>
          <w:b/>
          <w:bCs/>
        </w:rPr>
        <w:t> </w:t>
      </w:r>
      <w:r>
        <w:rPr>
          <w:b/>
          <w:bCs/>
        </w:rPr>
        <w:t>septembre 2025.</w:t>
      </w:r>
    </w:p>
    <w:p w14:paraId="4BE683AB" w14:textId="57E85A4A" w:rsidR="00304EA7" w:rsidRPr="00341F66" w:rsidRDefault="00304EA7" w:rsidP="00304EA7">
      <w:pPr>
        <w:pStyle w:val="para"/>
        <w:rPr>
          <w:b/>
        </w:rPr>
      </w:pPr>
      <w:r>
        <w:rPr>
          <w:b/>
          <w:bCs/>
        </w:rPr>
        <w:t>12.9</w:t>
      </w:r>
      <w:r>
        <w:tab/>
      </w:r>
      <w:r>
        <w:rPr>
          <w:b/>
          <w:bCs/>
        </w:rPr>
        <w:t xml:space="preserve">À compter du </w:t>
      </w:r>
      <w:r w:rsidR="00AB1801" w:rsidRPr="00A5386E">
        <w:rPr>
          <w:b/>
          <w:bCs/>
        </w:rPr>
        <w:t>1</w:t>
      </w:r>
      <w:r w:rsidR="00AB1801" w:rsidRPr="00A5386E">
        <w:rPr>
          <w:b/>
          <w:bCs/>
          <w:vertAlign w:val="superscript"/>
        </w:rPr>
        <w:t>er</w:t>
      </w:r>
      <w:r w:rsidR="00A5386E">
        <w:rPr>
          <w:b/>
          <w:bCs/>
        </w:rPr>
        <w:t> </w:t>
      </w:r>
      <w:r w:rsidRPr="00A5386E">
        <w:rPr>
          <w:b/>
          <w:bCs/>
        </w:rPr>
        <w:t>septembre</w:t>
      </w:r>
      <w:r>
        <w:rPr>
          <w:b/>
          <w:bCs/>
        </w:rPr>
        <w:t xml:space="preserve"> 2026, les Parties contractantes appliquant le présent Règlement ONU ne seront plus tenues d</w:t>
      </w:r>
      <w:r w:rsidR="00A5386E">
        <w:rPr>
          <w:b/>
          <w:bCs/>
        </w:rPr>
        <w:t>’</w:t>
      </w:r>
      <w:r>
        <w:rPr>
          <w:b/>
          <w:bCs/>
        </w:rPr>
        <w:t>accepter les homologations de type délivrées en vertu des précédentes séries.</w:t>
      </w:r>
      <w:r>
        <w:t> ».</w:t>
      </w:r>
    </w:p>
    <w:p w14:paraId="6556045F" w14:textId="69CC6063" w:rsidR="008A524B" w:rsidRDefault="00304EA7" w:rsidP="00304EA7">
      <w:pPr>
        <w:pStyle w:val="SingleTxtG"/>
        <w:ind w:left="2268" w:hanging="1134"/>
        <w:rPr>
          <w:lang w:val="fr-FR"/>
        </w:rPr>
      </w:pPr>
      <w:r w:rsidRPr="00A5386E">
        <w:rPr>
          <w:i/>
          <w:iCs/>
          <w:lang w:val="fr-FR"/>
        </w:rPr>
        <w:t>Le</w:t>
      </w:r>
      <w:r>
        <w:rPr>
          <w:lang w:val="fr-FR"/>
        </w:rPr>
        <w:t xml:space="preserve"> </w:t>
      </w:r>
      <w:r>
        <w:rPr>
          <w:i/>
          <w:iCs/>
          <w:lang w:val="fr-FR"/>
        </w:rPr>
        <w:t xml:space="preserve">paragraphe 12.6 </w:t>
      </w:r>
      <w:r>
        <w:rPr>
          <w:lang w:val="fr-FR"/>
        </w:rPr>
        <w:t>devient le paragraphe 12.10.</w:t>
      </w:r>
    </w:p>
    <w:p w14:paraId="609A92F3" w14:textId="77777777" w:rsidR="008A524B" w:rsidRDefault="008A524B">
      <w:pPr>
        <w:suppressAutoHyphens w:val="0"/>
        <w:kinsoku/>
        <w:overflowPunct/>
        <w:autoSpaceDE/>
        <w:autoSpaceDN/>
        <w:adjustRightInd/>
        <w:snapToGrid/>
        <w:spacing w:after="200" w:line="276" w:lineRule="auto"/>
        <w:rPr>
          <w:lang w:val="fr-FR"/>
        </w:rPr>
      </w:pPr>
      <w:r>
        <w:rPr>
          <w:lang w:val="fr-FR"/>
        </w:rPr>
        <w:br w:type="page"/>
      </w:r>
    </w:p>
    <w:p w14:paraId="2FF294C4" w14:textId="77777777" w:rsidR="00304EA7" w:rsidRPr="004F5B76" w:rsidRDefault="00304EA7" w:rsidP="00304EA7">
      <w:pPr>
        <w:ind w:left="2268" w:hanging="1134"/>
        <w:rPr>
          <w:iCs/>
          <w:lang w:val="fr-FR"/>
        </w:rPr>
      </w:pPr>
      <w:r w:rsidRPr="00E6775C">
        <w:rPr>
          <w:i/>
          <w:iCs/>
          <w:lang w:val="fr-FR"/>
        </w:rPr>
        <w:lastRenderedPageBreak/>
        <w:t>Annexe 2</w:t>
      </w:r>
      <w:r>
        <w:rPr>
          <w:lang w:val="fr-FR"/>
        </w:rPr>
        <w:t>, lire :</w:t>
      </w:r>
    </w:p>
    <w:p w14:paraId="0841FE65" w14:textId="3A26F92B" w:rsidR="00304EA7" w:rsidRPr="004F5B76" w:rsidRDefault="00304EA7" w:rsidP="00304EA7">
      <w:pPr>
        <w:pStyle w:val="HChG"/>
        <w:rPr>
          <w:lang w:val="fr-FR"/>
        </w:rPr>
      </w:pPr>
      <w:r w:rsidRPr="00AB1801">
        <w:rPr>
          <w:b w:val="0"/>
          <w:sz w:val="20"/>
          <w:lang w:val="fr-FR"/>
        </w:rPr>
        <w:t>«</w:t>
      </w:r>
      <w:r w:rsidR="00A5386E">
        <w:rPr>
          <w:b w:val="0"/>
          <w:sz w:val="20"/>
          <w:lang w:val="fr-FR"/>
        </w:rPr>
        <w:t> </w:t>
      </w:r>
      <w:r>
        <w:rPr>
          <w:bCs/>
          <w:lang w:val="fr-FR"/>
        </w:rPr>
        <w:t>Annexe 2</w:t>
      </w:r>
      <w:bookmarkStart w:id="1" w:name="_Toc352838565"/>
      <w:bookmarkStart w:id="2" w:name="_Toc352852735"/>
      <w:bookmarkEnd w:id="1"/>
      <w:bookmarkEnd w:id="2"/>
    </w:p>
    <w:p w14:paraId="66C91E57" w14:textId="1D887734" w:rsidR="00304EA7" w:rsidRPr="004F5B76" w:rsidRDefault="00304EA7" w:rsidP="00304EA7">
      <w:pPr>
        <w:pStyle w:val="HChG"/>
        <w:rPr>
          <w:b w:val="0"/>
          <w:lang w:val="fr-FR"/>
        </w:rPr>
      </w:pPr>
      <w:r>
        <w:rPr>
          <w:lang w:val="fr-FR"/>
        </w:rPr>
        <w:tab/>
      </w:r>
      <w:r>
        <w:rPr>
          <w:lang w:val="fr-FR"/>
        </w:rPr>
        <w:tab/>
      </w:r>
      <w:r>
        <w:rPr>
          <w:bCs/>
          <w:lang w:val="fr-FR"/>
        </w:rPr>
        <w:t>Exemples de marques d</w:t>
      </w:r>
      <w:r w:rsidR="00A5386E">
        <w:rPr>
          <w:bCs/>
          <w:lang w:val="fr-FR"/>
        </w:rPr>
        <w:t>’</w:t>
      </w:r>
      <w:r>
        <w:rPr>
          <w:bCs/>
          <w:lang w:val="fr-FR"/>
        </w:rPr>
        <w:t>homologation</w:t>
      </w:r>
      <w:bookmarkStart w:id="3" w:name="_Toc352838566"/>
      <w:bookmarkStart w:id="4" w:name="_Toc352852736"/>
      <w:bookmarkEnd w:id="3"/>
      <w:bookmarkEnd w:id="4"/>
    </w:p>
    <w:p w14:paraId="4C9DCB8B" w14:textId="77777777" w:rsidR="00304EA7" w:rsidRPr="004F5B76" w:rsidRDefault="00304EA7" w:rsidP="00304EA7">
      <w:pPr>
        <w:pStyle w:val="Titre1"/>
        <w:rPr>
          <w:lang w:val="fr-FR"/>
        </w:rPr>
      </w:pPr>
      <w:bookmarkStart w:id="5" w:name="_Toc352852737"/>
      <w:bookmarkStart w:id="6" w:name="_Toc352838567"/>
      <w:r>
        <w:rPr>
          <w:lang w:val="fr-FR"/>
        </w:rPr>
        <w:t>Modèle A</w:t>
      </w:r>
      <w:bookmarkEnd w:id="5"/>
    </w:p>
    <w:p w14:paraId="5C966877" w14:textId="77777777" w:rsidR="00304EA7" w:rsidRPr="004F5B76" w:rsidRDefault="00304EA7" w:rsidP="00304EA7">
      <w:pPr>
        <w:pStyle w:val="Titre1"/>
        <w:spacing w:after="120"/>
        <w:rPr>
          <w:lang w:val="fr-FR"/>
        </w:rPr>
      </w:pPr>
      <w:bookmarkStart w:id="7" w:name="_Toc352852738"/>
      <w:r>
        <w:rPr>
          <w:lang w:val="fr-FR"/>
        </w:rPr>
        <w:t>(voir par. 4.4 du présent Règlement)</w:t>
      </w:r>
      <w:bookmarkEnd w:id="7"/>
    </w:p>
    <w:p w14:paraId="11327653" w14:textId="77777777" w:rsidR="00304EA7" w:rsidRDefault="00304EA7" w:rsidP="00AB1801">
      <w:pPr>
        <w:pStyle w:val="Titre1"/>
        <w:spacing w:after="120"/>
        <w:rPr>
          <w:lang w:val="fr-FR"/>
        </w:rPr>
      </w:pPr>
      <w:bookmarkStart w:id="8" w:name="_Toc352852739"/>
      <w:r>
        <w:rPr>
          <w:lang w:val="fr-FR"/>
        </w:rPr>
        <w:t>Figure 1</w:t>
      </w:r>
      <w:bookmarkEnd w:id="6"/>
      <w:bookmarkEnd w:id="8"/>
    </w:p>
    <w:p w14:paraId="239D5CBF" w14:textId="1D2BBC79" w:rsidR="00AB1801" w:rsidRDefault="00AB1801" w:rsidP="00900A6D">
      <w:pPr>
        <w:pStyle w:val="SingleTxtG"/>
      </w:pPr>
      <w:r>
        <w:rPr>
          <w:noProof/>
          <w:lang w:val="nl-NL" w:eastAsia="nl-NL"/>
        </w:rPr>
        <w:drawing>
          <wp:anchor distT="0" distB="0" distL="114300" distR="114300" simplePos="0" relativeHeight="251670528" behindDoc="0" locked="0" layoutInCell="1" allowOverlap="1" wp14:anchorId="3A597210" wp14:editId="31A98FEA">
            <wp:simplePos x="0" y="0"/>
            <wp:positionH relativeFrom="column">
              <wp:posOffset>4137025</wp:posOffset>
            </wp:positionH>
            <wp:positionV relativeFrom="paragraph">
              <wp:posOffset>250153</wp:posOffset>
            </wp:positionV>
            <wp:extent cx="454025" cy="386080"/>
            <wp:effectExtent l="0" t="0" r="3175" b="0"/>
            <wp:wrapNone/>
            <wp:docPr id="640679480" name="Image 64067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025" cy="386080"/>
                    </a:xfrm>
                    <a:prstGeom prst="rect">
                      <a:avLst/>
                    </a:prstGeom>
                    <a:noFill/>
                    <a:ln>
                      <a:noFill/>
                    </a:ln>
                  </pic:spPr>
                </pic:pic>
              </a:graphicData>
            </a:graphic>
          </wp:anchor>
        </w:drawing>
      </w:r>
      <w:r w:rsidRPr="004711AA">
        <w:rPr>
          <w:noProof/>
          <w:lang w:eastAsia="nl-NL"/>
        </w:rPr>
        <mc:AlternateContent>
          <mc:Choice Requires="wps">
            <w:drawing>
              <wp:anchor distT="0" distB="0" distL="114300" distR="114300" simplePos="0" relativeHeight="251669504" behindDoc="0" locked="0" layoutInCell="1" allowOverlap="1" wp14:anchorId="31FF214E" wp14:editId="31EA349E">
                <wp:simplePos x="0" y="0"/>
                <wp:positionH relativeFrom="column">
                  <wp:posOffset>2269490</wp:posOffset>
                </wp:positionH>
                <wp:positionV relativeFrom="paragraph">
                  <wp:posOffset>318172</wp:posOffset>
                </wp:positionV>
                <wp:extent cx="1796415" cy="381635"/>
                <wp:effectExtent l="0" t="0" r="0" b="0"/>
                <wp:wrapNone/>
                <wp:docPr id="2076042476"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B2020" w14:textId="0839BAEE" w:rsidR="00AB1801" w:rsidRPr="00BF05AD" w:rsidRDefault="00AB1801" w:rsidP="00AB1801">
                            <w:pPr>
                              <w:jc w:val="center"/>
                              <w:rPr>
                                <w:rFonts w:asciiTheme="minorBidi" w:hAnsiTheme="minorBidi"/>
                                <w:b/>
                                <w:sz w:val="36"/>
                                <w:szCs w:val="36"/>
                              </w:rPr>
                            </w:pPr>
                            <w:r w:rsidRPr="00BF05AD">
                              <w:rPr>
                                <w:rFonts w:asciiTheme="minorBidi" w:hAnsiTheme="minorBidi"/>
                                <w:b/>
                                <w:bCs/>
                                <w:sz w:val="36"/>
                                <w:szCs w:val="36"/>
                              </w:rPr>
                              <w:t xml:space="preserve">100 R </w:t>
                            </w:r>
                            <w:r>
                              <w:rPr>
                                <w:rFonts w:asciiTheme="minorBidi" w:hAnsiTheme="minorBidi"/>
                                <w:b/>
                                <w:bCs/>
                                <w:sz w:val="36"/>
                                <w:szCs w:val="36"/>
                                <w:lang w:val="en-US"/>
                              </w:rPr>
                              <w:t>−</w:t>
                            </w:r>
                            <w:r w:rsidRPr="00BF05AD">
                              <w:rPr>
                                <w:rFonts w:asciiTheme="minorBidi" w:hAnsiTheme="minorBidi"/>
                                <w:b/>
                                <w:bCs/>
                                <w:sz w:val="36"/>
                                <w:szCs w:val="36"/>
                              </w:rPr>
                              <w:t xml:space="preserve"> 042492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F214E" id="_x0000_t202" coordsize="21600,21600" o:spt="202" path="m,l,21600r21600,l21600,xe">
                <v:stroke joinstyle="miter"/>
                <v:path gradientshapeok="t" o:connecttype="rect"/>
              </v:shapetype>
              <v:shape id="Tekstvak 25" o:spid="_x0000_s1026" type="#_x0000_t202" style="position:absolute;left:0;text-align:left;margin-left:178.7pt;margin-top:25.05pt;width:141.45pt;height:3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" stroked="f">
                <v:textbox inset="5.85pt,.7pt,5.85pt,.7pt">
                  <w:txbxContent>
                    <w:p w14:paraId="4BEB2020" w14:textId="0839BAEE" w:rsidR="00AB1801" w:rsidRPr="00BF05AD" w:rsidRDefault="00AB1801" w:rsidP="00AB1801">
                      <w:pPr>
                        <w:jc w:val="center"/>
                        <w:rPr>
                          <w:rFonts w:asciiTheme="minorBidi" w:hAnsiTheme="minorBidi"/>
                          <w:b/>
                          <w:sz w:val="36"/>
                          <w:szCs w:val="36"/>
                        </w:rPr>
                      </w:pPr>
                      <w:r w:rsidRPr="00BF05AD">
                        <w:rPr>
                          <w:rFonts w:asciiTheme="minorBidi" w:hAnsiTheme="minorBidi"/>
                          <w:b/>
                          <w:bCs/>
                          <w:sz w:val="36"/>
                          <w:szCs w:val="36"/>
                        </w:rPr>
                        <w:t xml:space="preserve">100 R </w:t>
                      </w:r>
                      <w:r>
                        <w:rPr>
                          <w:rFonts w:asciiTheme="minorBidi" w:hAnsiTheme="minorBidi"/>
                          <w:b/>
                          <w:bCs/>
                          <w:sz w:val="36"/>
                          <w:szCs w:val="36"/>
                          <w:lang w:val="en-US"/>
                        </w:rPr>
                        <w:t>−</w:t>
                      </w:r>
                      <w:r w:rsidRPr="00BF05AD">
                        <w:rPr>
                          <w:rFonts w:asciiTheme="minorBidi" w:hAnsiTheme="minorBidi"/>
                          <w:b/>
                          <w:bCs/>
                          <w:sz w:val="36"/>
                          <w:szCs w:val="36"/>
                        </w:rPr>
                        <w:t xml:space="preserve"> 042492</w:t>
                      </w:r>
                    </w:p>
                  </w:txbxContent>
                </v:textbox>
              </v:shape>
            </w:pict>
          </mc:Fallback>
        </mc:AlternateContent>
      </w:r>
      <w:r w:rsidRPr="004711AA">
        <w:rPr>
          <w:noProof/>
          <w:lang w:eastAsia="nl-NL"/>
        </w:rPr>
        <mc:AlternateContent>
          <mc:Choice Requires="wps">
            <w:drawing>
              <wp:anchor distT="0" distB="0" distL="114300" distR="114300" simplePos="0" relativeHeight="251668480" behindDoc="0" locked="0" layoutInCell="1" allowOverlap="1" wp14:anchorId="66FBCF58" wp14:editId="654E5981">
                <wp:simplePos x="0" y="0"/>
                <wp:positionH relativeFrom="column">
                  <wp:posOffset>3905885</wp:posOffset>
                </wp:positionH>
                <wp:positionV relativeFrom="paragraph">
                  <wp:posOffset>264160</wp:posOffset>
                </wp:positionV>
                <wp:extent cx="635635" cy="480060"/>
                <wp:effectExtent l="635" t="0" r="1905" b="0"/>
                <wp:wrapNone/>
                <wp:docPr id="52892924"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81E74" w14:textId="02C0608A" w:rsidR="00AB1801" w:rsidRDefault="00AB1801" w:rsidP="00AB180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FBCF58" id="Tekstvak 24" o:spid="_x0000_s1027" type="#_x0000_t202" style="position:absolute;left:0;text-align:left;margin-left:307.55pt;margin-top:20.8pt;width:50.05pt;height:37.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" stroked="f">
                <v:textbox style="mso-fit-shape-to-text:t">
                  <w:txbxContent>
                    <w:p w14:paraId="4F581E74" w14:textId="02C0608A" w:rsidR="00AB1801" w:rsidRDefault="00AB1801" w:rsidP="00AB1801"/>
                  </w:txbxContent>
                </v:textbox>
              </v:shape>
            </w:pict>
          </mc:Fallback>
        </mc:AlternateContent>
      </w:r>
      <w:r w:rsidRPr="004711AA">
        <w:rPr>
          <w:noProof/>
          <w:lang w:eastAsia="nl-NL"/>
        </w:rPr>
        <mc:AlternateContent>
          <mc:Choice Requires="wps">
            <w:drawing>
              <wp:anchor distT="0" distB="0" distL="114300" distR="114300" simplePos="0" relativeHeight="251667456" behindDoc="0" locked="0" layoutInCell="1" allowOverlap="1" wp14:anchorId="09CC9158" wp14:editId="784B2CD6">
                <wp:simplePos x="0" y="0"/>
                <wp:positionH relativeFrom="column">
                  <wp:posOffset>2271395</wp:posOffset>
                </wp:positionH>
                <wp:positionV relativeFrom="paragraph">
                  <wp:posOffset>137160</wp:posOffset>
                </wp:positionV>
                <wp:extent cx="324485" cy="383540"/>
                <wp:effectExtent l="4445" t="3810" r="4445" b="3175"/>
                <wp:wrapNone/>
                <wp:docPr id="579852328"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B4AD5" w14:textId="77777777" w:rsidR="00AB1801" w:rsidRPr="004A73CA" w:rsidRDefault="00AB1801" w:rsidP="00AB1801">
                            <w:pPr>
                              <w:rPr>
                                <w:rFonts w:ascii="Arial" w:hAnsi="Arial" w:cs="Arial"/>
                                <w:b/>
                                <w:sz w:val="40"/>
                                <w:szCs w:val="40"/>
                                <w:lang w:val="de-DE"/>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CC9158" id="Tekstvak 22" o:spid="_x0000_s1028" type="#_x0000_t202" style="position:absolute;left:0;text-align:left;margin-left:178.85pt;margin-top:10.8pt;width:25.55pt;height:30.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" stroked="f">
                <v:textbox style="mso-fit-shape-to-text:t">
                  <w:txbxContent>
                    <w:p w14:paraId="1ADB4AD5" w14:textId="77777777" w:rsidR="00AB1801" w:rsidRPr="004A73CA" w:rsidRDefault="00AB1801" w:rsidP="00AB1801">
                      <w:pPr>
                        <w:rPr>
                          <w:rFonts w:ascii="Arial" w:hAnsi="Arial" w:cs="Arial"/>
                          <w:b/>
                          <w:sz w:val="40"/>
                          <w:szCs w:val="40"/>
                          <w:lang w:val="de-DE"/>
                        </w:rPr>
                      </w:pPr>
                    </w:p>
                  </w:txbxContent>
                </v:textbox>
              </v:shape>
            </w:pict>
          </mc:Fallback>
        </mc:AlternateContent>
      </w:r>
      <w:r w:rsidRPr="004711AA">
        <w:rPr>
          <w:noProof/>
          <w:lang w:eastAsia="nl-NL"/>
        </w:rPr>
        <w:drawing>
          <wp:inline distT="0" distB="0" distL="0" distR="0" wp14:anchorId="50225DCF" wp14:editId="1555C91C">
            <wp:extent cx="1598295" cy="894080"/>
            <wp:effectExtent l="0" t="0" r="1905" b="1270"/>
            <wp:docPr id="1027082368" name="Image 102708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295" cy="894080"/>
                    </a:xfrm>
                    <a:prstGeom prst="rect">
                      <a:avLst/>
                    </a:prstGeom>
                    <a:noFill/>
                    <a:ln>
                      <a:noFill/>
                    </a:ln>
                  </pic:spPr>
                </pic:pic>
              </a:graphicData>
            </a:graphic>
          </wp:inline>
        </w:drawing>
      </w:r>
    </w:p>
    <w:p w14:paraId="740A7CEC" w14:textId="15DE99E3" w:rsidR="00304EA7" w:rsidRPr="004F5B76" w:rsidRDefault="00304EA7" w:rsidP="00900A6D">
      <w:pPr>
        <w:pStyle w:val="SingleTxtG"/>
        <w:jc w:val="right"/>
        <w:rPr>
          <w:lang w:val="fr-FR"/>
        </w:rPr>
      </w:pPr>
      <w:r>
        <w:rPr>
          <w:lang w:val="fr-FR"/>
        </w:rPr>
        <w:t>a = 8 mm min.</w:t>
      </w:r>
    </w:p>
    <w:p w14:paraId="516758DA" w14:textId="76CADE6A" w:rsidR="00304EA7" w:rsidRPr="004F5B76" w:rsidRDefault="00304EA7" w:rsidP="00900A6D">
      <w:pPr>
        <w:pStyle w:val="SingleTxtG"/>
        <w:ind w:firstLine="567"/>
        <w:rPr>
          <w:lang w:val="fr-FR"/>
        </w:rPr>
      </w:pPr>
      <w:r>
        <w:rPr>
          <w:lang w:val="fr-FR"/>
        </w:rPr>
        <w:t>La marque d</w:t>
      </w:r>
      <w:r w:rsidR="00A5386E">
        <w:rPr>
          <w:lang w:val="fr-FR"/>
        </w:rPr>
        <w:t>’</w:t>
      </w:r>
      <w:r>
        <w:rPr>
          <w:lang w:val="fr-FR"/>
        </w:rPr>
        <w:t>homologation de la figure 1 apposée sur un véhicule indique que le type concerné de véhicule routier a été homologué aux Pays-Bas (E</w:t>
      </w:r>
      <w:r w:rsidR="007A67EA">
        <w:rPr>
          <w:lang w:val="fr-FR"/>
        </w:rPr>
        <w:t> </w:t>
      </w:r>
      <w:r>
        <w:rPr>
          <w:lang w:val="fr-FR"/>
        </w:rPr>
        <w:t xml:space="preserve">4) conformément au Règlement </w:t>
      </w:r>
      <w:r w:rsidR="007A67EA" w:rsidRPr="007A67EA">
        <w:rPr>
          <w:rFonts w:eastAsia="MS Mincho"/>
          <w:szCs w:val="22"/>
          <w:lang w:val="fr-FR"/>
        </w:rPr>
        <w:t>n</w:t>
      </w:r>
      <w:r w:rsidR="007A67EA" w:rsidRPr="007A67EA">
        <w:rPr>
          <w:rFonts w:eastAsia="MS Mincho"/>
          <w:szCs w:val="22"/>
          <w:vertAlign w:val="superscript"/>
          <w:lang w:val="fr-FR"/>
        </w:rPr>
        <w:t>o</w:t>
      </w:r>
      <w:r w:rsidR="007A67EA">
        <w:rPr>
          <w:lang w:val="fr-FR"/>
        </w:rPr>
        <w:t> </w:t>
      </w:r>
      <w:r>
        <w:rPr>
          <w:lang w:val="fr-FR"/>
        </w:rPr>
        <w:t>100 sous le numéro d</w:t>
      </w:r>
      <w:r w:rsidR="00A5386E">
        <w:rPr>
          <w:lang w:val="fr-FR"/>
        </w:rPr>
        <w:t>’</w:t>
      </w:r>
      <w:r>
        <w:rPr>
          <w:lang w:val="fr-FR"/>
        </w:rPr>
        <w:t xml:space="preserve">homologation </w:t>
      </w:r>
      <w:r w:rsidRPr="00E6775C">
        <w:rPr>
          <w:b/>
          <w:bCs/>
          <w:lang w:val="fr-FR"/>
        </w:rPr>
        <w:t>04</w:t>
      </w:r>
      <w:r>
        <w:rPr>
          <w:lang w:val="fr-FR"/>
        </w:rPr>
        <w:t>2492. Les deux premiers chiffres du numéro d</w:t>
      </w:r>
      <w:r w:rsidR="00A5386E">
        <w:rPr>
          <w:lang w:val="fr-FR"/>
        </w:rPr>
        <w:t>’</w:t>
      </w:r>
      <w:r>
        <w:rPr>
          <w:lang w:val="fr-FR"/>
        </w:rPr>
        <w:t xml:space="preserve">homologation indiquent que celle-ci a été accordée conformément aux prescriptions du Règlement </w:t>
      </w:r>
      <w:r w:rsidR="007A67EA" w:rsidRPr="007A67EA">
        <w:rPr>
          <w:rFonts w:eastAsia="MS Mincho"/>
          <w:szCs w:val="22"/>
          <w:lang w:val="fr-FR"/>
        </w:rPr>
        <w:t>n</w:t>
      </w:r>
      <w:r w:rsidR="007A67EA" w:rsidRPr="007A67EA">
        <w:rPr>
          <w:rFonts w:eastAsia="MS Mincho"/>
          <w:szCs w:val="22"/>
          <w:vertAlign w:val="superscript"/>
          <w:lang w:val="fr-FR"/>
        </w:rPr>
        <w:t>o</w:t>
      </w:r>
      <w:r w:rsidR="007A67EA">
        <w:rPr>
          <w:lang w:val="fr-FR"/>
        </w:rPr>
        <w:t> </w:t>
      </w:r>
      <w:r>
        <w:rPr>
          <w:lang w:val="fr-FR"/>
        </w:rPr>
        <w:t xml:space="preserve">100 tel que modifié par la série </w:t>
      </w:r>
      <w:r>
        <w:rPr>
          <w:b/>
          <w:bCs/>
          <w:lang w:val="fr-FR"/>
        </w:rPr>
        <w:t>04</w:t>
      </w:r>
      <w:r>
        <w:rPr>
          <w:lang w:val="fr-FR"/>
        </w:rPr>
        <w:t xml:space="preserve"> d</w:t>
      </w:r>
      <w:r w:rsidR="00A5386E">
        <w:rPr>
          <w:lang w:val="fr-FR"/>
        </w:rPr>
        <w:t>’</w:t>
      </w:r>
      <w:r>
        <w:rPr>
          <w:lang w:val="fr-FR"/>
        </w:rPr>
        <w:t>amendements.</w:t>
      </w:r>
    </w:p>
    <w:p w14:paraId="04C88B6D" w14:textId="77777777" w:rsidR="00304EA7" w:rsidRDefault="00304EA7" w:rsidP="00900A6D">
      <w:pPr>
        <w:pStyle w:val="SingleTxtG"/>
        <w:rPr>
          <w:lang w:val="fr-FR"/>
        </w:rPr>
      </w:pPr>
      <w:bookmarkStart w:id="9" w:name="_Toc352838568"/>
      <w:bookmarkStart w:id="10" w:name="_Toc352852740"/>
      <w:r>
        <w:rPr>
          <w:lang w:val="fr-FR"/>
        </w:rPr>
        <w:t>Figure 2</w:t>
      </w:r>
      <w:bookmarkEnd w:id="9"/>
      <w:bookmarkEnd w:id="10"/>
    </w:p>
    <w:p w14:paraId="350A6769" w14:textId="77777777" w:rsidR="00900A6D" w:rsidRDefault="00900A6D" w:rsidP="00900A6D">
      <w:pPr>
        <w:pStyle w:val="SingleTxtG"/>
        <w:rPr>
          <w:lang w:val="fr-FR"/>
        </w:rPr>
      </w:pPr>
      <w:r w:rsidRPr="004711AA">
        <w:rPr>
          <w:noProof/>
          <w:lang w:eastAsia="nl-NL"/>
        </w:rPr>
        <mc:AlternateContent>
          <mc:Choice Requires="wps">
            <w:drawing>
              <wp:anchor distT="0" distB="0" distL="114300" distR="114300" simplePos="0" relativeHeight="251672576" behindDoc="0" locked="0" layoutInCell="1" allowOverlap="1" wp14:anchorId="5951C08F" wp14:editId="30551C05">
                <wp:simplePos x="0" y="0"/>
                <wp:positionH relativeFrom="column">
                  <wp:posOffset>2287270</wp:posOffset>
                </wp:positionH>
                <wp:positionV relativeFrom="paragraph">
                  <wp:posOffset>299085</wp:posOffset>
                </wp:positionV>
                <wp:extent cx="2133600" cy="381635"/>
                <wp:effectExtent l="0" t="0" r="0" b="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108E8" w14:textId="69B2CD76" w:rsidR="00900A6D" w:rsidRPr="00021947" w:rsidRDefault="00900A6D" w:rsidP="00900A6D">
                            <w:pPr>
                              <w:rPr>
                                <w:rFonts w:asciiTheme="minorBidi" w:hAnsiTheme="minorBidi"/>
                                <w:b/>
                                <w:sz w:val="36"/>
                                <w:szCs w:val="36"/>
                              </w:rPr>
                            </w:pPr>
                            <w:r w:rsidRPr="00021947">
                              <w:rPr>
                                <w:rFonts w:asciiTheme="minorBidi" w:hAnsiTheme="minorBidi"/>
                                <w:b/>
                                <w:bCs/>
                                <w:sz w:val="36"/>
                                <w:szCs w:val="36"/>
                              </w:rPr>
                              <w:t xml:space="preserve">100 RES </w:t>
                            </w:r>
                            <w:r>
                              <w:rPr>
                                <w:rFonts w:asciiTheme="minorBidi" w:hAnsiTheme="minorBidi"/>
                                <w:b/>
                                <w:bCs/>
                                <w:sz w:val="36"/>
                                <w:szCs w:val="36"/>
                                <w:lang w:val="en-US"/>
                              </w:rPr>
                              <w:t>−</w:t>
                            </w:r>
                            <w:r w:rsidRPr="00021947">
                              <w:rPr>
                                <w:rFonts w:asciiTheme="minorBidi" w:hAnsiTheme="minorBidi"/>
                                <w:b/>
                                <w:bCs/>
                                <w:sz w:val="36"/>
                                <w:szCs w:val="36"/>
                              </w:rPr>
                              <w:t xml:space="preserve"> 042492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1C08F" id="Tekstvak 21" o:spid="_x0000_s1029" type="#_x0000_t202" style="position:absolute;left:0;text-align:left;margin-left:180.1pt;margin-top:23.55pt;width:168pt;height: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" stroked="f">
                <v:textbox inset="5.85pt,.7pt,5.85pt,.7pt">
                  <w:txbxContent>
                    <w:p w14:paraId="26B108E8" w14:textId="69B2CD76" w:rsidR="00900A6D" w:rsidRPr="00021947" w:rsidRDefault="00900A6D" w:rsidP="00900A6D">
                      <w:pPr>
                        <w:rPr>
                          <w:rFonts w:asciiTheme="minorBidi" w:hAnsiTheme="minorBidi"/>
                          <w:b/>
                          <w:sz w:val="36"/>
                          <w:szCs w:val="36"/>
                        </w:rPr>
                      </w:pPr>
                      <w:r w:rsidRPr="00021947">
                        <w:rPr>
                          <w:rFonts w:asciiTheme="minorBidi" w:hAnsiTheme="minorBidi"/>
                          <w:b/>
                          <w:bCs/>
                          <w:sz w:val="36"/>
                          <w:szCs w:val="36"/>
                        </w:rPr>
                        <w:t xml:space="preserve">100 RES </w:t>
                      </w:r>
                      <w:r>
                        <w:rPr>
                          <w:rFonts w:asciiTheme="minorBidi" w:hAnsiTheme="minorBidi"/>
                          <w:b/>
                          <w:bCs/>
                          <w:sz w:val="36"/>
                          <w:szCs w:val="36"/>
                          <w:lang w:val="en-US"/>
                        </w:rPr>
                        <w:t>−</w:t>
                      </w:r>
                      <w:r w:rsidRPr="00021947">
                        <w:rPr>
                          <w:rFonts w:asciiTheme="minorBidi" w:hAnsiTheme="minorBidi"/>
                          <w:b/>
                          <w:bCs/>
                          <w:sz w:val="36"/>
                          <w:szCs w:val="36"/>
                        </w:rPr>
                        <w:t xml:space="preserve"> 042492</w:t>
                      </w:r>
                    </w:p>
                  </w:txbxContent>
                </v:textbox>
              </v:shape>
            </w:pict>
          </mc:Fallback>
        </mc:AlternateContent>
      </w:r>
      <w:r w:rsidRPr="004711AA">
        <w:rPr>
          <w:noProof/>
          <w:lang w:eastAsia="nl-NL"/>
        </w:rPr>
        <mc:AlternateContent>
          <mc:Choice Requires="wps">
            <w:drawing>
              <wp:anchor distT="0" distB="0" distL="114300" distR="114300" simplePos="0" relativeHeight="251673600" behindDoc="0" locked="0" layoutInCell="1" allowOverlap="1" wp14:anchorId="4C20BF23" wp14:editId="1F517AF5">
                <wp:simplePos x="0" y="0"/>
                <wp:positionH relativeFrom="column">
                  <wp:posOffset>4288790</wp:posOffset>
                </wp:positionH>
                <wp:positionV relativeFrom="paragraph">
                  <wp:posOffset>215900</wp:posOffset>
                </wp:positionV>
                <wp:extent cx="551180" cy="480060"/>
                <wp:effectExtent l="2540" t="0" r="0" b="0"/>
                <wp:wrapNone/>
                <wp:docPr id="1355156024"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F763C" w14:textId="77777777" w:rsidR="00900A6D" w:rsidRDefault="00900A6D" w:rsidP="00900A6D">
                            <w:bookmarkStart w:id="11" w:name="_Hlk148100616"/>
                            <w:bookmarkEnd w:id="11"/>
                            <w:r>
                              <w:rPr>
                                <w:noProof/>
                                <w:lang w:val="nl-NL" w:eastAsia="nl-NL"/>
                              </w:rPr>
                              <w:drawing>
                                <wp:inline distT="0" distB="0" distL="0" distR="0" wp14:anchorId="1657C05B" wp14:editId="3F7B0D8B">
                                  <wp:extent cx="447040" cy="379095"/>
                                  <wp:effectExtent l="0" t="0" r="0" b="190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040" cy="37909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20BF23" id="Tekstvak 20" o:spid="_x0000_s1030" type="#_x0000_t202" style="position:absolute;left:0;text-align:left;margin-left:337.7pt;margin-top:17pt;width:43.4pt;height:3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" stroked="f">
                <v:textbox style="mso-fit-shape-to-text:t">
                  <w:txbxContent>
                    <w:p w14:paraId="70AF763C" w14:textId="77777777" w:rsidR="00900A6D" w:rsidRDefault="00900A6D" w:rsidP="00900A6D">
                      <w:bookmarkStart w:id="12" w:name="_Hlk148100616"/>
                      <w:bookmarkEnd w:id="12"/>
                      <w:r>
                        <w:rPr>
                          <w:noProof/>
                          <w:lang w:val="nl-NL" w:eastAsia="nl-NL"/>
                        </w:rPr>
                        <w:drawing>
                          <wp:inline distT="0" distB="0" distL="0" distR="0" wp14:anchorId="1657C05B" wp14:editId="3F7B0D8B">
                            <wp:extent cx="447040" cy="379095"/>
                            <wp:effectExtent l="0" t="0" r="0" b="190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040" cy="379095"/>
                                    </a:xfrm>
                                    <a:prstGeom prst="rect">
                                      <a:avLst/>
                                    </a:prstGeom>
                                    <a:noFill/>
                                    <a:ln>
                                      <a:noFill/>
                                    </a:ln>
                                  </pic:spPr>
                                </pic:pic>
                              </a:graphicData>
                            </a:graphic>
                          </wp:inline>
                        </w:drawing>
                      </w:r>
                    </w:p>
                  </w:txbxContent>
                </v:textbox>
              </v:shape>
            </w:pict>
          </mc:Fallback>
        </mc:AlternateContent>
      </w:r>
      <w:r w:rsidRPr="004711AA">
        <w:rPr>
          <w:noProof/>
          <w:lang w:eastAsia="nl-NL"/>
        </w:rPr>
        <w:drawing>
          <wp:inline distT="0" distB="0" distL="0" distR="0" wp14:anchorId="13E6C94C" wp14:editId="17C5163E">
            <wp:extent cx="1598295" cy="894080"/>
            <wp:effectExtent l="0" t="0" r="1905" b="127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295" cy="894080"/>
                    </a:xfrm>
                    <a:prstGeom prst="rect">
                      <a:avLst/>
                    </a:prstGeom>
                    <a:noFill/>
                    <a:ln>
                      <a:noFill/>
                    </a:ln>
                  </pic:spPr>
                </pic:pic>
              </a:graphicData>
            </a:graphic>
          </wp:inline>
        </w:drawing>
      </w:r>
      <w:r w:rsidR="00304EA7">
        <w:rPr>
          <w:noProof/>
          <w:lang w:val="nl-NL" w:eastAsia="nl-NL"/>
        </w:rPr>
        <mc:AlternateContent>
          <mc:Choice Requires="wps">
            <w:drawing>
              <wp:anchor distT="0" distB="0" distL="114300" distR="114300" simplePos="0" relativeHeight="251665408" behindDoc="0" locked="0" layoutInCell="1" allowOverlap="1" wp14:anchorId="05AA53DB" wp14:editId="20E640F5">
                <wp:simplePos x="0" y="0"/>
                <wp:positionH relativeFrom="column">
                  <wp:posOffset>4288790</wp:posOffset>
                </wp:positionH>
                <wp:positionV relativeFrom="paragraph">
                  <wp:posOffset>215900</wp:posOffset>
                </wp:positionV>
                <wp:extent cx="551180" cy="480060"/>
                <wp:effectExtent l="2540" t="0" r="0" b="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2AF09" w14:textId="3AB94823" w:rsidR="00304EA7" w:rsidRDefault="00304EA7" w:rsidP="00304EA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AA53DB" id="_x0000_s1031" type="#_x0000_t202" style="position:absolute;left:0;text-align:left;margin-left:337.7pt;margin-top:17pt;width:43.4pt;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" stroked="f">
                <v:textbox style="mso-fit-shape-to-text:t">
                  <w:txbxContent>
                    <w:p w14:paraId="2EA2AF09" w14:textId="3AB94823" w:rsidR="00304EA7" w:rsidRDefault="00304EA7" w:rsidP="00304EA7"/>
                  </w:txbxContent>
                </v:textbox>
              </v:shape>
            </w:pict>
          </mc:Fallback>
        </mc:AlternateContent>
      </w:r>
    </w:p>
    <w:p w14:paraId="289288E5" w14:textId="3631F17F" w:rsidR="00304EA7" w:rsidRPr="004F5B76" w:rsidRDefault="00304EA7" w:rsidP="00900A6D">
      <w:pPr>
        <w:pStyle w:val="SingleTxtG"/>
        <w:jc w:val="right"/>
        <w:rPr>
          <w:bCs/>
          <w:lang w:val="fr-FR"/>
        </w:rPr>
      </w:pPr>
      <w:r>
        <w:rPr>
          <w:lang w:val="fr-FR"/>
        </w:rPr>
        <w:t>a = 8 mm min.</w:t>
      </w:r>
    </w:p>
    <w:p w14:paraId="189A8060" w14:textId="66315F08" w:rsidR="00304EA7" w:rsidRPr="004F5B76" w:rsidRDefault="00304EA7" w:rsidP="00900A6D">
      <w:pPr>
        <w:pStyle w:val="SingleTxtG"/>
        <w:ind w:firstLine="567"/>
        <w:rPr>
          <w:bCs/>
          <w:lang w:val="fr-FR"/>
        </w:rPr>
      </w:pPr>
      <w:r>
        <w:rPr>
          <w:lang w:val="fr-FR"/>
        </w:rPr>
        <w:t>La marque d</w:t>
      </w:r>
      <w:r w:rsidR="00A5386E">
        <w:rPr>
          <w:lang w:val="fr-FR"/>
        </w:rPr>
        <w:t>’</w:t>
      </w:r>
      <w:r>
        <w:rPr>
          <w:lang w:val="fr-FR"/>
        </w:rPr>
        <w:t>homologation de la figure 2 apposée sur un SRSEE indique que le type concerné de SRSEE a été homologué aux Pays-Bas (E</w:t>
      </w:r>
      <w:r w:rsidR="007A67EA">
        <w:rPr>
          <w:lang w:val="fr-FR"/>
        </w:rPr>
        <w:t> </w:t>
      </w:r>
      <w:r>
        <w:rPr>
          <w:lang w:val="fr-FR"/>
        </w:rPr>
        <w:t xml:space="preserve">4) conformément au Règlement </w:t>
      </w:r>
      <w:r w:rsidR="00900A6D" w:rsidRPr="00900A6D">
        <w:rPr>
          <w:rFonts w:eastAsia="MS Mincho"/>
          <w:szCs w:val="22"/>
          <w:lang w:val="fr-FR"/>
        </w:rPr>
        <w:t>n</w:t>
      </w:r>
      <w:r w:rsidR="00900A6D" w:rsidRPr="00900A6D">
        <w:rPr>
          <w:rFonts w:eastAsia="MS Mincho"/>
          <w:szCs w:val="22"/>
          <w:vertAlign w:val="superscript"/>
          <w:lang w:val="fr-FR"/>
        </w:rPr>
        <w:t>o</w:t>
      </w:r>
      <w:r w:rsidR="00900A6D">
        <w:rPr>
          <w:lang w:val="fr-FR"/>
        </w:rPr>
        <w:t> </w:t>
      </w:r>
      <w:r>
        <w:rPr>
          <w:lang w:val="fr-FR"/>
        </w:rPr>
        <w:t>100, sous le numéro d</w:t>
      </w:r>
      <w:r w:rsidR="00A5386E">
        <w:rPr>
          <w:lang w:val="fr-FR"/>
        </w:rPr>
        <w:t>’</w:t>
      </w:r>
      <w:r>
        <w:rPr>
          <w:lang w:val="fr-FR"/>
        </w:rPr>
        <w:t xml:space="preserve">homologation </w:t>
      </w:r>
      <w:r>
        <w:rPr>
          <w:b/>
          <w:bCs/>
          <w:lang w:val="fr-FR"/>
        </w:rPr>
        <w:t>04</w:t>
      </w:r>
      <w:r>
        <w:rPr>
          <w:lang w:val="fr-FR"/>
        </w:rPr>
        <w:t>2492. Les deux premiers chiffres du numéro d</w:t>
      </w:r>
      <w:r w:rsidR="00A5386E">
        <w:rPr>
          <w:lang w:val="fr-FR"/>
        </w:rPr>
        <w:t>’</w:t>
      </w:r>
      <w:r>
        <w:rPr>
          <w:lang w:val="fr-FR"/>
        </w:rPr>
        <w:t xml:space="preserve">homologation indiquent que celle-ci a été accordée conformément aux prescriptions du Règlement </w:t>
      </w:r>
      <w:r w:rsidR="007A67EA" w:rsidRPr="007A67EA">
        <w:rPr>
          <w:rFonts w:eastAsia="MS Mincho"/>
          <w:szCs w:val="22"/>
          <w:lang w:val="fr-FR"/>
        </w:rPr>
        <w:t>n</w:t>
      </w:r>
      <w:r w:rsidR="007A67EA" w:rsidRPr="007A67EA">
        <w:rPr>
          <w:rFonts w:eastAsia="MS Mincho"/>
          <w:szCs w:val="22"/>
          <w:vertAlign w:val="superscript"/>
          <w:lang w:val="fr-FR"/>
        </w:rPr>
        <w:t>o</w:t>
      </w:r>
      <w:r w:rsidR="007A67EA">
        <w:rPr>
          <w:lang w:val="fr-FR"/>
        </w:rPr>
        <w:t> </w:t>
      </w:r>
      <w:r>
        <w:rPr>
          <w:lang w:val="fr-FR"/>
        </w:rPr>
        <w:t xml:space="preserve">100 tel que modifié par la série </w:t>
      </w:r>
      <w:r>
        <w:rPr>
          <w:b/>
          <w:bCs/>
          <w:lang w:val="fr-FR"/>
        </w:rPr>
        <w:t>04</w:t>
      </w:r>
      <w:r>
        <w:rPr>
          <w:lang w:val="fr-FR"/>
        </w:rPr>
        <w:t xml:space="preserve"> d</w:t>
      </w:r>
      <w:r w:rsidR="00A5386E">
        <w:rPr>
          <w:lang w:val="fr-FR"/>
        </w:rPr>
        <w:t>’</w:t>
      </w:r>
      <w:r>
        <w:rPr>
          <w:lang w:val="fr-FR"/>
        </w:rPr>
        <w:t>amendements.</w:t>
      </w:r>
    </w:p>
    <w:p w14:paraId="7A3BABC7" w14:textId="77777777" w:rsidR="00304EA7" w:rsidRPr="004F5B76" w:rsidRDefault="00304EA7" w:rsidP="00304EA7">
      <w:pPr>
        <w:pStyle w:val="Titre1"/>
        <w:rPr>
          <w:lang w:val="fr-FR"/>
        </w:rPr>
      </w:pPr>
      <w:bookmarkStart w:id="13" w:name="_Toc352838569"/>
      <w:bookmarkStart w:id="14" w:name="_Toc352852741"/>
      <w:r>
        <w:rPr>
          <w:lang w:val="fr-FR"/>
        </w:rPr>
        <w:t>Modèle B</w:t>
      </w:r>
      <w:bookmarkEnd w:id="13"/>
      <w:bookmarkEnd w:id="14"/>
    </w:p>
    <w:p w14:paraId="5E39E761" w14:textId="20715470" w:rsidR="00304EA7" w:rsidRDefault="00304EA7" w:rsidP="00304EA7">
      <w:pPr>
        <w:pStyle w:val="SingleTxtG"/>
        <w:rPr>
          <w:lang w:val="fr-FR"/>
        </w:rPr>
      </w:pPr>
      <w:r>
        <w:rPr>
          <w:lang w:val="fr-FR"/>
        </w:rPr>
        <w:t>(voir par. 4.5 du présent Règlement)</w:t>
      </w:r>
    </w:p>
    <w:p w14:paraId="2CFBD333" w14:textId="0F908974" w:rsidR="00900A6D" w:rsidRPr="004711AA" w:rsidRDefault="00900A6D" w:rsidP="00900A6D">
      <w:pPr>
        <w:tabs>
          <w:tab w:val="left" w:pos="-720"/>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1134"/>
      </w:pPr>
      <w:r w:rsidRPr="004711AA">
        <w:rPr>
          <w:noProof/>
          <w:lang w:eastAsia="nl-NL"/>
        </w:rPr>
        <mc:AlternateContent>
          <mc:Choice Requires="wps">
            <w:drawing>
              <wp:anchor distT="0" distB="0" distL="114300" distR="114300" simplePos="0" relativeHeight="251675648" behindDoc="0" locked="0" layoutInCell="1" allowOverlap="1" wp14:anchorId="53E2207F" wp14:editId="0DF759C0">
                <wp:simplePos x="0" y="0"/>
                <wp:positionH relativeFrom="column">
                  <wp:posOffset>2220184</wp:posOffset>
                </wp:positionH>
                <wp:positionV relativeFrom="paragraph">
                  <wp:posOffset>48933</wp:posOffset>
                </wp:positionV>
                <wp:extent cx="2558229" cy="737309"/>
                <wp:effectExtent l="0" t="0" r="0" b="5715"/>
                <wp:wrapNone/>
                <wp:docPr id="1172294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229" cy="737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973"/>
                            </w:tblGrid>
                            <w:tr w:rsidR="00900A6D" w:rsidRPr="004121EE" w14:paraId="1E5C69F5" w14:textId="77777777" w:rsidTr="007A67EA">
                              <w:trPr>
                                <w:trHeight w:val="411"/>
                              </w:trPr>
                              <w:tc>
                                <w:tcPr>
                                  <w:tcW w:w="1478" w:type="dxa"/>
                                </w:tcPr>
                                <w:p w14:paraId="6F708B15" w14:textId="77777777" w:rsidR="00900A6D" w:rsidRPr="004121EE" w:rsidRDefault="00900A6D" w:rsidP="008C4E96">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Theme="minorBidi" w:hAnsiTheme="minorBidi"/>
                                      <w:b/>
                                      <w:sz w:val="36"/>
                                      <w:szCs w:val="36"/>
                                    </w:rPr>
                                  </w:pPr>
                                  <w:r w:rsidRPr="004121EE">
                                    <w:rPr>
                                      <w:rFonts w:asciiTheme="minorBidi" w:hAnsiTheme="minorBidi"/>
                                      <w:b/>
                                      <w:bCs/>
                                      <w:sz w:val="36"/>
                                      <w:szCs w:val="36"/>
                                    </w:rPr>
                                    <w:t>100</w:t>
                                  </w:r>
                                </w:p>
                              </w:tc>
                              <w:tc>
                                <w:tcPr>
                                  <w:tcW w:w="1973" w:type="dxa"/>
                                </w:tcPr>
                                <w:p w14:paraId="4B949672" w14:textId="77777777" w:rsidR="00900A6D" w:rsidRPr="004121EE" w:rsidRDefault="00900A6D" w:rsidP="00900A6D">
                                  <w:pPr>
                                    <w:widowControl w:val="0"/>
                                    <w:tabs>
                                      <w:tab w:val="left" w:pos="-720"/>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101" w:firstLine="183"/>
                                    <w:jc w:val="both"/>
                                    <w:rPr>
                                      <w:rFonts w:asciiTheme="minorBidi" w:hAnsiTheme="minorBidi"/>
                                      <w:b/>
                                      <w:sz w:val="36"/>
                                      <w:szCs w:val="36"/>
                                    </w:rPr>
                                  </w:pPr>
                                  <w:r w:rsidRPr="004121EE">
                                    <w:rPr>
                                      <w:rFonts w:asciiTheme="minorBidi" w:hAnsiTheme="minorBidi"/>
                                      <w:b/>
                                      <w:bCs/>
                                      <w:sz w:val="36"/>
                                      <w:szCs w:val="36"/>
                                    </w:rPr>
                                    <w:t>04 2492</w:t>
                                  </w:r>
                                </w:p>
                              </w:tc>
                            </w:tr>
                            <w:tr w:rsidR="00900A6D" w:rsidRPr="004121EE" w14:paraId="2ACB5CF3" w14:textId="77777777" w:rsidTr="007A67EA">
                              <w:trPr>
                                <w:trHeight w:val="411"/>
                              </w:trPr>
                              <w:tc>
                                <w:tcPr>
                                  <w:tcW w:w="1478" w:type="dxa"/>
                                </w:tcPr>
                                <w:p w14:paraId="5A59ADF9" w14:textId="77777777" w:rsidR="00900A6D" w:rsidRPr="004121EE" w:rsidRDefault="00900A6D" w:rsidP="008C4E96">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Theme="minorBidi" w:hAnsiTheme="minorBidi"/>
                                      <w:b/>
                                      <w:sz w:val="36"/>
                                      <w:szCs w:val="36"/>
                                    </w:rPr>
                                  </w:pPr>
                                  <w:r w:rsidRPr="004121EE">
                                    <w:rPr>
                                      <w:rFonts w:asciiTheme="minorBidi" w:hAnsiTheme="minorBidi"/>
                                      <w:b/>
                                      <w:bCs/>
                                      <w:sz w:val="36"/>
                                      <w:szCs w:val="36"/>
                                    </w:rPr>
                                    <w:t>42</w:t>
                                  </w:r>
                                </w:p>
                              </w:tc>
                              <w:tc>
                                <w:tcPr>
                                  <w:tcW w:w="1973" w:type="dxa"/>
                                </w:tcPr>
                                <w:p w14:paraId="3D741EB8" w14:textId="77777777" w:rsidR="00900A6D" w:rsidRPr="004121EE" w:rsidRDefault="00900A6D" w:rsidP="00522AFE">
                                  <w:pPr>
                                    <w:widowControl w:val="0"/>
                                    <w:tabs>
                                      <w:tab w:val="left" w:pos="-720"/>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102"/>
                                    <w:jc w:val="center"/>
                                    <w:rPr>
                                      <w:rFonts w:asciiTheme="minorBidi" w:hAnsiTheme="minorBidi"/>
                                      <w:b/>
                                      <w:sz w:val="36"/>
                                      <w:szCs w:val="36"/>
                                    </w:rPr>
                                  </w:pPr>
                                  <w:r w:rsidRPr="004121EE">
                                    <w:rPr>
                                      <w:rFonts w:asciiTheme="minorBidi" w:hAnsiTheme="minorBidi"/>
                                      <w:b/>
                                      <w:bCs/>
                                      <w:sz w:val="36"/>
                                      <w:szCs w:val="36"/>
                                    </w:rPr>
                                    <w:t>00 1628</w:t>
                                  </w:r>
                                </w:p>
                              </w:tc>
                            </w:tr>
                          </w:tbl>
                          <w:p w14:paraId="56B9A387" w14:textId="77777777" w:rsidR="00900A6D" w:rsidRDefault="00900A6D" w:rsidP="00900A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2207F" id="Tekstvak 18" o:spid="_x0000_s1032" type="#_x0000_t202" style="position:absolute;left:0;text-align:left;margin-left:174.8pt;margin-top:3.85pt;width:201.45pt;height:5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" stroked="f">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973"/>
                      </w:tblGrid>
                      <w:tr w:rsidR="00900A6D" w:rsidRPr="004121EE" w14:paraId="1E5C69F5" w14:textId="77777777" w:rsidTr="007A67EA">
                        <w:trPr>
                          <w:trHeight w:val="411"/>
                        </w:trPr>
                        <w:tc>
                          <w:tcPr>
                            <w:tcW w:w="1478" w:type="dxa"/>
                          </w:tcPr>
                          <w:p w14:paraId="6F708B15" w14:textId="77777777" w:rsidR="00900A6D" w:rsidRPr="004121EE" w:rsidRDefault="00900A6D" w:rsidP="008C4E96">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Theme="minorBidi" w:hAnsiTheme="minorBidi"/>
                                <w:b/>
                                <w:sz w:val="36"/>
                                <w:szCs w:val="36"/>
                              </w:rPr>
                            </w:pPr>
                            <w:r w:rsidRPr="004121EE">
                              <w:rPr>
                                <w:rFonts w:asciiTheme="minorBidi" w:hAnsiTheme="minorBidi"/>
                                <w:b/>
                                <w:bCs/>
                                <w:sz w:val="36"/>
                                <w:szCs w:val="36"/>
                              </w:rPr>
                              <w:t>100</w:t>
                            </w:r>
                          </w:p>
                        </w:tc>
                        <w:tc>
                          <w:tcPr>
                            <w:tcW w:w="1973" w:type="dxa"/>
                          </w:tcPr>
                          <w:p w14:paraId="4B949672" w14:textId="77777777" w:rsidR="00900A6D" w:rsidRPr="004121EE" w:rsidRDefault="00900A6D" w:rsidP="00900A6D">
                            <w:pPr>
                              <w:widowControl w:val="0"/>
                              <w:tabs>
                                <w:tab w:val="left" w:pos="-720"/>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101" w:firstLine="183"/>
                              <w:jc w:val="both"/>
                              <w:rPr>
                                <w:rFonts w:asciiTheme="minorBidi" w:hAnsiTheme="minorBidi"/>
                                <w:b/>
                                <w:sz w:val="36"/>
                                <w:szCs w:val="36"/>
                              </w:rPr>
                            </w:pPr>
                            <w:r w:rsidRPr="004121EE">
                              <w:rPr>
                                <w:rFonts w:asciiTheme="minorBidi" w:hAnsiTheme="minorBidi"/>
                                <w:b/>
                                <w:bCs/>
                                <w:sz w:val="36"/>
                                <w:szCs w:val="36"/>
                              </w:rPr>
                              <w:t>04 2492</w:t>
                            </w:r>
                          </w:p>
                        </w:tc>
                      </w:tr>
                      <w:tr w:rsidR="00900A6D" w:rsidRPr="004121EE" w14:paraId="2ACB5CF3" w14:textId="77777777" w:rsidTr="007A67EA">
                        <w:trPr>
                          <w:trHeight w:val="411"/>
                        </w:trPr>
                        <w:tc>
                          <w:tcPr>
                            <w:tcW w:w="1478" w:type="dxa"/>
                          </w:tcPr>
                          <w:p w14:paraId="5A59ADF9" w14:textId="77777777" w:rsidR="00900A6D" w:rsidRPr="004121EE" w:rsidRDefault="00900A6D" w:rsidP="008C4E96">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Theme="minorBidi" w:hAnsiTheme="minorBidi"/>
                                <w:b/>
                                <w:sz w:val="36"/>
                                <w:szCs w:val="36"/>
                              </w:rPr>
                            </w:pPr>
                            <w:r w:rsidRPr="004121EE">
                              <w:rPr>
                                <w:rFonts w:asciiTheme="minorBidi" w:hAnsiTheme="minorBidi"/>
                                <w:b/>
                                <w:bCs/>
                                <w:sz w:val="36"/>
                                <w:szCs w:val="36"/>
                              </w:rPr>
                              <w:t>42</w:t>
                            </w:r>
                          </w:p>
                        </w:tc>
                        <w:tc>
                          <w:tcPr>
                            <w:tcW w:w="1973" w:type="dxa"/>
                          </w:tcPr>
                          <w:p w14:paraId="3D741EB8" w14:textId="77777777" w:rsidR="00900A6D" w:rsidRPr="004121EE" w:rsidRDefault="00900A6D" w:rsidP="00522AFE">
                            <w:pPr>
                              <w:widowControl w:val="0"/>
                              <w:tabs>
                                <w:tab w:val="left" w:pos="-720"/>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102"/>
                              <w:jc w:val="center"/>
                              <w:rPr>
                                <w:rFonts w:asciiTheme="minorBidi" w:hAnsiTheme="minorBidi"/>
                                <w:b/>
                                <w:sz w:val="36"/>
                                <w:szCs w:val="36"/>
                              </w:rPr>
                            </w:pPr>
                            <w:r w:rsidRPr="004121EE">
                              <w:rPr>
                                <w:rFonts w:asciiTheme="minorBidi" w:hAnsiTheme="minorBidi"/>
                                <w:b/>
                                <w:bCs/>
                                <w:sz w:val="36"/>
                                <w:szCs w:val="36"/>
                              </w:rPr>
                              <w:t>00 1628</w:t>
                            </w:r>
                          </w:p>
                        </w:tc>
                      </w:tr>
                    </w:tbl>
                    <w:p w14:paraId="56B9A387" w14:textId="77777777" w:rsidR="00900A6D" w:rsidRDefault="00900A6D" w:rsidP="00900A6D"/>
                  </w:txbxContent>
                </v:textbox>
              </v:shape>
            </w:pict>
          </mc:Fallback>
        </mc:AlternateContent>
      </w:r>
      <w:r w:rsidRPr="004711AA">
        <w:rPr>
          <w:noProof/>
          <w:lang w:eastAsia="nl-NL"/>
        </w:rPr>
        <w:drawing>
          <wp:anchor distT="0" distB="0" distL="114300" distR="114300" simplePos="0" relativeHeight="251677696" behindDoc="0" locked="0" layoutInCell="1" allowOverlap="1" wp14:anchorId="6D27F85B" wp14:editId="002560A6">
            <wp:simplePos x="0" y="0"/>
            <wp:positionH relativeFrom="column">
              <wp:posOffset>725768</wp:posOffset>
            </wp:positionH>
            <wp:positionV relativeFrom="paragraph">
              <wp:posOffset>3810</wp:posOffset>
            </wp:positionV>
            <wp:extent cx="1564640" cy="826135"/>
            <wp:effectExtent l="0" t="0" r="0" b="0"/>
            <wp:wrapNone/>
            <wp:docPr id="621544957" name="Image 62154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4640" cy="826135"/>
                    </a:xfrm>
                    <a:prstGeom prst="rect">
                      <a:avLst/>
                    </a:prstGeom>
                    <a:noFill/>
                    <a:ln>
                      <a:noFill/>
                    </a:ln>
                  </pic:spPr>
                </pic:pic>
              </a:graphicData>
            </a:graphic>
            <wp14:sizeRelH relativeFrom="margin">
              <wp14:pctWidth>0</wp14:pctWidth>
            </wp14:sizeRelH>
          </wp:anchor>
        </w:drawing>
      </w:r>
      <w:r w:rsidRPr="004711AA">
        <w:rPr>
          <w:noProof/>
          <w:lang w:eastAsia="nl-NL"/>
        </w:rPr>
        <mc:AlternateContent>
          <mc:Choice Requires="wps">
            <w:drawing>
              <wp:anchor distT="0" distB="0" distL="114300" distR="114300" simplePos="0" relativeHeight="251676672" behindDoc="0" locked="0" layoutInCell="1" allowOverlap="1" wp14:anchorId="61468F3F" wp14:editId="376A62B5">
                <wp:simplePos x="0" y="0"/>
                <wp:positionH relativeFrom="column">
                  <wp:posOffset>4749800</wp:posOffset>
                </wp:positionH>
                <wp:positionV relativeFrom="paragraph">
                  <wp:posOffset>54610</wp:posOffset>
                </wp:positionV>
                <wp:extent cx="577850" cy="728345"/>
                <wp:effectExtent l="0" t="0" r="0" b="0"/>
                <wp:wrapNone/>
                <wp:docPr id="469886748"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3564C" w14:textId="77777777" w:rsidR="00900A6D" w:rsidRDefault="00900A6D" w:rsidP="00900A6D">
                            <w:r>
                              <w:rPr>
                                <w:noProof/>
                                <w:lang w:val="nl-NL" w:eastAsia="nl-NL"/>
                              </w:rPr>
                              <w:drawing>
                                <wp:inline distT="0" distB="0" distL="0" distR="0" wp14:anchorId="22D27CCD" wp14:editId="000A7A20">
                                  <wp:extent cx="393065" cy="657225"/>
                                  <wp:effectExtent l="0" t="0" r="6985" b="9525"/>
                                  <wp:docPr id="1008152527" name="Image 100815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065" cy="6572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68F3F" id="Tekstvak 17" o:spid="_x0000_s1033" type="#_x0000_t202" style="position:absolute;left:0;text-align:left;margin-left:374pt;margin-top:4.3pt;width:45.5pt;height:57.3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" stroked="f">
                <v:textbox>
                  <w:txbxContent>
                    <w:p w14:paraId="2AC3564C" w14:textId="77777777" w:rsidR="00900A6D" w:rsidRDefault="00900A6D" w:rsidP="00900A6D">
                      <w:r>
                        <w:rPr>
                          <w:noProof/>
                          <w:lang w:val="nl-NL" w:eastAsia="nl-NL"/>
                        </w:rPr>
                        <w:drawing>
                          <wp:inline distT="0" distB="0" distL="0" distR="0" wp14:anchorId="22D27CCD" wp14:editId="000A7A20">
                            <wp:extent cx="393065" cy="657225"/>
                            <wp:effectExtent l="0" t="0" r="6985" b="9525"/>
                            <wp:docPr id="1008152527" name="Image 100815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065" cy="657225"/>
                                    </a:xfrm>
                                    <a:prstGeom prst="rect">
                                      <a:avLst/>
                                    </a:prstGeom>
                                    <a:noFill/>
                                    <a:ln>
                                      <a:noFill/>
                                    </a:ln>
                                  </pic:spPr>
                                </pic:pic>
                              </a:graphicData>
                            </a:graphic>
                          </wp:inline>
                        </w:drawing>
                      </w:r>
                    </w:p>
                  </w:txbxContent>
                </v:textbox>
              </v:shape>
            </w:pict>
          </mc:Fallback>
        </mc:AlternateContent>
      </w:r>
    </w:p>
    <w:p w14:paraId="74336469" w14:textId="77777777" w:rsidR="00900A6D" w:rsidRDefault="00900A6D" w:rsidP="00304EA7">
      <w:pPr>
        <w:pStyle w:val="SingleTxtG"/>
        <w:rPr>
          <w:lang w:val="fr-FR"/>
        </w:rPr>
      </w:pPr>
    </w:p>
    <w:p w14:paraId="7F07F5E0" w14:textId="77777777" w:rsidR="00900A6D" w:rsidRPr="004F5B76" w:rsidRDefault="00900A6D" w:rsidP="00304EA7">
      <w:pPr>
        <w:pStyle w:val="SingleTxtG"/>
        <w:rPr>
          <w:lang w:val="fr-FR"/>
        </w:rPr>
      </w:pPr>
    </w:p>
    <w:p w14:paraId="6E6E5844" w14:textId="77777777" w:rsidR="00304EA7" w:rsidRPr="004F5B76" w:rsidRDefault="00304EA7" w:rsidP="00304EA7">
      <w:pPr>
        <w:tabs>
          <w:tab w:val="left" w:pos="-720"/>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1134"/>
        <w:rPr>
          <w:lang w:val="fr-FR"/>
        </w:rPr>
      </w:pPr>
    </w:p>
    <w:p w14:paraId="1A3D155A" w14:textId="7447232A" w:rsidR="00304EA7" w:rsidRDefault="00304EA7" w:rsidP="00900A6D">
      <w:pPr>
        <w:pStyle w:val="SingleTxtG"/>
        <w:rPr>
          <w:lang w:val="fr-FR"/>
        </w:rPr>
      </w:pPr>
    </w:p>
    <w:p w14:paraId="3660BD4F" w14:textId="77777777" w:rsidR="00304EA7" w:rsidRPr="004F5B76" w:rsidRDefault="00304EA7" w:rsidP="007A67EA">
      <w:pPr>
        <w:pStyle w:val="SingleTxtG"/>
        <w:jc w:val="right"/>
        <w:rPr>
          <w:lang w:val="fr-FR"/>
        </w:rPr>
      </w:pPr>
      <w:r>
        <w:rPr>
          <w:lang w:val="fr-FR"/>
        </w:rPr>
        <w:t>a = 8 mm min.</w:t>
      </w:r>
    </w:p>
    <w:p w14:paraId="384B56FE" w14:textId="2B83B53C" w:rsidR="00304EA7" w:rsidRPr="004F5B76" w:rsidRDefault="00304EA7" w:rsidP="007A67EA">
      <w:pPr>
        <w:pStyle w:val="SingleTxtG"/>
        <w:ind w:firstLine="567"/>
        <w:rPr>
          <w:lang w:val="fr-FR"/>
        </w:rPr>
      </w:pPr>
      <w:r>
        <w:rPr>
          <w:lang w:val="fr-FR"/>
        </w:rPr>
        <w:t>La marque d</w:t>
      </w:r>
      <w:r w:rsidR="00A5386E">
        <w:rPr>
          <w:lang w:val="fr-FR"/>
        </w:rPr>
        <w:t>’</w:t>
      </w:r>
      <w:r>
        <w:rPr>
          <w:lang w:val="fr-FR"/>
        </w:rPr>
        <w:t>homologation ci-dessus, apposée sur un véhicule, indique que le véhicule routier concerné a été homologué aux Pays-Bas (E</w:t>
      </w:r>
      <w:r w:rsidR="007A67EA">
        <w:rPr>
          <w:lang w:val="fr-FR"/>
        </w:rPr>
        <w:t> </w:t>
      </w:r>
      <w:r>
        <w:rPr>
          <w:lang w:val="fr-FR"/>
        </w:rPr>
        <w:t xml:space="preserve">4) conformément aux Règlements </w:t>
      </w:r>
      <w:r w:rsidR="00900A6D" w:rsidRPr="00900A6D">
        <w:rPr>
          <w:rFonts w:eastAsia="MS Mincho"/>
          <w:szCs w:val="22"/>
          <w:lang w:val="fr-FR"/>
        </w:rPr>
        <w:t>n</w:t>
      </w:r>
      <w:r w:rsidR="00900A6D" w:rsidRPr="00900A6D">
        <w:rPr>
          <w:rFonts w:eastAsia="MS Mincho"/>
          <w:szCs w:val="22"/>
          <w:vertAlign w:val="superscript"/>
          <w:lang w:val="fr-FR"/>
        </w:rPr>
        <w:t>o</w:t>
      </w:r>
      <w:r w:rsidR="00900A6D">
        <w:rPr>
          <w:rFonts w:eastAsia="MS Mincho"/>
          <w:szCs w:val="22"/>
          <w:vertAlign w:val="superscript"/>
          <w:lang w:val="fr-FR"/>
        </w:rPr>
        <w:t>s</w:t>
      </w:r>
      <w:r w:rsidR="00900A6D">
        <w:rPr>
          <w:lang w:val="fr-FR"/>
        </w:rPr>
        <w:t> </w:t>
      </w:r>
      <w:r>
        <w:rPr>
          <w:lang w:val="fr-FR"/>
        </w:rPr>
        <w:t>100 et 42</w:t>
      </w:r>
      <w:r>
        <w:rPr>
          <w:rStyle w:val="Appelnotedebasdep"/>
          <w:lang w:val="fr-FR"/>
        </w:rPr>
        <w:footnoteReference w:id="3"/>
      </w:r>
      <w:r>
        <w:rPr>
          <w:lang w:val="fr-FR"/>
        </w:rPr>
        <w:t>. Les deux premiers chiffres des numéros d</w:t>
      </w:r>
      <w:r w:rsidR="00A5386E">
        <w:rPr>
          <w:lang w:val="fr-FR"/>
        </w:rPr>
        <w:t>’</w:t>
      </w:r>
      <w:r>
        <w:rPr>
          <w:lang w:val="fr-FR"/>
        </w:rPr>
        <w:t>homologation indiquent qu</w:t>
      </w:r>
      <w:r w:rsidR="00A5386E">
        <w:rPr>
          <w:lang w:val="fr-FR"/>
        </w:rPr>
        <w:t>’</w:t>
      </w:r>
      <w:r>
        <w:rPr>
          <w:lang w:val="fr-FR"/>
        </w:rPr>
        <w:t xml:space="preserve">à la date où les homologations respectives ont été accordées, le Règlement </w:t>
      </w:r>
      <w:r w:rsidR="007A67EA" w:rsidRPr="007A67EA">
        <w:rPr>
          <w:rFonts w:eastAsia="MS Mincho"/>
          <w:szCs w:val="22"/>
          <w:lang w:val="fr-FR"/>
        </w:rPr>
        <w:t>n</w:t>
      </w:r>
      <w:r w:rsidR="007A67EA" w:rsidRPr="007A67EA">
        <w:rPr>
          <w:rFonts w:eastAsia="MS Mincho"/>
          <w:szCs w:val="22"/>
          <w:vertAlign w:val="superscript"/>
          <w:lang w:val="fr-FR"/>
        </w:rPr>
        <w:t>o</w:t>
      </w:r>
      <w:r w:rsidR="007A67EA">
        <w:rPr>
          <w:lang w:val="fr-FR"/>
        </w:rPr>
        <w:t> </w:t>
      </w:r>
      <w:r>
        <w:rPr>
          <w:lang w:val="fr-FR"/>
        </w:rPr>
        <w:t xml:space="preserve">100 était modifié par la série </w:t>
      </w:r>
      <w:r>
        <w:rPr>
          <w:b/>
          <w:bCs/>
          <w:lang w:val="fr-FR"/>
        </w:rPr>
        <w:t>04</w:t>
      </w:r>
      <w:r>
        <w:rPr>
          <w:lang w:val="fr-FR"/>
        </w:rPr>
        <w:t xml:space="preserve"> d</w:t>
      </w:r>
      <w:r w:rsidR="00A5386E">
        <w:rPr>
          <w:lang w:val="fr-FR"/>
        </w:rPr>
        <w:t>’</w:t>
      </w:r>
      <w:r>
        <w:rPr>
          <w:lang w:val="fr-FR"/>
        </w:rPr>
        <w:t xml:space="preserve">amendements et le Règlement </w:t>
      </w:r>
      <w:r w:rsidR="00900A6D" w:rsidRPr="00900A6D">
        <w:rPr>
          <w:rFonts w:eastAsia="MS Mincho"/>
          <w:szCs w:val="22"/>
          <w:lang w:val="fr-FR"/>
        </w:rPr>
        <w:t>n</w:t>
      </w:r>
      <w:r w:rsidR="00900A6D" w:rsidRPr="00900A6D">
        <w:rPr>
          <w:rFonts w:eastAsia="MS Mincho"/>
          <w:szCs w:val="22"/>
          <w:vertAlign w:val="superscript"/>
          <w:lang w:val="fr-FR"/>
        </w:rPr>
        <w:t>o</w:t>
      </w:r>
      <w:r w:rsidR="00900A6D">
        <w:rPr>
          <w:lang w:val="fr-FR"/>
        </w:rPr>
        <w:t> </w:t>
      </w:r>
      <w:r>
        <w:rPr>
          <w:lang w:val="fr-FR"/>
        </w:rPr>
        <w:t>42 était sous sa forme initiale. »</w:t>
      </w:r>
      <w:r w:rsidR="00900A6D">
        <w:rPr>
          <w:lang w:val="fr-FR"/>
        </w:rPr>
        <w:t>.</w:t>
      </w:r>
    </w:p>
    <w:p w14:paraId="3D551934" w14:textId="77777777" w:rsidR="00304EA7" w:rsidRPr="004F5B76" w:rsidRDefault="00304EA7" w:rsidP="00F9619C">
      <w:pPr>
        <w:keepNext/>
        <w:ind w:left="2268" w:hanging="1134"/>
        <w:rPr>
          <w:i/>
          <w:lang w:val="fr-FR"/>
        </w:rPr>
      </w:pPr>
      <w:r>
        <w:rPr>
          <w:i/>
          <w:iCs/>
          <w:lang w:val="fr-FR"/>
        </w:rPr>
        <w:lastRenderedPageBreak/>
        <w:t>Ajouter la nouvelle annexe 10</w:t>
      </w:r>
      <w:r>
        <w:rPr>
          <w:lang w:val="fr-FR"/>
        </w:rPr>
        <w:t>, libellée comme suit :</w:t>
      </w:r>
    </w:p>
    <w:p w14:paraId="04B4ABF2" w14:textId="77777777" w:rsidR="00304EA7" w:rsidRPr="004F5B76" w:rsidRDefault="00304EA7" w:rsidP="00900A6D">
      <w:pPr>
        <w:pStyle w:val="HChG"/>
        <w:rPr>
          <w:lang w:val="fr-FR"/>
        </w:rPr>
      </w:pPr>
      <w:r w:rsidRPr="00900A6D">
        <w:rPr>
          <w:b w:val="0"/>
          <w:bCs/>
          <w:sz w:val="20"/>
          <w:lang w:val="fr-FR"/>
        </w:rPr>
        <w:t xml:space="preserve">« </w:t>
      </w:r>
      <w:r>
        <w:rPr>
          <w:lang w:val="fr-FR"/>
        </w:rPr>
        <w:t>Annexe 10</w:t>
      </w:r>
    </w:p>
    <w:p w14:paraId="22352467" w14:textId="34A7C0EA" w:rsidR="00304EA7" w:rsidRPr="004F5B76" w:rsidRDefault="00304EA7" w:rsidP="00900A6D">
      <w:pPr>
        <w:pStyle w:val="HChG"/>
        <w:rPr>
          <w:lang w:val="fr-FR"/>
        </w:rPr>
      </w:pPr>
      <w:r>
        <w:rPr>
          <w:lang w:val="fr-FR"/>
        </w:rPr>
        <w:tab/>
      </w:r>
      <w:r>
        <w:rPr>
          <w:lang w:val="fr-FR"/>
        </w:rPr>
        <w:tab/>
        <w:t>Dispositions relatives à l</w:t>
      </w:r>
      <w:r w:rsidR="00A5386E">
        <w:rPr>
          <w:lang w:val="fr-FR"/>
        </w:rPr>
        <w:t>’</w:t>
      </w:r>
      <w:r>
        <w:rPr>
          <w:lang w:val="fr-FR"/>
        </w:rPr>
        <w:t>étiquette à apposer sur les véhicules des catégories M</w:t>
      </w:r>
      <w:r>
        <w:rPr>
          <w:vertAlign w:val="subscript"/>
          <w:lang w:val="fr-FR"/>
        </w:rPr>
        <w:t>2/</w:t>
      </w:r>
      <w:r>
        <w:rPr>
          <w:lang w:val="fr-FR"/>
        </w:rPr>
        <w:t>N</w:t>
      </w:r>
      <w:r>
        <w:rPr>
          <w:vertAlign w:val="subscript"/>
          <w:lang w:val="fr-FR"/>
        </w:rPr>
        <w:t>2</w:t>
      </w:r>
      <w:r>
        <w:rPr>
          <w:lang w:val="fr-FR"/>
        </w:rPr>
        <w:t xml:space="preserve"> et M</w:t>
      </w:r>
      <w:r>
        <w:rPr>
          <w:vertAlign w:val="subscript"/>
          <w:lang w:val="fr-FR"/>
        </w:rPr>
        <w:t>3</w:t>
      </w:r>
      <w:r>
        <w:rPr>
          <w:lang w:val="fr-FR"/>
        </w:rPr>
        <w:t>/N</w:t>
      </w:r>
      <w:r>
        <w:rPr>
          <w:vertAlign w:val="subscript"/>
          <w:lang w:val="fr-FR"/>
        </w:rPr>
        <w:t>3</w:t>
      </w:r>
      <w:r>
        <w:rPr>
          <w:lang w:val="fr-FR"/>
        </w:rPr>
        <w:t xml:space="preserve"> équipés d</w:t>
      </w:r>
      <w:r w:rsidR="00A5386E">
        <w:rPr>
          <w:lang w:val="fr-FR"/>
        </w:rPr>
        <w:t>’</w:t>
      </w:r>
      <w:r>
        <w:rPr>
          <w:lang w:val="fr-FR"/>
        </w:rPr>
        <w:t xml:space="preserve">une chaîne </w:t>
      </w:r>
      <w:r w:rsidR="00900A6D">
        <w:rPr>
          <w:lang w:val="fr-FR"/>
        </w:rPr>
        <w:br/>
      </w:r>
      <w:r>
        <w:rPr>
          <w:lang w:val="fr-FR"/>
        </w:rPr>
        <w:t>de traction électrique</w:t>
      </w:r>
      <w:bookmarkEnd w:id="0"/>
    </w:p>
    <w:p w14:paraId="6BC253D0" w14:textId="219B054F" w:rsidR="00304EA7" w:rsidRPr="004F5B76" w:rsidRDefault="00304EA7" w:rsidP="00900A6D">
      <w:pPr>
        <w:pStyle w:val="SingleTxtG"/>
        <w:rPr>
          <w:lang w:val="fr-FR"/>
        </w:rPr>
      </w:pPr>
      <w:r>
        <w:rPr>
          <w:lang w:val="fr-FR"/>
        </w:rPr>
        <w:t>(Par</w:t>
      </w:r>
      <w:r w:rsidR="00900A6D">
        <w:rPr>
          <w:lang w:val="fr-FR"/>
        </w:rPr>
        <w:t>. </w:t>
      </w:r>
      <w:r>
        <w:rPr>
          <w:lang w:val="fr-FR"/>
        </w:rPr>
        <w:t>5.5.1 à 5.5.3. du présent Règlement)</w:t>
      </w:r>
    </w:p>
    <w:p w14:paraId="07DF6179" w14:textId="77777777" w:rsidR="00304EA7" w:rsidRPr="00F9619C" w:rsidRDefault="00304EA7" w:rsidP="00F9619C">
      <w:pPr>
        <w:spacing w:after="240" w:line="240" w:lineRule="auto"/>
        <w:ind w:left="1134" w:right="1134"/>
        <w:rPr>
          <w:iCs/>
        </w:rPr>
      </w:pPr>
      <w:r>
        <w:rPr>
          <w:noProof/>
          <w:lang w:val="nl-NL" w:eastAsia="nl-NL"/>
        </w:rPr>
        <w:drawing>
          <wp:inline distT="0" distB="0" distL="0" distR="0" wp14:anchorId="08ECA9CE" wp14:editId="7A3AEB8B">
            <wp:extent cx="3707463" cy="2700000"/>
            <wp:effectExtent l="0" t="0" r="7620" b="5715"/>
            <wp:docPr id="12" name="Afbeelding 12" descr="Une image contenant Panneau de signalisation, signe,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Une image contenant Panneau de signalisation, signe, symbole, Police&#10;&#10;Description générée automatiquement"/>
                    <pic:cNvPicPr/>
                  </pic:nvPicPr>
                  <pic:blipFill>
                    <a:blip r:embed="rId11"/>
                    <a:stretch>
                      <a:fillRect/>
                    </a:stretch>
                  </pic:blipFill>
                  <pic:spPr>
                    <a:xfrm>
                      <a:off x="0" y="0"/>
                      <a:ext cx="3707463" cy="2700000"/>
                    </a:xfrm>
                    <a:prstGeom prst="rect">
                      <a:avLst/>
                    </a:prstGeom>
                  </pic:spPr>
                </pic:pic>
              </a:graphicData>
            </a:graphic>
          </wp:inline>
        </w:drawing>
      </w:r>
    </w:p>
    <w:p w14:paraId="1FAB2458" w14:textId="76610810" w:rsidR="00304EA7" w:rsidRPr="004F5B76" w:rsidRDefault="00304EA7" w:rsidP="00304EA7">
      <w:pPr>
        <w:spacing w:before="120" w:after="120" w:line="240" w:lineRule="auto"/>
        <w:ind w:left="1134" w:right="1134"/>
        <w:jc w:val="both"/>
        <w:rPr>
          <w:lang w:val="fr-FR"/>
        </w:rPr>
      </w:pPr>
      <w:r>
        <w:rPr>
          <w:lang w:val="fr-FR"/>
        </w:rPr>
        <w:t>L</w:t>
      </w:r>
      <w:r w:rsidR="00A5386E">
        <w:rPr>
          <w:lang w:val="fr-FR"/>
        </w:rPr>
        <w:t>’</w:t>
      </w:r>
      <w:r>
        <w:rPr>
          <w:lang w:val="fr-FR"/>
        </w:rPr>
        <w:t>étiquette doit résister aux intempéries.</w:t>
      </w:r>
    </w:p>
    <w:p w14:paraId="039DFF17" w14:textId="45FA9FF6" w:rsidR="00304EA7" w:rsidRPr="004F5B76" w:rsidRDefault="00304EA7" w:rsidP="00304EA7">
      <w:pPr>
        <w:spacing w:before="120" w:after="120" w:line="240" w:lineRule="auto"/>
        <w:ind w:left="1134" w:right="1134"/>
        <w:jc w:val="both"/>
        <w:rPr>
          <w:lang w:val="fr-FR"/>
        </w:rPr>
      </w:pPr>
      <w:r>
        <w:rPr>
          <w:lang w:val="fr-FR"/>
        </w:rPr>
        <w:t>La zone centrale indique la source d</w:t>
      </w:r>
      <w:r w:rsidR="00A5386E">
        <w:rPr>
          <w:lang w:val="fr-FR"/>
        </w:rPr>
        <w:t>’</w:t>
      </w:r>
      <w:r>
        <w:rPr>
          <w:lang w:val="fr-FR"/>
        </w:rPr>
        <w:t>énergie première.</w:t>
      </w:r>
    </w:p>
    <w:p w14:paraId="5F4FD4E5" w14:textId="7797B380" w:rsidR="00304EA7" w:rsidRPr="004F5B76" w:rsidRDefault="00304EA7" w:rsidP="00304EA7">
      <w:pPr>
        <w:tabs>
          <w:tab w:val="left" w:pos="3402"/>
        </w:tabs>
        <w:spacing w:after="120" w:line="240" w:lineRule="auto"/>
        <w:ind w:left="3402" w:right="1134" w:hanging="2268"/>
        <w:jc w:val="both"/>
        <w:rPr>
          <w:lang w:val="fr-FR"/>
        </w:rPr>
      </w:pPr>
      <w:r>
        <w:rPr>
          <w:lang w:val="fr-FR"/>
        </w:rPr>
        <w:t>La zone supérieure indique la source d</w:t>
      </w:r>
      <w:r w:rsidR="00A5386E">
        <w:rPr>
          <w:lang w:val="fr-FR"/>
        </w:rPr>
        <w:t>’</w:t>
      </w:r>
      <w:r>
        <w:rPr>
          <w:lang w:val="fr-FR"/>
        </w:rPr>
        <w:t>énergie secondaire.</w:t>
      </w:r>
    </w:p>
    <w:p w14:paraId="14A7303B" w14:textId="77777777" w:rsidR="00304EA7" w:rsidRPr="004F5B76" w:rsidRDefault="00304EA7" w:rsidP="00304EA7">
      <w:pPr>
        <w:tabs>
          <w:tab w:val="left" w:pos="3402"/>
        </w:tabs>
        <w:spacing w:after="120" w:line="240" w:lineRule="auto"/>
        <w:ind w:left="3402" w:right="1134" w:hanging="2268"/>
        <w:jc w:val="both"/>
        <w:rPr>
          <w:lang w:val="fr-FR"/>
        </w:rPr>
      </w:pPr>
      <w:r>
        <w:rPr>
          <w:lang w:val="fr-FR"/>
        </w:rPr>
        <w:t>Le schéma et les symboles doivent être conformes à la norme ISO 17840-4:2018.</w:t>
      </w:r>
    </w:p>
    <w:p w14:paraId="6CF21582" w14:textId="2DD278DE" w:rsidR="00304EA7" w:rsidRPr="004F5B76" w:rsidRDefault="00304EA7" w:rsidP="00490A3D">
      <w:pPr>
        <w:pStyle w:val="SingleTxtG"/>
        <w:rPr>
          <w:lang w:val="fr-FR"/>
        </w:rPr>
      </w:pPr>
      <w:r>
        <w:rPr>
          <w:lang w:val="fr-FR"/>
        </w:rPr>
        <w:t>Les couleurs et les dimensions de l</w:t>
      </w:r>
      <w:r w:rsidR="00A5386E">
        <w:rPr>
          <w:lang w:val="fr-FR"/>
        </w:rPr>
        <w:t>’</w:t>
      </w:r>
      <w:r>
        <w:rPr>
          <w:lang w:val="fr-FR"/>
        </w:rPr>
        <w:t>étiquette doivent être conformes aux prescriptions suivantes :</w:t>
      </w:r>
    </w:p>
    <w:p w14:paraId="1E300068" w14:textId="77777777" w:rsidR="00304EA7" w:rsidRPr="004F5B76" w:rsidRDefault="00304EA7" w:rsidP="00304EA7">
      <w:pPr>
        <w:tabs>
          <w:tab w:val="left" w:pos="3402"/>
        </w:tabs>
        <w:spacing w:after="120" w:line="240" w:lineRule="auto"/>
        <w:ind w:left="3402" w:right="1134" w:hanging="2268"/>
        <w:jc w:val="both"/>
        <w:rPr>
          <w:lang w:val="fr-FR"/>
        </w:rPr>
      </w:pPr>
      <w:r>
        <w:rPr>
          <w:lang w:val="fr-FR"/>
        </w:rPr>
        <w:t>Couleurs :</w:t>
      </w:r>
    </w:p>
    <w:p w14:paraId="328C6A14" w14:textId="77777777" w:rsidR="00304EA7" w:rsidRPr="004F5B76" w:rsidRDefault="00304EA7" w:rsidP="00304EA7">
      <w:pPr>
        <w:tabs>
          <w:tab w:val="left" w:pos="3969"/>
        </w:tabs>
        <w:spacing w:after="120" w:line="240" w:lineRule="auto"/>
        <w:ind w:left="1701" w:right="1134"/>
        <w:jc w:val="both"/>
        <w:rPr>
          <w:lang w:val="fr-FR"/>
        </w:rPr>
      </w:pPr>
      <w:r>
        <w:rPr>
          <w:lang w:val="fr-FR"/>
        </w:rPr>
        <w:t>Fond :</w:t>
      </w:r>
      <w:r>
        <w:rPr>
          <w:lang w:val="fr-FR"/>
        </w:rPr>
        <w:tab/>
        <w:t>orange, code RVB 255, 165, 0</w:t>
      </w:r>
    </w:p>
    <w:p w14:paraId="4FCE4201" w14:textId="77777777" w:rsidR="00304EA7" w:rsidRPr="004F5B76" w:rsidRDefault="00304EA7" w:rsidP="00304EA7">
      <w:pPr>
        <w:tabs>
          <w:tab w:val="left" w:pos="3969"/>
        </w:tabs>
        <w:spacing w:after="120" w:line="240" w:lineRule="auto"/>
        <w:ind w:left="1701" w:right="1134"/>
        <w:jc w:val="both"/>
        <w:rPr>
          <w:lang w:val="fr-FR"/>
        </w:rPr>
      </w:pPr>
      <w:r>
        <w:rPr>
          <w:lang w:val="fr-FR"/>
        </w:rPr>
        <w:t>Bordure :</w:t>
      </w:r>
      <w:r>
        <w:rPr>
          <w:lang w:val="fr-FR"/>
        </w:rPr>
        <w:tab/>
        <w:t>blanc réfléchissant</w:t>
      </w:r>
    </w:p>
    <w:p w14:paraId="36C6F7CE" w14:textId="77777777" w:rsidR="00304EA7" w:rsidRPr="004F5B76" w:rsidRDefault="00304EA7" w:rsidP="00304EA7">
      <w:pPr>
        <w:tabs>
          <w:tab w:val="left" w:pos="3969"/>
        </w:tabs>
        <w:spacing w:after="120" w:line="240" w:lineRule="auto"/>
        <w:ind w:left="1701" w:right="1134"/>
        <w:jc w:val="both"/>
        <w:rPr>
          <w:lang w:val="fr-FR"/>
        </w:rPr>
      </w:pPr>
      <w:r>
        <w:rPr>
          <w:lang w:val="fr-FR"/>
        </w:rPr>
        <w:t>Lettres :</w:t>
      </w:r>
      <w:r>
        <w:rPr>
          <w:lang w:val="fr-FR"/>
        </w:rPr>
        <w:tab/>
        <w:t>blanc réfléchissant</w:t>
      </w:r>
    </w:p>
    <w:p w14:paraId="0A1D72B4" w14:textId="77777777" w:rsidR="00304EA7" w:rsidRPr="004F5B76" w:rsidRDefault="00304EA7" w:rsidP="00304EA7">
      <w:pPr>
        <w:tabs>
          <w:tab w:val="left" w:pos="3402"/>
        </w:tabs>
        <w:spacing w:after="120" w:line="240" w:lineRule="auto"/>
        <w:ind w:left="3402" w:right="1134" w:hanging="2268"/>
        <w:jc w:val="both"/>
        <w:rPr>
          <w:lang w:val="fr-FR"/>
        </w:rPr>
      </w:pPr>
      <w:r>
        <w:rPr>
          <w:lang w:val="fr-FR"/>
        </w:rPr>
        <w:t>Dimensions :</w:t>
      </w:r>
    </w:p>
    <w:p w14:paraId="26C62734" w14:textId="3601E40B" w:rsidR="00304EA7" w:rsidRPr="004F5B76" w:rsidRDefault="00304EA7" w:rsidP="00304EA7">
      <w:pPr>
        <w:tabs>
          <w:tab w:val="left" w:pos="3969"/>
        </w:tabs>
        <w:spacing w:after="120" w:line="240" w:lineRule="auto"/>
        <w:ind w:left="1701" w:right="1134"/>
        <w:jc w:val="both"/>
        <w:rPr>
          <w:lang w:val="fr-FR"/>
        </w:rPr>
      </w:pPr>
      <w:r>
        <w:rPr>
          <w:lang w:val="fr-FR"/>
        </w:rPr>
        <w:t>Largeur de l</w:t>
      </w:r>
      <w:r w:rsidR="00A5386E">
        <w:rPr>
          <w:lang w:val="fr-FR"/>
        </w:rPr>
        <w:t>’</w:t>
      </w:r>
      <w:r>
        <w:rPr>
          <w:lang w:val="fr-FR"/>
        </w:rPr>
        <w:t>étiquette :</w:t>
      </w:r>
      <w:r>
        <w:rPr>
          <w:lang w:val="fr-FR"/>
        </w:rPr>
        <w:tab/>
        <w:t>≥110 mm</w:t>
      </w:r>
    </w:p>
    <w:p w14:paraId="1ADAB821" w14:textId="2D3A7F47" w:rsidR="00304EA7" w:rsidRPr="004F5B76" w:rsidRDefault="00304EA7" w:rsidP="00304EA7">
      <w:pPr>
        <w:tabs>
          <w:tab w:val="left" w:pos="3969"/>
        </w:tabs>
        <w:spacing w:after="120" w:line="240" w:lineRule="auto"/>
        <w:ind w:left="1701" w:right="1134"/>
        <w:jc w:val="both"/>
        <w:rPr>
          <w:lang w:val="fr-FR"/>
        </w:rPr>
      </w:pPr>
      <w:r>
        <w:rPr>
          <w:lang w:val="fr-FR"/>
        </w:rPr>
        <w:t>Hauteur de l</w:t>
      </w:r>
      <w:r w:rsidR="00A5386E">
        <w:rPr>
          <w:lang w:val="fr-FR"/>
        </w:rPr>
        <w:t>’</w:t>
      </w:r>
      <w:r>
        <w:rPr>
          <w:lang w:val="fr-FR"/>
        </w:rPr>
        <w:t xml:space="preserve">étiquette : </w:t>
      </w:r>
      <w:r>
        <w:rPr>
          <w:lang w:val="fr-FR"/>
        </w:rPr>
        <w:tab/>
        <w:t>≥80 mm</w:t>
      </w:r>
      <w:r w:rsidR="007628C9">
        <w:rPr>
          <w:lang w:val="fr-FR"/>
        </w:rPr>
        <w:t> </w:t>
      </w:r>
      <w:r>
        <w:rPr>
          <w:lang w:val="fr-FR"/>
        </w:rPr>
        <w:t>».</w:t>
      </w:r>
    </w:p>
    <w:p w14:paraId="53D69358" w14:textId="21FD3B66" w:rsidR="00304EA7" w:rsidRPr="00341F66" w:rsidRDefault="00490A3D" w:rsidP="00490A3D">
      <w:pPr>
        <w:pStyle w:val="HChG"/>
        <w:rPr>
          <w:snapToGrid w:val="0"/>
        </w:rPr>
      </w:pPr>
      <w:r>
        <w:rPr>
          <w:lang w:val="fr-FR"/>
        </w:rPr>
        <w:tab/>
      </w:r>
      <w:r w:rsidR="00304EA7">
        <w:rPr>
          <w:lang w:val="fr-FR"/>
        </w:rPr>
        <w:t>II.</w:t>
      </w:r>
      <w:r w:rsidR="00304EA7">
        <w:rPr>
          <w:lang w:val="fr-FR"/>
        </w:rPr>
        <w:tab/>
      </w:r>
      <w:r w:rsidR="00304EA7">
        <w:rPr>
          <w:lang w:val="fr-FR"/>
        </w:rPr>
        <w:tab/>
        <w:t>Justification</w:t>
      </w:r>
    </w:p>
    <w:p w14:paraId="69DF6A23" w14:textId="5AAB1C56" w:rsidR="00304EA7" w:rsidRPr="004F5B76" w:rsidRDefault="00490A3D" w:rsidP="00490A3D">
      <w:pPr>
        <w:pStyle w:val="SingleTxtG"/>
        <w:rPr>
          <w:lang w:val="fr-FR"/>
        </w:rPr>
      </w:pPr>
      <w:r>
        <w:rPr>
          <w:lang w:val="fr-FR"/>
        </w:rPr>
        <w:t>1.</w:t>
      </w:r>
      <w:r>
        <w:rPr>
          <w:lang w:val="fr-FR"/>
        </w:rPr>
        <w:tab/>
      </w:r>
      <w:r w:rsidR="00304EA7">
        <w:rPr>
          <w:lang w:val="fr-FR"/>
        </w:rPr>
        <w:t>Des dispositions relatives à l</w:t>
      </w:r>
      <w:r w:rsidR="00A5386E">
        <w:rPr>
          <w:lang w:val="fr-FR"/>
        </w:rPr>
        <w:t>’</w:t>
      </w:r>
      <w:r w:rsidR="00304EA7">
        <w:rPr>
          <w:lang w:val="fr-FR"/>
        </w:rPr>
        <w:t>identification des carburants gazeux et liquéfiés ont été établies dans les Règlements ONU pour les véhicules des catégories M</w:t>
      </w:r>
      <w:r w:rsidR="00304EA7" w:rsidRPr="00E6775C">
        <w:rPr>
          <w:vertAlign w:val="subscript"/>
          <w:lang w:val="fr-FR"/>
        </w:rPr>
        <w:t>2</w:t>
      </w:r>
      <w:r w:rsidR="00304EA7">
        <w:rPr>
          <w:lang w:val="fr-FR"/>
        </w:rPr>
        <w:t>/N</w:t>
      </w:r>
      <w:r w:rsidR="00304EA7" w:rsidRPr="00E6775C">
        <w:rPr>
          <w:vertAlign w:val="subscript"/>
          <w:lang w:val="fr-FR"/>
        </w:rPr>
        <w:t>2</w:t>
      </w:r>
      <w:r w:rsidR="00304EA7">
        <w:rPr>
          <w:lang w:val="fr-FR"/>
        </w:rPr>
        <w:t xml:space="preserve"> et M</w:t>
      </w:r>
      <w:r w:rsidR="00304EA7" w:rsidRPr="00E6775C">
        <w:rPr>
          <w:vertAlign w:val="subscript"/>
          <w:lang w:val="fr-FR"/>
        </w:rPr>
        <w:t>3</w:t>
      </w:r>
      <w:r w:rsidR="00304EA7">
        <w:rPr>
          <w:lang w:val="fr-FR"/>
        </w:rPr>
        <w:t>/N</w:t>
      </w:r>
      <w:r w:rsidR="00304EA7" w:rsidRPr="00E6775C">
        <w:rPr>
          <w:vertAlign w:val="subscript"/>
          <w:lang w:val="fr-FR"/>
        </w:rPr>
        <w:t>3</w:t>
      </w:r>
      <w:r w:rsidR="00304EA7">
        <w:rPr>
          <w:lang w:val="fr-FR"/>
        </w:rPr>
        <w:t xml:space="preserve"> fonctionnant au GPL (Règlement ONU </w:t>
      </w:r>
      <w:r w:rsidRPr="00490A3D">
        <w:rPr>
          <w:rFonts w:eastAsia="MS Mincho"/>
          <w:szCs w:val="22"/>
          <w:lang w:val="fr-FR"/>
        </w:rPr>
        <w:t>n</w:t>
      </w:r>
      <w:r w:rsidRPr="00490A3D">
        <w:rPr>
          <w:rFonts w:eastAsia="MS Mincho"/>
          <w:szCs w:val="22"/>
          <w:vertAlign w:val="superscript"/>
          <w:lang w:val="fr-FR"/>
        </w:rPr>
        <w:t>o</w:t>
      </w:r>
      <w:r>
        <w:rPr>
          <w:lang w:val="fr-FR"/>
        </w:rPr>
        <w:t> </w:t>
      </w:r>
      <w:r w:rsidR="00304EA7">
        <w:rPr>
          <w:lang w:val="fr-FR"/>
        </w:rPr>
        <w:t>67, par.</w:t>
      </w:r>
      <w:r w:rsidR="007628C9">
        <w:rPr>
          <w:lang w:val="fr-FR"/>
        </w:rPr>
        <w:t> </w:t>
      </w:r>
      <w:r w:rsidR="00304EA7">
        <w:rPr>
          <w:lang w:val="fr-FR"/>
        </w:rPr>
        <w:t>17.1.8, ainsi que l</w:t>
      </w:r>
      <w:r w:rsidR="00A5386E">
        <w:rPr>
          <w:lang w:val="fr-FR"/>
        </w:rPr>
        <w:t>’</w:t>
      </w:r>
      <w:r w:rsidR="00304EA7">
        <w:rPr>
          <w:lang w:val="fr-FR"/>
        </w:rPr>
        <w:t>annexe 16 pour les détails), pour les véhicules des catégories M</w:t>
      </w:r>
      <w:r w:rsidR="00304EA7" w:rsidRPr="00E6775C">
        <w:rPr>
          <w:vertAlign w:val="subscript"/>
          <w:lang w:val="fr-FR"/>
        </w:rPr>
        <w:t>2</w:t>
      </w:r>
      <w:r w:rsidR="00304EA7">
        <w:rPr>
          <w:lang w:val="fr-FR"/>
        </w:rPr>
        <w:t>/N</w:t>
      </w:r>
      <w:r w:rsidR="00304EA7" w:rsidRPr="00E6775C">
        <w:rPr>
          <w:vertAlign w:val="subscript"/>
          <w:lang w:val="fr-FR"/>
        </w:rPr>
        <w:t>2</w:t>
      </w:r>
      <w:r w:rsidR="00304EA7">
        <w:rPr>
          <w:lang w:val="fr-FR"/>
        </w:rPr>
        <w:t xml:space="preserve"> et M</w:t>
      </w:r>
      <w:r w:rsidR="00304EA7" w:rsidRPr="00E6775C">
        <w:rPr>
          <w:vertAlign w:val="subscript"/>
          <w:lang w:val="fr-FR"/>
        </w:rPr>
        <w:t>3</w:t>
      </w:r>
      <w:r w:rsidR="00304EA7">
        <w:rPr>
          <w:lang w:val="fr-FR"/>
        </w:rPr>
        <w:t>/N</w:t>
      </w:r>
      <w:r w:rsidR="00304EA7" w:rsidRPr="00E6775C">
        <w:rPr>
          <w:vertAlign w:val="subscript"/>
          <w:lang w:val="fr-FR"/>
        </w:rPr>
        <w:t>3</w:t>
      </w:r>
      <w:r w:rsidR="00304EA7">
        <w:rPr>
          <w:lang w:val="fr-FR"/>
        </w:rPr>
        <w:t xml:space="preserve"> fonctionnant au GNC/GNL (Règlement ONU </w:t>
      </w:r>
      <w:r w:rsidRPr="00490A3D">
        <w:rPr>
          <w:rFonts w:eastAsia="MS Mincho"/>
          <w:szCs w:val="22"/>
          <w:lang w:val="fr-FR"/>
        </w:rPr>
        <w:t>n</w:t>
      </w:r>
      <w:r w:rsidRPr="00490A3D">
        <w:rPr>
          <w:rFonts w:eastAsia="MS Mincho"/>
          <w:szCs w:val="22"/>
          <w:vertAlign w:val="superscript"/>
          <w:lang w:val="fr-FR"/>
        </w:rPr>
        <w:t>o</w:t>
      </w:r>
      <w:r>
        <w:rPr>
          <w:lang w:val="fr-FR"/>
        </w:rPr>
        <w:t> </w:t>
      </w:r>
      <w:r w:rsidR="00304EA7">
        <w:rPr>
          <w:lang w:val="fr-FR"/>
        </w:rPr>
        <w:t>110, par. 18.1.8, ainsi que les annexes 6 et 7 pour les détails) et pour les véhicules des catégories M</w:t>
      </w:r>
      <w:r w:rsidR="00304EA7" w:rsidRPr="00E6775C">
        <w:rPr>
          <w:vertAlign w:val="subscript"/>
          <w:lang w:val="fr-FR"/>
        </w:rPr>
        <w:t>2</w:t>
      </w:r>
      <w:r w:rsidR="00304EA7">
        <w:rPr>
          <w:lang w:val="fr-FR"/>
        </w:rPr>
        <w:t>/N</w:t>
      </w:r>
      <w:r w:rsidR="00304EA7" w:rsidRPr="00E6775C">
        <w:rPr>
          <w:vertAlign w:val="subscript"/>
          <w:lang w:val="fr-FR"/>
        </w:rPr>
        <w:t>2</w:t>
      </w:r>
      <w:r w:rsidR="00304EA7">
        <w:rPr>
          <w:lang w:val="fr-FR"/>
        </w:rPr>
        <w:t xml:space="preserve"> et M</w:t>
      </w:r>
      <w:r w:rsidR="00304EA7" w:rsidRPr="00E6775C">
        <w:rPr>
          <w:vertAlign w:val="subscript"/>
          <w:lang w:val="fr-FR"/>
        </w:rPr>
        <w:t>3</w:t>
      </w:r>
      <w:r w:rsidR="00304EA7">
        <w:rPr>
          <w:lang w:val="fr-FR"/>
        </w:rPr>
        <w:t>/N</w:t>
      </w:r>
      <w:r w:rsidR="00304EA7" w:rsidRPr="00E6775C">
        <w:rPr>
          <w:vertAlign w:val="subscript"/>
          <w:lang w:val="fr-FR"/>
        </w:rPr>
        <w:t>3</w:t>
      </w:r>
      <w:r w:rsidR="00304EA7">
        <w:rPr>
          <w:lang w:val="fr-FR"/>
        </w:rPr>
        <w:t xml:space="preserve"> alimentés à l</w:t>
      </w:r>
      <w:r w:rsidR="00A5386E">
        <w:rPr>
          <w:lang w:val="fr-FR"/>
        </w:rPr>
        <w:t>’</w:t>
      </w:r>
      <w:r w:rsidR="00304EA7">
        <w:rPr>
          <w:lang w:val="fr-FR"/>
        </w:rPr>
        <w:t xml:space="preserve">hydrogène (Règlement ONU </w:t>
      </w:r>
      <w:r w:rsidRPr="00490A3D">
        <w:rPr>
          <w:rFonts w:eastAsia="MS Mincho"/>
          <w:szCs w:val="22"/>
          <w:lang w:val="fr-FR"/>
        </w:rPr>
        <w:t>n</w:t>
      </w:r>
      <w:r w:rsidRPr="00490A3D">
        <w:rPr>
          <w:rFonts w:eastAsia="MS Mincho"/>
          <w:szCs w:val="22"/>
          <w:vertAlign w:val="superscript"/>
          <w:lang w:val="fr-FR"/>
        </w:rPr>
        <w:t>o</w:t>
      </w:r>
      <w:r>
        <w:rPr>
          <w:lang w:val="fr-FR"/>
        </w:rPr>
        <w:t> </w:t>
      </w:r>
      <w:r w:rsidR="00304EA7">
        <w:rPr>
          <w:lang w:val="fr-FR"/>
        </w:rPr>
        <w:t>134, par.</w:t>
      </w:r>
      <w:r w:rsidR="007A67EA">
        <w:rPr>
          <w:lang w:val="fr-FR"/>
        </w:rPr>
        <w:t> </w:t>
      </w:r>
      <w:r w:rsidR="00304EA7">
        <w:rPr>
          <w:lang w:val="fr-FR"/>
        </w:rPr>
        <w:t>7.1.7.1 et 7.1.7.3, ainsi que l</w:t>
      </w:r>
      <w:r w:rsidR="00A5386E">
        <w:rPr>
          <w:lang w:val="fr-FR"/>
        </w:rPr>
        <w:t>’</w:t>
      </w:r>
      <w:r w:rsidR="00304EA7">
        <w:rPr>
          <w:lang w:val="fr-FR"/>
        </w:rPr>
        <w:t>annexe 6 pour les détails).</w:t>
      </w:r>
    </w:p>
    <w:p w14:paraId="3AF7B262" w14:textId="6110FF37" w:rsidR="00304EA7" w:rsidRPr="004F5B76" w:rsidRDefault="00490A3D" w:rsidP="00490A3D">
      <w:pPr>
        <w:pStyle w:val="SingleTxtG"/>
        <w:rPr>
          <w:lang w:val="fr-FR"/>
        </w:rPr>
      </w:pPr>
      <w:r>
        <w:rPr>
          <w:lang w:val="fr-FR"/>
        </w:rPr>
        <w:lastRenderedPageBreak/>
        <w:t>2.</w:t>
      </w:r>
      <w:r>
        <w:rPr>
          <w:lang w:val="fr-FR"/>
        </w:rPr>
        <w:tab/>
      </w:r>
      <w:r w:rsidR="00304EA7">
        <w:rPr>
          <w:lang w:val="fr-FR"/>
        </w:rPr>
        <w:t>L</w:t>
      </w:r>
      <w:r w:rsidR="00A5386E">
        <w:rPr>
          <w:lang w:val="fr-FR"/>
        </w:rPr>
        <w:t>’</w:t>
      </w:r>
      <w:r w:rsidR="00304EA7">
        <w:rPr>
          <w:lang w:val="fr-FR"/>
        </w:rPr>
        <w:t>étiquette aidera les services d</w:t>
      </w:r>
      <w:r w:rsidR="00A5386E">
        <w:rPr>
          <w:lang w:val="fr-FR"/>
        </w:rPr>
        <w:t>’</w:t>
      </w:r>
      <w:r w:rsidR="00304EA7">
        <w:rPr>
          <w:lang w:val="fr-FR"/>
        </w:rPr>
        <w:t>urgence à déterminer le mode d</w:t>
      </w:r>
      <w:r w:rsidR="00A5386E">
        <w:rPr>
          <w:lang w:val="fr-FR"/>
        </w:rPr>
        <w:t>’</w:t>
      </w:r>
      <w:r w:rsidR="00304EA7">
        <w:rPr>
          <w:lang w:val="fr-FR"/>
        </w:rPr>
        <w:t>intervention à adopter vis-à-vis de ces véhicules en cas d</w:t>
      </w:r>
      <w:r w:rsidR="00A5386E">
        <w:rPr>
          <w:lang w:val="fr-FR"/>
        </w:rPr>
        <w:t>’</w:t>
      </w:r>
      <w:r w:rsidR="00304EA7">
        <w:rPr>
          <w:lang w:val="fr-FR"/>
        </w:rPr>
        <w:t>incendie, en particulier s</w:t>
      </w:r>
      <w:r w:rsidR="00A5386E">
        <w:rPr>
          <w:lang w:val="fr-FR"/>
        </w:rPr>
        <w:t>’</w:t>
      </w:r>
      <w:r w:rsidR="00304EA7">
        <w:rPr>
          <w:lang w:val="fr-FR"/>
        </w:rPr>
        <w:t>agissant du SRSEE du véhicule, ou si le SRSEE est endommagé à la suite d</w:t>
      </w:r>
      <w:r w:rsidR="00A5386E">
        <w:rPr>
          <w:lang w:val="fr-FR"/>
        </w:rPr>
        <w:t>’</w:t>
      </w:r>
      <w:r w:rsidR="00304EA7">
        <w:rPr>
          <w:lang w:val="fr-FR"/>
        </w:rPr>
        <w:t>un accident, par exemple.</w:t>
      </w:r>
    </w:p>
    <w:p w14:paraId="4B832222" w14:textId="229484E9" w:rsidR="00304EA7" w:rsidRPr="004F5B76" w:rsidRDefault="00490A3D" w:rsidP="00490A3D">
      <w:pPr>
        <w:pStyle w:val="SingleTxtG"/>
        <w:rPr>
          <w:lang w:val="fr-FR"/>
        </w:rPr>
      </w:pPr>
      <w:r>
        <w:rPr>
          <w:lang w:val="fr-FR"/>
        </w:rPr>
        <w:t>3.</w:t>
      </w:r>
      <w:r>
        <w:rPr>
          <w:lang w:val="fr-FR"/>
        </w:rPr>
        <w:tab/>
      </w:r>
      <w:r w:rsidR="00304EA7">
        <w:rPr>
          <w:lang w:val="fr-FR"/>
        </w:rPr>
        <w:t xml:space="preserve">En ce qui concerne la disposition des étiquettes, la présente proposition vise la cohérence avec les Règlements ONU </w:t>
      </w:r>
      <w:r w:rsidRPr="00490A3D">
        <w:rPr>
          <w:rFonts w:eastAsia="MS Mincho"/>
          <w:szCs w:val="22"/>
          <w:lang w:val="fr-FR"/>
        </w:rPr>
        <w:t>n</w:t>
      </w:r>
      <w:r w:rsidRPr="00490A3D">
        <w:rPr>
          <w:rFonts w:eastAsia="MS Mincho"/>
          <w:szCs w:val="22"/>
          <w:vertAlign w:val="superscript"/>
          <w:lang w:val="fr-FR"/>
        </w:rPr>
        <w:t>o</w:t>
      </w:r>
      <w:r>
        <w:rPr>
          <w:rFonts w:eastAsia="MS Mincho"/>
          <w:szCs w:val="22"/>
          <w:vertAlign w:val="superscript"/>
          <w:lang w:val="fr-FR"/>
        </w:rPr>
        <w:t>s</w:t>
      </w:r>
      <w:r>
        <w:rPr>
          <w:lang w:val="fr-FR"/>
        </w:rPr>
        <w:t> </w:t>
      </w:r>
      <w:r w:rsidR="00304EA7">
        <w:rPr>
          <w:lang w:val="fr-FR"/>
        </w:rPr>
        <w:t>67, 110 et 134.</w:t>
      </w:r>
    </w:p>
    <w:p w14:paraId="00C1459A" w14:textId="32310A4C" w:rsidR="00304EA7" w:rsidRPr="004F5B76" w:rsidRDefault="00490A3D" w:rsidP="00490A3D">
      <w:pPr>
        <w:pStyle w:val="SingleTxtG"/>
        <w:rPr>
          <w:lang w:val="fr-FR"/>
        </w:rPr>
      </w:pPr>
      <w:r>
        <w:rPr>
          <w:lang w:val="fr-FR"/>
        </w:rPr>
        <w:t>4.</w:t>
      </w:r>
      <w:r>
        <w:rPr>
          <w:lang w:val="fr-FR"/>
        </w:rPr>
        <w:tab/>
      </w:r>
      <w:r w:rsidR="00304EA7">
        <w:rPr>
          <w:lang w:val="fr-FR"/>
        </w:rPr>
        <w:t>Le CTIF</w:t>
      </w:r>
      <w:r w:rsidR="007628C9">
        <w:rPr>
          <w:rStyle w:val="Appelnotedebasdep"/>
          <w:lang w:val="fr-FR"/>
        </w:rPr>
        <w:footnoteReference w:id="4"/>
      </w:r>
      <w:r w:rsidR="00304EA7">
        <w:rPr>
          <w:lang w:val="fr-FR"/>
        </w:rPr>
        <w:t xml:space="preserve"> recommande l</w:t>
      </w:r>
      <w:r w:rsidR="00A5386E">
        <w:rPr>
          <w:lang w:val="fr-FR"/>
        </w:rPr>
        <w:t>’</w:t>
      </w:r>
      <w:r w:rsidR="00304EA7">
        <w:rPr>
          <w:lang w:val="fr-FR"/>
        </w:rPr>
        <w:t xml:space="preserve">utilisation de symboles conformes à la norme internationale </w:t>
      </w:r>
      <w:r w:rsidR="00304EA7" w:rsidRPr="00E6775C">
        <w:rPr>
          <w:b/>
          <w:bCs/>
          <w:lang w:val="fr-FR"/>
        </w:rPr>
        <w:t>ISO 17840-4, partie 4 : Identification de l</w:t>
      </w:r>
      <w:r w:rsidR="00A5386E">
        <w:rPr>
          <w:b/>
          <w:bCs/>
          <w:lang w:val="fr-FR"/>
        </w:rPr>
        <w:t>’</w:t>
      </w:r>
      <w:r w:rsidR="00304EA7" w:rsidRPr="00E6775C">
        <w:rPr>
          <w:b/>
          <w:bCs/>
          <w:lang w:val="fr-FR"/>
        </w:rPr>
        <w:t>énergie de propulsion</w:t>
      </w:r>
      <w:r w:rsidR="00304EA7">
        <w:rPr>
          <w:lang w:val="fr-FR"/>
        </w:rPr>
        <w:t>.</w:t>
      </w:r>
    </w:p>
    <w:p w14:paraId="1197D0DB" w14:textId="684D1170" w:rsidR="00304EA7" w:rsidRPr="004F5B76" w:rsidRDefault="00490A3D" w:rsidP="00490A3D">
      <w:pPr>
        <w:pStyle w:val="SingleTxtG"/>
        <w:rPr>
          <w:lang w:val="fr-FR"/>
        </w:rPr>
      </w:pPr>
      <w:r>
        <w:rPr>
          <w:lang w:val="fr-FR"/>
        </w:rPr>
        <w:t>5.</w:t>
      </w:r>
      <w:r>
        <w:rPr>
          <w:lang w:val="fr-FR"/>
        </w:rPr>
        <w:tab/>
      </w:r>
      <w:r w:rsidR="00304EA7">
        <w:rPr>
          <w:lang w:val="fr-FR"/>
        </w:rPr>
        <w:t>En ce qui concerne l</w:t>
      </w:r>
      <w:r w:rsidR="00A5386E">
        <w:rPr>
          <w:lang w:val="fr-FR"/>
        </w:rPr>
        <w:t>’</w:t>
      </w:r>
      <w:r w:rsidR="00304EA7">
        <w:rPr>
          <w:lang w:val="fr-FR"/>
        </w:rPr>
        <w:t>aspect de l</w:t>
      </w:r>
      <w:r w:rsidR="00A5386E">
        <w:rPr>
          <w:lang w:val="fr-FR"/>
        </w:rPr>
        <w:t>’</w:t>
      </w:r>
      <w:r w:rsidR="00304EA7">
        <w:rPr>
          <w:lang w:val="fr-FR"/>
        </w:rPr>
        <w:t>étiquette, la présente proposition vise la cohérence avec la norme ISO susmentionnée.</w:t>
      </w:r>
    </w:p>
    <w:p w14:paraId="47FAD3D6" w14:textId="64A985DF" w:rsidR="00F9573C" w:rsidRDefault="00490A3D" w:rsidP="00490A3D">
      <w:pPr>
        <w:pStyle w:val="SingleTxtG"/>
        <w:rPr>
          <w:lang w:val="fr-FR"/>
        </w:rPr>
      </w:pPr>
      <w:r>
        <w:rPr>
          <w:lang w:val="fr-FR"/>
        </w:rPr>
        <w:t>6.</w:t>
      </w:r>
      <w:r>
        <w:rPr>
          <w:lang w:val="fr-FR"/>
        </w:rPr>
        <w:tab/>
      </w:r>
      <w:r w:rsidR="00304EA7">
        <w:rPr>
          <w:lang w:val="fr-FR"/>
        </w:rPr>
        <w:t>Étant donné que l</w:t>
      </w:r>
      <w:r w:rsidR="00A5386E">
        <w:rPr>
          <w:lang w:val="fr-FR"/>
        </w:rPr>
        <w:t>’</w:t>
      </w:r>
      <w:r w:rsidR="00304EA7">
        <w:rPr>
          <w:lang w:val="fr-FR"/>
        </w:rPr>
        <w:t xml:space="preserve">étiquette prescrite au paragraphe 7.1.7 du Règlement ONU </w:t>
      </w:r>
      <w:r w:rsidRPr="00490A3D">
        <w:rPr>
          <w:rFonts w:eastAsia="MS Mincho"/>
          <w:szCs w:val="22"/>
          <w:lang w:val="fr-FR"/>
        </w:rPr>
        <w:t>n</w:t>
      </w:r>
      <w:r w:rsidRPr="00490A3D">
        <w:rPr>
          <w:rFonts w:eastAsia="MS Mincho"/>
          <w:szCs w:val="22"/>
          <w:vertAlign w:val="superscript"/>
          <w:lang w:val="fr-FR"/>
        </w:rPr>
        <w:t>o</w:t>
      </w:r>
      <w:r>
        <w:rPr>
          <w:lang w:val="fr-FR"/>
        </w:rPr>
        <w:t> </w:t>
      </w:r>
      <w:r w:rsidR="00304EA7">
        <w:rPr>
          <w:lang w:val="fr-FR"/>
        </w:rPr>
        <w:t>134 comporte déjà des informations concernant la sécurité électrique, les véhicules qui satisfont à cette prescription n</w:t>
      </w:r>
      <w:r w:rsidR="00A5386E">
        <w:rPr>
          <w:lang w:val="fr-FR"/>
        </w:rPr>
        <w:t>’</w:t>
      </w:r>
      <w:r w:rsidR="00304EA7">
        <w:rPr>
          <w:lang w:val="fr-FR"/>
        </w:rPr>
        <w:t>ont pas besoin d</w:t>
      </w:r>
      <w:r w:rsidR="00A5386E">
        <w:rPr>
          <w:lang w:val="fr-FR"/>
        </w:rPr>
        <w:t>’</w:t>
      </w:r>
      <w:r w:rsidR="00304EA7">
        <w:rPr>
          <w:lang w:val="fr-FR"/>
        </w:rPr>
        <w:t>une étiquette supplémentaire comme demandé dans la présente proposition.</w:t>
      </w:r>
    </w:p>
    <w:p w14:paraId="65C39A78" w14:textId="10BE6DDB" w:rsidR="007E05CA" w:rsidRPr="007E05CA" w:rsidRDefault="007E05CA" w:rsidP="007E05CA">
      <w:pPr>
        <w:pStyle w:val="SingleTxtG"/>
        <w:spacing w:before="240" w:after="0"/>
        <w:jc w:val="center"/>
        <w:rPr>
          <w:u w:val="single"/>
        </w:rPr>
      </w:pPr>
      <w:r>
        <w:rPr>
          <w:u w:val="single"/>
        </w:rPr>
        <w:tab/>
      </w:r>
      <w:r>
        <w:rPr>
          <w:u w:val="single"/>
        </w:rPr>
        <w:tab/>
      </w:r>
      <w:r>
        <w:rPr>
          <w:u w:val="single"/>
        </w:rPr>
        <w:tab/>
      </w:r>
      <w:r>
        <w:rPr>
          <w:u w:val="single"/>
        </w:rPr>
        <w:tab/>
      </w:r>
    </w:p>
    <w:sectPr w:rsidR="007E05CA" w:rsidRPr="007E05CA" w:rsidSect="00381EF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9445" w14:textId="77777777" w:rsidR="00F75E26" w:rsidRDefault="00F75E26" w:rsidP="00F95C08">
      <w:pPr>
        <w:spacing w:line="240" w:lineRule="auto"/>
      </w:pPr>
    </w:p>
  </w:endnote>
  <w:endnote w:type="continuationSeparator" w:id="0">
    <w:p w14:paraId="5A932F8D" w14:textId="77777777" w:rsidR="00F75E26" w:rsidRPr="00AC3823" w:rsidRDefault="00F75E26" w:rsidP="00AC3823">
      <w:pPr>
        <w:pStyle w:val="Pieddepage"/>
      </w:pPr>
    </w:p>
  </w:endnote>
  <w:endnote w:type="continuationNotice" w:id="1">
    <w:p w14:paraId="5984D224" w14:textId="77777777" w:rsidR="00F75E26" w:rsidRDefault="00F75E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B681" w14:textId="3E29383F" w:rsidR="00381EF4" w:rsidRPr="00381EF4" w:rsidRDefault="00381EF4" w:rsidP="00381EF4">
    <w:pPr>
      <w:pStyle w:val="Pieddepage"/>
      <w:tabs>
        <w:tab w:val="right" w:pos="9638"/>
      </w:tabs>
    </w:pPr>
    <w:r w:rsidRPr="00381EF4">
      <w:rPr>
        <w:b/>
        <w:sz w:val="18"/>
      </w:rPr>
      <w:fldChar w:fldCharType="begin"/>
    </w:r>
    <w:r w:rsidRPr="00381EF4">
      <w:rPr>
        <w:b/>
        <w:sz w:val="18"/>
      </w:rPr>
      <w:instrText xml:space="preserve"> PAGE  \* MERGEFORMAT </w:instrText>
    </w:r>
    <w:r w:rsidRPr="00381EF4">
      <w:rPr>
        <w:b/>
        <w:sz w:val="18"/>
      </w:rPr>
      <w:fldChar w:fldCharType="separate"/>
    </w:r>
    <w:r w:rsidRPr="00381EF4">
      <w:rPr>
        <w:b/>
        <w:noProof/>
        <w:sz w:val="18"/>
      </w:rPr>
      <w:t>2</w:t>
    </w:r>
    <w:r w:rsidRPr="00381EF4">
      <w:rPr>
        <w:b/>
        <w:sz w:val="18"/>
      </w:rPr>
      <w:fldChar w:fldCharType="end"/>
    </w:r>
    <w:r>
      <w:rPr>
        <w:b/>
        <w:sz w:val="18"/>
      </w:rPr>
      <w:tab/>
    </w:r>
    <w:r>
      <w:t>GE.23-18231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AC06" w14:textId="6F6B70A1" w:rsidR="00381EF4" w:rsidRPr="00381EF4" w:rsidRDefault="00381EF4" w:rsidP="00381EF4">
    <w:pPr>
      <w:pStyle w:val="Pieddepage"/>
      <w:tabs>
        <w:tab w:val="right" w:pos="9638"/>
      </w:tabs>
      <w:rPr>
        <w:b/>
        <w:sz w:val="18"/>
      </w:rPr>
    </w:pPr>
    <w:r>
      <w:t>GE.23-18231</w:t>
    </w:r>
    <w:r>
      <w:tab/>
    </w:r>
    <w:r w:rsidRPr="00381EF4">
      <w:rPr>
        <w:b/>
        <w:sz w:val="18"/>
      </w:rPr>
      <w:fldChar w:fldCharType="begin"/>
    </w:r>
    <w:r w:rsidRPr="00381EF4">
      <w:rPr>
        <w:b/>
        <w:sz w:val="18"/>
      </w:rPr>
      <w:instrText xml:space="preserve"> PAGE  \* MERGEFORMAT </w:instrText>
    </w:r>
    <w:r w:rsidRPr="00381EF4">
      <w:rPr>
        <w:b/>
        <w:sz w:val="18"/>
      </w:rPr>
      <w:fldChar w:fldCharType="separate"/>
    </w:r>
    <w:r w:rsidRPr="00381EF4">
      <w:rPr>
        <w:b/>
        <w:noProof/>
        <w:sz w:val="18"/>
      </w:rPr>
      <w:t>3</w:t>
    </w:r>
    <w:r w:rsidRPr="00381EF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BA9D" w14:textId="4BB9645F" w:rsidR="007F20FA" w:rsidRPr="00381EF4" w:rsidRDefault="00381EF4" w:rsidP="00381EF4">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281A6240" wp14:editId="641228A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23-18231  (F)</w:t>
    </w:r>
    <w:r>
      <w:rPr>
        <w:noProof/>
        <w:sz w:val="20"/>
      </w:rPr>
      <w:drawing>
        <wp:anchor distT="0" distB="0" distL="114300" distR="114300" simplePos="0" relativeHeight="251660288" behindDoc="0" locked="0" layoutInCell="1" allowOverlap="1" wp14:anchorId="420423DE" wp14:editId="7DA019D9">
          <wp:simplePos x="0" y="0"/>
          <wp:positionH relativeFrom="margin">
            <wp:posOffset>5489575</wp:posOffset>
          </wp:positionH>
          <wp:positionV relativeFrom="margin">
            <wp:posOffset>8891905</wp:posOffset>
          </wp:positionV>
          <wp:extent cx="638175" cy="638175"/>
          <wp:effectExtent l="0" t="0" r="9525" b="9525"/>
          <wp:wrapNone/>
          <wp:docPr id="8232465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121023    1</w:t>
    </w:r>
    <w:r w:rsidR="009E2188">
      <w:rPr>
        <w:sz w:val="20"/>
      </w:rPr>
      <w:t>3</w:t>
    </w:r>
    <w:r>
      <w:rPr>
        <w:sz w:val="20"/>
      </w:rPr>
      <w:t>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98E9" w14:textId="77777777" w:rsidR="00F75E26" w:rsidRPr="00AC3823" w:rsidRDefault="00F75E26" w:rsidP="00AC3823">
      <w:pPr>
        <w:pStyle w:val="Pieddepage"/>
        <w:tabs>
          <w:tab w:val="right" w:pos="2155"/>
        </w:tabs>
        <w:spacing w:after="80" w:line="240" w:lineRule="atLeast"/>
        <w:ind w:left="680"/>
        <w:rPr>
          <w:u w:val="single"/>
        </w:rPr>
      </w:pPr>
      <w:r>
        <w:rPr>
          <w:u w:val="single"/>
        </w:rPr>
        <w:tab/>
      </w:r>
    </w:p>
  </w:footnote>
  <w:footnote w:type="continuationSeparator" w:id="0">
    <w:p w14:paraId="7A3EBEEE" w14:textId="77777777" w:rsidR="00F75E26" w:rsidRPr="00AC3823" w:rsidRDefault="00F75E26" w:rsidP="00AC3823">
      <w:pPr>
        <w:pStyle w:val="Pieddepage"/>
        <w:tabs>
          <w:tab w:val="right" w:pos="2155"/>
        </w:tabs>
        <w:spacing w:after="80" w:line="240" w:lineRule="atLeast"/>
        <w:ind w:left="680"/>
        <w:rPr>
          <w:u w:val="single"/>
        </w:rPr>
      </w:pPr>
      <w:r>
        <w:rPr>
          <w:u w:val="single"/>
        </w:rPr>
        <w:tab/>
      </w:r>
    </w:p>
  </w:footnote>
  <w:footnote w:type="continuationNotice" w:id="1">
    <w:p w14:paraId="4206F932" w14:textId="77777777" w:rsidR="00F75E26" w:rsidRPr="00AC3823" w:rsidRDefault="00F75E26">
      <w:pPr>
        <w:spacing w:line="240" w:lineRule="auto"/>
        <w:rPr>
          <w:sz w:val="2"/>
          <w:szCs w:val="2"/>
        </w:rPr>
      </w:pPr>
    </w:p>
  </w:footnote>
  <w:footnote w:id="2">
    <w:p w14:paraId="416B3E0A" w14:textId="6096110E" w:rsidR="00304EA7" w:rsidRPr="004F5B76" w:rsidRDefault="00304EA7" w:rsidP="00304EA7">
      <w:pPr>
        <w:pStyle w:val="Notedebasdepage"/>
        <w:jc w:val="both"/>
        <w:rPr>
          <w:lang w:val="fr-FR"/>
        </w:rPr>
      </w:pPr>
      <w:r>
        <w:rPr>
          <w:lang w:val="fr-FR"/>
        </w:rPr>
        <w:tab/>
      </w:r>
      <w:r w:rsidRPr="00AB1801">
        <w:rPr>
          <w:sz w:val="20"/>
          <w:lang w:val="fr-FR"/>
        </w:rPr>
        <w:t>*</w:t>
      </w:r>
      <w:r>
        <w:rPr>
          <w:lang w:val="fr-FR"/>
        </w:rPr>
        <w:tab/>
        <w:t>Conformément au programme de travail du Comité des transports intérieurs pour 2023 tel qu</w:t>
      </w:r>
      <w:r w:rsidR="00490A3D">
        <w:rPr>
          <w:lang w:val="fr-FR"/>
        </w:rPr>
        <w:t>’</w:t>
      </w:r>
      <w:r>
        <w:rPr>
          <w:lang w:val="fr-FR"/>
        </w:rPr>
        <w:t>il figure dans le projet de budget-programme pour 2023 (A/77/6 (Sect. 20), tableau 20.6), le Forum mondial a pour mission d</w:t>
      </w:r>
      <w:r w:rsidR="00490A3D">
        <w:rPr>
          <w:lang w:val="fr-FR"/>
        </w:rPr>
        <w:t>’</w:t>
      </w:r>
      <w:r>
        <w:rPr>
          <w:lang w:val="fr-FR"/>
        </w:rPr>
        <w:t>élaborer, d</w:t>
      </w:r>
      <w:r w:rsidR="00490A3D">
        <w:rPr>
          <w:lang w:val="fr-FR"/>
        </w:rPr>
        <w:t>’</w:t>
      </w:r>
      <w:r>
        <w:rPr>
          <w:lang w:val="fr-FR"/>
        </w:rPr>
        <w:t>harmoniser et de mettre à jour les Règlements ONU en vue d</w:t>
      </w:r>
      <w:r w:rsidR="00490A3D">
        <w:rPr>
          <w:lang w:val="fr-FR"/>
        </w:rPr>
        <w:t>’</w:t>
      </w:r>
      <w:r>
        <w:rPr>
          <w:lang w:val="fr-FR"/>
        </w:rPr>
        <w:t>améliorer les caractéristiques fonctionnelles des véhicules. Le présent document est soumis en vertu de ce mandat.</w:t>
      </w:r>
    </w:p>
  </w:footnote>
  <w:footnote w:id="3">
    <w:p w14:paraId="4A37D9ED" w14:textId="7F0209B1" w:rsidR="00304EA7" w:rsidRPr="004F5B76" w:rsidRDefault="00304EA7" w:rsidP="00304EA7">
      <w:pPr>
        <w:pStyle w:val="Notedebasdepage"/>
        <w:rPr>
          <w:lang w:val="fr-FR"/>
        </w:rPr>
      </w:pPr>
      <w:r>
        <w:rPr>
          <w:lang w:val="fr-FR"/>
        </w:rPr>
        <w:tab/>
      </w:r>
      <w:r>
        <w:rPr>
          <w:rStyle w:val="Appelnotedebasdep"/>
          <w:lang w:val="fr-FR"/>
        </w:rPr>
        <w:footnoteRef/>
      </w:r>
      <w:r>
        <w:rPr>
          <w:lang w:val="fr-FR"/>
        </w:rPr>
        <w:t xml:space="preserve"> </w:t>
      </w:r>
      <w:r>
        <w:rPr>
          <w:lang w:val="fr-FR"/>
        </w:rPr>
        <w:tab/>
        <w:t>Le dernier chiffre n</w:t>
      </w:r>
      <w:r w:rsidR="00490A3D">
        <w:rPr>
          <w:lang w:val="fr-FR"/>
        </w:rPr>
        <w:t>’</w:t>
      </w:r>
      <w:r>
        <w:rPr>
          <w:lang w:val="fr-FR"/>
        </w:rPr>
        <w:t>est donné qu</w:t>
      </w:r>
      <w:r w:rsidR="00490A3D">
        <w:rPr>
          <w:lang w:val="fr-FR"/>
        </w:rPr>
        <w:t>’</w:t>
      </w:r>
      <w:r>
        <w:rPr>
          <w:lang w:val="fr-FR"/>
        </w:rPr>
        <w:t>à titre d</w:t>
      </w:r>
      <w:r w:rsidR="00490A3D">
        <w:rPr>
          <w:lang w:val="fr-FR"/>
        </w:rPr>
        <w:t>’</w:t>
      </w:r>
      <w:r>
        <w:rPr>
          <w:lang w:val="fr-FR"/>
        </w:rPr>
        <w:t>exemple.</w:t>
      </w:r>
    </w:p>
  </w:footnote>
  <w:footnote w:id="4">
    <w:p w14:paraId="1E64DAA8" w14:textId="77777777" w:rsidR="007628C9" w:rsidRPr="004F5B76" w:rsidRDefault="007628C9" w:rsidP="007628C9">
      <w:pPr>
        <w:pStyle w:val="Notedebasdepage"/>
        <w:rPr>
          <w:lang w:val="fr-FR"/>
        </w:rPr>
      </w:pPr>
      <w:r>
        <w:rPr>
          <w:lang w:val="fr-FR"/>
        </w:rPr>
        <w:tab/>
      </w:r>
      <w:r>
        <w:rPr>
          <w:rStyle w:val="Appelnotedebasdep"/>
          <w:lang w:val="fr-FR"/>
        </w:rPr>
        <w:footnoteRef/>
      </w:r>
      <w:r>
        <w:rPr>
          <w:lang w:val="fr-FR"/>
        </w:rPr>
        <w:tab/>
        <w:t>CTIF : Comité technique international de prévention et d’extinction du feu.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656A" w14:textId="1B780E89" w:rsidR="00381EF4" w:rsidRPr="00381EF4" w:rsidRDefault="00381EF4">
    <w:pPr>
      <w:pStyle w:val="En-tte"/>
    </w:pPr>
    <w:fldSimple w:instr=" TITLE  \* MERGEFORMAT ">
      <w:r w:rsidR="009E2188">
        <w:t>ECE/TRANS/WP.29/GRSP/2023/35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6DEF" w14:textId="0B55861F" w:rsidR="00381EF4" w:rsidRPr="00381EF4" w:rsidRDefault="00381EF4" w:rsidP="00381EF4">
    <w:pPr>
      <w:pStyle w:val="En-tte"/>
      <w:jc w:val="right"/>
    </w:pPr>
    <w:fldSimple w:instr=" TITLE  \* MERGEFORMAT ">
      <w:r w:rsidR="009E2188">
        <w:t>ECE/TRANS/WP.29/GRSP/2023/35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E8A3" w14:textId="77777777" w:rsidR="009E2188" w:rsidRDefault="009E21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083479110">
    <w:abstractNumId w:val="13"/>
  </w:num>
  <w:num w:numId="2" w16cid:durableId="662658659">
    <w:abstractNumId w:val="11"/>
  </w:num>
  <w:num w:numId="3" w16cid:durableId="1061172681">
    <w:abstractNumId w:val="10"/>
  </w:num>
  <w:num w:numId="4" w16cid:durableId="1168518054">
    <w:abstractNumId w:val="8"/>
  </w:num>
  <w:num w:numId="5" w16cid:durableId="1751391120">
    <w:abstractNumId w:val="3"/>
  </w:num>
  <w:num w:numId="6" w16cid:durableId="1358385427">
    <w:abstractNumId w:val="2"/>
  </w:num>
  <w:num w:numId="7" w16cid:durableId="1208300910">
    <w:abstractNumId w:val="1"/>
  </w:num>
  <w:num w:numId="8" w16cid:durableId="631787998">
    <w:abstractNumId w:val="0"/>
  </w:num>
  <w:num w:numId="9" w16cid:durableId="581909081">
    <w:abstractNumId w:val="9"/>
  </w:num>
  <w:num w:numId="10" w16cid:durableId="649865579">
    <w:abstractNumId w:val="7"/>
  </w:num>
  <w:num w:numId="11" w16cid:durableId="1939100670">
    <w:abstractNumId w:val="6"/>
  </w:num>
  <w:num w:numId="12" w16cid:durableId="2122336367">
    <w:abstractNumId w:val="5"/>
  </w:num>
  <w:num w:numId="13" w16cid:durableId="1866408035">
    <w:abstractNumId w:val="4"/>
  </w:num>
  <w:num w:numId="14" w16cid:durableId="1829248628">
    <w:abstractNumId w:val="13"/>
  </w:num>
  <w:num w:numId="15" w16cid:durableId="1009258042">
    <w:abstractNumId w:val="11"/>
  </w:num>
  <w:num w:numId="16" w16cid:durableId="959531001">
    <w:abstractNumId w:val="10"/>
  </w:num>
  <w:num w:numId="17" w16cid:durableId="134110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26"/>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4EA7"/>
    <w:rsid w:val="00305801"/>
    <w:rsid w:val="0037564C"/>
    <w:rsid w:val="00381EF4"/>
    <w:rsid w:val="003916DE"/>
    <w:rsid w:val="00421996"/>
    <w:rsid w:val="00441C3B"/>
    <w:rsid w:val="00446FE5"/>
    <w:rsid w:val="00452396"/>
    <w:rsid w:val="00477EB2"/>
    <w:rsid w:val="004837D8"/>
    <w:rsid w:val="00490A3D"/>
    <w:rsid w:val="004D2E75"/>
    <w:rsid w:val="004E2EED"/>
    <w:rsid w:val="004E468C"/>
    <w:rsid w:val="005505B7"/>
    <w:rsid w:val="00573BE5"/>
    <w:rsid w:val="00586ED3"/>
    <w:rsid w:val="00596AA9"/>
    <w:rsid w:val="0071601D"/>
    <w:rsid w:val="007628C9"/>
    <w:rsid w:val="007A62E6"/>
    <w:rsid w:val="007A67EA"/>
    <w:rsid w:val="007E05CA"/>
    <w:rsid w:val="007F20FA"/>
    <w:rsid w:val="0080684C"/>
    <w:rsid w:val="00871C75"/>
    <w:rsid w:val="008776DC"/>
    <w:rsid w:val="008A524B"/>
    <w:rsid w:val="008D5EF9"/>
    <w:rsid w:val="00900A6D"/>
    <w:rsid w:val="009446C0"/>
    <w:rsid w:val="009705C8"/>
    <w:rsid w:val="009C1CF4"/>
    <w:rsid w:val="009E2188"/>
    <w:rsid w:val="009F6B74"/>
    <w:rsid w:val="00A3029F"/>
    <w:rsid w:val="00A30353"/>
    <w:rsid w:val="00A5386E"/>
    <w:rsid w:val="00AB1801"/>
    <w:rsid w:val="00AC3823"/>
    <w:rsid w:val="00AE323C"/>
    <w:rsid w:val="00AF0CB5"/>
    <w:rsid w:val="00B00181"/>
    <w:rsid w:val="00B00B0D"/>
    <w:rsid w:val="00B45F2E"/>
    <w:rsid w:val="00B52BCE"/>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F2E22"/>
    <w:rsid w:val="00F35BAF"/>
    <w:rsid w:val="00F660DF"/>
    <w:rsid w:val="00F75E26"/>
    <w:rsid w:val="00F94664"/>
    <w:rsid w:val="00F9573C"/>
    <w:rsid w:val="00F95C08"/>
    <w:rsid w:val="00F9619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9F15F"/>
  <w15:docId w15:val="{44272285-73BA-4A0E-90F7-9C3FBD46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uiPriority w:val="9"/>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4_GR,Fußnotenzeichen"/>
    <w:basedOn w:val="Policepardfaut"/>
    <w:uiPriority w:val="99"/>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NotedebasdepageCar"/>
    <w:uiPriority w:val="99"/>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E Fußnotentext Car,footnote text Car,Fußnotentext Ursprung Car,Footnote Text Char Char Char Char Car,Footnote Text1 Car,Footnote Text Char Char Char Car,Fußnotentext Char1 Car,Fußn Car"/>
    <w:basedOn w:val="Policepardfaut"/>
    <w:link w:val="Notedebasdepage"/>
    <w:uiPriority w:val="99"/>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uiPriority w:val="9"/>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locked/>
    <w:rsid w:val="00304EA7"/>
    <w:rPr>
      <w:rFonts w:ascii="Times New Roman" w:eastAsiaTheme="minorHAnsi" w:hAnsi="Times New Roman" w:cs="Times New Roman"/>
      <w:b/>
      <w:sz w:val="28"/>
      <w:szCs w:val="20"/>
      <w:lang w:eastAsia="en-US"/>
    </w:rPr>
  </w:style>
  <w:style w:type="character" w:customStyle="1" w:styleId="H1GChar">
    <w:name w:val="_ H_1_G Char"/>
    <w:link w:val="H1G"/>
    <w:locked/>
    <w:rsid w:val="00304EA7"/>
    <w:rPr>
      <w:rFonts w:ascii="Times New Roman" w:eastAsiaTheme="minorHAnsi" w:hAnsi="Times New Roman" w:cs="Times New Roman"/>
      <w:b/>
      <w:sz w:val="24"/>
      <w:szCs w:val="20"/>
      <w:lang w:eastAsia="en-US"/>
    </w:rPr>
  </w:style>
  <w:style w:type="character" w:customStyle="1" w:styleId="SingleTxtGChar">
    <w:name w:val="_ Single Txt_G Char"/>
    <w:link w:val="SingleTxtG"/>
    <w:qFormat/>
    <w:rsid w:val="00304EA7"/>
    <w:rPr>
      <w:rFonts w:ascii="Times New Roman" w:eastAsiaTheme="minorHAnsi" w:hAnsi="Times New Roman" w:cs="Times New Roman"/>
      <w:sz w:val="20"/>
      <w:szCs w:val="20"/>
      <w:lang w:eastAsia="en-US"/>
    </w:rPr>
  </w:style>
  <w:style w:type="paragraph" w:styleId="Paragraphedeliste">
    <w:name w:val="List Paragraph"/>
    <w:basedOn w:val="Normal"/>
    <w:uiPriority w:val="34"/>
    <w:rsid w:val="00304EA7"/>
    <w:pPr>
      <w:kinsoku/>
      <w:overflowPunct/>
      <w:autoSpaceDE/>
      <w:autoSpaceDN/>
      <w:adjustRightInd/>
      <w:snapToGrid/>
      <w:ind w:left="720"/>
      <w:contextualSpacing/>
    </w:pPr>
    <w:rPr>
      <w:rFonts w:eastAsia="Times New Roman"/>
      <w:lang w:val="en-GB"/>
    </w:rPr>
  </w:style>
  <w:style w:type="paragraph" w:customStyle="1" w:styleId="para">
    <w:name w:val="para"/>
    <w:basedOn w:val="Normal"/>
    <w:link w:val="paraChar"/>
    <w:rsid w:val="00304EA7"/>
    <w:pPr>
      <w:suppressAutoHyphens w:val="0"/>
      <w:kinsoku/>
      <w:overflowPunct/>
      <w:autoSpaceDE/>
      <w:autoSpaceDN/>
      <w:adjustRightInd/>
      <w:snapToGrid/>
      <w:spacing w:after="120"/>
      <w:ind w:left="2268" w:right="1134" w:hanging="1134"/>
      <w:jc w:val="both"/>
    </w:pPr>
    <w:rPr>
      <w:rFonts w:eastAsia="Yu Mincho"/>
      <w:snapToGrid w:val="0"/>
      <w:lang w:val="fr-FR"/>
    </w:rPr>
  </w:style>
  <w:style w:type="character" w:customStyle="1" w:styleId="paraChar">
    <w:name w:val="para Char"/>
    <w:link w:val="para"/>
    <w:rsid w:val="00304EA7"/>
    <w:rPr>
      <w:rFonts w:ascii="Times New Roman" w:eastAsia="Yu Mincho" w:hAnsi="Times New Roman" w:cs="Times New Roman"/>
      <w:snapToGrid w:val="0"/>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DBAAD-D287-4B58-A581-F1148960550C}"/>
</file>

<file path=customXml/itemProps2.xml><?xml version="1.0" encoding="utf-8"?>
<ds:datastoreItem xmlns:ds="http://schemas.openxmlformats.org/officeDocument/2006/customXml" ds:itemID="{202B5961-AE39-4971-88D9-CE5979B57BF5}"/>
</file>

<file path=docProps/app.xml><?xml version="1.0" encoding="utf-8"?>
<Properties xmlns="http://schemas.openxmlformats.org/officeDocument/2006/extended-properties" xmlns:vt="http://schemas.openxmlformats.org/officeDocument/2006/docPropsVTypes">
  <Template>ECE_TRANS.dotm</Template>
  <TotalTime>3</TotalTime>
  <Pages>7</Pages>
  <Words>1497</Words>
  <Characters>8988</Characters>
  <Application>Microsoft Office Word</Application>
  <DocSecurity>0</DocSecurity>
  <Lines>1284</Lines>
  <Paragraphs>551</Paragraphs>
  <ScaleCrop>false</ScaleCrop>
  <HeadingPairs>
    <vt:vector size="2" baseType="variant">
      <vt:variant>
        <vt:lpstr>Titre</vt:lpstr>
      </vt:variant>
      <vt:variant>
        <vt:i4>1</vt:i4>
      </vt:variant>
    </vt:vector>
  </HeadingPairs>
  <TitlesOfParts>
    <vt:vector size="1" baseType="lpstr">
      <vt:lpstr>ECE/TRANS/WP.29/GRSP/2023/35</vt:lpstr>
    </vt:vector>
  </TitlesOfParts>
  <Company>DCM</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ECE/TRANS/WP.29/GRSP/2023/35</dc:title>
  <dc:subject/>
  <dc:creator>Corinne ROBERT</dc:creator>
  <cp:keywords/>
  <cp:lastModifiedBy>Corinne Robert</cp:lastModifiedBy>
  <cp:revision>3</cp:revision>
  <cp:lastPrinted>2023-10-13T13:47:00Z</cp:lastPrinted>
  <dcterms:created xsi:type="dcterms:W3CDTF">2023-10-13T13:46:00Z</dcterms:created>
  <dcterms:modified xsi:type="dcterms:W3CDTF">2023-10-13T13:48:00Z</dcterms:modified>
</cp:coreProperties>
</file>