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09E59291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D7561D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B3788A4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C81C815" w14:textId="62619E37" w:rsidR="009E6CB7" w:rsidRPr="00D47EEA" w:rsidRDefault="002073C2" w:rsidP="002073C2">
            <w:pPr>
              <w:jc w:val="right"/>
            </w:pPr>
            <w:r w:rsidRPr="002073C2">
              <w:rPr>
                <w:sz w:val="40"/>
              </w:rPr>
              <w:t>ECE</w:t>
            </w:r>
            <w:r>
              <w:t>/TRANS/WP.29/GRSP/2023/35</w:t>
            </w:r>
          </w:p>
        </w:tc>
      </w:tr>
      <w:tr w:rsidR="009E6CB7" w14:paraId="4CE897B7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7347C59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90C8EE0" wp14:editId="31D1F500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3933A99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A58F646" w14:textId="77777777" w:rsidR="009E6CB7" w:rsidRDefault="002073C2" w:rsidP="002073C2">
            <w:pPr>
              <w:spacing w:before="240" w:line="240" w:lineRule="exact"/>
            </w:pPr>
            <w:r>
              <w:t>Distr.: General</w:t>
            </w:r>
          </w:p>
          <w:p w14:paraId="424FB2EF" w14:textId="3B3CD7A9" w:rsidR="002073C2" w:rsidRDefault="00B01F99" w:rsidP="002073C2">
            <w:pPr>
              <w:spacing w:line="240" w:lineRule="exact"/>
            </w:pPr>
            <w:r>
              <w:t>2</w:t>
            </w:r>
            <w:r w:rsidR="002073C2">
              <w:t>2 September 2023</w:t>
            </w:r>
          </w:p>
          <w:p w14:paraId="6B06E42D" w14:textId="77777777" w:rsidR="002073C2" w:rsidRDefault="002073C2" w:rsidP="002073C2">
            <w:pPr>
              <w:spacing w:line="240" w:lineRule="exact"/>
            </w:pPr>
          </w:p>
          <w:p w14:paraId="023BD860" w14:textId="026C84D8" w:rsidR="002073C2" w:rsidRDefault="002073C2" w:rsidP="002073C2">
            <w:pPr>
              <w:spacing w:line="240" w:lineRule="exact"/>
            </w:pPr>
            <w:r>
              <w:t>Original: English</w:t>
            </w:r>
          </w:p>
        </w:tc>
      </w:tr>
    </w:tbl>
    <w:p w14:paraId="098D0D07" w14:textId="77777777" w:rsidR="002073C2" w:rsidRDefault="002073C2" w:rsidP="002073C2">
      <w:pPr>
        <w:spacing w:before="12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Economic Commission for Europe</w:t>
      </w:r>
    </w:p>
    <w:p w14:paraId="03397BCC" w14:textId="77777777" w:rsidR="002073C2" w:rsidRDefault="002073C2" w:rsidP="002073C2">
      <w:pPr>
        <w:spacing w:before="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Inland Transport Committee</w:t>
      </w:r>
    </w:p>
    <w:p w14:paraId="4F4EE1B4" w14:textId="77777777" w:rsidR="002073C2" w:rsidRDefault="002073C2" w:rsidP="002073C2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World Forum for Harmonization of Vehicle Regulations</w:t>
      </w:r>
    </w:p>
    <w:p w14:paraId="203590C2" w14:textId="77777777" w:rsidR="002073C2" w:rsidRDefault="002073C2" w:rsidP="002073C2">
      <w:pPr>
        <w:spacing w:before="1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Working Party on Passive Safety</w:t>
      </w:r>
    </w:p>
    <w:p w14:paraId="41FF2F34" w14:textId="77777777" w:rsidR="002073C2" w:rsidRDefault="002073C2" w:rsidP="002073C2">
      <w:pPr>
        <w:spacing w:before="1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Seventy-fourth session</w:t>
      </w:r>
    </w:p>
    <w:p w14:paraId="75C2B7BA" w14:textId="77777777" w:rsidR="002073C2" w:rsidRDefault="002073C2" w:rsidP="002073C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Geneva, 4–8 December 2023</w:t>
      </w:r>
    </w:p>
    <w:p w14:paraId="4A0F529B" w14:textId="41A28A6F" w:rsidR="002073C2" w:rsidRDefault="002073C2" w:rsidP="002073C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Item 10 of the provisional agenda</w:t>
      </w:r>
    </w:p>
    <w:p w14:paraId="306EC5C2" w14:textId="77777777" w:rsidR="002073C2" w:rsidRPr="00341F66" w:rsidRDefault="002073C2" w:rsidP="002073C2">
      <w:pPr>
        <w:rPr>
          <w:b/>
        </w:rPr>
      </w:pPr>
      <w:r w:rsidRPr="00341F66">
        <w:rPr>
          <w:b/>
        </w:rPr>
        <w:t>Regulation No. 1</w:t>
      </w:r>
      <w:r>
        <w:rPr>
          <w:b/>
        </w:rPr>
        <w:t>00</w:t>
      </w:r>
      <w:r w:rsidRPr="00341F66">
        <w:rPr>
          <w:b/>
        </w:rPr>
        <w:t xml:space="preserve"> (</w:t>
      </w:r>
      <w:r>
        <w:rPr>
          <w:b/>
        </w:rPr>
        <w:t>Electric power trained vehicles</w:t>
      </w:r>
      <w:r w:rsidRPr="00341F66">
        <w:rPr>
          <w:b/>
        </w:rPr>
        <w:t>)</w:t>
      </w:r>
    </w:p>
    <w:p w14:paraId="75ABA9FE" w14:textId="37BDEEE4" w:rsidR="002073C2" w:rsidRPr="002073C2" w:rsidRDefault="002073C2" w:rsidP="002073C2">
      <w:pPr>
        <w:pStyle w:val="HChG"/>
        <w:rPr>
          <w:bCs/>
        </w:rPr>
      </w:pPr>
      <w:r w:rsidRPr="00341F66">
        <w:tab/>
      </w:r>
      <w:r w:rsidRPr="00341F66">
        <w:tab/>
      </w:r>
      <w:r w:rsidRPr="00341F66">
        <w:rPr>
          <w:bCs/>
        </w:rPr>
        <w:t>Proposal for the 0</w:t>
      </w:r>
      <w:r>
        <w:rPr>
          <w:bCs/>
        </w:rPr>
        <w:t>4</w:t>
      </w:r>
      <w:r w:rsidRPr="00341F66">
        <w:rPr>
          <w:bCs/>
        </w:rPr>
        <w:t xml:space="preserve"> series of amendments to Regulation No. 1</w:t>
      </w:r>
      <w:r>
        <w:rPr>
          <w:bCs/>
        </w:rPr>
        <w:t>00</w:t>
      </w:r>
      <w:r w:rsidRPr="00341F66">
        <w:rPr>
          <w:bCs/>
        </w:rPr>
        <w:t xml:space="preserve"> </w:t>
      </w:r>
      <w:r w:rsidRPr="007428D4">
        <w:rPr>
          <w:bCs/>
        </w:rPr>
        <w:t>(</w:t>
      </w:r>
      <w:r>
        <w:rPr>
          <w:bCs/>
        </w:rPr>
        <w:t>Electric power trained vehicles</w:t>
      </w:r>
      <w:r w:rsidRPr="007428D4">
        <w:rPr>
          <w:bCs/>
        </w:rPr>
        <w:t>)</w:t>
      </w:r>
      <w:r>
        <w:t xml:space="preserve"> </w:t>
      </w:r>
      <w:r>
        <w:footnoteReference w:customMarkFollows="1" w:id="2"/>
        <w:t>*</w:t>
      </w:r>
    </w:p>
    <w:p w14:paraId="55A55F25" w14:textId="0340679B" w:rsidR="002073C2" w:rsidRDefault="002073C2" w:rsidP="002073C2">
      <w:pPr>
        <w:pStyle w:val="H1G"/>
      </w:pPr>
      <w:r>
        <w:tab/>
      </w:r>
      <w:r>
        <w:tab/>
        <w:t>Submitted by the expert</w:t>
      </w:r>
      <w:r>
        <w:rPr>
          <w:spacing w:val="-4"/>
        </w:rPr>
        <w:t xml:space="preserve"> from </w:t>
      </w:r>
      <w:r>
        <w:t>the Netherlands</w:t>
      </w:r>
      <w:r>
        <w:rPr>
          <w:rStyle w:val="FootnoteReference"/>
          <w:sz w:val="20"/>
        </w:rPr>
        <w:t xml:space="preserve"> </w:t>
      </w:r>
      <w:r>
        <w:rPr>
          <w:bCs/>
        </w:rPr>
        <w:t xml:space="preserve"> </w:t>
      </w:r>
    </w:p>
    <w:p w14:paraId="05BCB762" w14:textId="61A8ABEC" w:rsidR="002073C2" w:rsidRPr="00341F66" w:rsidRDefault="002073C2" w:rsidP="002073C2">
      <w:pPr>
        <w:pStyle w:val="SingleTxtG"/>
        <w:ind w:firstLine="567"/>
      </w:pPr>
      <w:r w:rsidRPr="00341F66">
        <w:rPr>
          <w:snapToGrid w:val="0"/>
        </w:rPr>
        <w:t>The text reproduced below was prepared by the expert from the</w:t>
      </w:r>
      <w:r w:rsidRPr="00341F66">
        <w:t xml:space="preserve"> Netherlands, aiming to achieve an identification of buses and trucks </w:t>
      </w:r>
      <w:r>
        <w:t xml:space="preserve">equipped with an electric drivetrain </w:t>
      </w:r>
      <w:r w:rsidRPr="00341F66">
        <w:t>which is consistent with already existing regulated identification for Liquified Petroleum Gas (LPG), Compressed Natural Gas (CNG)</w:t>
      </w:r>
      <w:r>
        <w:t>,</w:t>
      </w:r>
      <w:r w:rsidRPr="00341F66">
        <w:t xml:space="preserve"> Liquid Natural Gas (LNG) </w:t>
      </w:r>
      <w:r>
        <w:t xml:space="preserve">and Compressed Hydrogen (H2) </w:t>
      </w:r>
      <w:r w:rsidRPr="00341F66">
        <w:t xml:space="preserve">fuelled </w:t>
      </w:r>
      <w:r>
        <w:t xml:space="preserve">trucks and </w:t>
      </w:r>
      <w:r w:rsidRPr="00341F66">
        <w:t>busses</w:t>
      </w:r>
      <w:r>
        <w:t xml:space="preserve">. This proposal is based upon </w:t>
      </w:r>
      <w:r w:rsidRPr="008E6601">
        <w:t>ECE/TRANS/WP.29/</w:t>
      </w:r>
      <w:r>
        <w:t xml:space="preserve">GRSP/2023/10, GRSP-73-17 and GRSP-73-49. </w:t>
      </w:r>
      <w:r w:rsidRPr="00341F66">
        <w:t xml:space="preserve">The modifications to the current text of the UN Regulation </w:t>
      </w:r>
      <w:r w:rsidR="001A2227">
        <w:t xml:space="preserve">(including </w:t>
      </w:r>
      <w:r w:rsidR="00441397">
        <w:t xml:space="preserve">ECE/TRANS/WP.29/2023/118) </w:t>
      </w:r>
      <w:r w:rsidRPr="00341F66">
        <w:t>are marked in bold for new or strikethrough for deleted characters</w:t>
      </w:r>
      <w:r w:rsidRPr="00341F66">
        <w:rPr>
          <w:szCs w:val="23"/>
        </w:rPr>
        <w:t>.</w:t>
      </w:r>
    </w:p>
    <w:p w14:paraId="668A781D" w14:textId="77777777" w:rsidR="002073C2" w:rsidRPr="00D33775" w:rsidRDefault="002073C2" w:rsidP="002073C2">
      <w:pPr>
        <w:pStyle w:val="SingleTxtG"/>
        <w:ind w:firstLine="567"/>
        <w:rPr>
          <w:szCs w:val="23"/>
        </w:rPr>
      </w:pPr>
    </w:p>
    <w:p w14:paraId="692EE472" w14:textId="77777777" w:rsidR="002073C2" w:rsidRDefault="002073C2" w:rsidP="002073C2">
      <w:pPr>
        <w:suppressAutoHyphens w:val="0"/>
        <w:spacing w:line="240" w:lineRule="auto"/>
      </w:pPr>
      <w:r>
        <w:br w:type="page"/>
      </w:r>
    </w:p>
    <w:p w14:paraId="49B40C63" w14:textId="77777777" w:rsidR="00B31229" w:rsidRPr="00341F66" w:rsidRDefault="00B31229" w:rsidP="00B31229">
      <w:pPr>
        <w:pStyle w:val="HChG"/>
      </w:pPr>
      <w:r w:rsidRPr="00341F66">
        <w:lastRenderedPageBreak/>
        <w:tab/>
        <w:t>I.</w:t>
      </w:r>
      <w:r w:rsidRPr="00341F66">
        <w:tab/>
        <w:t>Proposal</w:t>
      </w:r>
    </w:p>
    <w:p w14:paraId="1B4C0FED" w14:textId="77777777" w:rsidR="00B31229" w:rsidRPr="00341F66" w:rsidRDefault="00B31229" w:rsidP="00B31229">
      <w:pPr>
        <w:pStyle w:val="SingleTxtG"/>
        <w:rPr>
          <w:i/>
        </w:rPr>
      </w:pPr>
      <w:r w:rsidRPr="00341F66">
        <w:rPr>
          <w:i/>
          <w:iCs/>
          <w:lang w:eastAsia="ja-JP"/>
        </w:rPr>
        <w:t>C</w:t>
      </w:r>
      <w:r w:rsidRPr="00341F66">
        <w:rPr>
          <w:i/>
          <w:iCs/>
        </w:rPr>
        <w:t>ontents, list of annexes</w:t>
      </w:r>
      <w:r w:rsidRPr="00341F66">
        <w:rPr>
          <w:i/>
        </w:rPr>
        <w:t xml:space="preserve">, </w:t>
      </w:r>
      <w:r w:rsidRPr="00341F66">
        <w:rPr>
          <w:iCs/>
        </w:rPr>
        <w:t>amend to read:</w:t>
      </w:r>
    </w:p>
    <w:p w14:paraId="500BC865" w14:textId="056E3D27" w:rsidR="00B31229" w:rsidRPr="00847A87" w:rsidRDefault="00B31229" w:rsidP="00B31229">
      <w:pPr>
        <w:spacing w:after="120"/>
        <w:rPr>
          <w:sz w:val="28"/>
          <w:lang w:val="fr-CH"/>
        </w:rPr>
      </w:pPr>
      <w:r w:rsidRPr="00847A87">
        <w:rPr>
          <w:sz w:val="28"/>
          <w:lang w:val="fr-CH"/>
        </w:rPr>
        <w:t>"Contents</w:t>
      </w:r>
    </w:p>
    <w:p w14:paraId="6F13A79A" w14:textId="77777777" w:rsidR="00B31229" w:rsidRPr="00847A87" w:rsidRDefault="00B31229" w:rsidP="00B31229">
      <w:pPr>
        <w:tabs>
          <w:tab w:val="right" w:pos="9638"/>
        </w:tabs>
        <w:spacing w:after="120"/>
        <w:ind w:left="283"/>
        <w:rPr>
          <w:sz w:val="18"/>
          <w:lang w:val="fr-CH"/>
        </w:rPr>
      </w:pPr>
      <w:r w:rsidRPr="00847A87">
        <w:rPr>
          <w:i/>
          <w:sz w:val="18"/>
          <w:lang w:val="fr-CH"/>
        </w:rPr>
        <w:tab/>
        <w:t>Page</w:t>
      </w:r>
    </w:p>
    <w:p w14:paraId="6011A1C6" w14:textId="77777777" w:rsidR="00B31229" w:rsidRPr="00847A87" w:rsidRDefault="00B31229" w:rsidP="00B31229">
      <w:pPr>
        <w:tabs>
          <w:tab w:val="right" w:pos="850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rPr>
          <w:lang w:val="fr-CH"/>
        </w:rPr>
      </w:pPr>
      <w:r w:rsidRPr="00847A87">
        <w:rPr>
          <w:lang w:val="fr-CH"/>
        </w:rPr>
        <w:t>Regulation</w:t>
      </w:r>
    </w:p>
    <w:p w14:paraId="1F781940" w14:textId="77777777" w:rsidR="00B31229" w:rsidRPr="00847A87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  <w:lang w:val="fr-CH"/>
        </w:rPr>
      </w:pPr>
      <w:r w:rsidRPr="00847A87">
        <w:rPr>
          <w:noProof/>
          <w:lang w:val="fr-CH"/>
        </w:rPr>
        <w:t>1.</w:t>
      </w:r>
      <w:r w:rsidRPr="00847A87">
        <w:rPr>
          <w:noProof/>
          <w:lang w:val="fr-CH"/>
        </w:rPr>
        <w:tab/>
        <w:t>Scope</w:t>
      </w:r>
      <w:r w:rsidRPr="00847A87">
        <w:rPr>
          <w:noProof/>
          <w:lang w:val="fr-CH"/>
        </w:rPr>
        <w:tab/>
      </w:r>
      <w:r w:rsidRPr="00847A87">
        <w:rPr>
          <w:noProof/>
          <w:webHidden/>
          <w:lang w:val="fr-CH"/>
        </w:rPr>
        <w:tab/>
      </w:r>
      <w:r w:rsidRPr="00847A87">
        <w:rPr>
          <w:noProof/>
          <w:webHidden/>
          <w:lang w:val="fr-CH"/>
        </w:rPr>
        <w:tab/>
      </w:r>
    </w:p>
    <w:p w14:paraId="5D6D6A70" w14:textId="77777777" w:rsidR="00B31229" w:rsidRPr="00847A87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  <w:lang w:val="fr-CH"/>
        </w:rPr>
      </w:pPr>
      <w:r w:rsidRPr="00847A87">
        <w:rPr>
          <w:noProof/>
          <w:lang w:val="fr-CH"/>
        </w:rPr>
        <w:t>2.</w:t>
      </w:r>
      <w:r w:rsidRPr="00847A87">
        <w:rPr>
          <w:noProof/>
          <w:lang w:val="fr-CH"/>
        </w:rPr>
        <w:tab/>
        <w:t>Definitions</w:t>
      </w:r>
      <w:r w:rsidRPr="00847A87">
        <w:rPr>
          <w:noProof/>
          <w:webHidden/>
          <w:lang w:val="fr-CH"/>
        </w:rPr>
        <w:tab/>
      </w:r>
      <w:r w:rsidRPr="00847A87">
        <w:rPr>
          <w:noProof/>
          <w:webHidden/>
          <w:lang w:val="fr-CH"/>
        </w:rPr>
        <w:tab/>
      </w:r>
    </w:p>
    <w:p w14:paraId="499941C0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>3.</w:t>
      </w:r>
      <w:r w:rsidRPr="00170B9F">
        <w:rPr>
          <w:noProof/>
        </w:rPr>
        <w:tab/>
        <w:t>Application for approval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177C2E48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>4.</w:t>
      </w:r>
      <w:r w:rsidRPr="00170B9F">
        <w:rPr>
          <w:noProof/>
        </w:rPr>
        <w:tab/>
        <w:t>Approval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208373B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>5.</w:t>
      </w:r>
      <w:r w:rsidRPr="00170B9F">
        <w:rPr>
          <w:noProof/>
        </w:rPr>
        <w:tab/>
        <w:t xml:space="preserve">Part I: Requirements of a vehicle with regard to </w:t>
      </w:r>
      <w:r>
        <w:rPr>
          <w:noProof/>
        </w:rPr>
        <w:t>specific requirements for the electric power train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603B9950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>6.</w:t>
      </w:r>
      <w:r w:rsidRPr="00170B9F">
        <w:rPr>
          <w:noProof/>
        </w:rPr>
        <w:tab/>
        <w:t xml:space="preserve">Part II: Requirements of a </w:t>
      </w:r>
      <w:r>
        <w:rPr>
          <w:noProof/>
        </w:rPr>
        <w:t>Rechargeable Electrical Energy Storage System (REESS)</w:t>
      </w:r>
      <w:r w:rsidRPr="00170B9F">
        <w:rPr>
          <w:noProof/>
        </w:rPr>
        <w:t xml:space="preserve"> with regard </w:t>
      </w:r>
      <w:r>
        <w:rPr>
          <w:noProof/>
        </w:rPr>
        <w:br/>
      </w:r>
      <w:r w:rsidRPr="00170B9F">
        <w:rPr>
          <w:noProof/>
        </w:rPr>
        <w:t>to its safety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69758BD2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>7.</w:t>
      </w:r>
      <w:r w:rsidRPr="00170B9F">
        <w:rPr>
          <w:noProof/>
        </w:rPr>
        <w:tab/>
        <w:t>Modifications and extension of the type approval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5D81D77F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>8.</w:t>
      </w:r>
      <w:r w:rsidRPr="00170B9F">
        <w:rPr>
          <w:noProof/>
        </w:rPr>
        <w:tab/>
        <w:t>Conformity of production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593505AB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>9.</w:t>
      </w:r>
      <w:r w:rsidRPr="00170B9F">
        <w:rPr>
          <w:noProof/>
        </w:rPr>
        <w:tab/>
        <w:t>Penalties for non-conformity of production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6227457D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>10.</w:t>
      </w:r>
      <w:r w:rsidRPr="00170B9F">
        <w:rPr>
          <w:noProof/>
        </w:rPr>
        <w:tab/>
        <w:t>Production definitively discontinued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17A1BA7C" w14:textId="77777777" w:rsidR="00B31229" w:rsidRPr="00170B9F" w:rsidRDefault="00B31229" w:rsidP="00B31229">
      <w:pPr>
        <w:tabs>
          <w:tab w:val="right" w:pos="567"/>
          <w:tab w:val="left" w:pos="1134"/>
          <w:tab w:val="left" w:pos="1984"/>
          <w:tab w:val="left" w:leader="dot" w:pos="8929"/>
          <w:tab w:val="right" w:pos="9638"/>
        </w:tabs>
        <w:spacing w:after="120"/>
        <w:ind w:left="1134" w:hanging="567"/>
        <w:rPr>
          <w:noProof/>
        </w:rPr>
      </w:pPr>
      <w:r w:rsidRPr="00170B9F">
        <w:rPr>
          <w:noProof/>
        </w:rPr>
        <w:t>11.</w:t>
      </w:r>
      <w:r w:rsidRPr="00170B9F">
        <w:rPr>
          <w:noProof/>
        </w:rPr>
        <w:tab/>
        <w:t xml:space="preserve">Names and addresses of Technical Services responsible for conducting approval tests and </w:t>
      </w:r>
      <w:r>
        <w:rPr>
          <w:noProof/>
        </w:rPr>
        <w:br/>
      </w:r>
      <w:r w:rsidRPr="00170B9F">
        <w:rPr>
          <w:noProof/>
        </w:rPr>
        <w:t>of Type Approval Authorities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327BD401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>12.</w:t>
      </w:r>
      <w:r w:rsidRPr="00170B9F">
        <w:rPr>
          <w:noProof/>
        </w:rPr>
        <w:tab/>
        <w:t>Transitional provisions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5381039A" w14:textId="77777777" w:rsidR="00B31229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1117"/>
        <w:rPr>
          <w:noProof/>
        </w:rPr>
      </w:pPr>
      <w:r w:rsidRPr="00170B9F">
        <w:rPr>
          <w:noProof/>
        </w:rPr>
        <w:t>Annex</w:t>
      </w:r>
      <w:r>
        <w:rPr>
          <w:noProof/>
        </w:rPr>
        <w:t>es</w:t>
      </w:r>
    </w:p>
    <w:p w14:paraId="1774119A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 w:rsidRPr="00170B9F">
        <w:rPr>
          <w:noProof/>
        </w:rPr>
        <w:t xml:space="preserve">1 </w:t>
      </w:r>
      <w:r>
        <w:rPr>
          <w:noProof/>
        </w:rPr>
        <w:tab/>
      </w:r>
      <w:r w:rsidRPr="00170B9F">
        <w:rPr>
          <w:noProof/>
        </w:rPr>
        <w:t>Part 1</w:t>
      </w:r>
      <w:r>
        <w:rPr>
          <w:noProof/>
        </w:rPr>
        <w:t xml:space="preserve"> - </w:t>
      </w:r>
      <w:r w:rsidRPr="000A5508">
        <w:rPr>
          <w:noProof/>
        </w:rPr>
        <w:t xml:space="preserve">Communication concerning the approval or extension or refusal or withdrawal of approval </w:t>
      </w:r>
      <w:r w:rsidRPr="000A5508">
        <w:rPr>
          <w:noProof/>
        </w:rPr>
        <w:br/>
        <w:t xml:space="preserve">or production definitively discontinued of a vehicle type with regard to its electrical safety pursuant </w:t>
      </w:r>
      <w:r w:rsidRPr="000A5508">
        <w:rPr>
          <w:noProof/>
        </w:rPr>
        <w:br/>
        <w:t>to Regulation No. 100</w:t>
      </w:r>
      <w:r w:rsidRPr="000A5508">
        <w:rPr>
          <w:noProof/>
          <w:webHidden/>
        </w:rPr>
        <w:tab/>
      </w:r>
      <w:r w:rsidRPr="000A5508">
        <w:rPr>
          <w:noProof/>
          <w:webHidden/>
        </w:rPr>
        <w:tab/>
      </w:r>
    </w:p>
    <w:p w14:paraId="5AD3EE93" w14:textId="77777777" w:rsidR="00B31229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1</w:t>
      </w:r>
      <w:r>
        <w:rPr>
          <w:noProof/>
        </w:rPr>
        <w:tab/>
      </w:r>
      <w:r>
        <w:rPr>
          <w:noProof/>
        </w:rPr>
        <w:tab/>
      </w:r>
      <w:r w:rsidRPr="00170B9F">
        <w:rPr>
          <w:noProof/>
        </w:rPr>
        <w:t>Part 2</w:t>
      </w:r>
      <w:r>
        <w:rPr>
          <w:noProof/>
        </w:rPr>
        <w:t xml:space="preserve"> - </w:t>
      </w:r>
      <w:r w:rsidRPr="000A5508">
        <w:rPr>
          <w:noProof/>
        </w:rPr>
        <w:t xml:space="preserve">Communication concerning the approval or extension or refusal or withdrawal of approval </w:t>
      </w:r>
      <w:r w:rsidRPr="000A5508">
        <w:rPr>
          <w:noProof/>
        </w:rPr>
        <w:br/>
        <w:t xml:space="preserve">or production definitively discontinued of a REESS type as component/separate technical unit </w:t>
      </w:r>
      <w:r w:rsidRPr="000A5508">
        <w:rPr>
          <w:noProof/>
        </w:rPr>
        <w:br/>
        <w:t>pursuant to Regulation No. 100</w:t>
      </w:r>
      <w:r w:rsidRPr="000A5508">
        <w:rPr>
          <w:noProof/>
          <w:webHidden/>
        </w:rPr>
        <w:tab/>
      </w:r>
      <w:r w:rsidRPr="000A5508">
        <w:rPr>
          <w:noProof/>
          <w:webHidden/>
        </w:rPr>
        <w:tab/>
      </w:r>
    </w:p>
    <w:p w14:paraId="0F746EFF" w14:textId="77777777" w:rsidR="00B31229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1</w:t>
      </w:r>
      <w:r>
        <w:rPr>
          <w:noProof/>
        </w:rPr>
        <w:tab/>
        <w:t>Appendix 1</w:t>
      </w:r>
      <w:r>
        <w:rPr>
          <w:noProof/>
        </w:rPr>
        <w:tab/>
      </w:r>
      <w:r>
        <w:rPr>
          <w:noProof/>
        </w:rPr>
        <w:tab/>
      </w:r>
    </w:p>
    <w:p w14:paraId="00D2EE34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1</w:t>
      </w:r>
      <w:r>
        <w:rPr>
          <w:noProof/>
        </w:rPr>
        <w:tab/>
        <w:t>Appendix 2</w:t>
      </w:r>
      <w:r>
        <w:rPr>
          <w:noProof/>
        </w:rPr>
        <w:tab/>
      </w:r>
      <w:r>
        <w:rPr>
          <w:noProof/>
        </w:rPr>
        <w:tab/>
      </w:r>
    </w:p>
    <w:p w14:paraId="3708F1E5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2</w:t>
      </w:r>
      <w:r>
        <w:rPr>
          <w:noProof/>
        </w:rPr>
        <w:tab/>
      </w:r>
      <w:r w:rsidRPr="00170B9F">
        <w:rPr>
          <w:noProof/>
        </w:rPr>
        <w:t>Arrangements of the approval marks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6D34B016" w14:textId="77777777" w:rsidR="00B31229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3</w:t>
      </w:r>
      <w:r>
        <w:rPr>
          <w:noProof/>
        </w:rPr>
        <w:tab/>
      </w:r>
      <w:r w:rsidRPr="00170B9F">
        <w:rPr>
          <w:noProof/>
        </w:rPr>
        <w:t>Protection against direct contacts of parts under voltage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195435C1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4</w:t>
      </w:r>
      <w:r>
        <w:rPr>
          <w:noProof/>
        </w:rPr>
        <w:tab/>
      </w:r>
      <w:r w:rsidRPr="00705A2C">
        <w:rPr>
          <w:noProof/>
        </w:rPr>
        <w:t>Verification of potential equalization</w:t>
      </w:r>
      <w:r>
        <w:rPr>
          <w:noProof/>
        </w:rPr>
        <w:tab/>
      </w:r>
      <w:r>
        <w:rPr>
          <w:noProof/>
        </w:rPr>
        <w:tab/>
      </w:r>
    </w:p>
    <w:p w14:paraId="4E9EE708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5</w:t>
      </w:r>
      <w:r w:rsidRPr="00170B9F">
        <w:rPr>
          <w:noProof/>
        </w:rPr>
        <w:t>A</w:t>
      </w:r>
      <w:r>
        <w:rPr>
          <w:noProof/>
          <w:webHidden/>
        </w:rPr>
        <w:tab/>
      </w:r>
      <w:r>
        <w:rPr>
          <w:noProof/>
          <w:webHidden/>
        </w:rPr>
        <w:tab/>
      </w:r>
      <w:r w:rsidRPr="00170B9F">
        <w:rPr>
          <w:noProof/>
        </w:rPr>
        <w:t>Isolation resistance measurement method for vehicle based tests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41120768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5</w:t>
      </w:r>
      <w:r w:rsidRPr="00170B9F">
        <w:rPr>
          <w:noProof/>
        </w:rPr>
        <w:t>B</w:t>
      </w:r>
      <w:r>
        <w:rPr>
          <w:noProof/>
          <w:webHidden/>
        </w:rPr>
        <w:tab/>
      </w:r>
      <w:r>
        <w:rPr>
          <w:noProof/>
        </w:rPr>
        <w:tab/>
      </w:r>
      <w:r w:rsidRPr="00170B9F">
        <w:rPr>
          <w:noProof/>
        </w:rPr>
        <w:t>Isolation resistance measurement method for component based tests of a REESS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6BB2F107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  <w:webHidden/>
        </w:rPr>
        <w:t>6</w:t>
      </w:r>
      <w:r>
        <w:rPr>
          <w:noProof/>
          <w:webHidden/>
        </w:rPr>
        <w:tab/>
      </w:r>
      <w:r w:rsidRPr="00170B9F">
        <w:rPr>
          <w:noProof/>
        </w:rPr>
        <w:t>Confirmation method for function of on-board isolation resistance monitoring system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4AD587FD" w14:textId="77777777" w:rsidR="00B31229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>
        <w:rPr>
          <w:noProof/>
        </w:rPr>
        <w:t>7A</w:t>
      </w:r>
      <w:r>
        <w:rPr>
          <w:noProof/>
        </w:rPr>
        <w:tab/>
      </w:r>
      <w:r w:rsidRPr="00887FA0">
        <w:t xml:space="preserve">Verification </w:t>
      </w:r>
      <w:r>
        <w:t>m</w:t>
      </w:r>
      <w:r w:rsidRPr="00887FA0">
        <w:t xml:space="preserve">ethod for testing authorities confirming document based isolation resistance </w:t>
      </w:r>
      <w:r>
        <w:br/>
      </w:r>
      <w:r w:rsidRPr="00887FA0">
        <w:t>compliance of electrical design of the vehicle after water exposure</w:t>
      </w:r>
      <w:r>
        <w:tab/>
      </w:r>
      <w:r>
        <w:tab/>
      </w:r>
    </w:p>
    <w:p w14:paraId="7CCEC4DB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>
        <w:t>7B</w:t>
      </w:r>
      <w:r>
        <w:tab/>
      </w:r>
      <w:r w:rsidRPr="00887FA0">
        <w:rPr>
          <w:lang w:eastAsia="ja-JP"/>
        </w:rPr>
        <w:t>Vehicle-based</w:t>
      </w:r>
      <w:r>
        <w:rPr>
          <w:lang w:eastAsia="ja-JP"/>
        </w:rPr>
        <w:t xml:space="preserve"> t</w:t>
      </w:r>
      <w:r w:rsidRPr="00887FA0">
        <w:t xml:space="preserve">est </w:t>
      </w:r>
      <w:r>
        <w:t>p</w:t>
      </w:r>
      <w:r w:rsidRPr="00887FA0">
        <w:t xml:space="preserve">rocedure for </w:t>
      </w:r>
      <w:r>
        <w:t>p</w:t>
      </w:r>
      <w:r w:rsidRPr="00887FA0">
        <w:t xml:space="preserve">rotection against </w:t>
      </w:r>
      <w:r>
        <w:t>w</w:t>
      </w:r>
      <w:r w:rsidRPr="00887FA0">
        <w:t xml:space="preserve">ater </w:t>
      </w:r>
      <w:r>
        <w:t>e</w:t>
      </w:r>
      <w:r w:rsidRPr="00887FA0">
        <w:t>ffects</w:t>
      </w:r>
      <w:r>
        <w:tab/>
      </w:r>
      <w:r>
        <w:tab/>
      </w:r>
    </w:p>
    <w:p w14:paraId="2362FE7F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8</w:t>
      </w:r>
      <w:r>
        <w:rPr>
          <w:noProof/>
          <w:webHidden/>
        </w:rPr>
        <w:tab/>
      </w:r>
      <w:r w:rsidRPr="00170B9F">
        <w:rPr>
          <w:noProof/>
        </w:rPr>
        <w:t>Determination of hydrogen emissions during the charge procedures of the REESS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27CA0835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ab/>
      </w:r>
      <w:r w:rsidRPr="00170B9F">
        <w:rPr>
          <w:noProof/>
        </w:rPr>
        <w:t>Appendix 1</w:t>
      </w:r>
      <w:r>
        <w:rPr>
          <w:noProof/>
          <w:webHidden/>
        </w:rPr>
        <w:t xml:space="preserve"> - </w:t>
      </w:r>
      <w:r w:rsidRPr="00170B9F">
        <w:rPr>
          <w:noProof/>
        </w:rPr>
        <w:t>Calibration of equipment for hydrogen emission testing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0CA9AA54" w14:textId="77777777" w:rsidR="00B31229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ab/>
      </w:r>
      <w:r w:rsidRPr="00170B9F">
        <w:rPr>
          <w:noProof/>
        </w:rPr>
        <w:t>Appendix 2</w:t>
      </w:r>
      <w:r>
        <w:rPr>
          <w:noProof/>
        </w:rPr>
        <w:t xml:space="preserve"> - </w:t>
      </w:r>
      <w:r w:rsidRPr="00170B9F">
        <w:rPr>
          <w:noProof/>
        </w:rPr>
        <w:t>Essential characteristics of the vehicle family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63F82085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>
        <w:rPr>
          <w:noProof/>
          <w:webHidden/>
        </w:rPr>
        <w:tab/>
      </w:r>
      <w:r w:rsidRPr="00170B9F">
        <w:rPr>
          <w:noProof/>
        </w:rPr>
        <w:t>REESS test procedures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41047D83" w14:textId="77777777" w:rsidR="00B31229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  <w:webHidden/>
        </w:rPr>
      </w:pPr>
      <w:r>
        <w:rPr>
          <w:noProof/>
        </w:rPr>
        <w:lastRenderedPageBreak/>
        <w:tab/>
      </w:r>
      <w:r w:rsidRPr="00170B9F">
        <w:rPr>
          <w:noProof/>
        </w:rPr>
        <w:t>Appendix 1</w:t>
      </w:r>
      <w:r>
        <w:rPr>
          <w:noProof/>
        </w:rPr>
        <w:t xml:space="preserve"> - </w:t>
      </w:r>
      <w:r w:rsidRPr="00170B9F">
        <w:rPr>
          <w:noProof/>
        </w:rPr>
        <w:t>Procedure for conducting a standard cycle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644FD358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  <w:webHidden/>
        </w:rPr>
        <w:tab/>
        <w:t>Appendix 2 – Procedure for SOC adjustment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656BBF1E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 w:rsidRPr="00170B9F">
        <w:rPr>
          <w:noProof/>
        </w:rPr>
        <w:t>A</w:t>
      </w:r>
      <w:r>
        <w:rPr>
          <w:noProof/>
          <w:webHidden/>
        </w:rPr>
        <w:tab/>
      </w:r>
      <w:r w:rsidRPr="00170B9F">
        <w:rPr>
          <w:noProof/>
        </w:rPr>
        <w:t>Vibration test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718FCE2B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 w:rsidRPr="00170B9F">
        <w:rPr>
          <w:noProof/>
        </w:rPr>
        <w:t>B</w:t>
      </w:r>
      <w:r>
        <w:rPr>
          <w:noProof/>
          <w:webHidden/>
        </w:rPr>
        <w:tab/>
      </w:r>
      <w:r w:rsidRPr="00170B9F">
        <w:rPr>
          <w:noProof/>
        </w:rPr>
        <w:t>Thermal shock and cycling test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34E53385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 w:rsidRPr="00170B9F">
        <w:rPr>
          <w:noProof/>
        </w:rPr>
        <w:t>C</w:t>
      </w:r>
      <w:r>
        <w:rPr>
          <w:noProof/>
          <w:webHidden/>
        </w:rPr>
        <w:tab/>
      </w:r>
      <w:r w:rsidRPr="00170B9F">
        <w:rPr>
          <w:noProof/>
        </w:rPr>
        <w:t>Mechanical shock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57F63E5F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 w:rsidRPr="00170B9F">
        <w:rPr>
          <w:noProof/>
        </w:rPr>
        <w:t>D</w:t>
      </w:r>
      <w:r>
        <w:rPr>
          <w:noProof/>
          <w:webHidden/>
        </w:rPr>
        <w:tab/>
      </w:r>
      <w:r w:rsidRPr="00170B9F">
        <w:rPr>
          <w:noProof/>
        </w:rPr>
        <w:t>Mechanical integrity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1CC3A02D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 w:rsidRPr="00170B9F">
        <w:rPr>
          <w:noProof/>
        </w:rPr>
        <w:t>E</w:t>
      </w:r>
      <w:r>
        <w:rPr>
          <w:noProof/>
          <w:webHidden/>
        </w:rPr>
        <w:tab/>
      </w:r>
      <w:r w:rsidRPr="00170B9F">
        <w:rPr>
          <w:noProof/>
        </w:rPr>
        <w:t>Fire resistance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17E493C6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/>
        <w:rPr>
          <w:noProof/>
        </w:rPr>
      </w:pPr>
      <w:r w:rsidRPr="00170B9F">
        <w:rPr>
          <w:noProof/>
        </w:rPr>
        <w:t>Appendix 1</w:t>
      </w:r>
      <w:r>
        <w:rPr>
          <w:noProof/>
        </w:rPr>
        <w:t xml:space="preserve"> - </w:t>
      </w:r>
      <w:r w:rsidRPr="00170B9F">
        <w:rPr>
          <w:noProof/>
        </w:rPr>
        <w:t>Dimension and technical data of firebricks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3705D9F6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 w:rsidRPr="00170B9F">
        <w:rPr>
          <w:noProof/>
        </w:rPr>
        <w:t>F</w:t>
      </w:r>
      <w:r>
        <w:rPr>
          <w:noProof/>
          <w:webHidden/>
        </w:rPr>
        <w:tab/>
      </w:r>
      <w:r w:rsidRPr="00170B9F">
        <w:rPr>
          <w:noProof/>
        </w:rPr>
        <w:t>External short circuit protection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768793B2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 w:rsidRPr="00170B9F">
        <w:rPr>
          <w:noProof/>
        </w:rPr>
        <w:t>G</w:t>
      </w:r>
      <w:r>
        <w:rPr>
          <w:noProof/>
          <w:webHidden/>
        </w:rPr>
        <w:tab/>
      </w:r>
      <w:r w:rsidRPr="00170B9F">
        <w:rPr>
          <w:noProof/>
        </w:rPr>
        <w:t>Overcharge protection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4A3A11FE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 w:rsidRPr="00170B9F">
        <w:rPr>
          <w:noProof/>
        </w:rPr>
        <w:t>H</w:t>
      </w:r>
      <w:r>
        <w:rPr>
          <w:noProof/>
          <w:webHidden/>
        </w:rPr>
        <w:tab/>
      </w:r>
      <w:r w:rsidRPr="00170B9F">
        <w:rPr>
          <w:noProof/>
        </w:rPr>
        <w:t>Over-discharge protection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30D120B4" w14:textId="77777777" w:rsidR="00B31229" w:rsidRPr="00170B9F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noProof/>
        </w:rPr>
      </w:pPr>
      <w:r>
        <w:rPr>
          <w:noProof/>
        </w:rPr>
        <w:t>9</w:t>
      </w:r>
      <w:r w:rsidRPr="00170B9F">
        <w:rPr>
          <w:noProof/>
        </w:rPr>
        <w:t>I</w:t>
      </w:r>
      <w:r>
        <w:rPr>
          <w:noProof/>
          <w:webHidden/>
        </w:rPr>
        <w:tab/>
      </w:r>
      <w:r w:rsidRPr="00170B9F">
        <w:rPr>
          <w:noProof/>
        </w:rPr>
        <w:t>Over-temperature protection</w:t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14:paraId="61E074A7" w14:textId="77777777" w:rsidR="00B31229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</w:pPr>
      <w:r>
        <w:t>9J</w:t>
      </w:r>
      <w:r>
        <w:tab/>
      </w:r>
      <w:r w:rsidRPr="00887FA0">
        <w:t>Over-</w:t>
      </w:r>
      <w:r>
        <w:rPr>
          <w:lang w:eastAsia="ja-JP"/>
        </w:rPr>
        <w:t>c</w:t>
      </w:r>
      <w:r w:rsidRPr="00887FA0">
        <w:rPr>
          <w:lang w:eastAsia="ja-JP"/>
        </w:rPr>
        <w:t>urrent</w:t>
      </w:r>
      <w:r w:rsidRPr="00887FA0">
        <w:t xml:space="preserve"> </w:t>
      </w:r>
      <w:r>
        <w:t>p</w:t>
      </w:r>
      <w:r w:rsidRPr="00887FA0">
        <w:t>rotection</w:t>
      </w:r>
      <w:r>
        <w:tab/>
      </w:r>
    </w:p>
    <w:p w14:paraId="7AE80DA5" w14:textId="24078276" w:rsidR="00B31229" w:rsidRPr="001B7A90" w:rsidRDefault="00B31229" w:rsidP="00B31229">
      <w:pPr>
        <w:tabs>
          <w:tab w:val="right" w:pos="567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  <w:ind w:left="1131" w:hanging="564"/>
        <w:rPr>
          <w:b/>
        </w:rPr>
      </w:pPr>
      <w:r w:rsidRPr="001B7A90">
        <w:rPr>
          <w:b/>
        </w:rPr>
        <w:t>10</w:t>
      </w:r>
      <w:r w:rsidRPr="001B7A90">
        <w:rPr>
          <w:b/>
        </w:rPr>
        <w:tab/>
      </w:r>
      <w:r w:rsidRPr="001B7A90">
        <w:rPr>
          <w:b/>
        </w:rPr>
        <w:tab/>
      </w:r>
      <w:r w:rsidR="0093301D" w:rsidRPr="0093301D">
        <w:rPr>
          <w:b/>
        </w:rPr>
        <w:t xml:space="preserve">Provisions for a label for vehicles of categories M2/N2 and M3/N3 equipped with an </w:t>
      </w:r>
      <w:r w:rsidR="0093301D">
        <w:rPr>
          <w:b/>
        </w:rPr>
        <w:br/>
      </w:r>
      <w:r w:rsidR="0093301D" w:rsidRPr="0093301D">
        <w:rPr>
          <w:b/>
        </w:rPr>
        <w:t>electric power train</w:t>
      </w:r>
      <w:r w:rsidRPr="001B7A90">
        <w:rPr>
          <w:b/>
        </w:rPr>
        <w:tab/>
      </w:r>
      <w:r w:rsidRPr="00F33663">
        <w:rPr>
          <w:bCs/>
        </w:rPr>
        <w:t>"</w:t>
      </w:r>
    </w:p>
    <w:p w14:paraId="3360711F" w14:textId="77777777" w:rsidR="00B31229" w:rsidRPr="00341F66" w:rsidRDefault="00B31229" w:rsidP="00B31229">
      <w:pPr>
        <w:rPr>
          <w:i/>
        </w:rPr>
      </w:pPr>
      <w:r w:rsidRPr="005B1D64">
        <w:rPr>
          <w:sz w:val="28"/>
          <w:lang w:val="en-US"/>
        </w:rPr>
        <w:t xml:space="preserve"> </w:t>
      </w:r>
    </w:p>
    <w:p w14:paraId="15E0879C" w14:textId="169CE358" w:rsidR="00B31229" w:rsidRPr="00341F66" w:rsidRDefault="00B31229" w:rsidP="00B31229">
      <w:pPr>
        <w:pStyle w:val="SingleTxtG"/>
        <w:ind w:left="2268" w:hanging="1134"/>
        <w:rPr>
          <w:i/>
        </w:rPr>
      </w:pPr>
      <w:r w:rsidRPr="00341F66">
        <w:rPr>
          <w:i/>
        </w:rPr>
        <w:t>Insert</w:t>
      </w:r>
      <w:r w:rsidR="00E108CD">
        <w:rPr>
          <w:i/>
        </w:rPr>
        <w:t xml:space="preserve"> </w:t>
      </w:r>
      <w:r w:rsidRPr="00341F66">
        <w:rPr>
          <w:i/>
        </w:rPr>
        <w:t>new paragraph</w:t>
      </w:r>
      <w:r w:rsidR="00E108CD">
        <w:rPr>
          <w:i/>
        </w:rPr>
        <w:t>s</w:t>
      </w:r>
      <w:r w:rsidRPr="00341F66">
        <w:rPr>
          <w:i/>
        </w:rPr>
        <w:t xml:space="preserve"> </w:t>
      </w:r>
      <w:r>
        <w:rPr>
          <w:i/>
        </w:rPr>
        <w:t>5.5</w:t>
      </w:r>
      <w:r w:rsidRPr="00341F66">
        <w:rPr>
          <w:i/>
        </w:rPr>
        <w:t>.</w:t>
      </w:r>
      <w:r w:rsidR="00E108CD">
        <w:rPr>
          <w:i/>
        </w:rPr>
        <w:t xml:space="preserve"> to 5.5.3.</w:t>
      </w:r>
      <w:r w:rsidRPr="00341F66">
        <w:rPr>
          <w:i/>
        </w:rPr>
        <w:t xml:space="preserve">, </w:t>
      </w:r>
      <w:r w:rsidRPr="00341F66">
        <w:rPr>
          <w:iCs/>
        </w:rPr>
        <w:t>to read:</w:t>
      </w:r>
    </w:p>
    <w:p w14:paraId="61BF1AE0" w14:textId="1CA71390" w:rsidR="00B31229" w:rsidRPr="00341F66" w:rsidRDefault="00B31229" w:rsidP="00B31229">
      <w:pPr>
        <w:pStyle w:val="SingleTxtG"/>
        <w:ind w:left="2268" w:hanging="1134"/>
        <w:rPr>
          <w:b/>
        </w:rPr>
      </w:pPr>
      <w:r w:rsidRPr="00B31229">
        <w:rPr>
          <w:bCs/>
        </w:rPr>
        <w:t>"</w:t>
      </w:r>
      <w:r>
        <w:rPr>
          <w:b/>
        </w:rPr>
        <w:t>5.5</w:t>
      </w:r>
      <w:r w:rsidRPr="00341F66">
        <w:rPr>
          <w:b/>
        </w:rPr>
        <w:t xml:space="preserve">. </w:t>
      </w:r>
      <w:r w:rsidRPr="00341F66">
        <w:rPr>
          <w:b/>
        </w:rPr>
        <w:tab/>
        <w:t xml:space="preserve">Identification </w:t>
      </w:r>
      <w:r w:rsidRPr="0003528E">
        <w:rPr>
          <w:b/>
        </w:rPr>
        <w:t>of electric power trained</w:t>
      </w:r>
      <w:r w:rsidRPr="00341F66">
        <w:rPr>
          <w:b/>
        </w:rPr>
        <w:t xml:space="preserve"> vehicles.</w:t>
      </w:r>
    </w:p>
    <w:p w14:paraId="7B76EDD8" w14:textId="19D257E4" w:rsidR="00B31229" w:rsidRDefault="00B31229" w:rsidP="00B31229">
      <w:pPr>
        <w:pStyle w:val="SingleTxtG"/>
        <w:ind w:left="2268" w:hanging="1134"/>
        <w:rPr>
          <w:b/>
        </w:rPr>
      </w:pPr>
      <w:r>
        <w:rPr>
          <w:b/>
        </w:rPr>
        <w:t>5.5</w:t>
      </w:r>
      <w:r w:rsidRPr="00341F66">
        <w:rPr>
          <w:b/>
        </w:rPr>
        <w:t>.1.</w:t>
      </w:r>
      <w:r w:rsidRPr="00341F66">
        <w:rPr>
          <w:b/>
        </w:rPr>
        <w:tab/>
        <w:t>On vehicles of the categories M</w:t>
      </w:r>
      <w:r w:rsidRPr="00341F66">
        <w:rPr>
          <w:b/>
          <w:vertAlign w:val="subscript"/>
        </w:rPr>
        <w:t>2</w:t>
      </w:r>
      <w:r w:rsidRPr="00341F66">
        <w:rPr>
          <w:b/>
        </w:rPr>
        <w:t>/N</w:t>
      </w:r>
      <w:r w:rsidRPr="00341F66">
        <w:rPr>
          <w:b/>
          <w:vertAlign w:val="subscript"/>
        </w:rPr>
        <w:t>2</w:t>
      </w:r>
      <w:r w:rsidRPr="00341F66">
        <w:rPr>
          <w:b/>
        </w:rPr>
        <w:t xml:space="preserve"> and M</w:t>
      </w:r>
      <w:r w:rsidRPr="00341F66">
        <w:rPr>
          <w:b/>
          <w:vertAlign w:val="subscript"/>
        </w:rPr>
        <w:t>3</w:t>
      </w:r>
      <w:r w:rsidRPr="00341F66">
        <w:rPr>
          <w:b/>
        </w:rPr>
        <w:t>/N</w:t>
      </w:r>
      <w:r w:rsidRPr="00341F66">
        <w:rPr>
          <w:b/>
          <w:vertAlign w:val="subscript"/>
        </w:rPr>
        <w:t>3</w:t>
      </w:r>
      <w:r w:rsidRPr="00341F66">
        <w:rPr>
          <w:b/>
        </w:rPr>
        <w:t xml:space="preserve">, equipped with a </w:t>
      </w:r>
      <w:r>
        <w:rPr>
          <w:b/>
        </w:rPr>
        <w:t>high voltage electric powertrain</w:t>
      </w:r>
      <w:r w:rsidRPr="00341F66">
        <w:rPr>
          <w:b/>
        </w:rPr>
        <w:t>, labels shall be installed as specified in Annex</w:t>
      </w:r>
      <w:r>
        <w:rPr>
          <w:b/>
        </w:rPr>
        <w:t> 10.</w:t>
      </w:r>
    </w:p>
    <w:p w14:paraId="1C8F7BF2" w14:textId="427BD545" w:rsidR="00B31229" w:rsidRDefault="00B31229" w:rsidP="00B31229">
      <w:pPr>
        <w:pStyle w:val="SingleTxtG"/>
        <w:ind w:left="2268" w:hanging="1134"/>
        <w:rPr>
          <w:b/>
        </w:rPr>
      </w:pPr>
      <w:r>
        <w:rPr>
          <w:b/>
        </w:rPr>
        <w:t>5.5.1.1.</w:t>
      </w:r>
      <w:r>
        <w:rPr>
          <w:b/>
        </w:rPr>
        <w:tab/>
      </w:r>
      <w:r w:rsidRPr="00F87E46">
        <w:rPr>
          <w:b/>
          <w:lang w:eastAsia="ja-JP"/>
        </w:rPr>
        <w:t>The requirement of paragraph 5.5.1. shall be considered to be satisfied in the case that the requirement of paragraph 7.1.7. of UN Regulation</w:t>
      </w:r>
      <w:r>
        <w:rPr>
          <w:b/>
          <w:lang w:eastAsia="ja-JP"/>
        </w:rPr>
        <w:t xml:space="preserve"> No. </w:t>
      </w:r>
      <w:r w:rsidRPr="00F87E46">
        <w:rPr>
          <w:b/>
          <w:lang w:eastAsia="ja-JP"/>
        </w:rPr>
        <w:t>134 is satisfied.</w:t>
      </w:r>
    </w:p>
    <w:p w14:paraId="4792ABC9" w14:textId="67FA7760" w:rsidR="00B31229" w:rsidRPr="00341F66" w:rsidRDefault="00B31229" w:rsidP="00B31229">
      <w:pPr>
        <w:pStyle w:val="SingleTxtG"/>
        <w:ind w:left="2268" w:hanging="1134"/>
        <w:rPr>
          <w:b/>
        </w:rPr>
      </w:pPr>
      <w:r>
        <w:rPr>
          <w:b/>
        </w:rPr>
        <w:t>5.5.2.</w:t>
      </w:r>
      <w:r>
        <w:rPr>
          <w:b/>
        </w:rPr>
        <w:tab/>
      </w:r>
      <w:r w:rsidR="00847A87">
        <w:rPr>
          <w:b/>
        </w:rPr>
        <w:t xml:space="preserve">For </w:t>
      </w:r>
      <w:r>
        <w:rPr>
          <w:b/>
        </w:rPr>
        <w:t>hybrid electric vehicles running on diesel or gasoline, the high voltage powertrain shall be considered its first energy source, independent of the capacity of the REESS.</w:t>
      </w:r>
    </w:p>
    <w:p w14:paraId="60D512B0" w14:textId="77777777" w:rsidR="00B31229" w:rsidRDefault="00B31229" w:rsidP="00B31229">
      <w:pPr>
        <w:pStyle w:val="SingleTxtG"/>
        <w:ind w:left="2268" w:hanging="1134"/>
        <w:rPr>
          <w:b/>
        </w:rPr>
      </w:pPr>
      <w:r>
        <w:rPr>
          <w:b/>
        </w:rPr>
        <w:t>5.5.3.</w:t>
      </w:r>
      <w:r w:rsidRPr="00341F66">
        <w:rPr>
          <w:b/>
        </w:rPr>
        <w:t xml:space="preserve"> </w:t>
      </w:r>
      <w:r w:rsidRPr="00341F66">
        <w:rPr>
          <w:b/>
        </w:rPr>
        <w:tab/>
      </w:r>
      <w:r w:rsidRPr="0003528E">
        <w:rPr>
          <w:b/>
        </w:rPr>
        <w:t>These labels shall be placed on the front of the vehicle and on the left side as well as on the right side of the vehicle; for the side if available in vicinity of a front door. If there is no front door available, the label has to be placed on the first third of the vehicle length.</w:t>
      </w:r>
    </w:p>
    <w:p w14:paraId="693ACD84" w14:textId="13C23D05" w:rsidR="00B31229" w:rsidRPr="00341F66" w:rsidRDefault="00B31229" w:rsidP="00B31229">
      <w:pPr>
        <w:pStyle w:val="SingleTxtG"/>
        <w:ind w:left="2268"/>
        <w:rPr>
          <w:b/>
        </w:rPr>
      </w:pPr>
      <w:r w:rsidRPr="0003528E">
        <w:rPr>
          <w:b/>
        </w:rPr>
        <w:t>In addition, for vehicles of category M</w:t>
      </w:r>
      <w:r w:rsidRPr="00B31229">
        <w:rPr>
          <w:b/>
          <w:vertAlign w:val="subscript"/>
        </w:rPr>
        <w:t>2</w:t>
      </w:r>
      <w:r w:rsidRPr="0003528E">
        <w:rPr>
          <w:b/>
        </w:rPr>
        <w:t xml:space="preserve"> and M</w:t>
      </w:r>
      <w:r w:rsidRPr="00B31229">
        <w:rPr>
          <w:b/>
          <w:vertAlign w:val="subscript"/>
        </w:rPr>
        <w:t>3</w:t>
      </w:r>
      <w:r w:rsidRPr="0003528E">
        <w:rPr>
          <w:b/>
        </w:rPr>
        <w:t>, a label shall be fixed to the rear of the vehicle.</w:t>
      </w:r>
      <w:r w:rsidRPr="00B31229">
        <w:rPr>
          <w:bCs/>
        </w:rPr>
        <w:t>"</w:t>
      </w:r>
    </w:p>
    <w:p w14:paraId="4BBCF4E8" w14:textId="77777777" w:rsidR="00B31229" w:rsidRPr="00DE0AAB" w:rsidRDefault="00B31229" w:rsidP="00B31229">
      <w:pPr>
        <w:pStyle w:val="SingleTxtG"/>
        <w:ind w:left="2268" w:hanging="1134"/>
        <w:rPr>
          <w:i/>
        </w:rPr>
      </w:pPr>
      <w:r w:rsidRPr="00341F66">
        <w:rPr>
          <w:i/>
        </w:rPr>
        <w:t>Insert new paragraphs 1</w:t>
      </w:r>
      <w:r>
        <w:rPr>
          <w:i/>
        </w:rPr>
        <w:t>2.6</w:t>
      </w:r>
      <w:r w:rsidRPr="00341F66">
        <w:rPr>
          <w:i/>
        </w:rPr>
        <w:t xml:space="preserve">. to </w:t>
      </w:r>
      <w:r>
        <w:rPr>
          <w:i/>
        </w:rPr>
        <w:t>12.9</w:t>
      </w:r>
      <w:r w:rsidRPr="00341F66">
        <w:rPr>
          <w:iCs/>
        </w:rPr>
        <w:t>., to read:</w:t>
      </w:r>
      <w:r w:rsidRPr="00341F66">
        <w:rPr>
          <w:i/>
        </w:rPr>
        <w:t xml:space="preserve"> </w:t>
      </w:r>
      <w:bookmarkStart w:id="0" w:name="_Toc384289018"/>
    </w:p>
    <w:p w14:paraId="2B0C40D9" w14:textId="5F6ECEB0" w:rsidR="00B31229" w:rsidRPr="00341F66" w:rsidRDefault="00B31229" w:rsidP="00B31229">
      <w:pPr>
        <w:pStyle w:val="para"/>
        <w:rPr>
          <w:b/>
          <w:lang w:val="en-GB" w:eastAsia="ja-JP"/>
        </w:rPr>
      </w:pPr>
      <w:r w:rsidRPr="001738F4">
        <w:rPr>
          <w:bCs/>
          <w:lang w:val="en-GB" w:eastAsia="ja-JP"/>
        </w:rPr>
        <w:t>"</w:t>
      </w:r>
      <w:r w:rsidRPr="00341F66">
        <w:rPr>
          <w:b/>
          <w:lang w:val="en-GB" w:eastAsia="ja-JP"/>
        </w:rPr>
        <w:t>1</w:t>
      </w:r>
      <w:r>
        <w:rPr>
          <w:b/>
          <w:lang w:val="en-GB" w:eastAsia="ja-JP"/>
        </w:rPr>
        <w:t>2</w:t>
      </w:r>
      <w:r w:rsidRPr="00341F66">
        <w:rPr>
          <w:b/>
          <w:lang w:val="en-GB" w:eastAsia="ja-JP"/>
        </w:rPr>
        <w:t>.</w:t>
      </w:r>
      <w:r>
        <w:rPr>
          <w:b/>
          <w:lang w:val="en-GB" w:eastAsia="ja-JP"/>
        </w:rPr>
        <w:t>6</w:t>
      </w:r>
      <w:r w:rsidRPr="00341F66">
        <w:rPr>
          <w:b/>
          <w:lang w:val="en-GB" w:eastAsia="ja-JP"/>
        </w:rPr>
        <w:t>.</w:t>
      </w:r>
      <w:r w:rsidRPr="00341F66">
        <w:rPr>
          <w:b/>
          <w:lang w:val="en-GB" w:eastAsia="ja-JP"/>
        </w:rPr>
        <w:tab/>
        <w:t>As from the official date of entry into force of the 0</w:t>
      </w:r>
      <w:r>
        <w:rPr>
          <w:b/>
          <w:lang w:val="en-GB" w:eastAsia="ja-JP"/>
        </w:rPr>
        <w:t>4</w:t>
      </w:r>
      <w:r w:rsidRPr="00341F66">
        <w:rPr>
          <w:b/>
          <w:lang w:val="en-GB" w:eastAsia="ja-JP"/>
        </w:rPr>
        <w:t xml:space="preserve"> series of amendments, no Contracting Party applying this UN Regulation shall refuse to grant or refuse to accept UN type approvals under this UN Regulation as amended by the 0</w:t>
      </w:r>
      <w:r>
        <w:rPr>
          <w:b/>
          <w:lang w:val="en-GB" w:eastAsia="ja-JP"/>
        </w:rPr>
        <w:t>4</w:t>
      </w:r>
      <w:r w:rsidRPr="00341F66">
        <w:rPr>
          <w:b/>
          <w:lang w:val="en-GB" w:eastAsia="ja-JP"/>
        </w:rPr>
        <w:t xml:space="preserve"> series of amendments.</w:t>
      </w:r>
    </w:p>
    <w:p w14:paraId="10209323" w14:textId="77777777" w:rsidR="00B31229" w:rsidRPr="00341F66" w:rsidRDefault="00B31229" w:rsidP="00B31229">
      <w:pPr>
        <w:pStyle w:val="para"/>
        <w:rPr>
          <w:b/>
          <w:lang w:val="en-GB" w:eastAsia="ja-JP"/>
        </w:rPr>
      </w:pPr>
      <w:r w:rsidRPr="00341F66">
        <w:rPr>
          <w:b/>
          <w:lang w:val="en-GB" w:eastAsia="ja-JP"/>
        </w:rPr>
        <w:t>1</w:t>
      </w:r>
      <w:r>
        <w:rPr>
          <w:b/>
          <w:lang w:val="en-GB" w:eastAsia="ja-JP"/>
        </w:rPr>
        <w:t>2</w:t>
      </w:r>
      <w:r w:rsidRPr="00341F66">
        <w:rPr>
          <w:b/>
          <w:lang w:val="en-GB" w:eastAsia="ja-JP"/>
        </w:rPr>
        <w:t>.</w:t>
      </w:r>
      <w:r>
        <w:rPr>
          <w:b/>
          <w:lang w:val="en-GB" w:eastAsia="ja-JP"/>
        </w:rPr>
        <w:t>7</w:t>
      </w:r>
      <w:r w:rsidRPr="00341F66">
        <w:rPr>
          <w:b/>
          <w:lang w:val="en-GB" w:eastAsia="ja-JP"/>
        </w:rPr>
        <w:t>.</w:t>
      </w:r>
      <w:r w:rsidRPr="00341F66">
        <w:rPr>
          <w:b/>
          <w:lang w:val="en-GB" w:eastAsia="ja-JP"/>
        </w:rPr>
        <w:tab/>
        <w:t>As from 1 September 202</w:t>
      </w:r>
      <w:r>
        <w:rPr>
          <w:b/>
          <w:lang w:val="en-GB" w:eastAsia="ja-JP"/>
        </w:rPr>
        <w:t>5,</w:t>
      </w:r>
      <w:r w:rsidRPr="00341F66">
        <w:rPr>
          <w:b/>
          <w:lang w:val="en-GB" w:eastAsia="ja-JP"/>
        </w:rPr>
        <w:t xml:space="preserve"> Contracting Parties applying this UN Regulation shall not be obliged to accept UN type approvals to the preceding series of amendments that were first issued on or after 1 September 202</w:t>
      </w:r>
      <w:r>
        <w:rPr>
          <w:b/>
          <w:lang w:val="en-GB" w:eastAsia="ja-JP"/>
        </w:rPr>
        <w:t>5</w:t>
      </w:r>
      <w:r w:rsidRPr="00341F66">
        <w:rPr>
          <w:b/>
          <w:lang w:val="en-GB" w:eastAsia="ja-JP"/>
        </w:rPr>
        <w:t>.</w:t>
      </w:r>
    </w:p>
    <w:p w14:paraId="4CB95212" w14:textId="77777777" w:rsidR="00B31229" w:rsidRPr="00341F66" w:rsidRDefault="00B31229" w:rsidP="00B31229">
      <w:pPr>
        <w:pStyle w:val="para"/>
        <w:rPr>
          <w:b/>
          <w:lang w:val="en-GB" w:eastAsia="ja-JP"/>
        </w:rPr>
      </w:pPr>
      <w:r>
        <w:rPr>
          <w:b/>
          <w:lang w:val="en-GB" w:eastAsia="ja-JP"/>
        </w:rPr>
        <w:t>12.8.</w:t>
      </w:r>
      <w:r>
        <w:rPr>
          <w:b/>
          <w:lang w:val="en-GB" w:eastAsia="ja-JP"/>
        </w:rPr>
        <w:tab/>
        <w:t xml:space="preserve">Until </w:t>
      </w:r>
      <w:r w:rsidRPr="00341F66">
        <w:rPr>
          <w:b/>
          <w:lang w:val="en-GB" w:eastAsia="ja-JP"/>
        </w:rPr>
        <w:t>1 September 202</w:t>
      </w:r>
      <w:r>
        <w:rPr>
          <w:b/>
          <w:lang w:val="en-GB" w:eastAsia="ja-JP"/>
        </w:rPr>
        <w:t>6,</w:t>
      </w:r>
      <w:r w:rsidRPr="00341F66">
        <w:rPr>
          <w:b/>
          <w:lang w:val="en-GB" w:eastAsia="ja-JP"/>
        </w:rPr>
        <w:t xml:space="preserve"> Contracting Parties applying this UN Regulation shall accept UN type approvals to the preceding series of amendments that were first issued before 1 September 202</w:t>
      </w:r>
      <w:r>
        <w:rPr>
          <w:b/>
          <w:lang w:val="en-GB" w:eastAsia="ja-JP"/>
        </w:rPr>
        <w:t>5</w:t>
      </w:r>
      <w:r w:rsidRPr="00341F66">
        <w:rPr>
          <w:b/>
          <w:lang w:val="en-GB" w:eastAsia="ja-JP"/>
        </w:rPr>
        <w:t>.</w:t>
      </w:r>
    </w:p>
    <w:p w14:paraId="7C8E6AC1" w14:textId="3A660669" w:rsidR="00B31229" w:rsidRPr="00341F66" w:rsidRDefault="00B31229" w:rsidP="00B31229">
      <w:pPr>
        <w:pStyle w:val="para"/>
        <w:rPr>
          <w:b/>
          <w:lang w:val="en-GB" w:eastAsia="ja-JP"/>
        </w:rPr>
      </w:pPr>
      <w:r>
        <w:rPr>
          <w:b/>
          <w:lang w:val="en-GB" w:eastAsia="ja-JP"/>
        </w:rPr>
        <w:lastRenderedPageBreak/>
        <w:t>12.9.</w:t>
      </w:r>
      <w:r>
        <w:rPr>
          <w:b/>
          <w:lang w:val="en-GB" w:eastAsia="ja-JP"/>
        </w:rPr>
        <w:tab/>
        <w:t>As from 1 September 2026,</w:t>
      </w:r>
      <w:r w:rsidRPr="00341F66">
        <w:rPr>
          <w:b/>
          <w:lang w:val="en-GB" w:eastAsia="ja-JP"/>
        </w:rPr>
        <w:t xml:space="preserve"> Contracting Parties applying this Regulation shall not be obliged to accept type approvals issued to the preceding series</w:t>
      </w:r>
      <w:r>
        <w:rPr>
          <w:b/>
          <w:lang w:val="en-GB" w:eastAsia="ja-JP"/>
        </w:rPr>
        <w:t>.</w:t>
      </w:r>
      <w:r w:rsidRPr="00B31229">
        <w:rPr>
          <w:bCs/>
          <w:lang w:val="en-GB" w:eastAsia="ja-JP"/>
        </w:rPr>
        <w:t>"</w:t>
      </w:r>
      <w:r w:rsidRPr="00341F66">
        <w:rPr>
          <w:b/>
          <w:lang w:val="en-GB" w:eastAsia="ja-JP"/>
        </w:rPr>
        <w:t xml:space="preserve"> </w:t>
      </w:r>
    </w:p>
    <w:p w14:paraId="428A8B3F" w14:textId="3A5B2B14" w:rsidR="006E04A2" w:rsidRPr="005E0D1B" w:rsidRDefault="006E04A2" w:rsidP="006E04A2">
      <w:pPr>
        <w:pStyle w:val="SingleTxtG"/>
        <w:ind w:left="2268" w:hanging="1134"/>
      </w:pPr>
      <w:r>
        <w:rPr>
          <w:i/>
        </w:rPr>
        <w:t>Paragraph 12.6.</w:t>
      </w:r>
      <w:r w:rsidR="00DA6C23">
        <w:rPr>
          <w:i/>
        </w:rPr>
        <w:t>(</w:t>
      </w:r>
      <w:r>
        <w:rPr>
          <w:i/>
        </w:rPr>
        <w:t xml:space="preserve">former), </w:t>
      </w:r>
      <w:r w:rsidRPr="005E0D1B">
        <w:t>renumber as paragraph 12.10.</w:t>
      </w:r>
    </w:p>
    <w:p w14:paraId="398B7E72" w14:textId="77777777" w:rsidR="00B31229" w:rsidRPr="00341F66" w:rsidRDefault="00B31229" w:rsidP="00B31229">
      <w:pPr>
        <w:ind w:left="2268" w:hanging="1134"/>
        <w:rPr>
          <w:iCs/>
        </w:rPr>
      </w:pPr>
      <w:r w:rsidRPr="00341F66">
        <w:rPr>
          <w:i/>
        </w:rPr>
        <w:t xml:space="preserve">Annex 2, </w:t>
      </w:r>
      <w:r w:rsidRPr="00341F66">
        <w:rPr>
          <w:iCs/>
        </w:rPr>
        <w:t>amend to read:</w:t>
      </w:r>
    </w:p>
    <w:p w14:paraId="377EAA77" w14:textId="3702519E" w:rsidR="00B31229" w:rsidRPr="000D3277" w:rsidRDefault="00B31229" w:rsidP="00B31229">
      <w:pPr>
        <w:pStyle w:val="HChG"/>
      </w:pPr>
      <w:r>
        <w:t>"</w:t>
      </w:r>
      <w:bookmarkStart w:id="1" w:name="_Toc352838565"/>
      <w:bookmarkStart w:id="2" w:name="_Toc352852735"/>
      <w:r w:rsidRPr="000D3277">
        <w:t>Annex 2</w:t>
      </w:r>
      <w:bookmarkEnd w:id="1"/>
      <w:bookmarkEnd w:id="2"/>
    </w:p>
    <w:p w14:paraId="115E62E9" w14:textId="77777777" w:rsidR="00B31229" w:rsidRPr="00054B05" w:rsidRDefault="00B31229" w:rsidP="00B31229">
      <w:pPr>
        <w:pStyle w:val="HChG"/>
        <w:rPr>
          <w:b w:val="0"/>
        </w:rPr>
      </w:pPr>
      <w:r w:rsidRPr="000D3277">
        <w:tab/>
      </w:r>
      <w:r w:rsidRPr="000D3277">
        <w:tab/>
      </w:r>
      <w:bookmarkStart w:id="3" w:name="_Toc352838566"/>
      <w:bookmarkStart w:id="4" w:name="_Toc352852736"/>
      <w:r w:rsidRPr="000D3277">
        <w:t>Arrangements of the approval marks</w:t>
      </w:r>
      <w:bookmarkEnd w:id="3"/>
      <w:bookmarkEnd w:id="4"/>
    </w:p>
    <w:p w14:paraId="6D0549A7" w14:textId="77777777" w:rsidR="00B31229" w:rsidRPr="002A2099" w:rsidRDefault="00B31229" w:rsidP="00B31229">
      <w:pPr>
        <w:pStyle w:val="Heading1"/>
      </w:pPr>
      <w:bookmarkStart w:id="5" w:name="_Toc352852737"/>
      <w:bookmarkStart w:id="6" w:name="_Toc352838567"/>
      <w:r w:rsidRPr="002A2099">
        <w:t>Model A</w:t>
      </w:r>
      <w:bookmarkEnd w:id="5"/>
    </w:p>
    <w:p w14:paraId="7EE770AB" w14:textId="77777777" w:rsidR="00B31229" w:rsidRDefault="00B31229" w:rsidP="00B31229">
      <w:pPr>
        <w:pStyle w:val="Heading1"/>
        <w:spacing w:after="120"/>
      </w:pPr>
      <w:bookmarkStart w:id="7" w:name="_Toc352852738"/>
      <w:r w:rsidRPr="002A2099">
        <w:t>(See paragraph 4.4. of this Regulation)</w:t>
      </w:r>
      <w:bookmarkEnd w:id="7"/>
    </w:p>
    <w:p w14:paraId="0FDA4AA2" w14:textId="77777777" w:rsidR="00B31229" w:rsidRPr="00054B05" w:rsidRDefault="00B31229" w:rsidP="00B31229">
      <w:pPr>
        <w:pStyle w:val="Heading1"/>
      </w:pPr>
      <w:bookmarkStart w:id="8" w:name="_Toc352852739"/>
      <w:r w:rsidRPr="00054B05">
        <w:t>Figure 1</w:t>
      </w:r>
      <w:bookmarkEnd w:id="6"/>
      <w:bookmarkEnd w:id="8"/>
    </w:p>
    <w:p w14:paraId="446DDBBA" w14:textId="77777777" w:rsidR="00B31229" w:rsidRPr="00054B05" w:rsidRDefault="00B31229" w:rsidP="00B31229">
      <w:pPr>
        <w:tabs>
          <w:tab w:val="center" w:pos="4737"/>
          <w:tab w:val="left" w:pos="5040"/>
          <w:tab w:val="left" w:pos="5760"/>
          <w:tab w:val="left" w:pos="6480"/>
          <w:tab w:val="left" w:pos="7041"/>
          <w:tab w:val="left" w:pos="7920"/>
          <w:tab w:val="left" w:pos="8640"/>
          <w:tab w:val="left" w:pos="9360"/>
        </w:tabs>
        <w:spacing w:line="286" w:lineRule="auto"/>
        <w:ind w:left="1134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F6ECC" wp14:editId="4DDA5583">
                <wp:simplePos x="0" y="0"/>
                <wp:positionH relativeFrom="column">
                  <wp:posOffset>2341880</wp:posOffset>
                </wp:positionH>
                <wp:positionV relativeFrom="paragraph">
                  <wp:posOffset>340360</wp:posOffset>
                </wp:positionV>
                <wp:extent cx="1796415" cy="381635"/>
                <wp:effectExtent l="0" t="0" r="0" b="1905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377E5" w14:textId="77777777" w:rsidR="00B31229" w:rsidRPr="0050003C" w:rsidRDefault="00B31229" w:rsidP="00B31229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50003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>100 R - 0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>4</w:t>
                            </w:r>
                            <w:r w:rsidRPr="0050003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>2492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F6ECC"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left:0;text-align:left;margin-left:184.4pt;margin-top:26.8pt;width:141.4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" stroked="f">
                <v:textbox inset="5.85pt,.7pt,5.85pt,.7pt">
                  <w:txbxContent>
                    <w:p w14:paraId="643377E5" w14:textId="77777777" w:rsidR="00B31229" w:rsidRPr="0050003C" w:rsidRDefault="00B31229" w:rsidP="00B31229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</w:pPr>
                      <w:r w:rsidRPr="0050003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>100 R - 0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>4</w:t>
                      </w:r>
                      <w:r w:rsidRPr="0050003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>2492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F4E6B" wp14:editId="024031D2">
                <wp:simplePos x="0" y="0"/>
                <wp:positionH relativeFrom="column">
                  <wp:posOffset>3905885</wp:posOffset>
                </wp:positionH>
                <wp:positionV relativeFrom="paragraph">
                  <wp:posOffset>264160</wp:posOffset>
                </wp:positionV>
                <wp:extent cx="635635" cy="480060"/>
                <wp:effectExtent l="635" t="0" r="1905" b="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FFBD0" w14:textId="77777777" w:rsidR="00B31229" w:rsidRDefault="00B31229" w:rsidP="00B31229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36AB9D85" wp14:editId="70C6C40A">
                                  <wp:extent cx="454025" cy="386080"/>
                                  <wp:effectExtent l="0" t="0" r="3175" b="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025" cy="38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4E6B" id="Tekstvak 24" o:spid="_x0000_s1027" type="#_x0000_t202" style="position:absolute;left:0;text-align:left;margin-left:307.55pt;margin-top:20.8pt;width:50.05pt;height:37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" stroked="f">
                <v:textbox style="mso-fit-shape-to-text:t">
                  <w:txbxContent>
                    <w:p w14:paraId="71CFFBD0" w14:textId="77777777" w:rsidR="00B31229" w:rsidRDefault="00B31229" w:rsidP="00B31229"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36AB9D85" wp14:editId="70C6C40A">
                            <wp:extent cx="454025" cy="386080"/>
                            <wp:effectExtent l="0" t="0" r="3175" b="0"/>
                            <wp:docPr id="23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025" cy="38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FBAF" wp14:editId="409B63D5">
                <wp:simplePos x="0" y="0"/>
                <wp:positionH relativeFrom="column">
                  <wp:posOffset>2271395</wp:posOffset>
                </wp:positionH>
                <wp:positionV relativeFrom="paragraph">
                  <wp:posOffset>137160</wp:posOffset>
                </wp:positionV>
                <wp:extent cx="324485" cy="383540"/>
                <wp:effectExtent l="4445" t="3810" r="4445" b="3175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BB3D7" w14:textId="77777777" w:rsidR="00B31229" w:rsidRPr="004A73CA" w:rsidRDefault="00B31229" w:rsidP="00B3122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FBAF" id="Tekstvak 22" o:spid="_x0000_s1028" type="#_x0000_t202" style="position:absolute;left:0;text-align:left;margin-left:178.85pt;margin-top:10.8pt;width:25.55pt;height:3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" stroked="f">
                <v:textbox style="mso-fit-shape-to-text:t">
                  <w:txbxContent>
                    <w:p w14:paraId="145BB3D7" w14:textId="77777777" w:rsidR="00B31229" w:rsidRPr="004A73CA" w:rsidRDefault="00B31229" w:rsidP="00B3122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w:drawing>
          <wp:inline distT="0" distB="0" distL="0" distR="0" wp14:anchorId="2451CB81" wp14:editId="70F8E7A1">
            <wp:extent cx="1598295" cy="894080"/>
            <wp:effectExtent l="0" t="0" r="1905" b="127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054B05">
        <w:tab/>
        <w:t>a = 8 mm min.</w:t>
      </w:r>
    </w:p>
    <w:p w14:paraId="45935539" w14:textId="77777777" w:rsidR="00B31229" w:rsidRPr="00054B05" w:rsidRDefault="00B31229" w:rsidP="00B31229">
      <w:pPr>
        <w:pStyle w:val="SingleTxtG"/>
        <w:ind w:right="850" w:firstLine="567"/>
      </w:pPr>
      <w:r w:rsidRPr="00054B05">
        <w:t>The approval mark in Figure 1 affixed to a vehicle shows that the road vehicle type concerned has been approved in the Netherlands (E</w:t>
      </w:r>
      <w:r>
        <w:t> </w:t>
      </w:r>
      <w:r w:rsidRPr="00054B05">
        <w:t>4), pursuant to Regulation No.</w:t>
      </w:r>
      <w:r>
        <w:t> </w:t>
      </w:r>
      <w:r w:rsidRPr="00054B05">
        <w:t xml:space="preserve">100, and under the approval number </w:t>
      </w:r>
      <w:r w:rsidRPr="00C9753D">
        <w:rPr>
          <w:b/>
        </w:rPr>
        <w:t>04</w:t>
      </w:r>
      <w:r w:rsidRPr="00054B05">
        <w:t xml:space="preserve">2492. The first two digits of the approval number indicate that the approval was granted in accordance with the requirements of Regulation No. 100 as amended by </w:t>
      </w:r>
      <w:r w:rsidRPr="00C9753D">
        <w:rPr>
          <w:b/>
        </w:rPr>
        <w:t>04</w:t>
      </w:r>
      <w:r w:rsidRPr="00054B05">
        <w:t xml:space="preserve"> series of amendments.</w:t>
      </w:r>
    </w:p>
    <w:p w14:paraId="40393FB4" w14:textId="77777777" w:rsidR="00B31229" w:rsidRPr="00054B05" w:rsidRDefault="00B31229" w:rsidP="00B31229">
      <w:pPr>
        <w:pStyle w:val="Heading1"/>
      </w:pPr>
      <w:bookmarkStart w:id="9" w:name="_Toc352838568"/>
      <w:bookmarkStart w:id="10" w:name="_Toc352852740"/>
      <w:r w:rsidRPr="00054B05">
        <w:t>Figure 2</w:t>
      </w:r>
      <w:bookmarkEnd w:id="9"/>
      <w:bookmarkEnd w:id="10"/>
    </w:p>
    <w:p w14:paraId="6F4DA79E" w14:textId="77777777" w:rsidR="00B31229" w:rsidRPr="00054B05" w:rsidRDefault="00B31229" w:rsidP="00B31229">
      <w:pPr>
        <w:tabs>
          <w:tab w:val="left" w:pos="-720"/>
          <w:tab w:val="left" w:pos="0"/>
          <w:tab w:val="left" w:pos="756"/>
          <w:tab w:val="left" w:pos="1512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6" w:lineRule="auto"/>
        <w:ind w:left="1134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B0E8A" wp14:editId="49C99222">
                <wp:simplePos x="0" y="0"/>
                <wp:positionH relativeFrom="column">
                  <wp:posOffset>2286000</wp:posOffset>
                </wp:positionH>
                <wp:positionV relativeFrom="paragraph">
                  <wp:posOffset>299720</wp:posOffset>
                </wp:positionV>
                <wp:extent cx="2032000" cy="381635"/>
                <wp:effectExtent l="0" t="4445" r="0" b="4445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69DC4" w14:textId="77777777" w:rsidR="00B31229" w:rsidRPr="0050003C" w:rsidRDefault="00B31229" w:rsidP="00B31229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50003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>100 RES - 0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>4</w:t>
                            </w:r>
                            <w:r w:rsidRPr="0050003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DE"/>
                              </w:rPr>
                              <w:t>2492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B0E8A" id="Tekstvak 21" o:spid="_x0000_s1029" type="#_x0000_t202" style="position:absolute;left:0;text-align:left;margin-left:180pt;margin-top:23.6pt;width:160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" stroked="f">
                <v:textbox inset="5.85pt,.7pt,5.85pt,.7pt">
                  <w:txbxContent>
                    <w:p w14:paraId="60469DC4" w14:textId="77777777" w:rsidR="00B31229" w:rsidRPr="0050003C" w:rsidRDefault="00B31229" w:rsidP="00B31229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</w:pPr>
                      <w:r w:rsidRPr="0050003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>100 RES - 0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>4</w:t>
                      </w:r>
                      <w:r w:rsidRPr="0050003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DE"/>
                        </w:rPr>
                        <w:t>2492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7FF90" wp14:editId="49140FA7">
                <wp:simplePos x="0" y="0"/>
                <wp:positionH relativeFrom="column">
                  <wp:posOffset>4288790</wp:posOffset>
                </wp:positionH>
                <wp:positionV relativeFrom="paragraph">
                  <wp:posOffset>215900</wp:posOffset>
                </wp:positionV>
                <wp:extent cx="551180" cy="480060"/>
                <wp:effectExtent l="2540" t="0" r="0" b="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98A9D" w14:textId="77777777" w:rsidR="00B31229" w:rsidRDefault="00B31229" w:rsidP="00B31229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979BB0C" wp14:editId="7E09B81D">
                                  <wp:extent cx="447040" cy="379095"/>
                                  <wp:effectExtent l="0" t="0" r="0" b="1905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040" cy="379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FF90" id="Tekstvak 20" o:spid="_x0000_s1030" type="#_x0000_t202" style="position:absolute;left:0;text-align:left;margin-left:337.7pt;margin-top:17pt;width:43.4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" stroked="f">
                <v:textbox style="mso-fit-shape-to-text:t">
                  <w:txbxContent>
                    <w:p w14:paraId="1D998A9D" w14:textId="77777777" w:rsidR="00B31229" w:rsidRDefault="00B31229" w:rsidP="00B31229"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6979BB0C" wp14:editId="7E09B81D">
                            <wp:extent cx="447040" cy="379095"/>
                            <wp:effectExtent l="0" t="0" r="0" b="1905"/>
                            <wp:docPr id="19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040" cy="379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w:drawing>
          <wp:inline distT="0" distB="0" distL="0" distR="0" wp14:anchorId="21A9596E" wp14:editId="78D889AE">
            <wp:extent cx="1598295" cy="894080"/>
            <wp:effectExtent l="0" t="0" r="1905" b="127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B05">
        <w:tab/>
      </w:r>
      <w:r w:rsidRPr="00054B05">
        <w:tab/>
      </w:r>
      <w:r w:rsidRPr="00054B05">
        <w:tab/>
      </w:r>
      <w:r w:rsidRPr="00054B05">
        <w:tab/>
      </w:r>
      <w:r w:rsidRPr="00054B05">
        <w:tab/>
      </w:r>
      <w:r w:rsidRPr="00054B05">
        <w:tab/>
      </w:r>
    </w:p>
    <w:p w14:paraId="11244054" w14:textId="77777777" w:rsidR="00B31229" w:rsidRPr="00054B05" w:rsidRDefault="00B31229" w:rsidP="00B31229">
      <w:pPr>
        <w:pStyle w:val="SingleTxtG"/>
        <w:jc w:val="right"/>
        <w:rPr>
          <w:bCs/>
        </w:rPr>
      </w:pPr>
      <w:r w:rsidRPr="00054B05">
        <w:rPr>
          <w:bCs/>
        </w:rPr>
        <w:t>a = 8 mm min.</w:t>
      </w:r>
    </w:p>
    <w:p w14:paraId="36C48798" w14:textId="6450D459" w:rsidR="00B31229" w:rsidRPr="00054B05" w:rsidRDefault="00B31229" w:rsidP="00B31229">
      <w:pPr>
        <w:pStyle w:val="SingleTxtG"/>
        <w:ind w:right="850" w:firstLine="567"/>
        <w:rPr>
          <w:bCs/>
        </w:rPr>
      </w:pPr>
      <w:r w:rsidRPr="00054B05">
        <w:rPr>
          <w:bCs/>
        </w:rPr>
        <w:t>The approval mark in Figure 2 affixed to a REESS shows that the REESS type (</w:t>
      </w:r>
      <w:r>
        <w:rPr>
          <w:bCs/>
        </w:rPr>
        <w:t>"</w:t>
      </w:r>
      <w:r w:rsidRPr="00054B05">
        <w:rPr>
          <w:bCs/>
        </w:rPr>
        <w:t>ES</w:t>
      </w:r>
      <w:r>
        <w:rPr>
          <w:bCs/>
        </w:rPr>
        <w:t>"</w:t>
      </w:r>
      <w:r w:rsidRPr="00054B05">
        <w:rPr>
          <w:bCs/>
        </w:rPr>
        <w:t>) concerned has been approved in the Netherlands (E</w:t>
      </w:r>
      <w:r>
        <w:rPr>
          <w:bCs/>
        </w:rPr>
        <w:t> </w:t>
      </w:r>
      <w:r w:rsidRPr="00054B05">
        <w:rPr>
          <w:bCs/>
        </w:rPr>
        <w:t xml:space="preserve">4), pursuant to Regulation No. 100, and under the approval number </w:t>
      </w:r>
      <w:r w:rsidRPr="00C9753D">
        <w:rPr>
          <w:b/>
          <w:bCs/>
        </w:rPr>
        <w:t>04</w:t>
      </w:r>
      <w:r w:rsidRPr="00054B05">
        <w:rPr>
          <w:bCs/>
        </w:rPr>
        <w:t xml:space="preserve">2492. The first two digits of the approval number indicate that the approval was granted in accordance with the requirements of Regulation No. 100 as amended by </w:t>
      </w:r>
      <w:r w:rsidRPr="00C9753D">
        <w:rPr>
          <w:b/>
          <w:bCs/>
        </w:rPr>
        <w:t>04</w:t>
      </w:r>
      <w:r w:rsidRPr="00054B05">
        <w:rPr>
          <w:bCs/>
        </w:rPr>
        <w:t xml:space="preserve"> series of amendments.</w:t>
      </w:r>
    </w:p>
    <w:p w14:paraId="2C92AB16" w14:textId="77777777" w:rsidR="00B31229" w:rsidRPr="00054B05" w:rsidRDefault="00B31229" w:rsidP="00B31229">
      <w:pPr>
        <w:pStyle w:val="Heading1"/>
      </w:pPr>
      <w:bookmarkStart w:id="11" w:name="_Toc352838569"/>
      <w:bookmarkStart w:id="12" w:name="_Toc352852741"/>
      <w:r w:rsidRPr="00054B05">
        <w:t>Model B</w:t>
      </w:r>
      <w:bookmarkEnd w:id="11"/>
      <w:bookmarkEnd w:id="12"/>
    </w:p>
    <w:p w14:paraId="11BA2ECE" w14:textId="77777777" w:rsidR="00B31229" w:rsidRPr="00054B05" w:rsidRDefault="00B31229" w:rsidP="00B31229">
      <w:pPr>
        <w:pStyle w:val="SingleTxtG"/>
      </w:pPr>
      <w:r w:rsidRPr="00054B05">
        <w:t xml:space="preserve">(See </w:t>
      </w:r>
      <w:r>
        <w:t>p</w:t>
      </w:r>
      <w:r w:rsidRPr="00054B05">
        <w:t>aragraph 4.5. of this Regulation)</w:t>
      </w:r>
    </w:p>
    <w:p w14:paraId="2EA25713" w14:textId="77777777" w:rsidR="00B31229" w:rsidRPr="00054B05" w:rsidRDefault="00B31229" w:rsidP="00B31229">
      <w:pPr>
        <w:tabs>
          <w:tab w:val="left" w:pos="-720"/>
          <w:tab w:val="left" w:pos="1512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</w:tabs>
        <w:spacing w:line="286" w:lineRule="auto"/>
        <w:ind w:left="1134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6C54F" wp14:editId="386C2D29">
                <wp:simplePos x="0" y="0"/>
                <wp:positionH relativeFrom="column">
                  <wp:posOffset>2241550</wp:posOffset>
                </wp:positionH>
                <wp:positionV relativeFrom="paragraph">
                  <wp:posOffset>40640</wp:posOffset>
                </wp:positionV>
                <wp:extent cx="2603500" cy="824865"/>
                <wp:effectExtent l="3175" t="2540" r="3175" b="1270"/>
                <wp:wrapNone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46"/>
                              <w:gridCol w:w="2030"/>
                            </w:tblGrid>
                            <w:tr w:rsidR="00B31229" w:rsidRPr="00D00EBE" w14:paraId="26DFFC16" w14:textId="77777777" w:rsidTr="008C4E96">
                              <w:trPr>
                                <w:trHeight w:val="411"/>
                              </w:trPr>
                              <w:tc>
                                <w:tcPr>
                                  <w:tcW w:w="1348" w:type="dxa"/>
                                </w:tcPr>
                                <w:p w14:paraId="55E91AEF" w14:textId="77777777" w:rsidR="00B31229" w:rsidRPr="00D00EBE" w:rsidRDefault="00B31229" w:rsidP="008C4E96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00EB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6ABB19F7" w14:textId="77777777" w:rsidR="00B31229" w:rsidRPr="00D00EBE" w:rsidRDefault="00B31229" w:rsidP="00C9753D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D7FAA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D00EB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2492</w:t>
                                  </w:r>
                                </w:p>
                              </w:tc>
                            </w:tr>
                            <w:tr w:rsidR="00B31229" w:rsidRPr="00D65598" w14:paraId="7740D233" w14:textId="77777777" w:rsidTr="008C4E96">
                              <w:trPr>
                                <w:trHeight w:val="411"/>
                              </w:trPr>
                              <w:tc>
                                <w:tcPr>
                                  <w:tcW w:w="1348" w:type="dxa"/>
                                </w:tcPr>
                                <w:p w14:paraId="79D6AC49" w14:textId="77777777" w:rsidR="00B31229" w:rsidRPr="00D00EBE" w:rsidRDefault="00B31229" w:rsidP="008C4E96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426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284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00EB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3B9C539F" w14:textId="77777777" w:rsidR="00B31229" w:rsidRPr="00D00EBE" w:rsidRDefault="00B31229" w:rsidP="00522AFE">
                                  <w:pPr>
                                    <w:widowControl w:val="0"/>
                                    <w:tabs>
                                      <w:tab w:val="left" w:pos="-720"/>
                                      <w:tab w:val="left" w:pos="756"/>
                                      <w:tab w:val="left" w:pos="1512"/>
                                      <w:tab w:val="left" w:pos="2142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498"/>
                                    </w:tabs>
                                    <w:spacing w:line="286" w:lineRule="auto"/>
                                    <w:ind w:left="10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00EB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00 1628</w:t>
                                  </w:r>
                                </w:p>
                              </w:tc>
                            </w:tr>
                          </w:tbl>
                          <w:p w14:paraId="0CCCEDC2" w14:textId="77777777" w:rsidR="00B31229" w:rsidRDefault="00B31229" w:rsidP="00B312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C54F" id="Tekstvak 18" o:spid="_x0000_s1031" type="#_x0000_t202" style="position:absolute;left:0;text-align:left;margin-left:176.5pt;margin-top:3.2pt;width:205pt;height: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9C9wEAANE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Ind w:w="4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46"/>
                        <w:gridCol w:w="2030"/>
                      </w:tblGrid>
                      <w:tr w:rsidR="00B31229" w:rsidRPr="00D00EBE" w14:paraId="26DFFC16" w14:textId="77777777" w:rsidTr="008C4E96">
                        <w:trPr>
                          <w:trHeight w:val="411"/>
                        </w:trPr>
                        <w:tc>
                          <w:tcPr>
                            <w:tcW w:w="1348" w:type="dxa"/>
                          </w:tcPr>
                          <w:p w14:paraId="55E91AEF" w14:textId="77777777" w:rsidR="00B31229" w:rsidRPr="00D00EBE" w:rsidRDefault="00B31229" w:rsidP="008C4E96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00EB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6ABB19F7" w14:textId="77777777" w:rsidR="00B31229" w:rsidRPr="00D00EBE" w:rsidRDefault="00B31229" w:rsidP="00C9753D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D7FA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D00EB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2492</w:t>
                            </w:r>
                          </w:p>
                        </w:tc>
                      </w:tr>
                      <w:tr w:rsidR="00B31229" w:rsidRPr="00D65598" w14:paraId="7740D233" w14:textId="77777777" w:rsidTr="008C4E96">
                        <w:trPr>
                          <w:trHeight w:val="411"/>
                        </w:trPr>
                        <w:tc>
                          <w:tcPr>
                            <w:tcW w:w="1348" w:type="dxa"/>
                          </w:tcPr>
                          <w:p w14:paraId="79D6AC49" w14:textId="77777777" w:rsidR="00B31229" w:rsidRPr="00D00EBE" w:rsidRDefault="00B31229" w:rsidP="008C4E96">
                            <w:pPr>
                              <w:widowControl w:val="0"/>
                              <w:tabs>
                                <w:tab w:val="left" w:pos="-720"/>
                                <w:tab w:val="left" w:pos="426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00EB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3B9C539F" w14:textId="77777777" w:rsidR="00B31229" w:rsidRPr="00D00EBE" w:rsidRDefault="00B31229" w:rsidP="00522AFE">
                            <w:pPr>
                              <w:widowControl w:val="0"/>
                              <w:tabs>
                                <w:tab w:val="left" w:pos="-720"/>
                                <w:tab w:val="left" w:pos="756"/>
                                <w:tab w:val="left" w:pos="1512"/>
                                <w:tab w:val="left" w:pos="2142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498"/>
                              </w:tabs>
                              <w:spacing w:line="286" w:lineRule="auto"/>
                              <w:ind w:left="10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00EB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00 1628</w:t>
                            </w:r>
                          </w:p>
                        </w:tc>
                      </w:tr>
                    </w:tbl>
                    <w:p w14:paraId="0CCCEDC2" w14:textId="77777777" w:rsidR="00B31229" w:rsidRDefault="00B31229" w:rsidP="00B31229"/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D3FFC" wp14:editId="7C5C61F6">
                <wp:simplePos x="0" y="0"/>
                <wp:positionH relativeFrom="column">
                  <wp:posOffset>4749800</wp:posOffset>
                </wp:positionH>
                <wp:positionV relativeFrom="paragraph">
                  <wp:posOffset>54610</wp:posOffset>
                </wp:positionV>
                <wp:extent cx="577850" cy="728345"/>
                <wp:effectExtent l="0" t="0" r="0" b="0"/>
                <wp:wrapNone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36BDC" w14:textId="77777777" w:rsidR="00B31229" w:rsidRDefault="00B31229" w:rsidP="00B31229">
                            <w:r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74FE22F9" wp14:editId="54909514">
                                  <wp:extent cx="393065" cy="657225"/>
                                  <wp:effectExtent l="0" t="0" r="6985" b="9525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06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3FFC" id="Tekstvak 17" o:spid="_x0000_s1032" type="#_x0000_t202" style="position:absolute;left:0;text-align:left;margin-left:374pt;margin-top:4.3pt;width:45.5pt;height:57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" stroked="f">
                <v:textbox>
                  <w:txbxContent>
                    <w:p w14:paraId="59F36BDC" w14:textId="77777777" w:rsidR="00B31229" w:rsidRDefault="00B31229" w:rsidP="00B31229">
                      <w:r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74FE22F9" wp14:editId="54909514">
                            <wp:extent cx="393065" cy="657225"/>
                            <wp:effectExtent l="0" t="0" r="6985" b="9525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06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w:drawing>
          <wp:inline distT="0" distB="0" distL="0" distR="0" wp14:anchorId="7F271C24" wp14:editId="1A6F81FF">
            <wp:extent cx="1564640" cy="82613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3D42" w14:textId="77777777" w:rsidR="00B31229" w:rsidRPr="00054B05" w:rsidRDefault="00B31229" w:rsidP="00B31229">
      <w:pPr>
        <w:tabs>
          <w:tab w:val="left" w:pos="-720"/>
          <w:tab w:val="left" w:pos="0"/>
          <w:tab w:val="left" w:pos="756"/>
          <w:tab w:val="left" w:pos="1512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6" w:lineRule="auto"/>
        <w:ind w:right="1134"/>
        <w:jc w:val="right"/>
      </w:pPr>
      <w:r w:rsidRPr="00054B05">
        <w:t>a = 8 mm min.</w:t>
      </w:r>
    </w:p>
    <w:p w14:paraId="2281E026" w14:textId="7332A7D5" w:rsidR="00B31229" w:rsidRPr="00341F66" w:rsidRDefault="00B31229" w:rsidP="00B31229">
      <w:pPr>
        <w:pStyle w:val="SingleTxtG"/>
        <w:ind w:right="850" w:firstLine="567"/>
      </w:pPr>
      <w:r w:rsidRPr="00054B05">
        <w:t xml:space="preserve">The above approval mark affixed to a vehicle shows that the road vehicle concerned has been approved in the Netherlands (E4) pursuant </w:t>
      </w:r>
      <w:r>
        <w:t>to Regulations Nos. 100 and 42</w:t>
      </w:r>
      <w:r>
        <w:rPr>
          <w:rStyle w:val="FootnoteReference"/>
        </w:rPr>
        <w:footnoteReference w:id="3"/>
      </w:r>
      <w:r>
        <w:t>.</w:t>
      </w:r>
      <w:r w:rsidRPr="00054B05">
        <w:t xml:space="preserve"> The approval number indicates that, at the dates when the respective approvals were granted, Regulation No. 100 was amended by the </w:t>
      </w:r>
      <w:r w:rsidRPr="00C9753D">
        <w:rPr>
          <w:b/>
        </w:rPr>
        <w:t>04</w:t>
      </w:r>
      <w:r w:rsidRPr="00054B05">
        <w:t xml:space="preserve"> series of amendments and Regulation No. 42 was still in its original form.</w:t>
      </w:r>
      <w:r>
        <w:t>"</w:t>
      </w:r>
    </w:p>
    <w:p w14:paraId="49AF43B4" w14:textId="77777777" w:rsidR="00B31229" w:rsidRPr="00341F66" w:rsidRDefault="00B31229" w:rsidP="00B31229">
      <w:pPr>
        <w:ind w:left="2268" w:hanging="1134"/>
        <w:rPr>
          <w:i/>
        </w:rPr>
      </w:pPr>
      <w:r w:rsidRPr="00341F66">
        <w:rPr>
          <w:i/>
        </w:rPr>
        <w:lastRenderedPageBreak/>
        <w:t xml:space="preserve">Introduce a new Annex </w:t>
      </w:r>
      <w:r>
        <w:rPr>
          <w:i/>
        </w:rPr>
        <w:t>10</w:t>
      </w:r>
      <w:r w:rsidRPr="00341F66">
        <w:rPr>
          <w:i/>
        </w:rPr>
        <w:t xml:space="preserve">, </w:t>
      </w:r>
      <w:r w:rsidRPr="00341F66">
        <w:rPr>
          <w:iCs/>
        </w:rPr>
        <w:t>to read:</w:t>
      </w:r>
    </w:p>
    <w:p w14:paraId="63C523A2" w14:textId="1749B9BD" w:rsidR="00B31229" w:rsidRPr="00341F66" w:rsidRDefault="00B31229" w:rsidP="00B31229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B31229">
        <w:rPr>
          <w:bCs/>
          <w:sz w:val="28"/>
        </w:rPr>
        <w:t>"</w:t>
      </w:r>
      <w:r w:rsidRPr="00341F66">
        <w:rPr>
          <w:b/>
          <w:sz w:val="28"/>
        </w:rPr>
        <w:t xml:space="preserve">Annex </w:t>
      </w:r>
      <w:r>
        <w:rPr>
          <w:b/>
          <w:sz w:val="28"/>
        </w:rPr>
        <w:t>10</w:t>
      </w:r>
    </w:p>
    <w:p w14:paraId="1CF4F67D" w14:textId="77777777" w:rsidR="00B31229" w:rsidRPr="00341F66" w:rsidRDefault="00B31229" w:rsidP="00B31229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341F66">
        <w:rPr>
          <w:b/>
          <w:sz w:val="28"/>
        </w:rPr>
        <w:t>Provisions for a label for vehicle</w:t>
      </w:r>
      <w:r>
        <w:rPr>
          <w:b/>
          <w:sz w:val="28"/>
        </w:rPr>
        <w:t>s</w:t>
      </w:r>
      <w:r w:rsidRPr="00341F66">
        <w:rPr>
          <w:b/>
          <w:sz w:val="28"/>
        </w:rPr>
        <w:t xml:space="preserve"> of categories M</w:t>
      </w:r>
      <w:r w:rsidRPr="00341F66">
        <w:rPr>
          <w:b/>
          <w:sz w:val="28"/>
          <w:vertAlign w:val="subscript"/>
        </w:rPr>
        <w:t>2</w:t>
      </w:r>
      <w:r w:rsidRPr="00341F66">
        <w:rPr>
          <w:b/>
          <w:sz w:val="28"/>
        </w:rPr>
        <w:t>/N</w:t>
      </w:r>
      <w:r w:rsidRPr="00341F66">
        <w:rPr>
          <w:b/>
          <w:sz w:val="28"/>
          <w:vertAlign w:val="subscript"/>
        </w:rPr>
        <w:t>2</w:t>
      </w:r>
      <w:r w:rsidRPr="00341F66">
        <w:rPr>
          <w:b/>
          <w:sz w:val="28"/>
        </w:rPr>
        <w:t xml:space="preserve"> and M</w:t>
      </w:r>
      <w:r w:rsidRPr="00341F66">
        <w:rPr>
          <w:b/>
          <w:sz w:val="28"/>
          <w:vertAlign w:val="subscript"/>
        </w:rPr>
        <w:t>3</w:t>
      </w:r>
      <w:bookmarkEnd w:id="0"/>
      <w:r w:rsidRPr="00341F66">
        <w:rPr>
          <w:b/>
          <w:sz w:val="28"/>
        </w:rPr>
        <w:t>/N</w:t>
      </w:r>
      <w:r w:rsidRPr="00341F66">
        <w:rPr>
          <w:b/>
          <w:sz w:val="28"/>
          <w:vertAlign w:val="subscript"/>
        </w:rPr>
        <w:t>3</w:t>
      </w:r>
      <w:r>
        <w:rPr>
          <w:b/>
          <w:sz w:val="28"/>
        </w:rPr>
        <w:t xml:space="preserve"> equipped with an electric power train. </w:t>
      </w:r>
    </w:p>
    <w:p w14:paraId="7CA0DDD1" w14:textId="77777777" w:rsidR="00B31229" w:rsidRPr="00341F66" w:rsidRDefault="00B31229" w:rsidP="00B31229">
      <w:pPr>
        <w:spacing w:after="120"/>
        <w:ind w:left="2268" w:right="1134" w:hanging="1134"/>
        <w:jc w:val="both"/>
      </w:pPr>
      <w:r w:rsidRPr="00341F66">
        <w:t xml:space="preserve">(Paragraph </w:t>
      </w:r>
      <w:r>
        <w:t>5.5</w:t>
      </w:r>
      <w:r w:rsidRPr="00341F66">
        <w:t xml:space="preserve">.1 </w:t>
      </w:r>
      <w:r>
        <w:t>to</w:t>
      </w:r>
      <w:r w:rsidRPr="00341F66">
        <w:t xml:space="preserve"> </w:t>
      </w:r>
      <w:r>
        <w:t>5.5.3.</w:t>
      </w:r>
      <w:r w:rsidRPr="00341F66">
        <w:t xml:space="preserve"> of this Regulation)</w:t>
      </w:r>
    </w:p>
    <w:p w14:paraId="426A94E9" w14:textId="77777777" w:rsidR="00B31229" w:rsidRPr="00341F66" w:rsidRDefault="00B31229" w:rsidP="00B31229">
      <w:pPr>
        <w:spacing w:after="120"/>
        <w:ind w:left="2268" w:right="1134" w:hanging="1134"/>
        <w:jc w:val="both"/>
      </w:pPr>
    </w:p>
    <w:p w14:paraId="0DDF7D66" w14:textId="77777777" w:rsidR="00B31229" w:rsidRPr="00341F66" w:rsidRDefault="00B31229" w:rsidP="00B31229">
      <w:pPr>
        <w:ind w:left="1134" w:right="1134"/>
        <w:jc w:val="center"/>
        <w:rPr>
          <w:i/>
        </w:rPr>
      </w:pPr>
      <w:r>
        <w:rPr>
          <w:noProof/>
          <w:lang w:val="nl-NL" w:eastAsia="nl-NL"/>
        </w:rPr>
        <w:drawing>
          <wp:inline distT="0" distB="0" distL="0" distR="0" wp14:anchorId="42DAE349" wp14:editId="624E4494">
            <wp:extent cx="3707463" cy="2700000"/>
            <wp:effectExtent l="0" t="0" r="7620" b="571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746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A61DC" w14:textId="77777777" w:rsidR="00B31229" w:rsidRPr="00341F66" w:rsidRDefault="00B31229" w:rsidP="00B31229">
      <w:pPr>
        <w:spacing w:before="120" w:after="120" w:line="240" w:lineRule="auto"/>
        <w:ind w:left="1134" w:right="1134"/>
        <w:jc w:val="both"/>
      </w:pPr>
      <w:r w:rsidRPr="00341F66">
        <w:t>The label shall be weather resistant.</w:t>
      </w:r>
    </w:p>
    <w:p w14:paraId="41E90A6A" w14:textId="77777777" w:rsidR="00B31229" w:rsidRPr="00341F66" w:rsidRDefault="00B31229" w:rsidP="00B31229">
      <w:pPr>
        <w:spacing w:before="120" w:after="120" w:line="240" w:lineRule="auto"/>
        <w:ind w:left="1134" w:right="1134"/>
        <w:jc w:val="both"/>
      </w:pPr>
      <w:r w:rsidRPr="00341F66">
        <w:t>The centre zone indicates the first energy source</w:t>
      </w:r>
      <w:r>
        <w:t>.</w:t>
      </w:r>
    </w:p>
    <w:p w14:paraId="24416804" w14:textId="77777777" w:rsidR="00B31229" w:rsidRPr="00341F66" w:rsidRDefault="00B31229" w:rsidP="00B31229">
      <w:pPr>
        <w:tabs>
          <w:tab w:val="left" w:pos="3402"/>
        </w:tabs>
        <w:spacing w:after="120" w:line="240" w:lineRule="auto"/>
        <w:ind w:left="3402" w:right="1134" w:hanging="2268"/>
        <w:jc w:val="both"/>
      </w:pPr>
      <w:r w:rsidRPr="00341F66">
        <w:t>The upper zone indicates the second energy source</w:t>
      </w:r>
      <w:r>
        <w:t>.</w:t>
      </w:r>
    </w:p>
    <w:p w14:paraId="7C401D51" w14:textId="77777777" w:rsidR="00B31229" w:rsidRPr="00341F66" w:rsidRDefault="00B31229" w:rsidP="00B31229">
      <w:pPr>
        <w:tabs>
          <w:tab w:val="left" w:pos="3402"/>
        </w:tabs>
        <w:spacing w:after="120" w:line="240" w:lineRule="auto"/>
        <w:ind w:left="3402" w:right="1134" w:hanging="2268"/>
        <w:jc w:val="both"/>
      </w:pPr>
      <w:r w:rsidRPr="00341F66">
        <w:t>Layout and symbols shall be in accordance with ISO 17840-4:2018</w:t>
      </w:r>
      <w:r>
        <w:t>.</w:t>
      </w:r>
    </w:p>
    <w:p w14:paraId="42B1B1A6" w14:textId="77777777" w:rsidR="00B31229" w:rsidRPr="00341F66" w:rsidRDefault="00B31229" w:rsidP="00B31229">
      <w:pPr>
        <w:tabs>
          <w:tab w:val="left" w:pos="3402"/>
        </w:tabs>
        <w:spacing w:after="120" w:line="240" w:lineRule="auto"/>
        <w:ind w:left="3402" w:right="1134" w:hanging="2268"/>
        <w:jc w:val="both"/>
      </w:pPr>
      <w:r w:rsidRPr="00341F66">
        <w:t xml:space="preserve">The colour and dimensions of the </w:t>
      </w:r>
      <w:r>
        <w:t>label</w:t>
      </w:r>
      <w:r w:rsidRPr="00341F66">
        <w:t xml:space="preserve"> shall fulfil the following requirements:</w:t>
      </w:r>
    </w:p>
    <w:p w14:paraId="35F905A5" w14:textId="77777777" w:rsidR="00B31229" w:rsidRPr="00341F66" w:rsidRDefault="00B31229" w:rsidP="00B31229">
      <w:pPr>
        <w:tabs>
          <w:tab w:val="left" w:pos="3402"/>
        </w:tabs>
        <w:spacing w:after="120" w:line="240" w:lineRule="auto"/>
        <w:ind w:left="3402" w:right="1134" w:hanging="2268"/>
        <w:jc w:val="both"/>
      </w:pPr>
      <w:r w:rsidRPr="00341F66">
        <w:t>Colours:</w:t>
      </w:r>
    </w:p>
    <w:p w14:paraId="2D5A6AB4" w14:textId="77777777" w:rsidR="00B31229" w:rsidRPr="00341F66" w:rsidRDefault="00B31229" w:rsidP="00B31229">
      <w:pPr>
        <w:tabs>
          <w:tab w:val="left" w:pos="3969"/>
        </w:tabs>
        <w:spacing w:after="120" w:line="240" w:lineRule="auto"/>
        <w:ind w:left="1701" w:right="1134"/>
        <w:jc w:val="both"/>
      </w:pPr>
      <w:r w:rsidRPr="00341F66">
        <w:t>Background:</w:t>
      </w:r>
      <w:r w:rsidRPr="00341F66">
        <w:tab/>
      </w:r>
      <w:r>
        <w:t>Orange</w:t>
      </w:r>
      <w:r w:rsidRPr="00341F66">
        <w:t xml:space="preserve">, RGB code </w:t>
      </w:r>
      <w:r>
        <w:t>255</w:t>
      </w:r>
      <w:r w:rsidRPr="00341F66">
        <w:t>, 1</w:t>
      </w:r>
      <w:r>
        <w:t>65</w:t>
      </w:r>
      <w:r w:rsidRPr="00341F66">
        <w:t xml:space="preserve">, </w:t>
      </w:r>
      <w:r>
        <w:t>0</w:t>
      </w:r>
    </w:p>
    <w:p w14:paraId="00BC341E" w14:textId="77777777" w:rsidR="00B31229" w:rsidRPr="00341F66" w:rsidRDefault="00B31229" w:rsidP="00B31229">
      <w:pPr>
        <w:tabs>
          <w:tab w:val="left" w:pos="3969"/>
        </w:tabs>
        <w:spacing w:after="120" w:line="240" w:lineRule="auto"/>
        <w:ind w:left="1701" w:right="1134"/>
        <w:jc w:val="both"/>
      </w:pPr>
      <w:r w:rsidRPr="00341F66">
        <w:t>Border:</w:t>
      </w:r>
      <w:r w:rsidRPr="00341F66">
        <w:tab/>
        <w:t>white reflecting</w:t>
      </w:r>
    </w:p>
    <w:p w14:paraId="4F280344" w14:textId="77777777" w:rsidR="00B31229" w:rsidRPr="00341F66" w:rsidRDefault="00B31229" w:rsidP="00B31229">
      <w:pPr>
        <w:tabs>
          <w:tab w:val="left" w:pos="3969"/>
        </w:tabs>
        <w:spacing w:after="120" w:line="240" w:lineRule="auto"/>
        <w:ind w:left="1701" w:right="1134"/>
        <w:jc w:val="both"/>
      </w:pPr>
      <w:r w:rsidRPr="00341F66">
        <w:t>Letters:</w:t>
      </w:r>
      <w:r w:rsidRPr="00341F66">
        <w:tab/>
        <w:t>white reflecting</w:t>
      </w:r>
    </w:p>
    <w:p w14:paraId="4D123387" w14:textId="77777777" w:rsidR="00B31229" w:rsidRPr="00341F66" w:rsidRDefault="00B31229" w:rsidP="00B31229">
      <w:pPr>
        <w:tabs>
          <w:tab w:val="left" w:pos="3402"/>
        </w:tabs>
        <w:spacing w:after="120" w:line="240" w:lineRule="auto"/>
        <w:ind w:left="3402" w:right="1134" w:hanging="2268"/>
        <w:jc w:val="both"/>
      </w:pPr>
      <w:r w:rsidRPr="00341F66">
        <w:t>Dimensions:</w:t>
      </w:r>
    </w:p>
    <w:p w14:paraId="4E4F8F98" w14:textId="77777777" w:rsidR="00B31229" w:rsidRPr="00341F66" w:rsidRDefault="00B31229" w:rsidP="00B31229">
      <w:pPr>
        <w:tabs>
          <w:tab w:val="left" w:pos="3969"/>
        </w:tabs>
        <w:spacing w:after="120" w:line="240" w:lineRule="auto"/>
        <w:ind w:left="1701" w:right="1134"/>
        <w:jc w:val="both"/>
      </w:pPr>
      <w:r w:rsidRPr="00341F66">
        <w:t>Sticker width:</w:t>
      </w:r>
      <w:r w:rsidRPr="00341F66">
        <w:tab/>
      </w:r>
      <w:r>
        <w:t xml:space="preserve">≥ </w:t>
      </w:r>
      <w:r w:rsidRPr="00341F66">
        <w:t>110 mm</w:t>
      </w:r>
    </w:p>
    <w:p w14:paraId="5D4493FB" w14:textId="483E3D6C" w:rsidR="00B31229" w:rsidRPr="00341F66" w:rsidRDefault="00B31229" w:rsidP="00B31229">
      <w:pPr>
        <w:tabs>
          <w:tab w:val="left" w:pos="3969"/>
        </w:tabs>
        <w:spacing w:after="120" w:line="240" w:lineRule="auto"/>
        <w:ind w:left="1701" w:right="1134"/>
        <w:jc w:val="both"/>
      </w:pPr>
      <w:r w:rsidRPr="00341F66">
        <w:t xml:space="preserve">Sticker height: </w:t>
      </w:r>
      <w:r w:rsidRPr="00341F66">
        <w:tab/>
      </w:r>
      <w:r>
        <w:t>≥ 80</w:t>
      </w:r>
      <w:r w:rsidRPr="00341F66">
        <w:t xml:space="preserve"> mm</w:t>
      </w:r>
      <w:r>
        <w:t>"</w:t>
      </w:r>
    </w:p>
    <w:p w14:paraId="2AEDF541" w14:textId="77777777" w:rsidR="00B31229" w:rsidRPr="00341F66" w:rsidRDefault="00B31229" w:rsidP="00B31229">
      <w:pPr>
        <w:pStyle w:val="HChG"/>
        <w:rPr>
          <w:snapToGrid w:val="0"/>
          <w:lang w:eastAsia="ja-JP"/>
        </w:rPr>
      </w:pPr>
      <w:r w:rsidRPr="00341F66">
        <w:rPr>
          <w:snapToGrid w:val="0"/>
          <w:lang w:eastAsia="ja-JP"/>
        </w:rPr>
        <w:tab/>
        <w:t>II.</w:t>
      </w:r>
      <w:r w:rsidRPr="00341F66">
        <w:rPr>
          <w:snapToGrid w:val="0"/>
          <w:lang w:eastAsia="ja-JP"/>
        </w:rPr>
        <w:tab/>
      </w:r>
      <w:r w:rsidRPr="00341F66">
        <w:rPr>
          <w:snapToGrid w:val="0"/>
          <w:lang w:eastAsia="ja-JP"/>
        </w:rPr>
        <w:tab/>
      </w:r>
      <w:r w:rsidRPr="00341F66">
        <w:t>Justification</w:t>
      </w:r>
    </w:p>
    <w:p w14:paraId="05E675C4" w14:textId="77777777" w:rsidR="00B31229" w:rsidRPr="00341F66" w:rsidRDefault="00B31229" w:rsidP="00B31229">
      <w:pPr>
        <w:pStyle w:val="ListParagraph"/>
        <w:numPr>
          <w:ilvl w:val="0"/>
          <w:numId w:val="20"/>
        </w:numPr>
        <w:ind w:left="1701" w:right="1134" w:hanging="567"/>
        <w:jc w:val="both"/>
      </w:pPr>
      <w:r w:rsidRPr="00341F66">
        <w:t>Provisions for identification of gaseous and liquified fuels have been laid down in UN Regulations for LPG-fuelled M</w:t>
      </w:r>
      <w:r w:rsidRPr="00341F66">
        <w:rPr>
          <w:vertAlign w:val="subscript"/>
        </w:rPr>
        <w:t>2</w:t>
      </w:r>
      <w:r>
        <w:t>/N</w:t>
      </w:r>
      <w:r w:rsidRPr="002A2D7A">
        <w:rPr>
          <w:vertAlign w:val="subscript"/>
        </w:rPr>
        <w:t>2</w:t>
      </w:r>
      <w:r w:rsidRPr="00341F66">
        <w:t xml:space="preserve"> and M</w:t>
      </w:r>
      <w:r w:rsidRPr="00341F66">
        <w:rPr>
          <w:vertAlign w:val="subscript"/>
        </w:rPr>
        <w:t>3</w:t>
      </w:r>
      <w:r>
        <w:t>/N</w:t>
      </w:r>
      <w:r w:rsidRPr="002A2D7A">
        <w:rPr>
          <w:vertAlign w:val="subscript"/>
        </w:rPr>
        <w:t>3</w:t>
      </w:r>
      <w:r w:rsidRPr="00341F66">
        <w:t xml:space="preserve"> vehicles (UN Reg</w:t>
      </w:r>
      <w:r>
        <w:t xml:space="preserve">ulation No. </w:t>
      </w:r>
      <w:r w:rsidRPr="00341F66">
        <w:t>67, par</w:t>
      </w:r>
      <w:r>
        <w:t>a</w:t>
      </w:r>
      <w:r w:rsidRPr="00341F66">
        <w:t>.</w:t>
      </w:r>
      <w:r>
        <w:t xml:space="preserve"> </w:t>
      </w:r>
      <w:r w:rsidRPr="00341F66">
        <w:t>17.1.8., incl</w:t>
      </w:r>
      <w:r>
        <w:t>uding Annex 16 for details),</w:t>
      </w:r>
      <w:r w:rsidRPr="00341F66">
        <w:t xml:space="preserve"> CNG/LNG-fuelled M</w:t>
      </w:r>
      <w:r w:rsidRPr="00341F66">
        <w:rPr>
          <w:vertAlign w:val="subscript"/>
        </w:rPr>
        <w:t>2</w:t>
      </w:r>
      <w:r>
        <w:t>/N</w:t>
      </w:r>
      <w:r w:rsidRPr="002A2D7A">
        <w:rPr>
          <w:vertAlign w:val="subscript"/>
        </w:rPr>
        <w:t>2</w:t>
      </w:r>
      <w:r w:rsidRPr="00341F66">
        <w:t xml:space="preserve"> and M</w:t>
      </w:r>
      <w:r>
        <w:rPr>
          <w:vertAlign w:val="subscript"/>
        </w:rPr>
        <w:t>3</w:t>
      </w:r>
      <w:r>
        <w:t>/N</w:t>
      </w:r>
      <w:r>
        <w:rPr>
          <w:vertAlign w:val="subscript"/>
        </w:rPr>
        <w:t>3</w:t>
      </w:r>
      <w:r w:rsidRPr="00341F66">
        <w:t xml:space="preserve"> vehicles (UN Reg</w:t>
      </w:r>
      <w:r>
        <w:t xml:space="preserve">ulation No. </w:t>
      </w:r>
      <w:r w:rsidRPr="00341F66">
        <w:t>110, par</w:t>
      </w:r>
      <w:r>
        <w:t>a</w:t>
      </w:r>
      <w:r w:rsidRPr="00341F66">
        <w:t>.</w:t>
      </w:r>
      <w:r>
        <w:t xml:space="preserve"> </w:t>
      </w:r>
      <w:r w:rsidRPr="00341F66">
        <w:t xml:space="preserve">18.1.8., including Annex 6 and 7 for </w:t>
      </w:r>
      <w:r>
        <w:t xml:space="preserve">the </w:t>
      </w:r>
      <w:r w:rsidRPr="00341F66">
        <w:t>details)</w:t>
      </w:r>
      <w:r>
        <w:t xml:space="preserve"> and Compressed Hydrogen-fuelled vehicles </w:t>
      </w:r>
      <w:r w:rsidRPr="00341F66">
        <w:t>M</w:t>
      </w:r>
      <w:r w:rsidRPr="00341F66">
        <w:rPr>
          <w:vertAlign w:val="subscript"/>
        </w:rPr>
        <w:t>2</w:t>
      </w:r>
      <w:r>
        <w:t>/N</w:t>
      </w:r>
      <w:r w:rsidRPr="002A2D7A">
        <w:rPr>
          <w:vertAlign w:val="subscript"/>
        </w:rPr>
        <w:t>2</w:t>
      </w:r>
      <w:r>
        <w:t xml:space="preserve"> and </w:t>
      </w:r>
      <w:r w:rsidRPr="00341F66">
        <w:t>M</w:t>
      </w:r>
      <w:r>
        <w:rPr>
          <w:vertAlign w:val="subscript"/>
        </w:rPr>
        <w:t>3</w:t>
      </w:r>
      <w:r>
        <w:t>/N</w:t>
      </w:r>
      <w:r>
        <w:rPr>
          <w:vertAlign w:val="subscript"/>
        </w:rPr>
        <w:t>3</w:t>
      </w:r>
      <w:r>
        <w:t xml:space="preserve"> vehicles (UN Regulation No. 134 para 7.1.7.1. and 7.1.7.3. including Annex 6 for the details)</w:t>
      </w:r>
      <w:r w:rsidRPr="00341F66">
        <w:t>.</w:t>
      </w:r>
    </w:p>
    <w:p w14:paraId="754087B0" w14:textId="6FAE9715" w:rsidR="00B31229" w:rsidRPr="00341F66" w:rsidRDefault="00B31229" w:rsidP="00B31229">
      <w:pPr>
        <w:pStyle w:val="ListParagraph"/>
        <w:numPr>
          <w:ilvl w:val="0"/>
          <w:numId w:val="20"/>
        </w:numPr>
        <w:ind w:left="1701" w:right="1134" w:hanging="567"/>
        <w:jc w:val="both"/>
      </w:pPr>
      <w:r w:rsidRPr="00341F66">
        <w:lastRenderedPageBreak/>
        <w:t xml:space="preserve">The </w:t>
      </w:r>
      <w:r>
        <w:t xml:space="preserve">label will </w:t>
      </w:r>
      <w:r w:rsidRPr="00341F66">
        <w:t xml:space="preserve">help emergency services to determine </w:t>
      </w:r>
      <w:r>
        <w:t xml:space="preserve">how to </w:t>
      </w:r>
      <w:r w:rsidRPr="00341F66">
        <w:t>approach the</w:t>
      </w:r>
      <w:r>
        <w:t>se vehicles in case of a fire, especially the vehicle’s REESS or in case the REESS is damaged due to an accident</w:t>
      </w:r>
      <w:r w:rsidR="00847A87">
        <w:t xml:space="preserve"> for example</w:t>
      </w:r>
      <w:r>
        <w:t xml:space="preserve">. </w:t>
      </w:r>
    </w:p>
    <w:p w14:paraId="47A26093" w14:textId="77777777" w:rsidR="00B31229" w:rsidRPr="00341F66" w:rsidRDefault="00B31229" w:rsidP="00B31229">
      <w:pPr>
        <w:pStyle w:val="ListParagraph"/>
        <w:numPr>
          <w:ilvl w:val="0"/>
          <w:numId w:val="20"/>
        </w:numPr>
        <w:ind w:left="1701" w:right="1134" w:hanging="567"/>
        <w:jc w:val="both"/>
      </w:pPr>
      <w:r w:rsidRPr="00341F66">
        <w:t>For the installation of labels</w:t>
      </w:r>
      <w:r>
        <w:t>,</w:t>
      </w:r>
      <w:r w:rsidRPr="00341F66">
        <w:t xml:space="preserve"> this proposal seeks consistency with UN Reg</w:t>
      </w:r>
      <w:r>
        <w:t>ulation Nos</w:t>
      </w:r>
      <w:r w:rsidRPr="00341F66">
        <w:t>.</w:t>
      </w:r>
      <w:r>
        <w:t xml:space="preserve"> </w:t>
      </w:r>
      <w:r w:rsidRPr="00341F66">
        <w:t>67</w:t>
      </w:r>
      <w:r>
        <w:t>,</w:t>
      </w:r>
      <w:r w:rsidRPr="00341F66">
        <w:t xml:space="preserve"> 110</w:t>
      </w:r>
      <w:r>
        <w:t xml:space="preserve"> and 134</w:t>
      </w:r>
      <w:r w:rsidRPr="00341F66">
        <w:t>.</w:t>
      </w:r>
    </w:p>
    <w:p w14:paraId="3B5FC823" w14:textId="77777777" w:rsidR="00B31229" w:rsidRPr="00341F66" w:rsidRDefault="00B31229" w:rsidP="00B31229">
      <w:pPr>
        <w:pStyle w:val="ListParagraph"/>
        <w:numPr>
          <w:ilvl w:val="0"/>
          <w:numId w:val="20"/>
        </w:numPr>
        <w:ind w:left="1701" w:right="1134" w:hanging="567"/>
        <w:jc w:val="both"/>
      </w:pPr>
      <w:r w:rsidRPr="00341F66">
        <w:t>CTIF</w:t>
      </w:r>
      <w:r>
        <w:t xml:space="preserve"> </w:t>
      </w:r>
      <w:r>
        <w:rPr>
          <w:rStyle w:val="FootnoteReference"/>
        </w:rPr>
        <w:footnoteReference w:id="4"/>
      </w:r>
      <w:r w:rsidRPr="00341F66">
        <w:t xml:space="preserve"> recommends </w:t>
      </w:r>
      <w:r>
        <w:t xml:space="preserve">the </w:t>
      </w:r>
      <w:r w:rsidRPr="00341F66">
        <w:t xml:space="preserve">use </w:t>
      </w:r>
      <w:r>
        <w:t xml:space="preserve">of </w:t>
      </w:r>
      <w:r w:rsidRPr="00341F66">
        <w:t xml:space="preserve">symbols which are in line with </w:t>
      </w:r>
      <w:r>
        <w:t xml:space="preserve">the </w:t>
      </w:r>
      <w:r w:rsidRPr="00341F66">
        <w:t xml:space="preserve">international standard </w:t>
      </w:r>
      <w:r w:rsidRPr="00341F66">
        <w:rPr>
          <w:b/>
        </w:rPr>
        <w:t>ISO 17840-4, Part 4 Propulsion energy identification</w:t>
      </w:r>
      <w:r w:rsidRPr="00341F66">
        <w:t>.</w:t>
      </w:r>
    </w:p>
    <w:p w14:paraId="648DAD4C" w14:textId="77777777" w:rsidR="00B31229" w:rsidRDefault="00B31229" w:rsidP="00B31229">
      <w:pPr>
        <w:pStyle w:val="ListParagraph"/>
        <w:numPr>
          <w:ilvl w:val="0"/>
          <w:numId w:val="20"/>
        </w:numPr>
        <w:ind w:left="1701" w:right="1134" w:hanging="567"/>
        <w:jc w:val="both"/>
      </w:pPr>
      <w:r w:rsidRPr="00341F66">
        <w:t>For the appearance of the label, this proposal seeks consistency with the above mentioned ISO standard.</w:t>
      </w:r>
    </w:p>
    <w:p w14:paraId="2A3E1A7F" w14:textId="77777777" w:rsidR="00B31229" w:rsidRPr="00341F66" w:rsidRDefault="00B31229" w:rsidP="00B31229">
      <w:pPr>
        <w:pStyle w:val="ListParagraph"/>
        <w:numPr>
          <w:ilvl w:val="0"/>
          <w:numId w:val="20"/>
        </w:numPr>
        <w:ind w:left="1701" w:right="1134" w:hanging="567"/>
        <w:jc w:val="both"/>
      </w:pPr>
      <w:r>
        <w:t>T</w:t>
      </w:r>
      <w:r w:rsidRPr="00964A6B">
        <w:t xml:space="preserve">he label required </w:t>
      </w:r>
      <w:r>
        <w:t>in</w:t>
      </w:r>
      <w:r w:rsidRPr="00964A6B">
        <w:t xml:space="preserve"> paragraph 7.1.7. of UN Regulation 134 </w:t>
      </w:r>
      <w:r>
        <w:t xml:space="preserve">already </w:t>
      </w:r>
      <w:r w:rsidRPr="00964A6B">
        <w:t>includes information about electric</w:t>
      </w:r>
      <w:r>
        <w:t xml:space="preserve"> safety</w:t>
      </w:r>
      <w:r w:rsidRPr="00964A6B">
        <w:t xml:space="preserve">, </w:t>
      </w:r>
      <w:r>
        <w:t xml:space="preserve">so </w:t>
      </w:r>
      <w:r w:rsidRPr="00964A6B">
        <w:t xml:space="preserve">vehicles </w:t>
      </w:r>
      <w:r>
        <w:t xml:space="preserve">which satisfy above requirement </w:t>
      </w:r>
      <w:r w:rsidRPr="00964A6B">
        <w:t xml:space="preserve">do not need </w:t>
      </w:r>
      <w:r>
        <w:t>an additional</w:t>
      </w:r>
      <w:r w:rsidRPr="00964A6B">
        <w:t xml:space="preserve"> label </w:t>
      </w:r>
      <w:r>
        <w:t xml:space="preserve">as </w:t>
      </w:r>
      <w:r w:rsidRPr="00964A6B">
        <w:t>required by</w:t>
      </w:r>
      <w:r>
        <w:t xml:space="preserve"> this proposal.</w:t>
      </w:r>
    </w:p>
    <w:p w14:paraId="2B8B4478" w14:textId="77777777" w:rsidR="00B31229" w:rsidRPr="00341F66" w:rsidRDefault="00B31229" w:rsidP="00B31229">
      <w:pPr>
        <w:spacing w:before="240"/>
        <w:jc w:val="center"/>
        <w:rPr>
          <w:u w:val="single"/>
        </w:rPr>
      </w:pPr>
      <w:r w:rsidRPr="00341F66">
        <w:rPr>
          <w:u w:val="single"/>
        </w:rPr>
        <w:tab/>
      </w:r>
      <w:r w:rsidRPr="00341F66">
        <w:rPr>
          <w:u w:val="single"/>
        </w:rPr>
        <w:tab/>
      </w:r>
      <w:r w:rsidRPr="00341F66">
        <w:rPr>
          <w:u w:val="single"/>
        </w:rPr>
        <w:tab/>
      </w:r>
    </w:p>
    <w:p w14:paraId="18CE6A44" w14:textId="77777777" w:rsidR="00B31229" w:rsidRPr="00E812DA" w:rsidRDefault="00B31229" w:rsidP="00B31229"/>
    <w:p w14:paraId="6031CA62" w14:textId="77777777" w:rsidR="001C6663" w:rsidRPr="002073C2" w:rsidRDefault="001C6663" w:rsidP="00595520"/>
    <w:sectPr w:rsidR="001C6663" w:rsidRPr="002073C2" w:rsidSect="002073C2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1ACE" w14:textId="77777777" w:rsidR="002845BA" w:rsidRDefault="002845BA"/>
  </w:endnote>
  <w:endnote w:type="continuationSeparator" w:id="0">
    <w:p w14:paraId="0CB32E0C" w14:textId="77777777" w:rsidR="002845BA" w:rsidRDefault="002845BA"/>
  </w:endnote>
  <w:endnote w:type="continuationNotice" w:id="1">
    <w:p w14:paraId="28CAF19B" w14:textId="77777777" w:rsidR="002845BA" w:rsidRDefault="00284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8CD3" w14:textId="60794D0C" w:rsidR="002073C2" w:rsidRPr="002073C2" w:rsidRDefault="002073C2" w:rsidP="002073C2">
    <w:pPr>
      <w:pStyle w:val="Footer"/>
      <w:tabs>
        <w:tab w:val="right" w:pos="9638"/>
      </w:tabs>
      <w:rPr>
        <w:sz w:val="18"/>
      </w:rPr>
    </w:pPr>
    <w:r w:rsidRPr="002073C2">
      <w:rPr>
        <w:b/>
        <w:sz w:val="18"/>
      </w:rPr>
      <w:fldChar w:fldCharType="begin"/>
    </w:r>
    <w:r w:rsidRPr="002073C2">
      <w:rPr>
        <w:b/>
        <w:sz w:val="18"/>
      </w:rPr>
      <w:instrText xml:space="preserve"> PAGE  \* MERGEFORMAT </w:instrText>
    </w:r>
    <w:r w:rsidRPr="002073C2">
      <w:rPr>
        <w:b/>
        <w:sz w:val="18"/>
      </w:rPr>
      <w:fldChar w:fldCharType="separate"/>
    </w:r>
    <w:r w:rsidRPr="002073C2">
      <w:rPr>
        <w:b/>
        <w:noProof/>
        <w:sz w:val="18"/>
      </w:rPr>
      <w:t>2</w:t>
    </w:r>
    <w:r w:rsidRPr="002073C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62D9" w14:textId="38579CD9" w:rsidR="002073C2" w:rsidRPr="002073C2" w:rsidRDefault="002073C2" w:rsidP="002073C2">
    <w:pPr>
      <w:pStyle w:val="Footer"/>
      <w:tabs>
        <w:tab w:val="right" w:pos="9638"/>
      </w:tabs>
      <w:rPr>
        <w:b/>
        <w:sz w:val="18"/>
      </w:rPr>
    </w:pPr>
    <w:r>
      <w:tab/>
    </w:r>
    <w:r w:rsidRPr="002073C2">
      <w:rPr>
        <w:b/>
        <w:sz w:val="18"/>
      </w:rPr>
      <w:fldChar w:fldCharType="begin"/>
    </w:r>
    <w:r w:rsidRPr="002073C2">
      <w:rPr>
        <w:b/>
        <w:sz w:val="18"/>
      </w:rPr>
      <w:instrText xml:space="preserve"> PAGE  \* MERGEFORMAT </w:instrText>
    </w:r>
    <w:r w:rsidRPr="002073C2">
      <w:rPr>
        <w:b/>
        <w:sz w:val="18"/>
      </w:rPr>
      <w:fldChar w:fldCharType="separate"/>
    </w:r>
    <w:r w:rsidRPr="002073C2">
      <w:rPr>
        <w:b/>
        <w:noProof/>
        <w:sz w:val="18"/>
      </w:rPr>
      <w:t>3</w:t>
    </w:r>
    <w:r w:rsidRPr="002073C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3ACB" w14:textId="400FEBAF" w:rsidR="0035223F" w:rsidRDefault="00C25AF2" w:rsidP="00C25AF2">
    <w:pPr>
      <w:pStyle w:val="Footer"/>
      <w:rPr>
        <w:sz w:val="20"/>
      </w:rPr>
    </w:pPr>
    <w:r w:rsidRPr="00C25AF2">
      <w:rPr>
        <w:noProof/>
        <w:sz w:val="20"/>
        <w:lang w:val="en-US"/>
      </w:rPr>
      <w:drawing>
        <wp:anchor distT="0" distB="0" distL="114300" distR="114300" simplePos="0" relativeHeight="251659776" behindDoc="0" locked="1" layoutInCell="1" allowOverlap="1" wp14:anchorId="63B65F96" wp14:editId="667DEB1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492BF" w14:textId="2FEF317E" w:rsidR="00C25AF2" w:rsidRPr="00C25AF2" w:rsidRDefault="00C25AF2" w:rsidP="00C25AF2">
    <w:pPr>
      <w:pStyle w:val="Footer"/>
      <w:ind w:right="1134"/>
      <w:rPr>
        <w:sz w:val="20"/>
      </w:rPr>
    </w:pPr>
    <w:r>
      <w:rPr>
        <w:sz w:val="20"/>
      </w:rPr>
      <w:t>GE.23-18231(E)</w:t>
    </w:r>
    <w:r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5838E382" wp14:editId="1751DE1E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360147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7DFA" w14:textId="77777777" w:rsidR="002845BA" w:rsidRPr="000B175B" w:rsidRDefault="002845B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43B072F" w14:textId="77777777" w:rsidR="002845BA" w:rsidRPr="00FC68B7" w:rsidRDefault="002845B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685A181" w14:textId="77777777" w:rsidR="002845BA" w:rsidRDefault="002845BA"/>
  </w:footnote>
  <w:footnote w:id="2">
    <w:p w14:paraId="46FEE98B" w14:textId="77777777" w:rsidR="002073C2" w:rsidRDefault="002073C2" w:rsidP="002073C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2023 as outlined in proposed programme budget for </w:t>
      </w:r>
      <w:r>
        <w:rPr>
          <w:szCs w:val="18"/>
          <w:lang w:val="en-US"/>
        </w:rPr>
        <w:t>2023 (</w:t>
      </w:r>
      <w:r>
        <w:rPr>
          <w:lang w:val="en-US"/>
        </w:rPr>
        <w:t>A/77/6 (Sect. 20), table 20.6)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  <w:footnote w:id="3">
    <w:p w14:paraId="6FA9D288" w14:textId="77777777" w:rsidR="00B31229" w:rsidRDefault="00B31229" w:rsidP="00B31229">
      <w:pPr>
        <w:pStyle w:val="FootnoteText"/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  <w:t>The latter number is given only as an example.</w:t>
      </w:r>
    </w:p>
  </w:footnote>
  <w:footnote w:id="4">
    <w:p w14:paraId="60FE9368" w14:textId="2DB02843" w:rsidR="00B31229" w:rsidRPr="00505246" w:rsidRDefault="00B31229" w:rsidP="00B31229">
      <w:pPr>
        <w:pStyle w:val="FootnoteText"/>
        <w:rPr>
          <w:lang w:val="fr-CH"/>
        </w:rPr>
      </w:pPr>
      <w:r>
        <w:tab/>
      </w:r>
      <w:r>
        <w:tab/>
      </w:r>
      <w:r>
        <w:rPr>
          <w:rStyle w:val="FootnoteReference"/>
        </w:rPr>
        <w:footnoteRef/>
      </w:r>
      <w:r w:rsidRPr="00505246">
        <w:rPr>
          <w:lang w:val="fr-CH"/>
        </w:rPr>
        <w:t xml:space="preserve"> CTIF: historical abbreviation in French for </w:t>
      </w:r>
      <w:r>
        <w:rPr>
          <w:i/>
          <w:lang w:val="fr-CH"/>
        </w:rPr>
        <w:t>"</w:t>
      </w:r>
      <w:r w:rsidRPr="00505246">
        <w:rPr>
          <w:i/>
          <w:lang w:val="fr-CH"/>
        </w:rPr>
        <w:t>Comité Technique International de prevention et d'extinction de Feu</w:t>
      </w:r>
      <w:r>
        <w:rPr>
          <w:i/>
          <w:lang w:val="fr-CH"/>
        </w:rPr>
        <w:t>"</w:t>
      </w:r>
      <w:r w:rsidRPr="00505246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27C7" w14:textId="5B15BA72" w:rsidR="002073C2" w:rsidRPr="002073C2" w:rsidRDefault="00C25AF2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62045C">
      <w:t>ECE/TRANS/WP.29/GRSP/2023/35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9900" w14:textId="3F6BF743" w:rsidR="002073C2" w:rsidRPr="002073C2" w:rsidRDefault="00C25AF2" w:rsidP="002073C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62045C">
      <w:t>ECE/TRANS/WP.29/GRSP/2023/35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315950"/>
    <w:multiLevelType w:val="hybridMultilevel"/>
    <w:tmpl w:val="807C97F8"/>
    <w:lvl w:ilvl="0" w:tplc="C302D7CE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318454">
    <w:abstractNumId w:val="1"/>
  </w:num>
  <w:num w:numId="2" w16cid:durableId="495732806">
    <w:abstractNumId w:val="0"/>
  </w:num>
  <w:num w:numId="3" w16cid:durableId="1703554727">
    <w:abstractNumId w:val="2"/>
  </w:num>
  <w:num w:numId="4" w16cid:durableId="652300312">
    <w:abstractNumId w:val="3"/>
  </w:num>
  <w:num w:numId="5" w16cid:durableId="175314443">
    <w:abstractNumId w:val="8"/>
  </w:num>
  <w:num w:numId="6" w16cid:durableId="459809951">
    <w:abstractNumId w:val="9"/>
  </w:num>
  <w:num w:numId="7" w16cid:durableId="1545143226">
    <w:abstractNumId w:val="7"/>
  </w:num>
  <w:num w:numId="8" w16cid:durableId="697856438">
    <w:abstractNumId w:val="6"/>
  </w:num>
  <w:num w:numId="9" w16cid:durableId="1716348561">
    <w:abstractNumId w:val="5"/>
  </w:num>
  <w:num w:numId="10" w16cid:durableId="1152714846">
    <w:abstractNumId w:val="4"/>
  </w:num>
  <w:num w:numId="11" w16cid:durableId="1547643870">
    <w:abstractNumId w:val="15"/>
  </w:num>
  <w:num w:numId="12" w16cid:durableId="1748963243">
    <w:abstractNumId w:val="14"/>
  </w:num>
  <w:num w:numId="13" w16cid:durableId="1134064184">
    <w:abstractNumId w:val="10"/>
  </w:num>
  <w:num w:numId="14" w16cid:durableId="260259663">
    <w:abstractNumId w:val="12"/>
  </w:num>
  <w:num w:numId="15" w16cid:durableId="951400277">
    <w:abstractNumId w:val="16"/>
  </w:num>
  <w:num w:numId="16" w16cid:durableId="744105417">
    <w:abstractNumId w:val="13"/>
  </w:num>
  <w:num w:numId="17" w16cid:durableId="657223763">
    <w:abstractNumId w:val="18"/>
  </w:num>
  <w:num w:numId="18" w16cid:durableId="2124884518">
    <w:abstractNumId w:val="19"/>
  </w:num>
  <w:num w:numId="19" w16cid:durableId="1521775582">
    <w:abstractNumId w:val="11"/>
  </w:num>
  <w:num w:numId="20" w16cid:durableId="189191665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C2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6124"/>
    <w:rsid w:val="001738F4"/>
    <w:rsid w:val="00184DDA"/>
    <w:rsid w:val="001900CD"/>
    <w:rsid w:val="001A0452"/>
    <w:rsid w:val="001A2227"/>
    <w:rsid w:val="001B4B04"/>
    <w:rsid w:val="001B5875"/>
    <w:rsid w:val="001C4B9C"/>
    <w:rsid w:val="001C6663"/>
    <w:rsid w:val="001C7895"/>
    <w:rsid w:val="001D26DF"/>
    <w:rsid w:val="001E1A36"/>
    <w:rsid w:val="001F1599"/>
    <w:rsid w:val="001F19C4"/>
    <w:rsid w:val="002043F0"/>
    <w:rsid w:val="002073C2"/>
    <w:rsid w:val="00211E0B"/>
    <w:rsid w:val="00232575"/>
    <w:rsid w:val="00247258"/>
    <w:rsid w:val="00257CAC"/>
    <w:rsid w:val="0027237A"/>
    <w:rsid w:val="002845B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325CB"/>
    <w:rsid w:val="00440A07"/>
    <w:rsid w:val="00441397"/>
    <w:rsid w:val="00462880"/>
    <w:rsid w:val="00476F24"/>
    <w:rsid w:val="004A5D33"/>
    <w:rsid w:val="004C55B0"/>
    <w:rsid w:val="004C6D21"/>
    <w:rsid w:val="004F6BA0"/>
    <w:rsid w:val="00503BEA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D15CA"/>
    <w:rsid w:val="005F08DF"/>
    <w:rsid w:val="005F3066"/>
    <w:rsid w:val="005F3E61"/>
    <w:rsid w:val="00604DDD"/>
    <w:rsid w:val="006115CC"/>
    <w:rsid w:val="00611FC4"/>
    <w:rsid w:val="006176FB"/>
    <w:rsid w:val="0062045C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04A2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75E9"/>
    <w:rsid w:val="008242D7"/>
    <w:rsid w:val="0082577B"/>
    <w:rsid w:val="00825CB5"/>
    <w:rsid w:val="00847A87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6E47"/>
    <w:rsid w:val="0093301D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7EB7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03B6"/>
    <w:rsid w:val="00A872B8"/>
    <w:rsid w:val="00A879A4"/>
    <w:rsid w:val="00AA0FF8"/>
    <w:rsid w:val="00AB4B0F"/>
    <w:rsid w:val="00AC0F2C"/>
    <w:rsid w:val="00AC502A"/>
    <w:rsid w:val="00AE1E26"/>
    <w:rsid w:val="00AF58C1"/>
    <w:rsid w:val="00B01F99"/>
    <w:rsid w:val="00B04A3F"/>
    <w:rsid w:val="00B06643"/>
    <w:rsid w:val="00B15055"/>
    <w:rsid w:val="00B20551"/>
    <w:rsid w:val="00B30179"/>
    <w:rsid w:val="00B31229"/>
    <w:rsid w:val="00B31E0B"/>
    <w:rsid w:val="00B33FC7"/>
    <w:rsid w:val="00B37B15"/>
    <w:rsid w:val="00B4162A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25AF2"/>
    <w:rsid w:val="00C463D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A6C23"/>
    <w:rsid w:val="00DC18AD"/>
    <w:rsid w:val="00DF7CAE"/>
    <w:rsid w:val="00E108CD"/>
    <w:rsid w:val="00E15499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04E44"/>
    <w:rsid w:val="00F21786"/>
    <w:rsid w:val="00F25D06"/>
    <w:rsid w:val="00F31CFF"/>
    <w:rsid w:val="00F33663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75549"/>
  <w15:docId w15:val="{AC0999A7-8F71-4B16-A42D-EBB73B9B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uiPriority w:val="9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uiPriority w:val="99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uiPriority w:val="99"/>
    <w:qFormat/>
    <w:rsid w:val="00097003"/>
    <w:rPr>
      <w:sz w:val="18"/>
      <w:lang w:val="en-GB" w:eastAsia="en-US"/>
    </w:rPr>
  </w:style>
  <w:style w:type="character" w:customStyle="1" w:styleId="HChGChar">
    <w:name w:val="_ H _Ch_G Char"/>
    <w:link w:val="HChG"/>
    <w:locked/>
    <w:rsid w:val="002073C2"/>
    <w:rPr>
      <w:b/>
      <w:sz w:val="28"/>
      <w:lang w:val="en-GB"/>
    </w:rPr>
  </w:style>
  <w:style w:type="character" w:customStyle="1" w:styleId="H1GChar">
    <w:name w:val="_ H_1_G Char"/>
    <w:link w:val="H1G"/>
    <w:locked/>
    <w:rsid w:val="002073C2"/>
    <w:rPr>
      <w:b/>
      <w:sz w:val="24"/>
      <w:lang w:val="en-GB"/>
    </w:rPr>
  </w:style>
  <w:style w:type="character" w:customStyle="1" w:styleId="SingleTxtGChar">
    <w:name w:val="_ Single Txt_G Char"/>
    <w:link w:val="SingleTxtG"/>
    <w:qFormat/>
    <w:rsid w:val="002073C2"/>
    <w:rPr>
      <w:lang w:val="en-GB"/>
    </w:rPr>
  </w:style>
  <w:style w:type="paragraph" w:styleId="ListParagraph">
    <w:name w:val="List Paragraph"/>
    <w:basedOn w:val="Normal"/>
    <w:uiPriority w:val="34"/>
    <w:qFormat/>
    <w:rsid w:val="00B31229"/>
    <w:pPr>
      <w:ind w:left="720"/>
      <w:contextualSpacing/>
    </w:pPr>
    <w:rPr>
      <w:lang w:eastAsia="en-US"/>
    </w:rPr>
  </w:style>
  <w:style w:type="paragraph" w:customStyle="1" w:styleId="para">
    <w:name w:val="para"/>
    <w:basedOn w:val="Normal"/>
    <w:link w:val="paraChar"/>
    <w:qFormat/>
    <w:rsid w:val="00B31229"/>
    <w:pPr>
      <w:suppressAutoHyphens w:val="0"/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B31229"/>
    <w:rPr>
      <w:rFonts w:eastAsia="Yu Mincho"/>
      <w:snapToGrid w:val="0"/>
      <w:lang w:eastAsia="en-US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locked/>
    <w:rsid w:val="00B31229"/>
    <w:rPr>
      <w:lang w:val="en-GB"/>
    </w:rPr>
  </w:style>
  <w:style w:type="paragraph" w:styleId="Revision">
    <w:name w:val="Revision"/>
    <w:hidden/>
    <w:uiPriority w:val="99"/>
    <w:semiHidden/>
    <w:rsid w:val="00847A8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EA753-9B1B-4B3D-911C-0DFB0290C017}"/>
</file>

<file path=customXml/itemProps3.xml><?xml version="1.0" encoding="utf-8"?>
<ds:datastoreItem xmlns:ds="http://schemas.openxmlformats.org/officeDocument/2006/customXml" ds:itemID="{F003D3CA-F4F5-4D73-81EE-C5A440351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7533</Characters>
  <Application>Microsoft Office Word</Application>
  <DocSecurity>0</DocSecurity>
  <Lines>189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ECE/TRANS/WP.29/GRSP/2023/35</vt:lpstr>
      <vt:lpstr/>
    </vt:vector>
  </TitlesOfParts>
  <Company>CSD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ECE/TRANS/WP.29/GRSP/2023/35</dc:title>
  <dc:subject>2318231</dc:subject>
  <dc:creator>EG</dc:creator>
  <cp:keywords/>
  <dc:description/>
  <cp:lastModifiedBy>Cecile Pacis</cp:lastModifiedBy>
  <cp:revision>2</cp:revision>
  <cp:lastPrinted>2023-09-21T15:00:00Z</cp:lastPrinted>
  <dcterms:created xsi:type="dcterms:W3CDTF">2023-09-22T10:53:00Z</dcterms:created>
  <dcterms:modified xsi:type="dcterms:W3CDTF">2023-09-22T10:53:00Z</dcterms:modified>
</cp:coreProperties>
</file>