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A86E3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B51F63" w14:textId="77777777" w:rsidR="002D5AAC" w:rsidRDefault="002D5AAC" w:rsidP="00974B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81EAD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1BE838" w14:textId="4CCE973E" w:rsidR="002D5AAC" w:rsidRDefault="00974BD2" w:rsidP="00974BD2">
            <w:pPr>
              <w:jc w:val="right"/>
            </w:pPr>
            <w:r w:rsidRPr="00974BD2">
              <w:rPr>
                <w:sz w:val="40"/>
              </w:rPr>
              <w:t>ECE</w:t>
            </w:r>
            <w:r>
              <w:t>/TRANS/WP.29/2023/99</w:t>
            </w:r>
          </w:p>
        </w:tc>
      </w:tr>
      <w:tr w:rsidR="002D5AAC" w:rsidRPr="002B75FA" w14:paraId="5D3C6DD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98B42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B46063" wp14:editId="6DE293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433D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2255E5" w14:textId="77777777" w:rsidR="002D5AAC" w:rsidRDefault="00974B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94CC7F" w14:textId="77777777" w:rsidR="00974BD2" w:rsidRDefault="00974BD2" w:rsidP="00974B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2023</w:t>
            </w:r>
          </w:p>
          <w:p w14:paraId="2283CDED" w14:textId="77777777" w:rsidR="00974BD2" w:rsidRDefault="00974BD2" w:rsidP="00974B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CA551B6" w14:textId="025442AF" w:rsidR="00974BD2" w:rsidRPr="008D53B6" w:rsidRDefault="00974BD2" w:rsidP="00974B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24F7A5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6B641A" w14:textId="77777777" w:rsidR="00974BD2" w:rsidRPr="0030294D" w:rsidRDefault="00974BD2" w:rsidP="00974BD2">
      <w:pPr>
        <w:spacing w:before="120"/>
        <w:rPr>
          <w:sz w:val="28"/>
          <w:szCs w:val="28"/>
        </w:rPr>
      </w:pPr>
      <w:r w:rsidRPr="0030294D">
        <w:rPr>
          <w:sz w:val="28"/>
          <w:szCs w:val="28"/>
        </w:rPr>
        <w:t>Комитет по внутреннему транспорту</w:t>
      </w:r>
    </w:p>
    <w:p w14:paraId="792B8605" w14:textId="6AA57157" w:rsidR="00974BD2" w:rsidRPr="00082099" w:rsidRDefault="00974BD2" w:rsidP="00974BD2">
      <w:pPr>
        <w:spacing w:before="120"/>
        <w:rPr>
          <w:b/>
          <w:sz w:val="24"/>
          <w:szCs w:val="24"/>
        </w:rPr>
      </w:pPr>
      <w:r w:rsidRPr="00082099">
        <w:rPr>
          <w:b/>
          <w:bCs/>
          <w:sz w:val="24"/>
          <w:szCs w:val="24"/>
        </w:rPr>
        <w:t xml:space="preserve">Всемирный форум для согласования </w:t>
      </w:r>
      <w:r w:rsidR="00082099" w:rsidRPr="00082099">
        <w:rPr>
          <w:b/>
          <w:bCs/>
          <w:sz w:val="24"/>
          <w:szCs w:val="24"/>
        </w:rPr>
        <w:br/>
      </w:r>
      <w:r w:rsidRPr="00082099">
        <w:rPr>
          <w:b/>
          <w:bCs/>
          <w:sz w:val="24"/>
          <w:szCs w:val="24"/>
        </w:rPr>
        <w:t>правил в области транспортных средств</w:t>
      </w:r>
    </w:p>
    <w:p w14:paraId="15C164FE" w14:textId="77777777" w:rsidR="00974BD2" w:rsidRDefault="00974BD2" w:rsidP="00082099">
      <w:pPr>
        <w:spacing w:before="120"/>
        <w:rPr>
          <w:b/>
          <w:bCs/>
        </w:rPr>
      </w:pPr>
      <w:r>
        <w:rPr>
          <w:b/>
          <w:bCs/>
        </w:rPr>
        <w:t>Сто девяносто первая сессия</w:t>
      </w:r>
    </w:p>
    <w:p w14:paraId="374C272F" w14:textId="267D8AC9" w:rsidR="00974BD2" w:rsidRDefault="00974BD2" w:rsidP="00082099">
      <w:r>
        <w:t>Женева, 14–1</w:t>
      </w:r>
      <w:r w:rsidR="002B75FA">
        <w:rPr>
          <w:lang w:val="en-US"/>
        </w:rPr>
        <w:t>6</w:t>
      </w:r>
      <w:r>
        <w:t xml:space="preserve"> ноября 2023 года</w:t>
      </w:r>
    </w:p>
    <w:p w14:paraId="7F8817C7" w14:textId="77777777" w:rsidR="00974BD2" w:rsidRDefault="00974BD2" w:rsidP="00082099">
      <w:r>
        <w:t>Пункт 4.7.2 предварительной повестки дня</w:t>
      </w:r>
    </w:p>
    <w:p w14:paraId="2305281A" w14:textId="77777777" w:rsidR="00974BD2" w:rsidRDefault="00974BD2" w:rsidP="00082099">
      <w:pPr>
        <w:rPr>
          <w:b/>
          <w:bCs/>
        </w:rPr>
      </w:pPr>
      <w:r>
        <w:rPr>
          <w:b/>
          <w:bCs/>
        </w:rPr>
        <w:t>Соглашение 1958 года:</w:t>
      </w:r>
    </w:p>
    <w:p w14:paraId="17E03C33" w14:textId="77777777" w:rsidR="00974BD2" w:rsidRDefault="00974BD2" w:rsidP="00082099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10722056" w14:textId="77777777" w:rsidR="00974BD2" w:rsidRPr="0030294D" w:rsidRDefault="00974BD2" w:rsidP="00082099">
      <w:pPr>
        <w:rPr>
          <w:b/>
          <w:bCs/>
        </w:rPr>
      </w:pPr>
      <w:r>
        <w:rPr>
          <w:b/>
          <w:bCs/>
        </w:rPr>
        <w:t>правилам ООН, представленных GRSG</w:t>
      </w:r>
    </w:p>
    <w:p w14:paraId="054F3260" w14:textId="1AC02381" w:rsidR="00974BD2" w:rsidRPr="0030294D" w:rsidRDefault="00974BD2" w:rsidP="00974BD2">
      <w:pPr>
        <w:pStyle w:val="HChG"/>
        <w:ind w:left="1124" w:right="1138" w:firstLine="0"/>
      </w:pPr>
      <w:r>
        <w:rPr>
          <w:bCs/>
        </w:rPr>
        <w:t>Предложение по дополнению 11 к поправкам серии 01 к</w:t>
      </w:r>
      <w:r w:rsidR="00082099">
        <w:rPr>
          <w:bCs/>
          <w:lang w:val="en-US"/>
        </w:rPr>
        <w:t> </w:t>
      </w:r>
      <w:r>
        <w:rPr>
          <w:bCs/>
        </w:rPr>
        <w:t>Правилам № 43 ООН (безопасные стекловые материалы)</w:t>
      </w:r>
    </w:p>
    <w:p w14:paraId="4A4C4A04" w14:textId="581ECE66" w:rsidR="00974BD2" w:rsidRPr="0030294D" w:rsidRDefault="00974BD2" w:rsidP="00974BD2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="00082099" w:rsidRPr="0008209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BC05DAF" w14:textId="7C75498B" w:rsidR="00974BD2" w:rsidRPr="0030294D" w:rsidRDefault="00974BD2" w:rsidP="00974BD2">
      <w:pPr>
        <w:pStyle w:val="SingleTxtG"/>
        <w:ind w:firstLine="567"/>
      </w:pPr>
      <w:r>
        <w:footnoteReference w:customMarkFollows="1" w:id="2"/>
        <w:t>Воспроизведенный ниже текст был принят Рабочей группой по общим предписаниям, касающимся безопасности (GRSG), на ее сто двадцать пятой сессии (ECE/TRANS/WP.29/GRSG/104, пункт 8). В его основу положен документ ECE/</w:t>
      </w:r>
      <w:r w:rsidR="003268F6">
        <w:br/>
      </w:r>
      <w:r>
        <w:t>TRANS/WP.29/GRSG/2023/7 с поправками, содержащимися в приложении II к</w:t>
      </w:r>
      <w:r w:rsidR="002B75FA">
        <w:rPr>
          <w:lang w:val="en-US"/>
        </w:rPr>
        <w:t> </w:t>
      </w:r>
      <w:r>
        <w:t>докладу. Этот текст представлен Всемирному форуму для согласования правил в области транспортных средств (WP.29) и Административному комитету (AC.1) для</w:t>
      </w:r>
      <w:r w:rsidR="002B75FA">
        <w:rPr>
          <w:lang w:val="en-US"/>
        </w:rPr>
        <w:t> </w:t>
      </w:r>
      <w:r>
        <w:t>рассмотрения на их сессиях в ноябре 2023 года.</w:t>
      </w:r>
      <w:r w:rsidRPr="0030294D">
        <w:br w:type="page"/>
      </w:r>
    </w:p>
    <w:p w14:paraId="4DD6E16F" w14:textId="77777777" w:rsidR="00974BD2" w:rsidRPr="0030294D" w:rsidRDefault="00974BD2" w:rsidP="00974BD2">
      <w:pPr>
        <w:pStyle w:val="SingleTxtG"/>
        <w:rPr>
          <w:rFonts w:eastAsia="Malgun Gothic"/>
          <w:i/>
          <w:iCs/>
        </w:rPr>
      </w:pPr>
      <w:r>
        <w:rPr>
          <w:i/>
          <w:iCs/>
        </w:rPr>
        <w:lastRenderedPageBreak/>
        <w:t>Приложение 3</w:t>
      </w:r>
    </w:p>
    <w:p w14:paraId="479337AA" w14:textId="77777777" w:rsidR="00974BD2" w:rsidRPr="0030294D" w:rsidRDefault="00974BD2" w:rsidP="00974BD2">
      <w:pPr>
        <w:pStyle w:val="SingleTxtG"/>
        <w:rPr>
          <w:rFonts w:eastAsia="Malgun Gothic"/>
        </w:rPr>
      </w:pPr>
      <w:r>
        <w:rPr>
          <w:i/>
          <w:iCs/>
        </w:rPr>
        <w:t>Пункт 9.1.2.2</w:t>
      </w:r>
      <w:r>
        <w:t xml:space="preserve"> изменить следующим образом: </w:t>
      </w:r>
    </w:p>
    <w:p w14:paraId="75CB5483" w14:textId="77777777" w:rsidR="00974BD2" w:rsidRPr="0030294D" w:rsidRDefault="00974BD2" w:rsidP="00974BD2">
      <w:pPr>
        <w:pStyle w:val="SingleTxtG"/>
        <w:ind w:left="2160" w:hanging="1026"/>
        <w:rPr>
          <w:rFonts w:eastAsia="ArialMT"/>
        </w:rPr>
      </w:pPr>
      <w:r>
        <w:t xml:space="preserve">«9.1.2.2 </w:t>
      </w:r>
      <w:r>
        <w:tab/>
        <w:t>В случае ветровых стекол транспортных средств категории М</w:t>
      </w:r>
      <w:r w:rsidRPr="00A46A95">
        <w:rPr>
          <w:vertAlign w:val="subscript"/>
        </w:rPr>
        <w:t>1</w:t>
      </w:r>
      <w:r w:rsidRPr="00F815A3">
        <w:rPr>
          <w:rStyle w:val="aa"/>
          <w:rFonts w:eastAsia="ArialMT"/>
          <w:lang w:eastAsia="zh-CN"/>
        </w:rPr>
        <w:footnoteReference w:customMarkFollows="1" w:id="3"/>
        <w:t>18</w:t>
      </w:r>
      <w:r>
        <w:t xml:space="preserve"> испытание проводят в испытательной зоне В, определенной в пункте 2.3 приложения 21, за исключением любого матового затемнения, нанесенного на их поверхность.</w:t>
      </w:r>
    </w:p>
    <w:p w14:paraId="14762B0A" w14:textId="77777777" w:rsidR="00974BD2" w:rsidRPr="0030294D" w:rsidRDefault="00974BD2" w:rsidP="00974BD2">
      <w:pPr>
        <w:pStyle w:val="SingleTxtG"/>
        <w:ind w:left="2160"/>
        <w:rPr>
          <w:rFonts w:eastAsia="ArialMT"/>
        </w:rPr>
      </w:pPr>
      <w:r>
        <w:t>В случае ветровых стекол транспортных средств категории N</w:t>
      </w:r>
      <w:r w:rsidRPr="00A46A95">
        <w:rPr>
          <w:vertAlign w:val="subscript"/>
        </w:rPr>
        <w:t>1</w:t>
      </w:r>
      <w:r>
        <w:t xml:space="preserve"> изготовитель может просить провести такое же испытание либо в зоне В, определенной в пункте 2.3 приложения 21, либо в зоне I, определенной в пункте 9.2.5.2.3 настоящего приложения, за исключением любого матового затемнения, нанесенного на их поверхность.</w:t>
      </w:r>
    </w:p>
    <w:p w14:paraId="145DE571" w14:textId="77777777" w:rsidR="00974BD2" w:rsidRPr="0030294D" w:rsidRDefault="00974BD2" w:rsidP="00974BD2">
      <w:pPr>
        <w:pStyle w:val="SingleTxtG"/>
        <w:ind w:left="2160"/>
        <w:rPr>
          <w:rFonts w:eastAsia="ArialMT"/>
        </w:rPr>
      </w:pPr>
      <w:r>
        <w:t>В случае ветровых стекол транспортных средств других категорий испытание проводят в зоне I, определенной в пункте 9.2.5.2.3 настоящего приложения, за исключением любого матового затемнения, нанесенного на их поверхность.</w:t>
      </w:r>
    </w:p>
    <w:p w14:paraId="7137EC7A" w14:textId="7453D12C" w:rsidR="00974BD2" w:rsidRPr="0030294D" w:rsidRDefault="00974BD2" w:rsidP="00974BD2">
      <w:pPr>
        <w:pStyle w:val="SingleTxtG"/>
        <w:ind w:left="2160"/>
        <w:rPr>
          <w:rFonts w:eastAsia="ArialMT"/>
        </w:rPr>
      </w:pPr>
      <w:r>
        <w:t>Однако в случае сельскохозяйственных и лесных тракторов, а также строительных транспортных средств, для которых невозможно определить зону I, испытание проводят в зоне I, определенной в пункте</w:t>
      </w:r>
      <w:r w:rsidR="003268F6">
        <w:t> </w:t>
      </w:r>
      <w:r>
        <w:t>9.2.5.3 настоящего приложения».</w:t>
      </w:r>
    </w:p>
    <w:p w14:paraId="0977E8A7" w14:textId="7EDCCB43" w:rsidR="00974BD2" w:rsidRPr="0030294D" w:rsidRDefault="00974BD2" w:rsidP="00974BD2">
      <w:pPr>
        <w:pStyle w:val="SingleTxtG"/>
        <w:rPr>
          <w:rFonts w:eastAsia="Malgun Gothic"/>
        </w:rPr>
      </w:pPr>
      <w:r>
        <w:rPr>
          <w:i/>
          <w:iCs/>
        </w:rPr>
        <w:t>Пункт 9.2.5.2.3</w:t>
      </w:r>
      <w:r>
        <w:t xml:space="preserve"> изменить следующим образом, включив новый рис. </w:t>
      </w:r>
      <w:r w:rsidR="003268F6">
        <w:t>22:</w:t>
      </w:r>
    </w:p>
    <w:p w14:paraId="58250A89" w14:textId="77777777" w:rsidR="00974BD2" w:rsidRPr="0030294D" w:rsidRDefault="00974BD2" w:rsidP="00974BD2">
      <w:pPr>
        <w:pStyle w:val="SingleTxtG"/>
        <w:ind w:left="2250" w:hanging="1116"/>
        <w:rPr>
          <w:rFonts w:eastAsia="Malgun Gothic"/>
        </w:rPr>
      </w:pPr>
      <w:r>
        <w:t xml:space="preserve">«9.2.5.2.3 </w:t>
      </w:r>
      <w:r>
        <w:tab/>
        <w:t>Зона I — это зона ветрового стекла, ограниченная линиями пересечения ветрового стекла, указанными ниже четырьмя плоскостями.</w:t>
      </w:r>
    </w:p>
    <w:p w14:paraId="201208A2" w14:textId="77777777" w:rsidR="00974BD2" w:rsidRPr="00B87283" w:rsidRDefault="00974BD2" w:rsidP="00974BD2">
      <w:pPr>
        <w:pStyle w:val="SingleTxtG"/>
        <w:ind w:left="2250"/>
        <w:rPr>
          <w:rFonts w:eastAsia="Malgun Gothic"/>
          <w:iCs/>
        </w:rPr>
      </w:pPr>
      <w:r>
        <w:t>Кроме того, допускается исключение из зоны I матового затемнения. Речь идет об ограниченных зонах, где, как предполагается, с внутренней стороны ветрового стекла будет крепиться сенсорное устройство, например датчик дождя, зеркало заднего вида или автономный датчик. Участок матового затемнения, в пределах которого могут устанавливаться такие устройства, определен в пункте 9.2.5.2.4 настоящего приложения.</w:t>
      </w:r>
    </w:p>
    <w:p w14:paraId="6EE1E0AD" w14:textId="77777777" w:rsidR="00974BD2" w:rsidRDefault="00974BD2" w:rsidP="00974BD2">
      <w:pPr>
        <w:pStyle w:val="SingleTxtG"/>
        <w:ind w:left="2250"/>
      </w:pPr>
      <w:r>
        <w:t xml:space="preserve">Речь идет о следующих плоскостях: </w:t>
      </w:r>
    </w:p>
    <w:p w14:paraId="6A754508" w14:textId="77777777" w:rsidR="00974BD2" w:rsidRPr="0030294D" w:rsidRDefault="00974BD2" w:rsidP="00974BD2">
      <w:pPr>
        <w:pStyle w:val="SingleTxtG"/>
        <w:ind w:left="2250"/>
        <w:rPr>
          <w:rFonts w:eastAsia="Malgun Gothic"/>
        </w:rPr>
      </w:pPr>
      <w:r>
        <w:t>P1 ⸺ вертикальной плоскости, проходящей через точку 0 и образующей угол 15° слева от средней продольной плоскости транспортного средства;</w:t>
      </w:r>
    </w:p>
    <w:p w14:paraId="2FE62B3C" w14:textId="77777777" w:rsidR="00974BD2" w:rsidRPr="0030294D" w:rsidRDefault="00974BD2" w:rsidP="00974BD2">
      <w:pPr>
        <w:pStyle w:val="SingleTxtG"/>
        <w:ind w:left="2250"/>
        <w:rPr>
          <w:rFonts w:eastAsia="Malgun Gothic"/>
        </w:rPr>
      </w:pPr>
      <w:r>
        <w:t>P2 ⸺ вертикальной плоскости, симметричной P1 в средней продольной плоскости транспортного средства.</w:t>
      </w:r>
    </w:p>
    <w:p w14:paraId="2C1562C8" w14:textId="77777777" w:rsidR="00974BD2" w:rsidRPr="0030294D" w:rsidRDefault="00974BD2" w:rsidP="00974BD2">
      <w:pPr>
        <w:pStyle w:val="SingleTxtG"/>
        <w:ind w:left="2250"/>
        <w:rPr>
          <w:rFonts w:eastAsia="Malgun Gothic"/>
        </w:rPr>
      </w:pPr>
      <w:r>
        <w:t>Если такое построение невозможно (например, из-за отсутствия симметричной средней продольной плоскости), то за P2 принимают плоскость, симметричную P1 в продольной плоскости транспортного средства, проходящей через точку 0;</w:t>
      </w:r>
    </w:p>
    <w:p w14:paraId="4B7B5F28" w14:textId="000505AC" w:rsidR="00974BD2" w:rsidRDefault="00974BD2" w:rsidP="00974BD2">
      <w:pPr>
        <w:pStyle w:val="SingleTxtG"/>
        <w:ind w:left="2250"/>
      </w:pPr>
      <w:r>
        <w:t>P3 ⸺</w:t>
      </w:r>
      <w:r w:rsidR="003025F0">
        <w:t xml:space="preserve"> </w:t>
      </w:r>
      <w:r>
        <w:t>плоскости, проходящей через прямую OQ и образующей угол 10° над горизонтальной плоскостью;</w:t>
      </w:r>
    </w:p>
    <w:p w14:paraId="56FE6CD4" w14:textId="205F2114" w:rsidR="00974BD2" w:rsidRPr="0030294D" w:rsidRDefault="00974BD2" w:rsidP="00974BD2">
      <w:pPr>
        <w:pStyle w:val="SingleTxtG"/>
        <w:ind w:left="2250"/>
        <w:rPr>
          <w:rFonts w:eastAsia="Malgun Gothic"/>
          <w:b/>
          <w:bCs/>
          <w:color w:val="000000" w:themeColor="text1"/>
        </w:rPr>
      </w:pPr>
      <w:r>
        <w:t>P4 ⸺</w:t>
      </w:r>
      <w:r w:rsidR="003025F0">
        <w:t xml:space="preserve"> </w:t>
      </w:r>
      <w:r>
        <w:t>плоскости, проходящей через прямую OQ и образующей угол 8° под горизонтальной плоскостью.</w:t>
      </w:r>
      <w:r w:rsidRPr="0030294D">
        <w:rPr>
          <w:rFonts w:eastAsia="Malgun Gothic"/>
          <w:b/>
          <w:bCs/>
          <w:color w:val="000000" w:themeColor="text1"/>
        </w:rPr>
        <w:br w:type="page"/>
      </w:r>
    </w:p>
    <w:p w14:paraId="79A1DF0C" w14:textId="77777777" w:rsidR="00974BD2" w:rsidRPr="0050353E" w:rsidRDefault="00974BD2" w:rsidP="00974BD2">
      <w:pPr>
        <w:ind w:left="2267"/>
      </w:pPr>
      <w:r w:rsidRPr="0050353E">
        <w:lastRenderedPageBreak/>
        <w:t>Рис. 22</w:t>
      </w:r>
    </w:p>
    <w:p w14:paraId="51F6CDFD" w14:textId="77777777" w:rsidR="00974BD2" w:rsidRPr="0030294D" w:rsidRDefault="00974BD2" w:rsidP="00974BD2">
      <w:pPr>
        <w:ind w:left="2267"/>
        <w:rPr>
          <w:rFonts w:eastAsia="Malgun Gothic"/>
          <w:iCs/>
          <w:color w:val="000000" w:themeColor="text1"/>
        </w:rPr>
      </w:pPr>
      <w:r>
        <w:rPr>
          <w:b/>
          <w:bCs/>
        </w:rPr>
        <w:t>Определение зоны I</w:t>
      </w:r>
    </w:p>
    <w:p w14:paraId="7CBEA61E" w14:textId="195D54DA" w:rsidR="002B75FA" w:rsidRPr="0030294D" w:rsidRDefault="00974BD2" w:rsidP="002B75FA">
      <w:pPr>
        <w:spacing w:after="120"/>
        <w:ind w:firstLineChars="600" w:firstLine="1200"/>
        <w:rPr>
          <w:rFonts w:eastAsia="Malgun Gothic"/>
          <w:iCs/>
          <w:color w:val="000000" w:themeColor="text1"/>
          <w:lang w:eastAsia="ko-KR"/>
        </w:rPr>
      </w:pPr>
      <w:r w:rsidRPr="0030294D">
        <w:rPr>
          <w:rFonts w:eastAsia="Malgun Gothic"/>
          <w:iCs/>
          <w:color w:val="000000" w:themeColor="text1"/>
          <w:lang w:eastAsia="ko-KR"/>
        </w:rPr>
        <w:tab/>
      </w:r>
      <w:r w:rsidRPr="0030294D">
        <w:rPr>
          <w:rFonts w:eastAsia="Malgun Gothic"/>
          <w:iCs/>
          <w:color w:val="000000" w:themeColor="text1"/>
          <w:lang w:eastAsia="ko-KR"/>
        </w:rPr>
        <w:tab/>
      </w:r>
      <w:r>
        <w:rPr>
          <w:noProof/>
          <w:color w:val="000000" w:themeColor="text1"/>
          <w:lang w:eastAsia="ko-KR"/>
        </w:rPr>
        <w:drawing>
          <wp:inline distT="0" distB="0" distL="0" distR="0" wp14:anchorId="60638960" wp14:editId="659A205C">
            <wp:extent cx="320040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7" t="35930" r="34552" b="2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5FA">
        <w:rPr>
          <w:rFonts w:eastAsia="Malgun Gothic"/>
          <w:iCs/>
          <w:color w:val="000000" w:themeColor="text1"/>
          <w:lang w:eastAsia="ko-KR"/>
        </w:rPr>
        <w:tab/>
      </w:r>
      <w:r w:rsidR="002B75FA">
        <w:rPr>
          <w:rFonts w:eastAsia="Malgun Gothic"/>
          <w:iCs/>
          <w:color w:val="000000" w:themeColor="text1"/>
          <w:lang w:eastAsia="ko-KR"/>
        </w:rPr>
        <w:tab/>
      </w:r>
      <w:r w:rsidR="002B75FA">
        <w:rPr>
          <w:rFonts w:eastAsia="Malgun Gothic"/>
          <w:iCs/>
          <w:color w:val="000000" w:themeColor="text1"/>
          <w:lang w:eastAsia="ko-KR"/>
        </w:rPr>
        <w:t>»</w:t>
      </w:r>
    </w:p>
    <w:p w14:paraId="0889E4FA" w14:textId="3389BE12" w:rsidR="00974BD2" w:rsidRPr="002B75FA" w:rsidRDefault="00974BD2" w:rsidP="00974BD2">
      <w:pPr>
        <w:pStyle w:val="SingleTxtG"/>
        <w:spacing w:before="120"/>
        <w:ind w:left="1138" w:right="1138"/>
        <w:rPr>
          <w:rFonts w:eastAsia="Malgun Gothic"/>
        </w:rPr>
      </w:pPr>
      <w:r>
        <w:rPr>
          <w:i/>
          <w:iCs/>
        </w:rPr>
        <w:t>Включить следующие новые пункты 9.2.5.2.4–9.2.5.2.4.1</w:t>
      </w:r>
      <w:r>
        <w:t xml:space="preserve"> с учетом изменения прежнего текста и включения нового рис.</w:t>
      </w:r>
      <w:r w:rsidR="003025F0">
        <w:t xml:space="preserve"> 23</w:t>
      </w:r>
      <w:r w:rsidR="002B75FA" w:rsidRPr="002B75FA">
        <w:t>:</w:t>
      </w:r>
    </w:p>
    <w:p w14:paraId="2D2208F0" w14:textId="77777777" w:rsidR="00974BD2" w:rsidRPr="00F815A3" w:rsidRDefault="00974BD2" w:rsidP="00974BD2">
      <w:pPr>
        <w:pStyle w:val="SingleTxtG"/>
        <w:ind w:left="2160" w:hanging="1080"/>
        <w:rPr>
          <w:rFonts w:eastAsia="Malgun Gothic"/>
        </w:rPr>
      </w:pPr>
      <w:r>
        <w:t>«9.2.5.2.4</w:t>
      </w:r>
      <w:r>
        <w:tab/>
        <w:t xml:space="preserve">Определение участка матового затемнения: </w:t>
      </w:r>
    </w:p>
    <w:p w14:paraId="0DBDA8EC" w14:textId="77777777" w:rsidR="00974BD2" w:rsidRPr="00B87283" w:rsidRDefault="00974BD2" w:rsidP="00974BD2">
      <w:pPr>
        <w:pStyle w:val="SingleTxtG"/>
        <w:ind w:left="2160"/>
        <w:rPr>
          <w:rFonts w:eastAsia="Malgun Gothic"/>
        </w:rPr>
      </w:pPr>
      <w:r>
        <w:t>P5 ⸺ плоскость, проходящая через поперечную горизонтальную линию, на которой находится точка O, и образующая угол 5° над горизонтальной плоскостью;</w:t>
      </w:r>
    </w:p>
    <w:p w14:paraId="40060F05" w14:textId="77777777" w:rsidR="00974BD2" w:rsidRDefault="00974BD2" w:rsidP="00974BD2">
      <w:pPr>
        <w:pStyle w:val="SingleTxtG"/>
        <w:ind w:left="2160"/>
      </w:pPr>
      <w:r>
        <w:t>P6 — вертикальная плоскость, проходящая через точку O под углом 20° вправо по отношению к оси Х в случае транспортных средств с левосторонним расположением руля и влево от оси Х в случае транспортных средств с правосторонним расположением руля;</w:t>
      </w:r>
    </w:p>
    <w:p w14:paraId="437B0FE1" w14:textId="4AB62504" w:rsidR="00974BD2" w:rsidRPr="0030294D" w:rsidRDefault="00974BD2" w:rsidP="00974BD2">
      <w:pPr>
        <w:pStyle w:val="SingleTxtG"/>
        <w:ind w:left="2160"/>
        <w:rPr>
          <w:rFonts w:eastAsia="Malgun Gothic"/>
        </w:rPr>
      </w:pPr>
      <w:r>
        <w:t>P7 —</w:t>
      </w:r>
      <w:r w:rsidR="003025F0">
        <w:t xml:space="preserve"> </w:t>
      </w:r>
      <w:r>
        <w:t>плоскость, симметричная P6 по отношению к средней продольной плоскости транспортных средств;</w:t>
      </w:r>
    </w:p>
    <w:p w14:paraId="631CF524" w14:textId="260446CC" w:rsidR="00974BD2" w:rsidRDefault="00974BD2" w:rsidP="00974BD2">
      <w:pPr>
        <w:pStyle w:val="SingleTxtG"/>
        <w:ind w:left="2160" w:hanging="1080"/>
      </w:pPr>
      <w:r>
        <w:t>9.2.5.2.4.1</w:t>
      </w:r>
      <w:r>
        <w:tab/>
        <w:t xml:space="preserve">любое матовое затемнение, ограниченное снизу плоскостью P5, а по </w:t>
      </w:r>
      <w:r w:rsidR="00082099">
        <w:br/>
      </w:r>
      <w:r>
        <w:t xml:space="preserve">бокам </w:t>
      </w:r>
      <w:r w:rsidR="00082099" w:rsidRPr="00082099">
        <w:t>—</w:t>
      </w:r>
      <w:r>
        <w:t xml:space="preserve"> плоскостями P6 и P7 (см. рис. 23). </w:t>
      </w:r>
    </w:p>
    <w:p w14:paraId="25C1339A" w14:textId="108BEF7D" w:rsidR="00974BD2" w:rsidRPr="0030294D" w:rsidRDefault="00974BD2" w:rsidP="00082099">
      <w:pPr>
        <w:pStyle w:val="SingleTxtG"/>
        <w:ind w:left="2160"/>
        <w:jc w:val="left"/>
        <w:rPr>
          <w:b/>
          <w:bCs/>
        </w:rPr>
      </w:pPr>
      <w:r>
        <w:t>Рис. 23</w:t>
      </w:r>
      <w:r w:rsidR="00082099">
        <w:br/>
      </w:r>
      <w:r>
        <w:rPr>
          <w:b/>
          <w:bCs/>
        </w:rPr>
        <w:t>Зона I (на примере транспортного средства с левосторонним расположением руля) (верхняя зона затемнения, определенная</w:t>
      </w:r>
      <w:r w:rsidR="00082099">
        <w:rPr>
          <w:b/>
          <w:bCs/>
        </w:rPr>
        <w:t xml:space="preserve"> </w:t>
      </w:r>
      <w:r>
        <w:rPr>
          <w:b/>
          <w:bCs/>
        </w:rPr>
        <w:t>в</w:t>
      </w:r>
      <w:r w:rsidR="00082099">
        <w:rPr>
          <w:b/>
          <w:bCs/>
          <w:lang w:val="en-US"/>
        </w:rPr>
        <w:t> </w:t>
      </w:r>
      <w:r>
        <w:rPr>
          <w:b/>
          <w:bCs/>
        </w:rPr>
        <w:t>пункте 9.2.5.2.4.1)</w:t>
      </w:r>
    </w:p>
    <w:p w14:paraId="1EEF4984" w14:textId="113126BA" w:rsidR="00974BD2" w:rsidRPr="0030294D" w:rsidRDefault="00974BD2" w:rsidP="002B75FA">
      <w:pPr>
        <w:spacing w:after="240"/>
        <w:ind w:firstLineChars="600" w:firstLine="1200"/>
        <w:rPr>
          <w:rFonts w:eastAsia="Malgun Gothic"/>
          <w:iCs/>
          <w:color w:val="000000" w:themeColor="text1"/>
          <w:lang w:eastAsia="ko-KR"/>
        </w:rPr>
      </w:pPr>
      <w:r w:rsidRPr="0030294D">
        <w:rPr>
          <w:rFonts w:eastAsia="Malgun Gothic"/>
          <w:iCs/>
          <w:color w:val="000000" w:themeColor="text1"/>
          <w:lang w:eastAsia="ko-KR"/>
        </w:rPr>
        <w:tab/>
      </w:r>
      <w:r w:rsidRPr="0030294D">
        <w:rPr>
          <w:rFonts w:eastAsia="Malgun Gothic"/>
          <w:iCs/>
          <w:color w:val="000000" w:themeColor="text1"/>
          <w:lang w:eastAsia="ko-KR"/>
        </w:rPr>
        <w:tab/>
      </w:r>
      <w:r>
        <w:rPr>
          <w:bCs/>
          <w:noProof/>
          <w:color w:val="000000" w:themeColor="text1"/>
          <w:sz w:val="23"/>
          <w:szCs w:val="23"/>
          <w:lang w:eastAsia="ko-KR"/>
        </w:rPr>
        <w:drawing>
          <wp:inline distT="0" distB="0" distL="0" distR="0" wp14:anchorId="64D84642" wp14:editId="580C2DD6">
            <wp:extent cx="3613150" cy="22796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algun Gothic"/>
          <w:iCs/>
          <w:color w:val="000000" w:themeColor="text1"/>
          <w:lang w:eastAsia="ko-KR"/>
        </w:rPr>
        <w:t>»</w:t>
      </w:r>
    </w:p>
    <w:p w14:paraId="5CE40B5E" w14:textId="636F46D4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>
        <w:rPr>
          <w:i/>
          <w:iCs/>
        </w:rPr>
        <w:t>Пункт 9.3.1.1.1, ссылки на рис. 22 a), 22 b) и 25</w:t>
      </w:r>
      <w:r>
        <w:t xml:space="preserve">, изменить нумерацию на 24 a), 24 b) </w:t>
      </w:r>
      <w:r w:rsidR="00082099">
        <w:br/>
      </w:r>
      <w:r>
        <w:t>и 27.</w:t>
      </w:r>
    </w:p>
    <w:p w14:paraId="3394FAC1" w14:textId="717D7B3F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>
        <w:rPr>
          <w:i/>
          <w:iCs/>
        </w:rPr>
        <w:t>Пункт 9.3.1.1.3, ссылки на рис. 22 a) и 22 b</w:t>
      </w:r>
      <w:r w:rsidR="002B75FA" w:rsidRPr="002B75FA">
        <w:rPr>
          <w:i/>
          <w:iCs/>
        </w:rPr>
        <w:t>)</w:t>
      </w:r>
      <w:r>
        <w:rPr>
          <w:i/>
          <w:iCs/>
        </w:rPr>
        <w:t xml:space="preserve"> и сами рис. 22 а) </w:t>
      </w:r>
      <w:r w:rsidR="002B75FA">
        <w:rPr>
          <w:i/>
          <w:iCs/>
        </w:rPr>
        <w:t>–</w:t>
      </w:r>
      <w:r w:rsidR="002B75FA" w:rsidRPr="002B75FA">
        <w:rPr>
          <w:i/>
          <w:iCs/>
        </w:rPr>
        <w:t xml:space="preserve"> </w:t>
      </w:r>
      <w:r>
        <w:rPr>
          <w:i/>
          <w:iCs/>
        </w:rPr>
        <w:t>24</w:t>
      </w:r>
      <w:r>
        <w:t>, изменить нумерацию на 24 a) и 24 b), a также 24 a)</w:t>
      </w:r>
      <w:r w:rsidR="003025F0">
        <w:t>–</w:t>
      </w:r>
      <w:r>
        <w:t>26.</w:t>
      </w:r>
    </w:p>
    <w:p w14:paraId="75647D46" w14:textId="77777777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>
        <w:rPr>
          <w:i/>
          <w:iCs/>
        </w:rPr>
        <w:lastRenderedPageBreak/>
        <w:t>Пункт 9.3.1.2.1, ссылка на рис. 24</w:t>
      </w:r>
      <w:r>
        <w:t>, изменить нумерацию на 26.</w:t>
      </w:r>
    </w:p>
    <w:p w14:paraId="2B26EB5B" w14:textId="77777777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>
        <w:rPr>
          <w:i/>
          <w:iCs/>
        </w:rPr>
        <w:t>Пункт 9.3.1.2.2, ссылка на рис. 25</w:t>
      </w:r>
      <w:r>
        <w:t>, изменить нумерацию на 27.</w:t>
      </w:r>
    </w:p>
    <w:p w14:paraId="0F1FBE87" w14:textId="77777777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>
        <w:rPr>
          <w:i/>
          <w:iCs/>
        </w:rPr>
        <w:t>Пункт 9.3.4, рис. 25</w:t>
      </w:r>
      <w:r>
        <w:t>, изменить нумерацию на 27.</w:t>
      </w:r>
    </w:p>
    <w:p w14:paraId="4FDD0AEC" w14:textId="77777777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>
        <w:rPr>
          <w:i/>
          <w:iCs/>
        </w:rPr>
        <w:t>Пункт 10.4.1, ссылки на рис. 26–28 и сам рис. 26</w:t>
      </w:r>
      <w:r>
        <w:t>, изменить нумерацию на 28–30 и 28.</w:t>
      </w:r>
    </w:p>
    <w:p w14:paraId="6DF8DD51" w14:textId="77777777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>
        <w:rPr>
          <w:i/>
          <w:iCs/>
        </w:rPr>
        <w:t>Пункт 10.4.2, ссылки на рис. 26, 27, 29 и 30</w:t>
      </w:r>
      <w:r>
        <w:t>, изменить нумерацию на 28, 29, 31 и 32.</w:t>
      </w:r>
    </w:p>
    <w:p w14:paraId="7F4F679B" w14:textId="77777777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>
        <w:rPr>
          <w:i/>
          <w:iCs/>
        </w:rPr>
        <w:t>Пункт 10.4.3, ссылка на рис. 27</w:t>
      </w:r>
      <w:r>
        <w:t>, изменить нумерацию на 29.</w:t>
      </w:r>
    </w:p>
    <w:p w14:paraId="244696D4" w14:textId="1BE38106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>
        <w:rPr>
          <w:i/>
          <w:iCs/>
        </w:rPr>
        <w:t>Пункт 10.4.5, рис. 27–30</w:t>
      </w:r>
      <w:r>
        <w:t>, изменить нумерацию на 29</w:t>
      </w:r>
      <w:r w:rsidR="003025F0">
        <w:t>–</w:t>
      </w:r>
      <w:r>
        <w:t>32.</w:t>
      </w:r>
    </w:p>
    <w:p w14:paraId="4314FDAF" w14:textId="77777777" w:rsidR="00974BD2" w:rsidRPr="0030294D" w:rsidRDefault="00974BD2" w:rsidP="00974BD2">
      <w:pPr>
        <w:spacing w:after="120"/>
        <w:ind w:left="1134" w:right="1134"/>
        <w:jc w:val="both"/>
        <w:rPr>
          <w:rFonts w:eastAsia="Batang"/>
        </w:rPr>
      </w:pPr>
      <w:r>
        <w:rPr>
          <w:i/>
          <w:iCs/>
        </w:rPr>
        <w:t>Пункт 10.5.1, ссылки на рис. 31 и сам рис. 31</w:t>
      </w:r>
      <w:r>
        <w:t>, изменить нумерацию на 33.</w:t>
      </w:r>
    </w:p>
    <w:p w14:paraId="17550508" w14:textId="77777777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 w:rsidRPr="00B47C17">
        <w:rPr>
          <w:i/>
          <w:iCs/>
        </w:rPr>
        <w:t>Пункт 11.2.4.1, ссылки на рис. 32 и сам рис. 32</w:t>
      </w:r>
      <w:r>
        <w:t>, изменить нумерацию на 34.</w:t>
      </w:r>
    </w:p>
    <w:p w14:paraId="33AED14F" w14:textId="77777777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 w:rsidRPr="00B47C17">
        <w:rPr>
          <w:i/>
          <w:iCs/>
        </w:rPr>
        <w:t>Пункт 11.2.4.3, ссылки на рис. 33 и сам рис. 33</w:t>
      </w:r>
      <w:r>
        <w:t>, изменить нумерацию на 35.</w:t>
      </w:r>
    </w:p>
    <w:p w14:paraId="54A08F87" w14:textId="77777777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>
        <w:rPr>
          <w:i/>
          <w:iCs/>
        </w:rPr>
        <w:t>Пункт 12.4, ссылки на рис. 34</w:t>
      </w:r>
      <w:r>
        <w:t>, изменить нумерацию на 36.</w:t>
      </w:r>
    </w:p>
    <w:p w14:paraId="2EAF00FD" w14:textId="5E30C8F7" w:rsidR="00974BD2" w:rsidRPr="0030294D" w:rsidRDefault="00974BD2" w:rsidP="00974BD2">
      <w:pPr>
        <w:spacing w:after="120"/>
        <w:ind w:left="1134" w:right="1134"/>
        <w:jc w:val="both"/>
        <w:rPr>
          <w:rFonts w:eastAsia="Malgun Gothic"/>
        </w:rPr>
      </w:pPr>
      <w:r>
        <w:rPr>
          <w:i/>
          <w:iCs/>
        </w:rPr>
        <w:t>Пункт 13.2, ссылки на рис. 35 и сами рис. 34 и 35,</w:t>
      </w:r>
      <w:r>
        <w:t xml:space="preserve"> изменить нумерацию на 37 и 36 </w:t>
      </w:r>
      <w:r w:rsidR="006C7317">
        <w:br/>
      </w:r>
      <w:r>
        <w:t>и 37.</w:t>
      </w:r>
    </w:p>
    <w:p w14:paraId="255E8ACF" w14:textId="77777777" w:rsidR="00082099" w:rsidRDefault="00974BD2" w:rsidP="00974BD2">
      <w:pPr>
        <w:spacing w:before="240"/>
        <w:jc w:val="center"/>
        <w:rPr>
          <w:u w:val="single"/>
        </w:rPr>
      </w:pPr>
      <w:r w:rsidRPr="0030294D">
        <w:rPr>
          <w:u w:val="single"/>
        </w:rPr>
        <w:tab/>
      </w:r>
      <w:r w:rsidRPr="0030294D">
        <w:rPr>
          <w:u w:val="single"/>
        </w:rPr>
        <w:tab/>
      </w:r>
      <w:r w:rsidRPr="0030294D">
        <w:rPr>
          <w:u w:val="single"/>
        </w:rPr>
        <w:tab/>
      </w:r>
    </w:p>
    <w:p w14:paraId="3A8293BD" w14:textId="730BC3AC" w:rsidR="00E12C5F" w:rsidRPr="008D53B6" w:rsidRDefault="00E12C5F" w:rsidP="00D9145B"/>
    <w:sectPr w:rsidR="00E12C5F" w:rsidRPr="008D53B6" w:rsidSect="00974BD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8AA2" w14:textId="77777777" w:rsidR="00084FC8" w:rsidRPr="00A312BC" w:rsidRDefault="00084FC8" w:rsidP="00A312BC"/>
  </w:endnote>
  <w:endnote w:type="continuationSeparator" w:id="0">
    <w:p w14:paraId="50A37D6D" w14:textId="77777777" w:rsidR="00084FC8" w:rsidRPr="00A312BC" w:rsidRDefault="00084F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MT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B25C" w14:textId="003254C5" w:rsidR="00974BD2" w:rsidRPr="00974BD2" w:rsidRDefault="00974BD2">
    <w:pPr>
      <w:pStyle w:val="a8"/>
    </w:pPr>
    <w:r w:rsidRPr="00974BD2">
      <w:rPr>
        <w:b/>
        <w:sz w:val="18"/>
      </w:rPr>
      <w:fldChar w:fldCharType="begin"/>
    </w:r>
    <w:r w:rsidRPr="00974BD2">
      <w:rPr>
        <w:b/>
        <w:sz w:val="18"/>
      </w:rPr>
      <w:instrText xml:space="preserve"> PAGE  \* MERGEFORMAT </w:instrText>
    </w:r>
    <w:r w:rsidRPr="00974BD2">
      <w:rPr>
        <w:b/>
        <w:sz w:val="18"/>
      </w:rPr>
      <w:fldChar w:fldCharType="separate"/>
    </w:r>
    <w:r w:rsidRPr="00974BD2">
      <w:rPr>
        <w:b/>
        <w:noProof/>
        <w:sz w:val="18"/>
      </w:rPr>
      <w:t>2</w:t>
    </w:r>
    <w:r w:rsidRPr="00974BD2">
      <w:rPr>
        <w:b/>
        <w:sz w:val="18"/>
      </w:rPr>
      <w:fldChar w:fldCharType="end"/>
    </w:r>
    <w:r>
      <w:rPr>
        <w:b/>
        <w:sz w:val="18"/>
      </w:rPr>
      <w:tab/>
    </w:r>
    <w:r>
      <w:t>GE.23-16306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4656" w14:textId="73E8B331" w:rsidR="00974BD2" w:rsidRPr="00974BD2" w:rsidRDefault="00974BD2" w:rsidP="00974BD2">
    <w:pPr>
      <w:pStyle w:val="a8"/>
      <w:tabs>
        <w:tab w:val="clear" w:pos="9639"/>
        <w:tab w:val="right" w:pos="9638"/>
      </w:tabs>
      <w:rPr>
        <w:b/>
        <w:sz w:val="18"/>
      </w:rPr>
    </w:pPr>
    <w:r>
      <w:t>GE.23-16306</w:t>
    </w:r>
    <w:r>
      <w:tab/>
    </w:r>
    <w:r w:rsidRPr="00974BD2">
      <w:rPr>
        <w:b/>
        <w:sz w:val="18"/>
      </w:rPr>
      <w:fldChar w:fldCharType="begin"/>
    </w:r>
    <w:r w:rsidRPr="00974BD2">
      <w:rPr>
        <w:b/>
        <w:sz w:val="18"/>
      </w:rPr>
      <w:instrText xml:space="preserve"> PAGE  \* MERGEFORMAT </w:instrText>
    </w:r>
    <w:r w:rsidRPr="00974BD2">
      <w:rPr>
        <w:b/>
        <w:sz w:val="18"/>
      </w:rPr>
      <w:fldChar w:fldCharType="separate"/>
    </w:r>
    <w:r w:rsidRPr="00974BD2">
      <w:rPr>
        <w:b/>
        <w:noProof/>
        <w:sz w:val="18"/>
      </w:rPr>
      <w:t>3</w:t>
    </w:r>
    <w:r w:rsidRPr="00974B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4CAC" w14:textId="54829295" w:rsidR="00042B72" w:rsidRPr="00974BD2" w:rsidRDefault="00974BD2" w:rsidP="00974BD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09D65E" wp14:editId="6FF858D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23-16306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620A8A" wp14:editId="1EF6752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280823  270923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9D4D" w14:textId="77777777" w:rsidR="00084FC8" w:rsidRPr="001075E9" w:rsidRDefault="00084F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11C419" w14:textId="77777777" w:rsidR="00084FC8" w:rsidRDefault="00084F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E10449" w14:textId="56A9595F" w:rsidR="00082099" w:rsidRPr="002B75FA" w:rsidRDefault="00082099">
      <w:pPr>
        <w:pStyle w:val="ad"/>
        <w:rPr>
          <w:sz w:val="20"/>
        </w:rPr>
      </w:pPr>
      <w:r>
        <w:tab/>
      </w:r>
      <w:r w:rsidRPr="00082099">
        <w:rPr>
          <w:rStyle w:val="aa"/>
          <w:sz w:val="20"/>
          <w:vertAlign w:val="baseline"/>
        </w:rPr>
        <w:t>*</w:t>
      </w:r>
      <w:r w:rsidRPr="00082099">
        <w:rPr>
          <w:rStyle w:val="aa"/>
          <w:vertAlign w:val="baseline"/>
        </w:rPr>
        <w:tab/>
      </w:r>
      <w:r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 w:rsidR="003268F6">
        <w:br/>
      </w:r>
      <w:r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66475F1B" w14:textId="4C84D2A6" w:rsidR="00974BD2" w:rsidRPr="00082099" w:rsidRDefault="00974BD2" w:rsidP="00082099"/>
  </w:footnote>
  <w:footnote w:id="3">
    <w:p w14:paraId="5B186C05" w14:textId="5C4549AC" w:rsidR="00974BD2" w:rsidRPr="0030294D" w:rsidRDefault="00974BD2" w:rsidP="00082099">
      <w:pPr>
        <w:pStyle w:val="ad"/>
      </w:pPr>
      <w:r>
        <w:tab/>
      </w:r>
      <w:r>
        <w:rPr>
          <w:vertAlign w:val="superscript"/>
        </w:rPr>
        <w:t>18</w:t>
      </w:r>
      <w:r>
        <w:t xml:space="preserve"> </w:t>
      </w:r>
      <w:r>
        <w:tab/>
        <w:t xml:space="preserve">В соответствии с определениями, содержащимися в Сводной резолюции о конструкции транспортных средств (СР.3), документ ECE/TRANS/WP.29/78/Rev.7, п. 2 — </w:t>
      </w:r>
      <w:hyperlink r:id="rId1" w:history="1">
        <w:r w:rsidR="00A24BE5" w:rsidRPr="00A24BE5">
          <w:rPr>
            <w:rStyle w:val="af1"/>
          </w:rPr>
          <w:t>https://unece.org/transport/vehicle-regulations/wp29/resolutions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99A2" w14:textId="12ED2400" w:rsidR="00974BD2" w:rsidRPr="00974BD2" w:rsidRDefault="002E527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286806">
      <w:t>ECE/TRANS/WP.29/2023/99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C044" w14:textId="1EA5D2E4" w:rsidR="00974BD2" w:rsidRPr="00974BD2" w:rsidRDefault="002E5273" w:rsidP="00974BD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86806">
      <w:t>ECE/TRANS/WP.29/2023/99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C8"/>
    <w:rsid w:val="00033EE1"/>
    <w:rsid w:val="00042B72"/>
    <w:rsid w:val="000558BD"/>
    <w:rsid w:val="00082099"/>
    <w:rsid w:val="00084FC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4953"/>
    <w:rsid w:val="00252F53"/>
    <w:rsid w:val="00255343"/>
    <w:rsid w:val="0027151D"/>
    <w:rsid w:val="00286806"/>
    <w:rsid w:val="002A2EFC"/>
    <w:rsid w:val="002B0106"/>
    <w:rsid w:val="002B74B1"/>
    <w:rsid w:val="002B75FA"/>
    <w:rsid w:val="002C0E18"/>
    <w:rsid w:val="002D5AAC"/>
    <w:rsid w:val="002E5067"/>
    <w:rsid w:val="002F405F"/>
    <w:rsid w:val="002F7EEC"/>
    <w:rsid w:val="00301299"/>
    <w:rsid w:val="003025F0"/>
    <w:rsid w:val="00305C08"/>
    <w:rsid w:val="00307FB6"/>
    <w:rsid w:val="00317339"/>
    <w:rsid w:val="00322004"/>
    <w:rsid w:val="003268F6"/>
    <w:rsid w:val="003402C2"/>
    <w:rsid w:val="0036785E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7317"/>
    <w:rsid w:val="006D461A"/>
    <w:rsid w:val="006F35EE"/>
    <w:rsid w:val="007021FF"/>
    <w:rsid w:val="00712895"/>
    <w:rsid w:val="00717008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4BD2"/>
    <w:rsid w:val="009A24AC"/>
    <w:rsid w:val="009C59D7"/>
    <w:rsid w:val="009C6FE6"/>
    <w:rsid w:val="009D7E7D"/>
    <w:rsid w:val="009E2977"/>
    <w:rsid w:val="00A14DA8"/>
    <w:rsid w:val="00A24BE5"/>
    <w:rsid w:val="00A312BC"/>
    <w:rsid w:val="00A84021"/>
    <w:rsid w:val="00A84D35"/>
    <w:rsid w:val="00A917B3"/>
    <w:rsid w:val="00AB4B51"/>
    <w:rsid w:val="00AE16B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9B6F4"/>
  <w15:docId w15:val="{98D47A7A-8703-4F81-B057-A2E46B46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74BD2"/>
    <w:rPr>
      <w:lang w:val="ru-RU" w:eastAsia="en-US"/>
    </w:rPr>
  </w:style>
  <w:style w:type="character" w:customStyle="1" w:styleId="HChGChar">
    <w:name w:val="_ H _Ch_G Char"/>
    <w:link w:val="HChG"/>
    <w:locked/>
    <w:rsid w:val="00974BD2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974BD2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082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9AA62-687A-4348-8927-D64E525D6307}"/>
</file>

<file path=customXml/itemProps2.xml><?xml version="1.0" encoding="utf-8"?>
<ds:datastoreItem xmlns:ds="http://schemas.openxmlformats.org/officeDocument/2006/customXml" ds:itemID="{7B373CAC-DE70-43BB-8FD9-A0BCEBF7D6A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4</Pages>
  <Words>790</Words>
  <Characters>4701</Characters>
  <Application>Microsoft Office Word</Application>
  <DocSecurity>0</DocSecurity>
  <Lines>114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ECE/TRANS/WP.29/2023/99</vt:lpstr>
      <vt:lpstr>A/</vt:lpstr>
      <vt:lpstr>A/</vt:lpstr>
    </vt:vector>
  </TitlesOfParts>
  <Company>DCM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ECE/TRANS/WP.29/2023/99</dc:title>
  <dc:subject/>
  <dc:creator>No author</dc:creator>
  <cp:keywords/>
  <cp:lastModifiedBy>Ioulia Goussarova</cp:lastModifiedBy>
  <cp:revision>4</cp:revision>
  <cp:lastPrinted>2023-09-27T09:24:00Z</cp:lastPrinted>
  <dcterms:created xsi:type="dcterms:W3CDTF">2023-09-27T09:24:00Z</dcterms:created>
  <dcterms:modified xsi:type="dcterms:W3CDTF">2023-09-27T09:25:00Z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