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07F5F" w14:paraId="738CEC11" w14:textId="77777777" w:rsidTr="00C97039">
        <w:trPr>
          <w:trHeight w:hRule="exact" w:val="851"/>
        </w:trPr>
        <w:tc>
          <w:tcPr>
            <w:tcW w:w="1276" w:type="dxa"/>
            <w:tcBorders>
              <w:bottom w:val="single" w:sz="4" w:space="0" w:color="auto"/>
            </w:tcBorders>
          </w:tcPr>
          <w:p w14:paraId="694ECC23" w14:textId="77777777" w:rsidR="00F35BAF" w:rsidRPr="00DB58B5" w:rsidRDefault="00F35BAF" w:rsidP="004064D2"/>
        </w:tc>
        <w:tc>
          <w:tcPr>
            <w:tcW w:w="2268" w:type="dxa"/>
            <w:tcBorders>
              <w:bottom w:val="single" w:sz="4" w:space="0" w:color="auto"/>
            </w:tcBorders>
            <w:vAlign w:val="bottom"/>
          </w:tcPr>
          <w:p w14:paraId="0EFA5706" w14:textId="77777777" w:rsidR="00F35BAF" w:rsidRPr="00107F5F" w:rsidRDefault="00F35BAF" w:rsidP="00C97039">
            <w:pPr>
              <w:spacing w:after="80" w:line="300" w:lineRule="exact"/>
              <w:rPr>
                <w:sz w:val="28"/>
              </w:rPr>
            </w:pPr>
            <w:r w:rsidRPr="00107F5F">
              <w:rPr>
                <w:sz w:val="28"/>
              </w:rPr>
              <w:t>Nations Unies</w:t>
            </w:r>
          </w:p>
        </w:tc>
        <w:tc>
          <w:tcPr>
            <w:tcW w:w="6095" w:type="dxa"/>
            <w:gridSpan w:val="2"/>
            <w:tcBorders>
              <w:bottom w:val="single" w:sz="4" w:space="0" w:color="auto"/>
            </w:tcBorders>
            <w:vAlign w:val="bottom"/>
          </w:tcPr>
          <w:p w14:paraId="34E941C5" w14:textId="158DE0B2" w:rsidR="00F35BAF" w:rsidRPr="00107F5F" w:rsidRDefault="004064D2" w:rsidP="004064D2">
            <w:pPr>
              <w:jc w:val="right"/>
            </w:pPr>
            <w:r w:rsidRPr="00107F5F">
              <w:rPr>
                <w:sz w:val="40"/>
              </w:rPr>
              <w:t>ECE</w:t>
            </w:r>
            <w:r w:rsidRPr="00107F5F">
              <w:t>/TRANS/WP.29/2023/99</w:t>
            </w:r>
          </w:p>
        </w:tc>
      </w:tr>
      <w:tr w:rsidR="00F35BAF" w:rsidRPr="00107F5F" w14:paraId="0C04DF89" w14:textId="77777777" w:rsidTr="00C97039">
        <w:trPr>
          <w:trHeight w:hRule="exact" w:val="2835"/>
        </w:trPr>
        <w:tc>
          <w:tcPr>
            <w:tcW w:w="1276" w:type="dxa"/>
            <w:tcBorders>
              <w:top w:val="single" w:sz="4" w:space="0" w:color="auto"/>
              <w:bottom w:val="single" w:sz="12" w:space="0" w:color="auto"/>
            </w:tcBorders>
          </w:tcPr>
          <w:p w14:paraId="00494FA6" w14:textId="77777777" w:rsidR="00F35BAF" w:rsidRPr="00107F5F" w:rsidRDefault="00F35BAF" w:rsidP="00C97039">
            <w:pPr>
              <w:spacing w:before="120"/>
              <w:jc w:val="center"/>
            </w:pPr>
            <w:r w:rsidRPr="00107F5F">
              <w:rPr>
                <w:noProof/>
                <w:lang w:eastAsia="fr-CH"/>
              </w:rPr>
              <w:drawing>
                <wp:inline distT="0" distB="0" distL="0" distR="0" wp14:anchorId="7F85F6F5" wp14:editId="516006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81565E" w14:textId="77777777" w:rsidR="00F35BAF" w:rsidRPr="00107F5F" w:rsidRDefault="00F35BAF" w:rsidP="00C97039">
            <w:pPr>
              <w:spacing w:before="120" w:line="420" w:lineRule="exact"/>
              <w:rPr>
                <w:b/>
                <w:sz w:val="40"/>
                <w:szCs w:val="40"/>
              </w:rPr>
            </w:pPr>
            <w:r w:rsidRPr="00107F5F">
              <w:rPr>
                <w:b/>
                <w:sz w:val="40"/>
                <w:szCs w:val="40"/>
              </w:rPr>
              <w:t>Conseil économique et social</w:t>
            </w:r>
          </w:p>
        </w:tc>
        <w:tc>
          <w:tcPr>
            <w:tcW w:w="2835" w:type="dxa"/>
            <w:tcBorders>
              <w:top w:val="single" w:sz="4" w:space="0" w:color="auto"/>
              <w:bottom w:val="single" w:sz="12" w:space="0" w:color="auto"/>
            </w:tcBorders>
          </w:tcPr>
          <w:p w14:paraId="7F1C3F78" w14:textId="77777777" w:rsidR="00F35BAF" w:rsidRPr="00107F5F" w:rsidRDefault="004064D2" w:rsidP="00C97039">
            <w:pPr>
              <w:spacing w:before="240"/>
            </w:pPr>
            <w:proofErr w:type="spellStart"/>
            <w:r w:rsidRPr="00107F5F">
              <w:t>Distr</w:t>
            </w:r>
            <w:proofErr w:type="spellEnd"/>
            <w:r w:rsidRPr="00107F5F">
              <w:t>. générale</w:t>
            </w:r>
          </w:p>
          <w:p w14:paraId="2A65AA28" w14:textId="77777777" w:rsidR="004064D2" w:rsidRPr="00107F5F" w:rsidRDefault="004064D2" w:rsidP="004064D2">
            <w:pPr>
              <w:spacing w:line="240" w:lineRule="exact"/>
            </w:pPr>
            <w:r w:rsidRPr="00107F5F">
              <w:t>24 août 2023</w:t>
            </w:r>
          </w:p>
          <w:p w14:paraId="5A006F07" w14:textId="77777777" w:rsidR="004064D2" w:rsidRPr="00107F5F" w:rsidRDefault="004064D2" w:rsidP="004064D2">
            <w:pPr>
              <w:spacing w:line="240" w:lineRule="exact"/>
            </w:pPr>
            <w:r w:rsidRPr="00107F5F">
              <w:t>Français</w:t>
            </w:r>
          </w:p>
          <w:p w14:paraId="57DB1D6E" w14:textId="4D03715C" w:rsidR="004064D2" w:rsidRPr="00107F5F" w:rsidRDefault="004064D2" w:rsidP="004064D2">
            <w:pPr>
              <w:spacing w:line="240" w:lineRule="exact"/>
            </w:pPr>
            <w:r w:rsidRPr="00107F5F">
              <w:t>Original : anglais</w:t>
            </w:r>
          </w:p>
        </w:tc>
      </w:tr>
    </w:tbl>
    <w:p w14:paraId="320036E7" w14:textId="77777777" w:rsidR="007F20FA" w:rsidRPr="00107F5F" w:rsidRDefault="007F20FA" w:rsidP="007F20FA">
      <w:pPr>
        <w:spacing w:before="120"/>
        <w:rPr>
          <w:b/>
          <w:sz w:val="28"/>
          <w:szCs w:val="28"/>
        </w:rPr>
      </w:pPr>
      <w:r w:rsidRPr="00107F5F">
        <w:rPr>
          <w:b/>
          <w:sz w:val="28"/>
          <w:szCs w:val="28"/>
        </w:rPr>
        <w:t>Commission économique pour l’Europe</w:t>
      </w:r>
    </w:p>
    <w:p w14:paraId="4D47153B" w14:textId="77777777" w:rsidR="007F20FA" w:rsidRPr="00107F5F" w:rsidRDefault="007F20FA" w:rsidP="007F20FA">
      <w:pPr>
        <w:spacing w:before="120"/>
        <w:rPr>
          <w:sz w:val="28"/>
          <w:szCs w:val="28"/>
        </w:rPr>
      </w:pPr>
      <w:r w:rsidRPr="00107F5F">
        <w:rPr>
          <w:sz w:val="28"/>
          <w:szCs w:val="28"/>
        </w:rPr>
        <w:t>Comité des transports intérieurs</w:t>
      </w:r>
    </w:p>
    <w:p w14:paraId="2D6F38FA" w14:textId="1C9EC053" w:rsidR="00203732" w:rsidRPr="00107F5F" w:rsidRDefault="00203732" w:rsidP="00203732">
      <w:pPr>
        <w:spacing w:before="120"/>
        <w:rPr>
          <w:b/>
          <w:bCs/>
          <w:sz w:val="24"/>
          <w:szCs w:val="24"/>
        </w:rPr>
      </w:pPr>
      <w:r w:rsidRPr="00107F5F">
        <w:rPr>
          <w:b/>
          <w:bCs/>
          <w:sz w:val="24"/>
          <w:szCs w:val="24"/>
          <w:lang w:val="fr-FR"/>
        </w:rPr>
        <w:t xml:space="preserve">Forum mondial de l’harmonisation des Règlements </w:t>
      </w:r>
      <w:r w:rsidRPr="00107F5F">
        <w:rPr>
          <w:b/>
          <w:bCs/>
          <w:sz w:val="24"/>
          <w:szCs w:val="24"/>
          <w:lang w:val="fr-FR"/>
        </w:rPr>
        <w:br/>
        <w:t>concernant les véhicules</w:t>
      </w:r>
    </w:p>
    <w:p w14:paraId="1EE9AA29" w14:textId="77777777" w:rsidR="00203732" w:rsidRPr="00107F5F" w:rsidRDefault="00203732" w:rsidP="00203732">
      <w:pPr>
        <w:spacing w:before="120"/>
        <w:rPr>
          <w:b/>
        </w:rPr>
      </w:pPr>
      <w:r w:rsidRPr="00107F5F">
        <w:rPr>
          <w:b/>
          <w:bCs/>
          <w:lang w:val="fr-FR"/>
        </w:rPr>
        <w:t>191</w:t>
      </w:r>
      <w:r w:rsidRPr="00107F5F">
        <w:rPr>
          <w:b/>
          <w:bCs/>
          <w:vertAlign w:val="superscript"/>
          <w:lang w:val="fr-FR"/>
        </w:rPr>
        <w:t>e</w:t>
      </w:r>
      <w:r w:rsidRPr="00107F5F">
        <w:rPr>
          <w:b/>
          <w:bCs/>
          <w:lang w:val="fr-FR"/>
        </w:rPr>
        <w:t xml:space="preserve"> session</w:t>
      </w:r>
    </w:p>
    <w:p w14:paraId="0531AA7C" w14:textId="1F5B356F" w:rsidR="00203732" w:rsidRPr="00107F5F" w:rsidRDefault="00203732" w:rsidP="00203732">
      <w:r w:rsidRPr="00107F5F">
        <w:rPr>
          <w:lang w:val="fr-FR"/>
        </w:rPr>
        <w:t>Genève, 14-16 novembre 2023</w:t>
      </w:r>
    </w:p>
    <w:p w14:paraId="5D660461" w14:textId="77777777" w:rsidR="00203732" w:rsidRPr="00107F5F" w:rsidRDefault="00203732" w:rsidP="00203732">
      <w:r w:rsidRPr="00107F5F">
        <w:rPr>
          <w:lang w:val="fr-FR"/>
        </w:rPr>
        <w:t>Point 4.7.2 de l’ordre du jour provisoire</w:t>
      </w:r>
    </w:p>
    <w:p w14:paraId="47646F97" w14:textId="339150C1" w:rsidR="00203732" w:rsidRPr="00107F5F" w:rsidRDefault="00203732" w:rsidP="00203732">
      <w:pPr>
        <w:rPr>
          <w:b/>
        </w:rPr>
      </w:pPr>
      <w:r w:rsidRPr="00107F5F">
        <w:rPr>
          <w:b/>
          <w:bCs/>
          <w:lang w:val="fr-FR"/>
        </w:rPr>
        <w:t xml:space="preserve">Accord de 1958 : Examen de projets d’amendements </w:t>
      </w:r>
      <w:r w:rsidRPr="00107F5F">
        <w:rPr>
          <w:b/>
          <w:bCs/>
          <w:lang w:val="fr-FR"/>
        </w:rPr>
        <w:br/>
        <w:t>à des Règlements ONU existants, soumis par le GRSG</w:t>
      </w:r>
    </w:p>
    <w:p w14:paraId="7319D3D6" w14:textId="0F006C91" w:rsidR="00203732" w:rsidRPr="00107F5F" w:rsidRDefault="00B82C49" w:rsidP="00B82C49">
      <w:pPr>
        <w:pStyle w:val="HChG"/>
      </w:pPr>
      <w:r w:rsidRPr="00107F5F">
        <w:rPr>
          <w:lang w:val="fr-FR"/>
        </w:rPr>
        <w:tab/>
      </w:r>
      <w:r w:rsidRPr="00107F5F">
        <w:rPr>
          <w:lang w:val="fr-FR"/>
        </w:rPr>
        <w:tab/>
      </w:r>
      <w:r w:rsidR="00203732" w:rsidRPr="00107F5F">
        <w:rPr>
          <w:lang w:val="fr-FR"/>
        </w:rPr>
        <w:t xml:space="preserve">Proposition de complément 11 à la série 01 d’amendements au Règlement ONU </w:t>
      </w:r>
      <w:r w:rsidRPr="00107F5F">
        <w:rPr>
          <w:rFonts w:eastAsia="MS Mincho"/>
          <w:lang w:val="fr-FR"/>
        </w:rPr>
        <w:t>n</w:t>
      </w:r>
      <w:r w:rsidRPr="00107F5F">
        <w:rPr>
          <w:rFonts w:eastAsia="MS Mincho"/>
          <w:vertAlign w:val="superscript"/>
          <w:lang w:val="fr-FR"/>
        </w:rPr>
        <w:t>o</w:t>
      </w:r>
      <w:r w:rsidRPr="00107F5F">
        <w:rPr>
          <w:lang w:val="fr-FR"/>
        </w:rPr>
        <w:t> </w:t>
      </w:r>
      <w:r w:rsidR="00203732" w:rsidRPr="00107F5F">
        <w:rPr>
          <w:lang w:val="fr-FR"/>
        </w:rPr>
        <w:t>43 (Vitrages de sécurité)</w:t>
      </w:r>
    </w:p>
    <w:p w14:paraId="40E0ACBB" w14:textId="43CC3CCE" w:rsidR="00203732" w:rsidRPr="00107F5F" w:rsidRDefault="00203732" w:rsidP="00B82C49">
      <w:pPr>
        <w:pStyle w:val="H1G"/>
        <w:rPr>
          <w:lang w:val="fr-FR"/>
        </w:rPr>
      </w:pPr>
      <w:r w:rsidRPr="00107F5F">
        <w:rPr>
          <w:lang w:val="fr-FR"/>
        </w:rPr>
        <w:tab/>
      </w:r>
      <w:r w:rsidRPr="00107F5F">
        <w:rPr>
          <w:lang w:val="fr-FR"/>
        </w:rPr>
        <w:tab/>
        <w:t xml:space="preserve">Communication du Groupe de travail des dispositions générales </w:t>
      </w:r>
      <w:r w:rsidR="00B82C49" w:rsidRPr="00107F5F">
        <w:rPr>
          <w:lang w:val="fr-FR"/>
        </w:rPr>
        <w:br/>
      </w:r>
      <w:r w:rsidRPr="00107F5F">
        <w:rPr>
          <w:lang w:val="fr-FR"/>
        </w:rPr>
        <w:t>de sécurité</w:t>
      </w:r>
      <w:r w:rsidR="003144B3" w:rsidRPr="00107F5F">
        <w:rPr>
          <w:rStyle w:val="Appelnotedebasdep"/>
          <w:b w:val="0"/>
          <w:bCs/>
          <w:sz w:val="20"/>
          <w:vertAlign w:val="baseline"/>
        </w:rPr>
        <w:footnoteReference w:customMarkFollows="1" w:id="2"/>
        <w:t>*</w:t>
      </w:r>
    </w:p>
    <w:p w14:paraId="064F62AB" w14:textId="14590CA1" w:rsidR="00203732" w:rsidRPr="00107F5F" w:rsidRDefault="003144B3" w:rsidP="00203732">
      <w:pPr>
        <w:pStyle w:val="SingleTxtG"/>
        <w:ind w:firstLine="567"/>
        <w:rPr>
          <w:sz w:val="24"/>
          <w:szCs w:val="24"/>
        </w:rPr>
      </w:pPr>
      <w:r w:rsidRPr="00107F5F">
        <w:rPr>
          <w:lang w:val="fr-FR"/>
        </w:rPr>
        <w:t xml:space="preserve">Le </w:t>
      </w:r>
      <w:r w:rsidR="00203732" w:rsidRPr="00107F5F">
        <w:rPr>
          <w:lang w:val="fr-FR"/>
        </w:rPr>
        <w:t>texte ci-après, adopté par le Groupe de travail des dispositions générales de sécurité (GRSG) à sa 125</w:t>
      </w:r>
      <w:r w:rsidR="00203732" w:rsidRPr="00107F5F">
        <w:rPr>
          <w:vertAlign w:val="superscript"/>
          <w:lang w:val="fr-FR"/>
        </w:rPr>
        <w:t>e</w:t>
      </w:r>
      <w:r w:rsidR="00793DD8" w:rsidRPr="00107F5F">
        <w:rPr>
          <w:lang w:val="fr-FR"/>
        </w:rPr>
        <w:t> </w:t>
      </w:r>
      <w:r w:rsidR="00203732" w:rsidRPr="00107F5F">
        <w:rPr>
          <w:lang w:val="fr-FR"/>
        </w:rPr>
        <w:t>session (ECE/TRANS/WP.29/GRSG/104, par.</w:t>
      </w:r>
      <w:r w:rsidR="00793DD8" w:rsidRPr="00107F5F">
        <w:rPr>
          <w:lang w:val="fr-FR"/>
        </w:rPr>
        <w:t> </w:t>
      </w:r>
      <w:r w:rsidR="00203732" w:rsidRPr="00107F5F">
        <w:rPr>
          <w:lang w:val="fr-FR"/>
        </w:rPr>
        <w:t>8), est fondé sur le document ECE/TRANS/WP.29/GRSG/2023/7 tel que modifié par l’annexe</w:t>
      </w:r>
      <w:r w:rsidR="00793DD8" w:rsidRPr="00107F5F">
        <w:rPr>
          <w:lang w:val="fr-FR"/>
        </w:rPr>
        <w:t> </w:t>
      </w:r>
      <w:r w:rsidR="00203732" w:rsidRPr="00107F5F">
        <w:rPr>
          <w:lang w:val="fr-FR"/>
        </w:rPr>
        <w:t>II du rapport. Il</w:t>
      </w:r>
      <w:r w:rsidR="00793DD8" w:rsidRPr="00107F5F">
        <w:rPr>
          <w:lang w:val="fr-FR"/>
        </w:rPr>
        <w:t> </w:t>
      </w:r>
      <w:r w:rsidR="00203732" w:rsidRPr="00107F5F">
        <w:rPr>
          <w:lang w:val="fr-FR"/>
        </w:rPr>
        <w:t xml:space="preserve">est soumis au Forum mondial de l’harmonisation des Règlements concernant les véhicules (WP.29) et au Comité d’administration de l’Accord de 1958 (AC.1) pour examen à leurs sessions de novembre 2023. </w:t>
      </w:r>
    </w:p>
    <w:p w14:paraId="2E8900B4" w14:textId="77777777" w:rsidR="00203732" w:rsidRPr="00107F5F" w:rsidRDefault="00203732" w:rsidP="00203732">
      <w:pPr>
        <w:suppressAutoHyphens w:val="0"/>
        <w:kinsoku/>
        <w:overflowPunct/>
        <w:autoSpaceDE/>
        <w:autoSpaceDN/>
        <w:adjustRightInd/>
        <w:snapToGrid/>
        <w:spacing w:after="200" w:line="276" w:lineRule="auto"/>
        <w:rPr>
          <w:lang w:val="fr-FR"/>
        </w:rPr>
      </w:pPr>
      <w:r w:rsidRPr="00107F5F">
        <w:rPr>
          <w:lang w:val="fr-FR"/>
        </w:rPr>
        <w:br w:type="page"/>
      </w:r>
    </w:p>
    <w:p w14:paraId="58ECD746" w14:textId="77777777" w:rsidR="00203732" w:rsidRPr="00107F5F" w:rsidRDefault="00203732" w:rsidP="00203732">
      <w:pPr>
        <w:pStyle w:val="SingleTxtG"/>
        <w:rPr>
          <w:rFonts w:eastAsia="Malgun Gothic"/>
          <w:i/>
          <w:iCs/>
          <w:lang w:val="fr-FR"/>
        </w:rPr>
      </w:pPr>
      <w:r w:rsidRPr="00107F5F">
        <w:rPr>
          <w:i/>
          <w:iCs/>
          <w:lang w:val="fr-FR"/>
        </w:rPr>
        <w:lastRenderedPageBreak/>
        <w:t>Annexe 3,</w:t>
      </w:r>
    </w:p>
    <w:p w14:paraId="110B8920" w14:textId="77777777" w:rsidR="00203732" w:rsidRPr="00107F5F" w:rsidRDefault="00203732" w:rsidP="00B72DDC">
      <w:pPr>
        <w:pStyle w:val="SingleTxtG"/>
        <w:keepNext/>
        <w:rPr>
          <w:rFonts w:eastAsia="Malgun Gothic"/>
          <w:lang w:val="fr-FR"/>
        </w:rPr>
      </w:pPr>
      <w:r w:rsidRPr="00107F5F">
        <w:rPr>
          <w:i/>
          <w:iCs/>
          <w:lang w:val="fr-FR"/>
        </w:rPr>
        <w:t>Paragraphe 9.1.2.2,</w:t>
      </w:r>
      <w:r w:rsidRPr="00107F5F">
        <w:rPr>
          <w:lang w:val="fr-FR"/>
        </w:rPr>
        <w:t xml:space="preserve"> lire : </w:t>
      </w:r>
    </w:p>
    <w:p w14:paraId="02984B4C" w14:textId="77777777" w:rsidR="00203732" w:rsidRPr="00107F5F" w:rsidRDefault="00203732" w:rsidP="00B72DDC">
      <w:pPr>
        <w:pStyle w:val="SingleTxtG"/>
        <w:ind w:left="2268" w:hanging="1134"/>
        <w:rPr>
          <w:rFonts w:eastAsia="ArialMT"/>
          <w:lang w:val="fr-FR"/>
        </w:rPr>
      </w:pPr>
      <w:r w:rsidRPr="00107F5F">
        <w:rPr>
          <w:lang w:val="fr-FR"/>
        </w:rPr>
        <w:t xml:space="preserve">« 9.1.2.2 </w:t>
      </w:r>
      <w:r w:rsidRPr="00107F5F">
        <w:rPr>
          <w:lang w:val="fr-FR"/>
        </w:rPr>
        <w:tab/>
        <w:t>Pour les pare-brise des véhicules de la catégorie M1</w:t>
      </w:r>
      <w:r w:rsidRPr="00107F5F">
        <w:rPr>
          <w:rStyle w:val="Appelnotedebasdep"/>
          <w:rFonts w:eastAsia="ArialMT"/>
          <w:lang w:val="fr-FR" w:eastAsia="zh-CN"/>
        </w:rPr>
        <w:footnoteReference w:customMarkFollows="1" w:id="3"/>
        <w:t>18</w:t>
      </w:r>
      <w:r w:rsidRPr="00107F5F">
        <w:rPr>
          <w:lang w:val="fr-FR"/>
        </w:rPr>
        <w:t>, l’essai est exécuté dans la zone d’essai B définie à l’annexe 21, paragraphe 2.3, à l’exclusion de tout masque opaque empiétant sur celle-ci.</w:t>
      </w:r>
    </w:p>
    <w:p w14:paraId="278D5EB4" w14:textId="38280491" w:rsidR="00203732" w:rsidRPr="00107F5F" w:rsidRDefault="00203732" w:rsidP="00B72DDC">
      <w:pPr>
        <w:pStyle w:val="SingleTxtG"/>
        <w:ind w:left="2268"/>
        <w:rPr>
          <w:rFonts w:eastAsia="ArialMT"/>
          <w:lang w:val="fr-FR"/>
        </w:rPr>
      </w:pPr>
      <w:r w:rsidRPr="00107F5F">
        <w:rPr>
          <w:lang w:val="fr-FR"/>
        </w:rPr>
        <w:t>Pour les pare-brise des véhicules de la catégorie N</w:t>
      </w:r>
      <w:r w:rsidRPr="00107F5F">
        <w:rPr>
          <w:vertAlign w:val="subscript"/>
          <w:lang w:val="fr-FR"/>
        </w:rPr>
        <w:t>1</w:t>
      </w:r>
      <w:r w:rsidRPr="00107F5F">
        <w:rPr>
          <w:lang w:val="fr-FR"/>
        </w:rPr>
        <w:t>, le constructeur peut demander que le même essai soit exécuté soit dans la zone d’essai B définie à l’annexe</w:t>
      </w:r>
      <w:r w:rsidR="00B944AA" w:rsidRPr="00107F5F">
        <w:rPr>
          <w:lang w:val="fr-FR"/>
        </w:rPr>
        <w:t> </w:t>
      </w:r>
      <w:r w:rsidRPr="00107F5F">
        <w:rPr>
          <w:lang w:val="fr-FR"/>
        </w:rPr>
        <w:t>21, paragraphe 2.3, soit dans la zone I définie au paragraphe</w:t>
      </w:r>
      <w:r w:rsidR="00B944AA" w:rsidRPr="00107F5F">
        <w:rPr>
          <w:lang w:val="fr-FR"/>
        </w:rPr>
        <w:t> </w:t>
      </w:r>
      <w:r w:rsidRPr="00107F5F">
        <w:rPr>
          <w:lang w:val="fr-FR"/>
        </w:rPr>
        <w:t>9.2.5.2.3 de la présente annexe, à l’exclusion de tout masque opaque empiétant sur celle</w:t>
      </w:r>
      <w:r w:rsidR="00B944AA" w:rsidRPr="00107F5F">
        <w:rPr>
          <w:lang w:val="fr-FR"/>
        </w:rPr>
        <w:noBreakHyphen/>
      </w:r>
      <w:r w:rsidRPr="00107F5F">
        <w:rPr>
          <w:lang w:val="fr-FR"/>
        </w:rPr>
        <w:t>ci.</w:t>
      </w:r>
    </w:p>
    <w:p w14:paraId="7576ECCA" w14:textId="77777777" w:rsidR="00203732" w:rsidRPr="00107F5F" w:rsidRDefault="00203732" w:rsidP="00B72DDC">
      <w:pPr>
        <w:pStyle w:val="SingleTxtG"/>
        <w:ind w:left="2268"/>
        <w:rPr>
          <w:rFonts w:eastAsia="ArialMT"/>
          <w:lang w:val="fr-FR"/>
        </w:rPr>
      </w:pPr>
      <w:r w:rsidRPr="00107F5F">
        <w:rPr>
          <w:lang w:val="fr-FR"/>
        </w:rPr>
        <w:t>Pour les pare-brise des autres catégories de véhicules, l’essai est exécuté dans la zone I définie au paragraphe 9.2.5.2.3 de la présente annexe, à l’exclusion de tout masque opaque empiétant sur celle-ci.</w:t>
      </w:r>
    </w:p>
    <w:p w14:paraId="6E670A93" w14:textId="5F909235" w:rsidR="00203732" w:rsidRPr="00107F5F" w:rsidRDefault="00203732" w:rsidP="00B72DDC">
      <w:pPr>
        <w:pStyle w:val="SingleTxtG"/>
        <w:ind w:left="2268"/>
        <w:rPr>
          <w:rFonts w:eastAsia="ArialMT"/>
          <w:lang w:val="fr-FR"/>
        </w:rPr>
      </w:pPr>
      <w:r w:rsidRPr="00107F5F">
        <w:rPr>
          <w:lang w:val="fr-FR"/>
        </w:rPr>
        <w:t>Cependant, pour les tracteurs agricoles et les tracteurs forestiers ainsi que pour les véhicules de chantier pour lesquels il n’est pas possible de déterminer la zone I, l’essai est exécuté dans la zone I</w:t>
      </w:r>
      <w:r w:rsidR="003A1029" w:rsidRPr="00107F5F">
        <w:rPr>
          <w:lang w:val="fr-FR"/>
        </w:rPr>
        <w:t>´</w:t>
      </w:r>
      <w:r w:rsidRPr="00107F5F">
        <w:rPr>
          <w:lang w:val="fr-FR"/>
        </w:rPr>
        <w:t xml:space="preserve"> définie au paragraphe 9.2.5.3 de la présente annexe. ».</w:t>
      </w:r>
    </w:p>
    <w:p w14:paraId="020D99B9" w14:textId="77777777" w:rsidR="00203732" w:rsidRPr="00107F5F" w:rsidRDefault="00203732" w:rsidP="00203732">
      <w:pPr>
        <w:pStyle w:val="SingleTxtG"/>
        <w:keepNext/>
        <w:rPr>
          <w:rFonts w:eastAsia="Malgun Gothic"/>
          <w:lang w:val="fr-FR"/>
        </w:rPr>
      </w:pPr>
      <w:r w:rsidRPr="00107F5F">
        <w:rPr>
          <w:i/>
          <w:iCs/>
          <w:lang w:val="fr-FR"/>
        </w:rPr>
        <w:t>Paragraphe 9.2.5.2.3</w:t>
      </w:r>
      <w:r w:rsidRPr="00107F5F">
        <w:rPr>
          <w:lang w:val="fr-FR"/>
        </w:rPr>
        <w:t xml:space="preserve">, lire (ajouter la nouvelle figure 22) : </w:t>
      </w:r>
    </w:p>
    <w:p w14:paraId="5ECF0C79" w14:textId="77777777" w:rsidR="00203732" w:rsidRPr="00107F5F" w:rsidRDefault="00203732" w:rsidP="00F17380">
      <w:pPr>
        <w:pStyle w:val="SingleTxtG"/>
        <w:ind w:left="2268" w:hanging="1134"/>
        <w:rPr>
          <w:rFonts w:eastAsia="Malgun Gothic"/>
          <w:lang w:val="fr-FR"/>
        </w:rPr>
      </w:pPr>
      <w:r w:rsidRPr="00107F5F">
        <w:rPr>
          <w:lang w:val="fr-FR"/>
        </w:rPr>
        <w:t>« 9.2.5.2.3</w:t>
      </w:r>
      <w:r w:rsidRPr="00107F5F">
        <w:rPr>
          <w:lang w:val="fr-FR"/>
        </w:rPr>
        <w:tab/>
        <w:t>Zone I − la zone pare-brise délimitée par l’intersection du pare-brise avec les quatre plans ci-après :</w:t>
      </w:r>
    </w:p>
    <w:p w14:paraId="481E55A0" w14:textId="0E2BE6B0" w:rsidR="00203732" w:rsidRPr="00107F5F" w:rsidRDefault="00203732" w:rsidP="00D57CC6">
      <w:pPr>
        <w:pStyle w:val="SingleTxtG"/>
        <w:ind w:left="2268"/>
        <w:rPr>
          <w:rFonts w:eastAsia="Malgun Gothic"/>
          <w:iCs/>
          <w:lang w:val="fr-FR"/>
        </w:rPr>
      </w:pPr>
      <w:r w:rsidRPr="00107F5F">
        <w:rPr>
          <w:lang w:val="fr-FR"/>
        </w:rPr>
        <w:t>Le masque opaque peut être exclu de la zone I. Il s’agit de la zone limitée où il est prévu qu’un dispositif de détection, comme un détecteur de pluie, un rétroviseur ou des capteurs autonomes, soit fixé sur la surface interne du pare</w:t>
      </w:r>
      <w:r w:rsidR="00024927" w:rsidRPr="00107F5F">
        <w:rPr>
          <w:lang w:val="fr-FR"/>
        </w:rPr>
        <w:noBreakHyphen/>
      </w:r>
      <w:r w:rsidRPr="00107F5F">
        <w:rPr>
          <w:lang w:val="fr-FR"/>
        </w:rPr>
        <w:t>brise. Le masque opaque où ces dispositifs peuvent être installés est défini au paragraphe 9.2.5.2.4 de la présente annexe.</w:t>
      </w:r>
    </w:p>
    <w:p w14:paraId="4EC7B989" w14:textId="71FC4479" w:rsidR="00203732" w:rsidRPr="00107F5F" w:rsidRDefault="00203732" w:rsidP="00D57CC6">
      <w:pPr>
        <w:pStyle w:val="SingleTxtG"/>
        <w:ind w:left="2268"/>
        <w:rPr>
          <w:rFonts w:eastAsia="Malgun Gothic"/>
          <w:lang w:val="fr-FR"/>
        </w:rPr>
      </w:pPr>
      <w:r w:rsidRPr="00107F5F">
        <w:rPr>
          <w:lang w:val="fr-FR"/>
        </w:rPr>
        <w:t xml:space="preserve">Pl </w:t>
      </w:r>
      <w:r w:rsidR="00024927" w:rsidRPr="00107F5F">
        <w:rPr>
          <w:rFonts w:eastAsia="Malgun Gothic"/>
          <w:lang w:eastAsia="ko-KR"/>
        </w:rPr>
        <w:t>−</w:t>
      </w:r>
      <w:r w:rsidRPr="00107F5F">
        <w:rPr>
          <w:rFonts w:eastAsia="Malgun Gothic"/>
          <w:lang w:eastAsia="ko-KR"/>
        </w:rPr>
        <w:t xml:space="preserve"> </w:t>
      </w:r>
      <w:r w:rsidRPr="00107F5F">
        <w:rPr>
          <w:lang w:val="fr-FR"/>
        </w:rPr>
        <w:t xml:space="preserve">Un plan vertical passant par le point </w:t>
      </w:r>
      <w:r w:rsidR="00024927" w:rsidRPr="00107F5F">
        <w:rPr>
          <w:lang w:val="fr-FR"/>
        </w:rPr>
        <w:t>0</w:t>
      </w:r>
      <w:r w:rsidRPr="00107F5F">
        <w:rPr>
          <w:lang w:val="fr-FR"/>
        </w:rPr>
        <w:t xml:space="preserve"> et formant un angle de 15° vers la gauche du plan longitudinal médian du véhicule ;</w:t>
      </w:r>
    </w:p>
    <w:p w14:paraId="5F259183" w14:textId="77777777" w:rsidR="00203732" w:rsidRPr="00107F5F" w:rsidRDefault="00203732" w:rsidP="00D57CC6">
      <w:pPr>
        <w:pStyle w:val="SingleTxtG"/>
        <w:ind w:left="2268"/>
        <w:rPr>
          <w:rFonts w:eastAsia="Malgun Gothic"/>
          <w:lang w:val="fr-FR"/>
        </w:rPr>
      </w:pPr>
      <w:r w:rsidRPr="00107F5F">
        <w:rPr>
          <w:lang w:val="fr-FR"/>
        </w:rPr>
        <w:t xml:space="preserve">P2 </w:t>
      </w:r>
      <w:r w:rsidRPr="00107F5F">
        <w:rPr>
          <w:rFonts w:eastAsia="Malgun Gothic"/>
          <w:lang w:eastAsia="ko-KR"/>
        </w:rPr>
        <w:t>−</w:t>
      </w:r>
      <w:r w:rsidRPr="00107F5F">
        <w:rPr>
          <w:lang w:val="fr-FR"/>
        </w:rPr>
        <w:t xml:space="preserve"> Un plan vertical symétrique à P1 par rapport au plan longitudinal médian du véhicule.</w:t>
      </w:r>
    </w:p>
    <w:p w14:paraId="3F4C3923" w14:textId="0E09F0C4" w:rsidR="00203732" w:rsidRPr="00107F5F" w:rsidRDefault="00203732" w:rsidP="00D57CC6">
      <w:pPr>
        <w:pStyle w:val="SingleTxtG"/>
        <w:ind w:left="2268"/>
        <w:rPr>
          <w:rFonts w:eastAsia="Malgun Gothic"/>
          <w:lang w:val="fr-FR"/>
        </w:rPr>
      </w:pPr>
      <w:r w:rsidRPr="00107F5F">
        <w:rPr>
          <w:lang w:val="fr-FR"/>
        </w:rPr>
        <w:t xml:space="preserve">Si cette construction est impossible (absence de plan longitudinal médian de symétrie, par exemple), on prend pour P2 le plan symétrique à P1 par rapport au plan longitudinal du véhicule passant par le point </w:t>
      </w:r>
      <w:r w:rsidR="00024927" w:rsidRPr="00107F5F">
        <w:rPr>
          <w:lang w:val="fr-FR"/>
        </w:rPr>
        <w:t>0</w:t>
      </w:r>
      <w:r w:rsidRPr="00107F5F">
        <w:rPr>
          <w:lang w:val="fr-FR"/>
        </w:rPr>
        <w:t> ;</w:t>
      </w:r>
    </w:p>
    <w:p w14:paraId="6A38D8CA" w14:textId="77777777" w:rsidR="00203732" w:rsidRPr="00107F5F" w:rsidRDefault="00203732" w:rsidP="00D57CC6">
      <w:pPr>
        <w:pStyle w:val="SingleTxtG"/>
        <w:ind w:left="2268"/>
        <w:rPr>
          <w:rFonts w:eastAsia="Malgun Gothic"/>
          <w:lang w:val="fr-FR"/>
        </w:rPr>
      </w:pPr>
      <w:r w:rsidRPr="00107F5F">
        <w:rPr>
          <w:lang w:val="fr-FR"/>
        </w:rPr>
        <w:t xml:space="preserve">P3 </w:t>
      </w:r>
      <w:r w:rsidRPr="00107F5F">
        <w:rPr>
          <w:rFonts w:eastAsia="Malgun Gothic"/>
          <w:lang w:eastAsia="ko-KR"/>
        </w:rPr>
        <w:t>−</w:t>
      </w:r>
      <w:r w:rsidRPr="00107F5F">
        <w:rPr>
          <w:lang w:val="fr-FR"/>
        </w:rPr>
        <w:t xml:space="preserve"> Un plan contenant la droite OQ et formant un angle de 10° au-dessus du plan horizontal ;</w:t>
      </w:r>
    </w:p>
    <w:p w14:paraId="21E1BEDC" w14:textId="77777777" w:rsidR="00203732" w:rsidRPr="00107F5F" w:rsidRDefault="00203732" w:rsidP="00D57CC6">
      <w:pPr>
        <w:pStyle w:val="SingleTxtG"/>
        <w:ind w:left="2268"/>
        <w:rPr>
          <w:rFonts w:eastAsia="Malgun Gothic"/>
          <w:lang w:val="fr-FR"/>
        </w:rPr>
      </w:pPr>
      <w:r w:rsidRPr="00107F5F">
        <w:rPr>
          <w:lang w:val="fr-FR"/>
        </w:rPr>
        <w:t xml:space="preserve">P4 </w:t>
      </w:r>
      <w:r w:rsidRPr="00107F5F">
        <w:rPr>
          <w:rFonts w:eastAsia="Malgun Gothic"/>
          <w:lang w:eastAsia="ko-KR"/>
        </w:rPr>
        <w:t>−</w:t>
      </w:r>
      <w:r w:rsidRPr="00107F5F">
        <w:rPr>
          <w:lang w:val="fr-FR"/>
        </w:rPr>
        <w:t xml:space="preserve"> Un plan contenant la droite OQ et formant un angle de 8° au-dessous du plan horizontal.</w:t>
      </w:r>
    </w:p>
    <w:p w14:paraId="6C63D2F7" w14:textId="77777777" w:rsidR="00203732" w:rsidRPr="00107F5F" w:rsidRDefault="00203732" w:rsidP="00203732">
      <w:pPr>
        <w:suppressAutoHyphens w:val="0"/>
        <w:spacing w:line="240" w:lineRule="auto"/>
        <w:rPr>
          <w:rFonts w:eastAsia="Malgun Gothic"/>
          <w:b/>
          <w:bCs/>
          <w:color w:val="000000" w:themeColor="text1"/>
          <w:lang w:val="fr-FR"/>
        </w:rPr>
      </w:pPr>
      <w:r w:rsidRPr="00107F5F">
        <w:rPr>
          <w:rFonts w:eastAsia="Malgun Gothic"/>
          <w:b/>
          <w:bCs/>
          <w:color w:val="000000" w:themeColor="text1"/>
          <w:lang w:val="fr-FR"/>
        </w:rPr>
        <w:br w:type="page"/>
      </w:r>
    </w:p>
    <w:p w14:paraId="5E667320" w14:textId="3FE97CB1" w:rsidR="00203732" w:rsidRPr="00107F5F" w:rsidRDefault="00203732" w:rsidP="00E3060B">
      <w:pPr>
        <w:pStyle w:val="Titre1"/>
        <w:spacing w:after="120"/>
        <w:ind w:left="2268"/>
        <w:rPr>
          <w:lang w:val="fr-FR"/>
        </w:rPr>
      </w:pPr>
      <w:r w:rsidRPr="00107F5F">
        <w:rPr>
          <w:lang w:val="fr-FR"/>
        </w:rPr>
        <w:lastRenderedPageBreak/>
        <w:t>Figure 22</w:t>
      </w:r>
      <w:r w:rsidR="00235B07" w:rsidRPr="00107F5F">
        <w:rPr>
          <w:lang w:val="fr-FR"/>
        </w:rPr>
        <w:br/>
      </w:r>
      <w:r w:rsidRPr="00107F5F">
        <w:rPr>
          <w:b/>
          <w:bCs/>
          <w:lang w:val="fr-FR"/>
        </w:rPr>
        <w:t>Détermination de la zone I</w:t>
      </w:r>
    </w:p>
    <w:p w14:paraId="1FDDE611" w14:textId="77777777" w:rsidR="00203732" w:rsidRPr="00107F5F" w:rsidRDefault="00203732" w:rsidP="00E3060B">
      <w:pPr>
        <w:ind w:left="2268"/>
        <w:rPr>
          <w:rFonts w:eastAsia="Malgun Gothic"/>
          <w:iCs/>
          <w:color w:val="000000" w:themeColor="text1"/>
          <w:lang w:val="fr-FR" w:eastAsia="ko-KR"/>
        </w:rPr>
      </w:pPr>
      <w:r w:rsidRPr="00107F5F">
        <w:rPr>
          <w:noProof/>
          <w:color w:val="000000" w:themeColor="text1"/>
          <w:lang w:val="fr-FR" w:eastAsia="ko-KR"/>
        </w:rPr>
        <w:drawing>
          <wp:inline distT="0" distB="0" distL="0" distR="0" wp14:anchorId="1FAB11A9" wp14:editId="00D13A05">
            <wp:extent cx="3200400" cy="2056491"/>
            <wp:effectExtent l="0" t="0" r="0" b="127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638" t="35930" r="34552" b="21040"/>
                    <a:stretch/>
                  </pic:blipFill>
                  <pic:spPr bwMode="auto">
                    <a:xfrm>
                      <a:off x="0" y="0"/>
                      <a:ext cx="3211898" cy="2063879"/>
                    </a:xfrm>
                    <a:prstGeom prst="rect">
                      <a:avLst/>
                    </a:prstGeom>
                    <a:ln>
                      <a:noFill/>
                    </a:ln>
                    <a:extLst>
                      <a:ext uri="{53640926-AAD7-44D8-BBD7-CCE9431645EC}">
                        <a14:shadowObscured xmlns:a14="http://schemas.microsoft.com/office/drawing/2010/main"/>
                      </a:ext>
                    </a:extLst>
                  </pic:spPr>
                </pic:pic>
              </a:graphicData>
            </a:graphic>
          </wp:inline>
        </w:drawing>
      </w:r>
    </w:p>
    <w:p w14:paraId="1ECFCEED" w14:textId="77777777" w:rsidR="00203732" w:rsidRPr="00107F5F" w:rsidRDefault="00203732" w:rsidP="00235B07">
      <w:pPr>
        <w:pStyle w:val="SingleTxtG"/>
        <w:jc w:val="right"/>
        <w:rPr>
          <w:lang w:val="fr-FR" w:eastAsia="ko-KR"/>
        </w:rPr>
      </w:pPr>
      <w:r w:rsidRPr="00107F5F">
        <w:rPr>
          <w:lang w:val="fr-FR" w:eastAsia="ko-KR"/>
        </w:rPr>
        <w:t> ».</w:t>
      </w:r>
    </w:p>
    <w:p w14:paraId="25422F25" w14:textId="77777777" w:rsidR="00203732" w:rsidRPr="00107F5F" w:rsidRDefault="00203732" w:rsidP="00203732">
      <w:pPr>
        <w:pStyle w:val="SingleTxtG"/>
        <w:keepNext/>
        <w:spacing w:before="120"/>
        <w:ind w:left="1138" w:right="1138"/>
        <w:rPr>
          <w:rFonts w:eastAsia="Malgun Gothic"/>
          <w:lang w:val="fr-FR"/>
        </w:rPr>
      </w:pPr>
      <w:r w:rsidRPr="00107F5F">
        <w:rPr>
          <w:i/>
          <w:iCs/>
          <w:lang w:val="fr-FR"/>
        </w:rPr>
        <w:t>Ajouter les nouveaux paragraphes 9.2.5.2.4 à 9.2.5.2.4.1</w:t>
      </w:r>
      <w:r w:rsidRPr="00107F5F">
        <w:rPr>
          <w:lang w:val="fr-FR"/>
        </w:rPr>
        <w:t>, libellés comme suit (ajouter la nouvelle figure 23) :</w:t>
      </w:r>
    </w:p>
    <w:p w14:paraId="77175822" w14:textId="77777777" w:rsidR="00203732" w:rsidRPr="00107F5F" w:rsidRDefault="00203732" w:rsidP="00023279">
      <w:pPr>
        <w:pStyle w:val="SingleTxtG"/>
        <w:keepNext/>
        <w:ind w:left="2268" w:hanging="1134"/>
        <w:jc w:val="left"/>
        <w:rPr>
          <w:rFonts w:eastAsia="Malgun Gothic"/>
          <w:lang w:val="fr-FR"/>
        </w:rPr>
      </w:pPr>
      <w:r w:rsidRPr="00107F5F">
        <w:rPr>
          <w:lang w:val="fr-FR"/>
        </w:rPr>
        <w:t>« 9.2.5.2.4</w:t>
      </w:r>
      <w:r w:rsidRPr="00107F5F">
        <w:rPr>
          <w:lang w:val="fr-FR"/>
        </w:rPr>
        <w:tab/>
        <w:t xml:space="preserve">Détermination du masque opaque </w:t>
      </w:r>
    </w:p>
    <w:p w14:paraId="559D0B4F" w14:textId="4E8722D9" w:rsidR="00203732" w:rsidRPr="00107F5F" w:rsidRDefault="00203732" w:rsidP="005E003C">
      <w:pPr>
        <w:pStyle w:val="SingleTxtG"/>
        <w:ind w:left="2268"/>
        <w:rPr>
          <w:rFonts w:eastAsia="Malgun Gothic"/>
          <w:lang w:val="fr-FR"/>
        </w:rPr>
      </w:pPr>
      <w:r w:rsidRPr="00107F5F">
        <w:rPr>
          <w:lang w:val="fr-FR"/>
        </w:rPr>
        <w:t xml:space="preserve">P5 </w:t>
      </w:r>
      <w:r w:rsidR="00023279" w:rsidRPr="00107F5F">
        <w:rPr>
          <w:lang w:val="fr-FR"/>
        </w:rPr>
        <w:t>−</w:t>
      </w:r>
      <w:r w:rsidRPr="00107F5F">
        <w:rPr>
          <w:lang w:val="fr-FR"/>
        </w:rPr>
        <w:t xml:space="preserve"> un plan passant par une droite horizontale transversale contenant le point</w:t>
      </w:r>
      <w:r w:rsidR="000C65D6" w:rsidRPr="00107F5F">
        <w:rPr>
          <w:lang w:val="fr-FR"/>
        </w:rPr>
        <w:t> O</w:t>
      </w:r>
      <w:r w:rsidRPr="00107F5F">
        <w:rPr>
          <w:lang w:val="fr-FR"/>
        </w:rPr>
        <w:t xml:space="preserve"> et formant un angle de 5° au-dessus du plan horizontal ;</w:t>
      </w:r>
    </w:p>
    <w:p w14:paraId="04C7B264" w14:textId="7F314284" w:rsidR="00203732" w:rsidRPr="00107F5F" w:rsidRDefault="00203732" w:rsidP="005E003C">
      <w:pPr>
        <w:pStyle w:val="SingleTxtG"/>
        <w:ind w:left="2268"/>
        <w:rPr>
          <w:rFonts w:eastAsia="Malgun Gothic"/>
          <w:lang w:val="fr-FR"/>
        </w:rPr>
      </w:pPr>
      <w:r w:rsidRPr="00107F5F">
        <w:rPr>
          <w:lang w:val="fr-FR"/>
        </w:rPr>
        <w:t xml:space="preserve">P6 </w:t>
      </w:r>
      <w:r w:rsidR="00023279" w:rsidRPr="00107F5F">
        <w:rPr>
          <w:lang w:val="fr-FR"/>
        </w:rPr>
        <w:t>−</w:t>
      </w:r>
      <w:r w:rsidRPr="00107F5F">
        <w:rPr>
          <w:lang w:val="fr-FR"/>
        </w:rPr>
        <w:t xml:space="preserve"> un plan vertical passant par le point </w:t>
      </w:r>
      <w:r w:rsidR="000C65D6" w:rsidRPr="00107F5F">
        <w:rPr>
          <w:lang w:val="fr-FR"/>
        </w:rPr>
        <w:t>O</w:t>
      </w:r>
      <w:r w:rsidRPr="00107F5F">
        <w:rPr>
          <w:lang w:val="fr-FR"/>
        </w:rPr>
        <w:t xml:space="preserve"> et faisant un angle de 20° avec l’axe des X vers la droite pour les véhicules à conduite à gauche et vers la gauche pour les véhicules à conduite à droite ;</w:t>
      </w:r>
    </w:p>
    <w:p w14:paraId="7C134DE3" w14:textId="2981A3BB" w:rsidR="00203732" w:rsidRPr="00107F5F" w:rsidRDefault="00203732" w:rsidP="005E003C">
      <w:pPr>
        <w:pStyle w:val="SingleTxtG"/>
        <w:ind w:left="2268"/>
        <w:rPr>
          <w:rFonts w:eastAsia="Malgun Gothic"/>
          <w:lang w:val="fr-FR"/>
        </w:rPr>
      </w:pPr>
      <w:r w:rsidRPr="00107F5F">
        <w:rPr>
          <w:lang w:val="fr-FR"/>
        </w:rPr>
        <w:t xml:space="preserve">P7 </w:t>
      </w:r>
      <w:r w:rsidR="00023279" w:rsidRPr="00107F5F">
        <w:rPr>
          <w:lang w:val="fr-FR"/>
        </w:rPr>
        <w:t>−</w:t>
      </w:r>
      <w:r w:rsidRPr="00107F5F">
        <w:rPr>
          <w:lang w:val="fr-FR"/>
        </w:rPr>
        <w:t xml:space="preserve"> un plan symétrique au précédent par rapport au plan longitudinal médian du véhicule.</w:t>
      </w:r>
    </w:p>
    <w:p w14:paraId="0B9FFA13" w14:textId="53FCBC64" w:rsidR="00203732" w:rsidRPr="00107F5F" w:rsidRDefault="00203732" w:rsidP="00F17380">
      <w:pPr>
        <w:pStyle w:val="SingleTxtG"/>
        <w:ind w:left="2268" w:hanging="1134"/>
        <w:rPr>
          <w:rFonts w:eastAsia="Malgun Gothic"/>
          <w:iCs/>
          <w:lang w:val="fr-FR"/>
        </w:rPr>
      </w:pPr>
      <w:r w:rsidRPr="00107F5F">
        <w:rPr>
          <w:lang w:val="fr-FR"/>
        </w:rPr>
        <w:t>9.2.5.2.4.1</w:t>
      </w:r>
      <w:r w:rsidRPr="00107F5F">
        <w:rPr>
          <w:lang w:val="fr-FR"/>
        </w:rPr>
        <w:tab/>
        <w:t>Tout masque opaque limité vers le bas par P5 et latéralement par P6 et P7 (voir</w:t>
      </w:r>
      <w:r w:rsidR="005E003C" w:rsidRPr="00107F5F">
        <w:rPr>
          <w:lang w:val="fr-FR"/>
        </w:rPr>
        <w:t> </w:t>
      </w:r>
      <w:r w:rsidRPr="00107F5F">
        <w:rPr>
          <w:lang w:val="fr-FR"/>
        </w:rPr>
        <w:t xml:space="preserve">fig. 23). </w:t>
      </w:r>
    </w:p>
    <w:p w14:paraId="011DFC42" w14:textId="392FD8B1" w:rsidR="00203732" w:rsidRPr="00107F5F" w:rsidRDefault="00203732" w:rsidP="00E3060B">
      <w:pPr>
        <w:pStyle w:val="Titre1"/>
        <w:spacing w:after="120"/>
        <w:ind w:left="2268"/>
        <w:rPr>
          <w:b/>
          <w:bCs/>
        </w:rPr>
      </w:pPr>
      <w:r w:rsidRPr="00107F5F">
        <w:rPr>
          <w:lang w:val="fr-FR"/>
        </w:rPr>
        <w:t>Figure 23</w:t>
      </w:r>
      <w:r w:rsidR="00235B07" w:rsidRPr="00107F5F">
        <w:rPr>
          <w:lang w:val="fr-FR"/>
        </w:rPr>
        <w:br/>
      </w:r>
      <w:r w:rsidRPr="00107F5F">
        <w:rPr>
          <w:b/>
          <w:bCs/>
          <w:lang w:val="fr-FR"/>
        </w:rPr>
        <w:t xml:space="preserve">Zone I (dans le cas d’un véhicule à conduite à gauche) (masque opaque </w:t>
      </w:r>
      <w:r w:rsidRPr="00107F5F">
        <w:rPr>
          <w:b/>
          <w:bCs/>
          <w:lang w:val="fr-FR"/>
        </w:rPr>
        <w:br/>
        <w:t xml:space="preserve">supérieur tel </w:t>
      </w:r>
      <w:r w:rsidRPr="00107F5F">
        <w:rPr>
          <w:b/>
          <w:bCs/>
        </w:rPr>
        <w:t>qu’il est défini au paragraphe 9.2.5.2.4.1)</w:t>
      </w:r>
    </w:p>
    <w:p w14:paraId="550622CB" w14:textId="77777777" w:rsidR="00203732" w:rsidRPr="00107F5F" w:rsidRDefault="00203732" w:rsidP="00E3060B">
      <w:pPr>
        <w:ind w:left="2268"/>
        <w:rPr>
          <w:rFonts w:eastAsia="Malgun Gothic"/>
          <w:iCs/>
          <w:color w:val="000000" w:themeColor="text1"/>
          <w:lang w:val="fr-FR" w:eastAsia="ko-KR"/>
        </w:rPr>
      </w:pPr>
      <w:r w:rsidRPr="00107F5F">
        <w:rPr>
          <w:bCs/>
          <w:noProof/>
          <w:color w:val="000000" w:themeColor="text1"/>
          <w:sz w:val="23"/>
          <w:szCs w:val="23"/>
          <w:lang w:val="fr-FR" w:eastAsia="ko-KR"/>
        </w:rPr>
        <w:drawing>
          <wp:inline distT="0" distB="0" distL="0" distR="0" wp14:anchorId="75AB7913" wp14:editId="4E50D500">
            <wp:extent cx="3611880" cy="2279018"/>
            <wp:effectExtent l="0" t="0" r="7620" b="6985"/>
            <wp:docPr id="6" name="그림 5" descr="Une image contenant texte,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descr="Une image contenant texte, antenn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5202" cy="2281114"/>
                    </a:xfrm>
                    <a:prstGeom prst="rect">
                      <a:avLst/>
                    </a:prstGeom>
                  </pic:spPr>
                </pic:pic>
              </a:graphicData>
            </a:graphic>
          </wp:inline>
        </w:drawing>
      </w:r>
    </w:p>
    <w:p w14:paraId="6771B7B6" w14:textId="77777777" w:rsidR="00203732" w:rsidRPr="00107F5F" w:rsidRDefault="00203732" w:rsidP="002C6E68">
      <w:pPr>
        <w:pStyle w:val="SingleTxtG"/>
        <w:jc w:val="right"/>
        <w:rPr>
          <w:lang w:val="fr-FR" w:eastAsia="ko-KR"/>
        </w:rPr>
      </w:pPr>
      <w:r w:rsidRPr="00107F5F">
        <w:rPr>
          <w:lang w:val="fr-FR" w:eastAsia="ko-KR"/>
        </w:rPr>
        <w:t> ».</w:t>
      </w:r>
    </w:p>
    <w:p w14:paraId="560793ED" w14:textId="77777777" w:rsidR="00203732" w:rsidRPr="00107F5F" w:rsidRDefault="00203732">
      <w:pPr>
        <w:suppressAutoHyphens w:val="0"/>
        <w:kinsoku/>
        <w:overflowPunct/>
        <w:autoSpaceDE/>
        <w:autoSpaceDN/>
        <w:adjustRightInd/>
        <w:snapToGrid/>
        <w:spacing w:after="200" w:line="276" w:lineRule="auto"/>
        <w:rPr>
          <w:i/>
          <w:iCs/>
          <w:lang w:val="fr-FR"/>
        </w:rPr>
      </w:pPr>
      <w:r w:rsidRPr="00107F5F">
        <w:rPr>
          <w:i/>
          <w:iCs/>
          <w:lang w:val="fr-FR"/>
        </w:rPr>
        <w:br w:type="page"/>
      </w:r>
    </w:p>
    <w:p w14:paraId="10A1A586" w14:textId="707F12F7" w:rsidR="00203732" w:rsidRPr="00107F5F" w:rsidRDefault="00203732" w:rsidP="00203732">
      <w:pPr>
        <w:pStyle w:val="SingleTxtG"/>
        <w:rPr>
          <w:rFonts w:eastAsia="Malgun Gothic"/>
          <w:lang w:val="fr-FR"/>
        </w:rPr>
      </w:pPr>
      <w:r w:rsidRPr="00107F5F">
        <w:rPr>
          <w:i/>
          <w:iCs/>
          <w:lang w:val="fr-FR"/>
        </w:rPr>
        <w:lastRenderedPageBreak/>
        <w:t xml:space="preserve">Paragraphe 9.3.1.1.1, </w:t>
      </w:r>
      <w:r w:rsidRPr="00107F5F">
        <w:rPr>
          <w:lang w:val="fr-FR"/>
        </w:rPr>
        <w:t>les renvois aux figures 22 a), 22 b) et 25</w:t>
      </w:r>
      <w:r w:rsidRPr="00107F5F">
        <w:rPr>
          <w:i/>
          <w:iCs/>
          <w:lang w:val="fr-FR"/>
        </w:rPr>
        <w:t xml:space="preserve"> </w:t>
      </w:r>
      <w:r w:rsidRPr="00107F5F">
        <w:rPr>
          <w:lang w:val="fr-FR"/>
        </w:rPr>
        <w:t>deviennent des renvois aux figures 24 a), 24 b) et 27.</w:t>
      </w:r>
    </w:p>
    <w:p w14:paraId="2457C871" w14:textId="77777777" w:rsidR="00203732" w:rsidRPr="00107F5F" w:rsidRDefault="00203732" w:rsidP="00203732">
      <w:pPr>
        <w:pStyle w:val="SingleTxtG"/>
        <w:rPr>
          <w:rFonts w:eastAsia="Malgun Gothic"/>
          <w:lang w:val="fr-FR"/>
        </w:rPr>
      </w:pPr>
      <w:r w:rsidRPr="00107F5F">
        <w:rPr>
          <w:i/>
          <w:iCs/>
          <w:lang w:val="fr-FR"/>
        </w:rPr>
        <w:t>Paragraphe 9.3.1.1.3</w:t>
      </w:r>
      <w:r w:rsidRPr="00107F5F">
        <w:rPr>
          <w:lang w:val="fr-FR"/>
        </w:rPr>
        <w:t>, les figures 22 a)  et 22 b) et 22 a) à 24 deviennent les figures 24 a) et 24 b) et 24 a) à 26 et les renvois à ces figures sont modifiés en conséquence.</w:t>
      </w:r>
    </w:p>
    <w:p w14:paraId="56B16AD2" w14:textId="77777777" w:rsidR="00203732" w:rsidRPr="00107F5F" w:rsidRDefault="00203732" w:rsidP="00203732">
      <w:pPr>
        <w:pStyle w:val="SingleTxtG"/>
        <w:rPr>
          <w:rFonts w:eastAsia="Malgun Gothic"/>
          <w:color w:val="000000" w:themeColor="text1"/>
          <w:lang w:val="fr-FR"/>
        </w:rPr>
      </w:pPr>
      <w:r w:rsidRPr="00107F5F">
        <w:rPr>
          <w:i/>
          <w:iCs/>
          <w:lang w:val="fr-FR"/>
        </w:rPr>
        <w:t xml:space="preserve">Paragraphe 9.3.1.2.1, </w:t>
      </w:r>
      <w:r w:rsidRPr="00107F5F">
        <w:rPr>
          <w:lang w:val="fr-FR"/>
        </w:rPr>
        <w:t>le renvoi à la figure 24 devient un renvoi à la figure 26.</w:t>
      </w:r>
    </w:p>
    <w:p w14:paraId="6F5BD6F9" w14:textId="77777777" w:rsidR="00203732" w:rsidRPr="00107F5F" w:rsidRDefault="00203732" w:rsidP="00203732">
      <w:pPr>
        <w:pStyle w:val="SingleTxtG"/>
        <w:rPr>
          <w:rFonts w:eastAsia="Malgun Gothic"/>
          <w:color w:val="000000" w:themeColor="text1"/>
          <w:lang w:val="fr-FR"/>
        </w:rPr>
      </w:pPr>
      <w:r w:rsidRPr="00107F5F">
        <w:rPr>
          <w:i/>
          <w:iCs/>
          <w:lang w:val="fr-FR"/>
        </w:rPr>
        <w:t xml:space="preserve">Paragraphe 9.3.1.2.2, </w:t>
      </w:r>
      <w:r w:rsidRPr="00107F5F">
        <w:rPr>
          <w:lang w:val="fr-FR"/>
        </w:rPr>
        <w:t>le renvoi à la figure 25 devient un renvoi à la figure 27.</w:t>
      </w:r>
    </w:p>
    <w:p w14:paraId="315302BF" w14:textId="77777777" w:rsidR="00203732" w:rsidRPr="00107F5F" w:rsidRDefault="00203732" w:rsidP="00203732">
      <w:pPr>
        <w:pStyle w:val="SingleTxtG"/>
        <w:rPr>
          <w:rFonts w:eastAsia="Malgun Gothic"/>
          <w:color w:val="000000" w:themeColor="text1"/>
          <w:lang w:val="fr-FR"/>
        </w:rPr>
      </w:pPr>
      <w:r w:rsidRPr="00107F5F">
        <w:rPr>
          <w:i/>
          <w:iCs/>
          <w:lang w:val="fr-FR"/>
        </w:rPr>
        <w:t>Paragraphe 9.3.4</w:t>
      </w:r>
      <w:r w:rsidRPr="00107F5F">
        <w:rPr>
          <w:lang w:val="fr-FR"/>
        </w:rPr>
        <w:t>, la figure 25 devient la figure 27.</w:t>
      </w:r>
    </w:p>
    <w:p w14:paraId="589D2FA1" w14:textId="77777777" w:rsidR="00203732" w:rsidRPr="00107F5F" w:rsidRDefault="00203732" w:rsidP="00203732">
      <w:pPr>
        <w:pStyle w:val="SingleTxtG"/>
        <w:rPr>
          <w:rFonts w:eastAsia="Malgun Gothic"/>
          <w:color w:val="000000" w:themeColor="text1"/>
          <w:lang w:val="fr-FR"/>
        </w:rPr>
      </w:pPr>
      <w:r w:rsidRPr="00107F5F">
        <w:rPr>
          <w:i/>
          <w:iCs/>
          <w:lang w:val="fr-FR"/>
        </w:rPr>
        <w:t>Paragraphe 10.4.1</w:t>
      </w:r>
      <w:r w:rsidRPr="00107F5F">
        <w:rPr>
          <w:lang w:val="fr-FR"/>
        </w:rPr>
        <w:t>, la figure 26 devient la figure 28 et les renvois aux figures 26 à 28 deviennent des renvois aux figures 28 à 30.</w:t>
      </w:r>
    </w:p>
    <w:p w14:paraId="21390FF4" w14:textId="77777777" w:rsidR="00203732" w:rsidRPr="00107F5F" w:rsidRDefault="00203732" w:rsidP="00203732">
      <w:pPr>
        <w:pStyle w:val="SingleTxtG"/>
        <w:rPr>
          <w:rFonts w:eastAsia="Malgun Gothic"/>
          <w:color w:val="000000" w:themeColor="text1"/>
          <w:lang w:val="fr-FR"/>
        </w:rPr>
      </w:pPr>
      <w:r w:rsidRPr="00107F5F">
        <w:rPr>
          <w:i/>
          <w:iCs/>
          <w:lang w:val="fr-FR"/>
        </w:rPr>
        <w:t>Paragraphe 10.4.2</w:t>
      </w:r>
      <w:r w:rsidRPr="00107F5F">
        <w:rPr>
          <w:lang w:val="fr-FR"/>
        </w:rPr>
        <w:t>, les renvois aux figures 26, 27, 29 et 30 deviennent des renvois aux figures 28, 29, 31 et 32.</w:t>
      </w:r>
    </w:p>
    <w:p w14:paraId="2525BCAA" w14:textId="77777777" w:rsidR="00203732" w:rsidRPr="00107F5F" w:rsidRDefault="00203732" w:rsidP="00203732">
      <w:pPr>
        <w:pStyle w:val="SingleTxtG"/>
        <w:rPr>
          <w:rFonts w:eastAsia="Malgun Gothic"/>
          <w:color w:val="000000" w:themeColor="text1"/>
          <w:lang w:val="fr-FR"/>
        </w:rPr>
      </w:pPr>
      <w:r w:rsidRPr="00107F5F">
        <w:rPr>
          <w:i/>
          <w:iCs/>
          <w:lang w:val="fr-FR"/>
        </w:rPr>
        <w:t xml:space="preserve">Paragraphe 10.4.3, </w:t>
      </w:r>
      <w:r w:rsidRPr="00107F5F">
        <w:rPr>
          <w:lang w:val="fr-FR"/>
        </w:rPr>
        <w:t>le renvoi à la figure 27 devient un renvoi à la figure 29.</w:t>
      </w:r>
    </w:p>
    <w:p w14:paraId="33C38200" w14:textId="77777777" w:rsidR="00203732" w:rsidRPr="00107F5F" w:rsidRDefault="00203732" w:rsidP="00203732">
      <w:pPr>
        <w:pStyle w:val="SingleTxtG"/>
        <w:rPr>
          <w:rFonts w:eastAsia="Malgun Gothic"/>
          <w:color w:val="000000" w:themeColor="text1"/>
          <w:lang w:val="fr-FR"/>
        </w:rPr>
      </w:pPr>
      <w:r w:rsidRPr="00107F5F">
        <w:rPr>
          <w:i/>
          <w:iCs/>
          <w:lang w:val="fr-FR"/>
        </w:rPr>
        <w:t>Paragraphe 10.4.5</w:t>
      </w:r>
      <w:r w:rsidRPr="00107F5F">
        <w:rPr>
          <w:lang w:val="fr-FR"/>
        </w:rPr>
        <w:t>, les figures 27 à 30 deviennent les figures 29 à 32.</w:t>
      </w:r>
    </w:p>
    <w:p w14:paraId="6E5F1556" w14:textId="77777777" w:rsidR="00203732" w:rsidRPr="00107F5F" w:rsidRDefault="00203732" w:rsidP="00203732">
      <w:pPr>
        <w:pStyle w:val="SingleTxtG"/>
        <w:rPr>
          <w:lang w:val="fr-FR"/>
        </w:rPr>
      </w:pPr>
      <w:r w:rsidRPr="00107F5F">
        <w:rPr>
          <w:i/>
          <w:iCs/>
          <w:lang w:val="fr-FR"/>
        </w:rPr>
        <w:t>Paragraphe 10.5.1</w:t>
      </w:r>
      <w:r w:rsidRPr="00107F5F">
        <w:rPr>
          <w:lang w:val="fr-FR"/>
        </w:rPr>
        <w:t>, la figure 31 devient la figure 33 et le renvoi à cette figure est modifié en conséquence.</w:t>
      </w:r>
    </w:p>
    <w:p w14:paraId="50C26E31" w14:textId="77777777" w:rsidR="00203732" w:rsidRPr="00107F5F" w:rsidRDefault="00203732" w:rsidP="00203732">
      <w:pPr>
        <w:pStyle w:val="SingleTxtG"/>
        <w:rPr>
          <w:rFonts w:eastAsia="Malgun Gothic"/>
          <w:color w:val="000000" w:themeColor="text1"/>
          <w:lang w:val="fr-FR"/>
        </w:rPr>
      </w:pPr>
      <w:r w:rsidRPr="00107F5F">
        <w:rPr>
          <w:i/>
          <w:iCs/>
          <w:lang w:val="fr-FR"/>
        </w:rPr>
        <w:t>Paragraphe 11.2.4.1</w:t>
      </w:r>
      <w:r w:rsidRPr="00107F5F">
        <w:rPr>
          <w:lang w:val="fr-FR"/>
        </w:rPr>
        <w:t>, la figure 32 devient la figure 34 et le renvoi à cette figure est modifié en conséquence.</w:t>
      </w:r>
    </w:p>
    <w:p w14:paraId="4E0A21A5" w14:textId="77777777" w:rsidR="00203732" w:rsidRPr="00107F5F" w:rsidRDefault="00203732" w:rsidP="00203732">
      <w:pPr>
        <w:pStyle w:val="SingleTxtG"/>
        <w:rPr>
          <w:rFonts w:eastAsia="Malgun Gothic"/>
          <w:color w:val="000000" w:themeColor="text1"/>
          <w:lang w:val="fr-FR"/>
        </w:rPr>
      </w:pPr>
      <w:r w:rsidRPr="00107F5F">
        <w:rPr>
          <w:i/>
          <w:iCs/>
          <w:lang w:val="fr-FR"/>
        </w:rPr>
        <w:t>Paragraphe 11.2.4.3</w:t>
      </w:r>
      <w:r w:rsidRPr="00107F5F">
        <w:rPr>
          <w:lang w:val="fr-FR"/>
        </w:rPr>
        <w:t>, la figure 33 devient la figure 35 et le renvoi à cette figure est modifié en conséquence.</w:t>
      </w:r>
    </w:p>
    <w:p w14:paraId="75B99A98" w14:textId="77777777" w:rsidR="00203732" w:rsidRPr="00107F5F" w:rsidRDefault="00203732" w:rsidP="00203732">
      <w:pPr>
        <w:pStyle w:val="SingleTxtG"/>
        <w:rPr>
          <w:rFonts w:eastAsia="Malgun Gothic"/>
          <w:color w:val="000000" w:themeColor="text1"/>
          <w:lang w:val="fr-FR"/>
        </w:rPr>
      </w:pPr>
      <w:r w:rsidRPr="00107F5F">
        <w:rPr>
          <w:i/>
          <w:iCs/>
          <w:lang w:val="fr-FR"/>
        </w:rPr>
        <w:t xml:space="preserve">Paragraphe 12.4, </w:t>
      </w:r>
      <w:r w:rsidRPr="00107F5F">
        <w:rPr>
          <w:lang w:val="fr-FR"/>
        </w:rPr>
        <w:t>le renvoi à la figure 34 devient un renvoi à la figure 36.</w:t>
      </w:r>
    </w:p>
    <w:p w14:paraId="6C6CA962" w14:textId="77777777" w:rsidR="00203732" w:rsidRPr="00FB29B2" w:rsidRDefault="00203732" w:rsidP="00203732">
      <w:pPr>
        <w:pStyle w:val="SingleTxtG"/>
        <w:rPr>
          <w:rFonts w:eastAsia="Malgun Gothic"/>
          <w:color w:val="000000" w:themeColor="text1"/>
          <w:lang w:val="fr-FR"/>
        </w:rPr>
      </w:pPr>
      <w:r w:rsidRPr="00107F5F">
        <w:rPr>
          <w:i/>
          <w:iCs/>
          <w:lang w:val="fr-FR"/>
        </w:rPr>
        <w:t>Paragraphe 13.2</w:t>
      </w:r>
      <w:r w:rsidRPr="00107F5F">
        <w:rPr>
          <w:lang w:val="fr-FR"/>
        </w:rPr>
        <w:t>, les figures 34 et 35 deviennent les figures 36 et 37 et le renvoi à la figure 35 est modifié en conséquence.</w:t>
      </w:r>
    </w:p>
    <w:p w14:paraId="73A3B3ED" w14:textId="449B4728" w:rsidR="00F9573C" w:rsidRPr="002C6E68" w:rsidRDefault="002C6E68" w:rsidP="002C6E68">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2C6E68" w:rsidSect="004064D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8273" w14:textId="77777777" w:rsidR="00CD0C06" w:rsidRDefault="00CD0C06" w:rsidP="00F95C08">
      <w:pPr>
        <w:spacing w:line="240" w:lineRule="auto"/>
      </w:pPr>
    </w:p>
  </w:endnote>
  <w:endnote w:type="continuationSeparator" w:id="0">
    <w:p w14:paraId="79B0CD8A" w14:textId="77777777" w:rsidR="00CD0C06" w:rsidRPr="00AC3823" w:rsidRDefault="00CD0C06" w:rsidP="00AC3823">
      <w:pPr>
        <w:pStyle w:val="Pieddepage"/>
      </w:pPr>
    </w:p>
  </w:endnote>
  <w:endnote w:type="continuationNotice" w:id="1">
    <w:p w14:paraId="7DA430C8" w14:textId="77777777" w:rsidR="00CD0C06" w:rsidRDefault="00CD0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MT">
    <w:altName w:val="Nanum Brush Script"/>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DAE6" w14:textId="299E23A0" w:rsidR="004064D2" w:rsidRPr="004064D2" w:rsidRDefault="004064D2" w:rsidP="004064D2">
    <w:pPr>
      <w:pStyle w:val="Pieddepage"/>
      <w:tabs>
        <w:tab w:val="right" w:pos="9638"/>
      </w:tabs>
    </w:pPr>
    <w:r w:rsidRPr="004064D2">
      <w:rPr>
        <w:b/>
        <w:sz w:val="18"/>
      </w:rPr>
      <w:fldChar w:fldCharType="begin"/>
    </w:r>
    <w:r w:rsidRPr="004064D2">
      <w:rPr>
        <w:b/>
        <w:sz w:val="18"/>
      </w:rPr>
      <w:instrText xml:space="preserve"> PAGE  \* MERGEFORMAT </w:instrText>
    </w:r>
    <w:r w:rsidRPr="004064D2">
      <w:rPr>
        <w:b/>
        <w:sz w:val="18"/>
      </w:rPr>
      <w:fldChar w:fldCharType="separate"/>
    </w:r>
    <w:r w:rsidRPr="004064D2">
      <w:rPr>
        <w:b/>
        <w:noProof/>
        <w:sz w:val="18"/>
      </w:rPr>
      <w:t>2</w:t>
    </w:r>
    <w:r w:rsidRPr="004064D2">
      <w:rPr>
        <w:b/>
        <w:sz w:val="18"/>
      </w:rPr>
      <w:fldChar w:fldCharType="end"/>
    </w:r>
    <w:r>
      <w:rPr>
        <w:b/>
        <w:sz w:val="18"/>
      </w:rPr>
      <w:tab/>
    </w:r>
    <w:r>
      <w:t>GE.23-16306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45F6" w14:textId="5CFF7FA6" w:rsidR="004064D2" w:rsidRPr="004064D2" w:rsidRDefault="004064D2" w:rsidP="004064D2">
    <w:pPr>
      <w:pStyle w:val="Pieddepage"/>
      <w:tabs>
        <w:tab w:val="right" w:pos="9638"/>
      </w:tabs>
      <w:rPr>
        <w:b/>
        <w:sz w:val="18"/>
      </w:rPr>
    </w:pPr>
    <w:r>
      <w:t>GE.23-16306</w:t>
    </w:r>
    <w:r>
      <w:tab/>
    </w:r>
    <w:r w:rsidRPr="004064D2">
      <w:rPr>
        <w:b/>
        <w:sz w:val="18"/>
      </w:rPr>
      <w:fldChar w:fldCharType="begin"/>
    </w:r>
    <w:r w:rsidRPr="004064D2">
      <w:rPr>
        <w:b/>
        <w:sz w:val="18"/>
      </w:rPr>
      <w:instrText xml:space="preserve"> PAGE  \* MERGEFORMAT </w:instrText>
    </w:r>
    <w:r w:rsidRPr="004064D2">
      <w:rPr>
        <w:b/>
        <w:sz w:val="18"/>
      </w:rPr>
      <w:fldChar w:fldCharType="separate"/>
    </w:r>
    <w:r w:rsidRPr="004064D2">
      <w:rPr>
        <w:b/>
        <w:noProof/>
        <w:sz w:val="18"/>
      </w:rPr>
      <w:t>3</w:t>
    </w:r>
    <w:r w:rsidRPr="004064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D828" w14:textId="5B5FD8B3" w:rsidR="007F20FA" w:rsidRPr="004064D2" w:rsidRDefault="004064D2" w:rsidP="004064D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C493220" wp14:editId="502242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23-16306  (F)</w:t>
    </w:r>
    <w:r>
      <w:rPr>
        <w:noProof/>
        <w:sz w:val="20"/>
      </w:rPr>
      <w:drawing>
        <wp:anchor distT="0" distB="0" distL="114300" distR="114300" simplePos="0" relativeHeight="251660288" behindDoc="0" locked="0" layoutInCell="1" allowOverlap="1" wp14:anchorId="1CC18ED5" wp14:editId="5CD7956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3C92" w14:textId="77777777" w:rsidR="00CD0C06" w:rsidRPr="00AC3823" w:rsidRDefault="00CD0C06" w:rsidP="00AC3823">
      <w:pPr>
        <w:pStyle w:val="Pieddepage"/>
        <w:tabs>
          <w:tab w:val="right" w:pos="2155"/>
        </w:tabs>
        <w:spacing w:after="80" w:line="240" w:lineRule="atLeast"/>
        <w:ind w:left="680"/>
        <w:rPr>
          <w:u w:val="single"/>
        </w:rPr>
      </w:pPr>
      <w:r>
        <w:rPr>
          <w:u w:val="single"/>
        </w:rPr>
        <w:tab/>
      </w:r>
    </w:p>
  </w:footnote>
  <w:footnote w:type="continuationSeparator" w:id="0">
    <w:p w14:paraId="6FF0F0FF" w14:textId="77777777" w:rsidR="00CD0C06" w:rsidRPr="00AC3823" w:rsidRDefault="00CD0C06" w:rsidP="00AC3823">
      <w:pPr>
        <w:pStyle w:val="Pieddepage"/>
        <w:tabs>
          <w:tab w:val="right" w:pos="2155"/>
        </w:tabs>
        <w:spacing w:after="80" w:line="240" w:lineRule="atLeast"/>
        <w:ind w:left="680"/>
        <w:rPr>
          <w:u w:val="single"/>
        </w:rPr>
      </w:pPr>
      <w:r>
        <w:rPr>
          <w:u w:val="single"/>
        </w:rPr>
        <w:tab/>
      </w:r>
    </w:p>
  </w:footnote>
  <w:footnote w:type="continuationNotice" w:id="1">
    <w:p w14:paraId="6CA3B25D" w14:textId="77777777" w:rsidR="00CD0C06" w:rsidRPr="00AC3823" w:rsidRDefault="00CD0C06">
      <w:pPr>
        <w:spacing w:line="240" w:lineRule="auto"/>
        <w:rPr>
          <w:sz w:val="2"/>
          <w:szCs w:val="2"/>
        </w:rPr>
      </w:pPr>
    </w:p>
  </w:footnote>
  <w:footnote w:id="2">
    <w:p w14:paraId="09D30852" w14:textId="0D1F08C8" w:rsidR="003144B3" w:rsidRDefault="003144B3">
      <w:pPr>
        <w:pStyle w:val="Notedebasdepage"/>
        <w:rPr>
          <w:lang w:val="fr-FR"/>
        </w:rPr>
      </w:pPr>
      <w:r>
        <w:rPr>
          <w:rStyle w:val="Appelnotedebasdep"/>
        </w:rPr>
        <w:tab/>
      </w:r>
      <w:r w:rsidRPr="003144B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7AA0A1EA" w14:textId="77777777" w:rsidR="00B72DDC" w:rsidRPr="003144B3" w:rsidRDefault="00B72DDC">
      <w:pPr>
        <w:pStyle w:val="Notedebasdepage"/>
      </w:pPr>
    </w:p>
  </w:footnote>
  <w:footnote w:id="3">
    <w:p w14:paraId="6BA0E8F7" w14:textId="3D982AB2" w:rsidR="00203732" w:rsidRPr="00BB7884" w:rsidRDefault="00203732" w:rsidP="00203732">
      <w:pPr>
        <w:pStyle w:val="Notedebasdepage"/>
        <w:rPr>
          <w:b/>
          <w:bCs/>
        </w:rPr>
      </w:pPr>
      <w:r>
        <w:rPr>
          <w:lang w:val="fr-FR"/>
        </w:rPr>
        <w:tab/>
      </w:r>
      <w:r>
        <w:rPr>
          <w:vertAlign w:val="superscript"/>
          <w:lang w:val="fr-FR"/>
        </w:rPr>
        <w:t>18</w:t>
      </w:r>
      <w:r>
        <w:rPr>
          <w:lang w:val="fr-FR"/>
        </w:rPr>
        <w:t xml:space="preserve"> </w:t>
      </w:r>
      <w:r>
        <w:rPr>
          <w:lang w:val="fr-FR"/>
        </w:rPr>
        <w:tab/>
        <w:t xml:space="preserve">Définie dans la Résolution d’ensemble sur la construction des véhicules (R.E.3), document ECE/TRANS/WP.29/78/Rev.7, par. 2 − </w:t>
      </w:r>
      <w:hyperlink r:id="rId1" w:history="1">
        <w:r w:rsidR="00235B07" w:rsidRPr="00C7425F">
          <w:rPr>
            <w:rStyle w:val="Lienhypertexte"/>
          </w:rPr>
          <w:t>https://unece.org/transport/vehicle-regulations/ wp29/resolutions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C671" w14:textId="553BD77E" w:rsidR="004064D2" w:rsidRPr="004064D2" w:rsidRDefault="00465F2F">
    <w:pPr>
      <w:pStyle w:val="En-tte"/>
    </w:pPr>
    <w:r>
      <w:fldChar w:fldCharType="begin"/>
    </w:r>
    <w:r>
      <w:instrText xml:space="preserve"> TITLE  \* MERGEFORMAT </w:instrText>
    </w:r>
    <w:r>
      <w:fldChar w:fldCharType="separate"/>
    </w:r>
    <w:r w:rsidR="004064D2">
      <w:t>ECE/TRANS/WP.29/2023/99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4B9A" w14:textId="5ABA7BB7" w:rsidR="004064D2" w:rsidRPr="004064D2" w:rsidRDefault="00465F2F" w:rsidP="004064D2">
    <w:pPr>
      <w:pStyle w:val="En-tte"/>
      <w:jc w:val="right"/>
    </w:pPr>
    <w:r>
      <w:fldChar w:fldCharType="begin"/>
    </w:r>
    <w:r>
      <w:instrText xml:space="preserve"> TITLE  \* MERGEFORMAT </w:instrText>
    </w:r>
    <w:r>
      <w:fldChar w:fldCharType="separate"/>
    </w:r>
    <w:r w:rsidR="004064D2">
      <w:t>ECE/TRANS/WP.29/2023/99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6142370">
    <w:abstractNumId w:val="12"/>
  </w:num>
  <w:num w:numId="2" w16cid:durableId="1613973512">
    <w:abstractNumId w:val="11"/>
  </w:num>
  <w:num w:numId="3" w16cid:durableId="574702345">
    <w:abstractNumId w:val="10"/>
  </w:num>
  <w:num w:numId="4" w16cid:durableId="1098939820">
    <w:abstractNumId w:val="8"/>
  </w:num>
  <w:num w:numId="5" w16cid:durableId="851187977">
    <w:abstractNumId w:val="3"/>
  </w:num>
  <w:num w:numId="6" w16cid:durableId="133986794">
    <w:abstractNumId w:val="2"/>
  </w:num>
  <w:num w:numId="7" w16cid:durableId="1408923633">
    <w:abstractNumId w:val="1"/>
  </w:num>
  <w:num w:numId="8" w16cid:durableId="1941832871">
    <w:abstractNumId w:val="0"/>
  </w:num>
  <w:num w:numId="9" w16cid:durableId="534774378">
    <w:abstractNumId w:val="9"/>
  </w:num>
  <w:num w:numId="10" w16cid:durableId="1469979444">
    <w:abstractNumId w:val="7"/>
  </w:num>
  <w:num w:numId="11" w16cid:durableId="415857440">
    <w:abstractNumId w:val="6"/>
  </w:num>
  <w:num w:numId="12" w16cid:durableId="777136324">
    <w:abstractNumId w:val="5"/>
  </w:num>
  <w:num w:numId="13" w16cid:durableId="235287039">
    <w:abstractNumId w:val="4"/>
  </w:num>
  <w:num w:numId="14" w16cid:durableId="1317882384">
    <w:abstractNumId w:val="12"/>
  </w:num>
  <w:num w:numId="15" w16cid:durableId="220101127">
    <w:abstractNumId w:val="11"/>
  </w:num>
  <w:num w:numId="16" w16cid:durableId="1915720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06"/>
    <w:rsid w:val="00017F94"/>
    <w:rsid w:val="00023279"/>
    <w:rsid w:val="00023842"/>
    <w:rsid w:val="00024927"/>
    <w:rsid w:val="000334F9"/>
    <w:rsid w:val="00045FEB"/>
    <w:rsid w:val="0007796D"/>
    <w:rsid w:val="000B7790"/>
    <w:rsid w:val="000C65D6"/>
    <w:rsid w:val="00107F5F"/>
    <w:rsid w:val="00111F2F"/>
    <w:rsid w:val="0014365E"/>
    <w:rsid w:val="00143C66"/>
    <w:rsid w:val="00176178"/>
    <w:rsid w:val="001F525A"/>
    <w:rsid w:val="00201148"/>
    <w:rsid w:val="00203732"/>
    <w:rsid w:val="00223272"/>
    <w:rsid w:val="00235B07"/>
    <w:rsid w:val="00235DC3"/>
    <w:rsid w:val="0024779E"/>
    <w:rsid w:val="00257168"/>
    <w:rsid w:val="002744B8"/>
    <w:rsid w:val="002776A9"/>
    <w:rsid w:val="002832AC"/>
    <w:rsid w:val="002C6E68"/>
    <w:rsid w:val="002D7C93"/>
    <w:rsid w:val="00305801"/>
    <w:rsid w:val="003144B3"/>
    <w:rsid w:val="003916DE"/>
    <w:rsid w:val="003A1029"/>
    <w:rsid w:val="004064D2"/>
    <w:rsid w:val="00421996"/>
    <w:rsid w:val="00441C3B"/>
    <w:rsid w:val="00446FE5"/>
    <w:rsid w:val="00452396"/>
    <w:rsid w:val="00465F2F"/>
    <w:rsid w:val="00477EB2"/>
    <w:rsid w:val="004837D8"/>
    <w:rsid w:val="00484C0D"/>
    <w:rsid w:val="004E2EED"/>
    <w:rsid w:val="004E468C"/>
    <w:rsid w:val="004E56FE"/>
    <w:rsid w:val="00506094"/>
    <w:rsid w:val="005505B7"/>
    <w:rsid w:val="00573BE5"/>
    <w:rsid w:val="00586ED3"/>
    <w:rsid w:val="00596AA9"/>
    <w:rsid w:val="005E003C"/>
    <w:rsid w:val="0071601D"/>
    <w:rsid w:val="00793DD8"/>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2DDC"/>
    <w:rsid w:val="00B765F7"/>
    <w:rsid w:val="00B77993"/>
    <w:rsid w:val="00B82C49"/>
    <w:rsid w:val="00B944AA"/>
    <w:rsid w:val="00BA0CA9"/>
    <w:rsid w:val="00C02897"/>
    <w:rsid w:val="00C16B3F"/>
    <w:rsid w:val="00C97039"/>
    <w:rsid w:val="00CD0C06"/>
    <w:rsid w:val="00D3439C"/>
    <w:rsid w:val="00D57CC6"/>
    <w:rsid w:val="00D7622E"/>
    <w:rsid w:val="00DB1831"/>
    <w:rsid w:val="00DD3BFD"/>
    <w:rsid w:val="00DF6678"/>
    <w:rsid w:val="00E0299A"/>
    <w:rsid w:val="00E3060B"/>
    <w:rsid w:val="00E85C74"/>
    <w:rsid w:val="00EA6547"/>
    <w:rsid w:val="00ED7237"/>
    <w:rsid w:val="00EF2E22"/>
    <w:rsid w:val="00F1738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8D9A"/>
  <w15:docId w15:val="{36D2BD6C-D80C-48F9-BB1D-D83FFCA8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203732"/>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03732"/>
    <w:rPr>
      <w:rFonts w:ascii="Times New Roman" w:eastAsiaTheme="minorHAnsi" w:hAnsi="Times New Roman" w:cs="Times New Roman"/>
      <w:sz w:val="20"/>
      <w:szCs w:val="20"/>
      <w:lang w:eastAsia="en-US"/>
    </w:rPr>
  </w:style>
  <w:style w:type="character" w:customStyle="1" w:styleId="HChGChar">
    <w:name w:val="_ H _Ch_G Char"/>
    <w:link w:val="HChG"/>
    <w:locked/>
    <w:rsid w:val="00203732"/>
    <w:rPr>
      <w:rFonts w:ascii="Times New Roman" w:eastAsiaTheme="minorHAnsi" w:hAnsi="Times New Roman" w:cs="Times New Roman"/>
      <w:b/>
      <w:sz w:val="28"/>
      <w:szCs w:val="20"/>
      <w:lang w:eastAsia="en-US"/>
    </w:rPr>
  </w:style>
  <w:style w:type="character" w:customStyle="1" w:styleId="H1GChar">
    <w:name w:val="_ H_1_G Char"/>
    <w:link w:val="H1G"/>
    <w:locked/>
    <w:rsid w:val="00203732"/>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23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20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4CF6A-8675-4A6E-962D-25CF55F4DC65}"/>
</file>

<file path=customXml/itemProps2.xml><?xml version="1.0" encoding="utf-8"?>
<ds:datastoreItem xmlns:ds="http://schemas.openxmlformats.org/officeDocument/2006/customXml" ds:itemID="{EE4FA06C-D339-4E80-8596-C2A191C384D6}"/>
</file>

<file path=docProps/app.xml><?xml version="1.0" encoding="utf-8"?>
<Properties xmlns="http://schemas.openxmlformats.org/officeDocument/2006/extended-properties" xmlns:vt="http://schemas.openxmlformats.org/officeDocument/2006/docPropsVTypes">
  <Template>ECE_TRANS.dotm</Template>
  <TotalTime>0</TotalTime>
  <Pages>4</Pages>
  <Words>826</Words>
  <Characters>4779</Characters>
  <Application>Microsoft Office Word</Application>
  <DocSecurity>0</DocSecurity>
  <Lines>73</Lines>
  <Paragraphs>12</Paragraphs>
  <ScaleCrop>false</ScaleCrop>
  <HeadingPairs>
    <vt:vector size="2" baseType="variant">
      <vt:variant>
        <vt:lpstr>Titre</vt:lpstr>
      </vt:variant>
      <vt:variant>
        <vt:i4>1</vt:i4>
      </vt:variant>
    </vt:vector>
  </HeadingPairs>
  <TitlesOfParts>
    <vt:vector size="1" baseType="lpstr">
      <vt:lpstr>ECE/TRANS/WP.29/2023/99</vt:lpstr>
    </vt:vector>
  </TitlesOfParts>
  <Company>DCM</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ECE/TRANS/WP.29/2023/99</dc:title>
  <dc:subject/>
  <dc:creator>Nathalie VITTOZ</dc:creator>
  <cp:keywords/>
  <cp:lastModifiedBy>Nathalie Vittoz</cp:lastModifiedBy>
  <cp:revision>2</cp:revision>
  <cp:lastPrinted>2014-05-14T10:59:00Z</cp:lastPrinted>
  <dcterms:created xsi:type="dcterms:W3CDTF">2023-09-28T08:35:00Z</dcterms:created>
  <dcterms:modified xsi:type="dcterms:W3CDTF">2023-09-28T08:35:00Z</dcterms:modified>
</cp:coreProperties>
</file>