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BDEE1EA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B3B11F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42D8C7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273B477" w14:textId="0EF00BD5" w:rsidR="009E6CB7" w:rsidRPr="00D47EEA" w:rsidRDefault="00B52F3B" w:rsidP="00B52F3B">
            <w:pPr>
              <w:jc w:val="right"/>
            </w:pPr>
            <w:r w:rsidRPr="00B52F3B">
              <w:rPr>
                <w:sz w:val="40"/>
              </w:rPr>
              <w:t>ECE</w:t>
            </w:r>
            <w:r>
              <w:t>/TRANS/WP.29/2023/</w:t>
            </w:r>
            <w:r w:rsidR="00F67474">
              <w:t>9</w:t>
            </w:r>
            <w:r w:rsidR="00592533">
              <w:t>7</w:t>
            </w:r>
          </w:p>
        </w:tc>
      </w:tr>
      <w:tr w:rsidR="009E6CB7" w14:paraId="7DC4101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8DC00D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89CE6A" wp14:editId="7DC0B42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0D77E2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717806" w14:textId="77777777" w:rsidR="009E6CB7" w:rsidRDefault="00B52F3B" w:rsidP="00B52F3B">
            <w:pPr>
              <w:spacing w:before="240" w:line="240" w:lineRule="exact"/>
            </w:pPr>
            <w:r>
              <w:t>Distr.: General</w:t>
            </w:r>
          </w:p>
          <w:p w14:paraId="4CF853F2" w14:textId="4730F75C" w:rsidR="00B52F3B" w:rsidRDefault="00C87D09" w:rsidP="00B52F3B">
            <w:pPr>
              <w:spacing w:line="240" w:lineRule="exact"/>
            </w:pPr>
            <w:r>
              <w:t>24</w:t>
            </w:r>
            <w:r w:rsidR="00B52F3B">
              <w:t xml:space="preserve"> </w:t>
            </w:r>
            <w:r w:rsidR="00F67474">
              <w:t xml:space="preserve">August </w:t>
            </w:r>
            <w:r w:rsidR="00B52F3B">
              <w:t>2023</w:t>
            </w:r>
          </w:p>
          <w:p w14:paraId="78362A48" w14:textId="77777777" w:rsidR="00B52F3B" w:rsidRDefault="00B52F3B" w:rsidP="00B52F3B">
            <w:pPr>
              <w:spacing w:line="240" w:lineRule="exact"/>
            </w:pPr>
          </w:p>
          <w:p w14:paraId="24BCE5AE" w14:textId="51010311" w:rsidR="00B52F3B" w:rsidRDefault="00B52F3B" w:rsidP="00B52F3B">
            <w:pPr>
              <w:spacing w:line="240" w:lineRule="exact"/>
            </w:pPr>
            <w:r>
              <w:t>Original: English</w:t>
            </w:r>
          </w:p>
        </w:tc>
      </w:tr>
    </w:tbl>
    <w:p w14:paraId="1380F131" w14:textId="77777777" w:rsidR="00B52F3B" w:rsidRPr="001D703D" w:rsidRDefault="00B52F3B" w:rsidP="00B52F3B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54B1A46A" w14:textId="77777777" w:rsidR="00B52F3B" w:rsidRPr="001D703D" w:rsidRDefault="00B52F3B" w:rsidP="00B52F3B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3DFD5884" w14:textId="77777777" w:rsidR="00B52F3B" w:rsidRDefault="00B52F3B" w:rsidP="00B52F3B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3B3989E8" w14:textId="77777777" w:rsidR="00B52F3B" w:rsidRPr="006D33D9" w:rsidRDefault="00B52F3B" w:rsidP="00B52F3B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296C6DD6" w14:textId="1A482971" w:rsidR="00B52F3B" w:rsidRPr="00C64574" w:rsidRDefault="00B52F3B" w:rsidP="00B52F3B">
      <w:r w:rsidRPr="00C64574">
        <w:t xml:space="preserve">Geneva, </w:t>
      </w:r>
      <w:r>
        <w:t>14</w:t>
      </w:r>
      <w:r w:rsidRPr="002A5241">
        <w:t>–</w:t>
      </w:r>
      <w:r>
        <w:t>1</w:t>
      </w:r>
      <w:r w:rsidR="00F7698F">
        <w:t>6</w:t>
      </w:r>
      <w:r>
        <w:t xml:space="preserve"> November</w:t>
      </w:r>
      <w:r w:rsidRPr="00C64574">
        <w:t xml:space="preserve"> 20</w:t>
      </w:r>
      <w:r>
        <w:t>23</w:t>
      </w:r>
    </w:p>
    <w:p w14:paraId="3FBE7B71" w14:textId="7BA5F2B4" w:rsidR="00B52F3B" w:rsidRDefault="00B52F3B" w:rsidP="00B52F3B">
      <w:r>
        <w:t>Item 4.</w:t>
      </w:r>
      <w:r w:rsidR="008E1E3B">
        <w:t>6</w:t>
      </w:r>
      <w:r>
        <w:t>.</w:t>
      </w:r>
      <w:r w:rsidR="00592533">
        <w:t>7</w:t>
      </w:r>
      <w:r>
        <w:t xml:space="preserve"> of the provisional agenda</w:t>
      </w:r>
    </w:p>
    <w:p w14:paraId="09926995" w14:textId="77777777" w:rsidR="00B52F3B" w:rsidRDefault="00B52F3B" w:rsidP="00B52F3B">
      <w:pPr>
        <w:rPr>
          <w:b/>
        </w:rPr>
      </w:pPr>
      <w:r>
        <w:rPr>
          <w:b/>
        </w:rPr>
        <w:t>1958 Agreement:</w:t>
      </w:r>
    </w:p>
    <w:p w14:paraId="50E93033" w14:textId="77777777" w:rsidR="00B52F3B" w:rsidRDefault="00B52F3B" w:rsidP="00B52F3B">
      <w:pPr>
        <w:rPr>
          <w:b/>
        </w:rPr>
      </w:pPr>
      <w:r>
        <w:rPr>
          <w:b/>
        </w:rPr>
        <w:t>Consideration of draft amendments to existing</w:t>
      </w:r>
    </w:p>
    <w:p w14:paraId="1CEB01C6" w14:textId="7D843D12" w:rsidR="00B52F3B" w:rsidRDefault="00B52F3B" w:rsidP="00B52F3B">
      <w:pPr>
        <w:rPr>
          <w:b/>
          <w:bCs/>
        </w:rPr>
      </w:pPr>
      <w:r>
        <w:rPr>
          <w:b/>
        </w:rPr>
        <w:t xml:space="preserve">UN Regulations submitted by </w:t>
      </w:r>
      <w:proofErr w:type="gramStart"/>
      <w:r>
        <w:rPr>
          <w:b/>
        </w:rPr>
        <w:t>GR</w:t>
      </w:r>
      <w:r w:rsidR="008E1E3B">
        <w:rPr>
          <w:b/>
        </w:rPr>
        <w:t>E</w:t>
      </w:r>
      <w:proofErr w:type="gramEnd"/>
    </w:p>
    <w:p w14:paraId="7EAFDC52" w14:textId="4ACCA037" w:rsidR="00B52F3B" w:rsidRDefault="00B82C1C" w:rsidP="00B52F3B">
      <w:pPr>
        <w:pStyle w:val="HChG"/>
        <w:ind w:left="1124" w:right="1138" w:firstLine="0"/>
      </w:pPr>
      <w:r w:rsidRPr="00B82C1C">
        <w:t xml:space="preserve">Proposal for </w:t>
      </w:r>
      <w:r w:rsidR="004E0549" w:rsidRPr="004E0549">
        <w:t>Supplement 2 to the 01 series of amendments to UN Regulation No. 149 (Road illumination devices</w:t>
      </w:r>
      <w:r w:rsidR="004E0549">
        <w:t>)</w:t>
      </w:r>
    </w:p>
    <w:p w14:paraId="3BA43C5C" w14:textId="4EC74A3D" w:rsidR="00B52F3B" w:rsidRDefault="00B52F3B" w:rsidP="00B52F3B">
      <w:pPr>
        <w:pStyle w:val="H1G"/>
        <w:rPr>
          <w:szCs w:val="24"/>
        </w:rPr>
      </w:pPr>
      <w:r>
        <w:tab/>
      </w:r>
      <w:r>
        <w:tab/>
      </w:r>
      <w:r>
        <w:rPr>
          <w:szCs w:val="24"/>
        </w:rPr>
        <w:t xml:space="preserve">Submitted by the Working Party on </w:t>
      </w:r>
      <w:r w:rsidR="00EA3480">
        <w:rPr>
          <w:szCs w:val="24"/>
        </w:rPr>
        <w:t>Lighting and Light-Signalling</w:t>
      </w:r>
      <w:r w:rsidRPr="00CB6F40">
        <w:footnoteReference w:customMarkFollows="1" w:id="2"/>
        <w:t>*</w:t>
      </w:r>
    </w:p>
    <w:p w14:paraId="26AC77F4" w14:textId="3B3EFE1A" w:rsidR="00B52F3B" w:rsidRDefault="00B52F3B" w:rsidP="00B52F3B">
      <w:pPr>
        <w:pStyle w:val="SingleTxtG"/>
        <w:ind w:firstLine="567"/>
        <w:rPr>
          <w:sz w:val="24"/>
          <w:szCs w:val="24"/>
          <w:lang w:eastAsia="zh-CN"/>
        </w:rPr>
      </w:pPr>
      <w:r>
        <w:rPr>
          <w:lang w:val="en-US"/>
        </w:rPr>
        <w:t xml:space="preserve">The text reproduced below was adopted by the Working Party on </w:t>
      </w:r>
      <w:r w:rsidR="00EA3480">
        <w:rPr>
          <w:lang w:val="en-US"/>
        </w:rPr>
        <w:t>Lighting and Light-</w:t>
      </w:r>
      <w:proofErr w:type="spellStart"/>
      <w:r w:rsidR="00EA3480">
        <w:rPr>
          <w:lang w:val="en-US"/>
        </w:rPr>
        <w:t>Signalling</w:t>
      </w:r>
      <w:proofErr w:type="spellEnd"/>
      <w:r w:rsidR="00EA3480">
        <w:rPr>
          <w:lang w:val="en-US"/>
        </w:rPr>
        <w:t xml:space="preserve"> </w:t>
      </w:r>
      <w:r>
        <w:rPr>
          <w:lang w:val="en-US"/>
        </w:rPr>
        <w:t>(GR</w:t>
      </w:r>
      <w:r w:rsidR="00B7701A">
        <w:rPr>
          <w:lang w:val="en-US"/>
        </w:rPr>
        <w:t>E</w:t>
      </w:r>
      <w:r>
        <w:rPr>
          <w:lang w:val="en-US"/>
        </w:rPr>
        <w:t xml:space="preserve">) at its </w:t>
      </w:r>
      <w:r w:rsidR="00D6385D">
        <w:rPr>
          <w:lang w:val="en-US"/>
        </w:rPr>
        <w:t>eight</w:t>
      </w:r>
      <w:r w:rsidR="00BC7E30">
        <w:rPr>
          <w:lang w:val="en-US"/>
        </w:rPr>
        <w:t>y</w:t>
      </w:r>
      <w:r w:rsidR="00D6385D">
        <w:rPr>
          <w:lang w:val="en-US"/>
        </w:rPr>
        <w:t xml:space="preserve">-eighth </w:t>
      </w:r>
      <w:r>
        <w:rPr>
          <w:lang w:val="en-US"/>
        </w:rPr>
        <w:t>session (</w:t>
      </w:r>
      <w:r w:rsidR="00D6385D">
        <w:rPr>
          <w:lang w:val="en-US"/>
        </w:rPr>
        <w:t>EC</w:t>
      </w:r>
      <w:r w:rsidR="00D6385D" w:rsidRPr="00D6385D">
        <w:rPr>
          <w:lang w:val="en-US"/>
        </w:rPr>
        <w:t>E/TRANS/WP.29/GRE/88, paras.</w:t>
      </w:r>
      <w:r w:rsidR="009C1B21" w:rsidRPr="009C1B21">
        <w:rPr>
          <w:lang w:val="en-US"/>
        </w:rPr>
        <w:t xml:space="preserve"> 25 and 31</w:t>
      </w:r>
      <w:r w:rsidR="009C1B21">
        <w:rPr>
          <w:lang w:val="en-US"/>
        </w:rPr>
        <w:t xml:space="preserve">). It is based on informal documents </w:t>
      </w:r>
      <w:r w:rsidR="009C1B21" w:rsidRPr="009C1B21">
        <w:rPr>
          <w:lang w:val="en-US"/>
        </w:rPr>
        <w:t>GRE-88-25-Rev.1 and GRE-88-09</w:t>
      </w:r>
      <w:r w:rsidR="009C1B21">
        <w:rPr>
          <w:lang w:val="en-US"/>
        </w:rPr>
        <w:t xml:space="preserve">.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3</w:t>
      </w:r>
      <w:r w:rsidRPr="00496D41">
        <w:rPr>
          <w:lang w:val="en-US"/>
        </w:rPr>
        <w:t xml:space="preserve"> sessions</w:t>
      </w:r>
      <w:r w:rsidR="00F67474">
        <w:rPr>
          <w:lang w:val="en-US"/>
        </w:rPr>
        <w:t xml:space="preserve">. </w:t>
      </w:r>
      <w:r>
        <w:rPr>
          <w:sz w:val="24"/>
          <w:szCs w:val="24"/>
          <w:lang w:eastAsia="zh-CN"/>
        </w:rPr>
        <w:t xml:space="preserve"> </w:t>
      </w:r>
    </w:p>
    <w:p w14:paraId="4182A003" w14:textId="77777777" w:rsidR="00B52F3B" w:rsidRPr="006F6536" w:rsidRDefault="00B52F3B" w:rsidP="00B52F3B">
      <w:pPr>
        <w:pStyle w:val="SingleTxtG"/>
        <w:ind w:firstLine="567"/>
        <w:rPr>
          <w:szCs w:val="24"/>
        </w:rPr>
      </w:pPr>
    </w:p>
    <w:p w14:paraId="4B415ACC" w14:textId="77777777" w:rsidR="00B52F3B" w:rsidRDefault="00B52F3B" w:rsidP="00B52F3B">
      <w:pPr>
        <w:suppressAutoHyphens w:val="0"/>
        <w:spacing w:line="240" w:lineRule="auto"/>
      </w:pPr>
      <w:r>
        <w:br w:type="page"/>
      </w:r>
    </w:p>
    <w:p w14:paraId="73238919" w14:textId="7916A490" w:rsidR="0002580F" w:rsidRDefault="0002580F" w:rsidP="0002580F">
      <w:pPr>
        <w:spacing w:after="120"/>
        <w:ind w:left="1134" w:right="1134"/>
        <w:rPr>
          <w:lang w:val="en-US"/>
        </w:rPr>
      </w:pPr>
      <w:r w:rsidRPr="00D47CBE">
        <w:rPr>
          <w:i/>
          <w:iCs/>
          <w:lang w:val="en-US"/>
        </w:rPr>
        <w:lastRenderedPageBreak/>
        <w:t>Add new paragraph</w:t>
      </w:r>
      <w:r w:rsidR="00690D7B">
        <w:rPr>
          <w:i/>
          <w:iCs/>
          <w:lang w:val="en-US"/>
        </w:rPr>
        <w:t>s</w:t>
      </w:r>
      <w:r w:rsidRPr="00D47CBE">
        <w:rPr>
          <w:i/>
          <w:iCs/>
          <w:lang w:val="en-US"/>
        </w:rPr>
        <w:t xml:space="preserve"> 5.3.2.</w:t>
      </w:r>
      <w:r>
        <w:rPr>
          <w:i/>
          <w:iCs/>
          <w:lang w:val="en-US"/>
        </w:rPr>
        <w:t>10</w:t>
      </w:r>
      <w:r w:rsidRPr="00D47CBE">
        <w:rPr>
          <w:i/>
          <w:iCs/>
          <w:lang w:val="en-US"/>
        </w:rPr>
        <w:t>.</w:t>
      </w:r>
      <w:r w:rsidR="00690D7B">
        <w:rPr>
          <w:i/>
          <w:iCs/>
          <w:lang w:val="en-US"/>
        </w:rPr>
        <w:t>,</w:t>
      </w:r>
      <w:r w:rsidR="00B136E4" w:rsidRPr="00B136E4">
        <w:t xml:space="preserve"> </w:t>
      </w:r>
      <w:r w:rsidR="00B136E4" w:rsidRPr="00B136E4">
        <w:rPr>
          <w:i/>
          <w:iCs/>
          <w:lang w:val="en-US"/>
        </w:rPr>
        <w:t>5.3.2.10.1</w:t>
      </w:r>
      <w:r w:rsidR="00690D7B">
        <w:rPr>
          <w:i/>
          <w:iCs/>
          <w:lang w:val="en-US"/>
        </w:rPr>
        <w:t>.</w:t>
      </w:r>
      <w:r w:rsidR="0017288C">
        <w:rPr>
          <w:i/>
          <w:iCs/>
          <w:lang w:val="en-US"/>
        </w:rPr>
        <w:t xml:space="preserve"> </w:t>
      </w:r>
      <w:r w:rsidR="0017288C" w:rsidRPr="00690D7B">
        <w:rPr>
          <w:i/>
          <w:iCs/>
          <w:lang w:val="en-US"/>
        </w:rPr>
        <w:t>and</w:t>
      </w:r>
      <w:r w:rsidR="00690D7B" w:rsidRPr="00690D7B">
        <w:rPr>
          <w:i/>
          <w:iCs/>
          <w:lang w:val="en-US"/>
        </w:rPr>
        <w:t xml:space="preserve"> </w:t>
      </w:r>
      <w:r w:rsidR="00690D7B" w:rsidRPr="00690D7B">
        <w:rPr>
          <w:bCs/>
          <w:i/>
          <w:iCs/>
        </w:rPr>
        <w:t>5.3.2.10.2.</w:t>
      </w:r>
      <w:r w:rsidR="00690D7B">
        <w:rPr>
          <w:bCs/>
          <w:i/>
          <w:iCs/>
        </w:rPr>
        <w:t xml:space="preserve"> </w:t>
      </w:r>
      <w:r w:rsidRPr="00D47CBE">
        <w:rPr>
          <w:lang w:val="en-US"/>
        </w:rPr>
        <w:t>to read:</w:t>
      </w:r>
    </w:p>
    <w:p w14:paraId="354F6DBB" w14:textId="77777777" w:rsidR="0002580F" w:rsidRPr="004B3523" w:rsidRDefault="0002580F" w:rsidP="0002580F">
      <w:pPr>
        <w:pStyle w:val="SingleTxtG"/>
        <w:ind w:left="2268" w:hanging="1134"/>
        <w:rPr>
          <w:bCs/>
          <w:iCs/>
        </w:rPr>
      </w:pPr>
      <w:r w:rsidRPr="004B3523">
        <w:rPr>
          <w:bCs/>
        </w:rPr>
        <w:t>“5.3.2.10.</w:t>
      </w:r>
      <w:r w:rsidRPr="004B3523">
        <w:rPr>
          <w:bCs/>
        </w:rPr>
        <w:tab/>
      </w:r>
      <w:r w:rsidRPr="004B3523">
        <w:rPr>
          <w:bCs/>
          <w:iCs/>
        </w:rPr>
        <w:t>The Driver Assistance Projection according to UN Regulation No. 48, paragraph 5.35., may be produced by modifying the passing-beam light distribution within a zone limited by the following angles:</w:t>
      </w:r>
    </w:p>
    <w:p w14:paraId="43317D45" w14:textId="77777777" w:rsidR="0002580F" w:rsidRPr="004B3523" w:rsidRDefault="0002580F" w:rsidP="0002580F">
      <w:pPr>
        <w:pStyle w:val="SingleTxtG"/>
        <w:ind w:left="2268" w:hanging="1134"/>
        <w:rPr>
          <w:bCs/>
          <w:iCs/>
        </w:rPr>
      </w:pPr>
      <w:r w:rsidRPr="004B3523">
        <w:rPr>
          <w:bCs/>
          <w:iCs/>
        </w:rPr>
        <w:tab/>
      </w:r>
      <w:r w:rsidRPr="004B3523">
        <w:rPr>
          <w:bCs/>
          <w:iCs/>
        </w:rPr>
        <w:tab/>
        <w:t>vertically:</w:t>
      </w:r>
      <w:r w:rsidRPr="004B3523">
        <w:rPr>
          <w:bCs/>
          <w:iCs/>
        </w:rPr>
        <w:tab/>
        <w:t xml:space="preserve">- 1.2° and below </w:t>
      </w:r>
    </w:p>
    <w:p w14:paraId="5C9F8DD7" w14:textId="77777777" w:rsidR="0002580F" w:rsidRPr="004B3523" w:rsidRDefault="0002580F" w:rsidP="0002580F">
      <w:pPr>
        <w:pStyle w:val="SingleTxtG"/>
        <w:ind w:left="2268" w:hanging="1134"/>
        <w:rPr>
          <w:bCs/>
          <w:iCs/>
        </w:rPr>
      </w:pPr>
      <w:r w:rsidRPr="004B3523">
        <w:rPr>
          <w:bCs/>
          <w:iCs/>
        </w:rPr>
        <w:tab/>
      </w:r>
      <w:r w:rsidRPr="004B3523">
        <w:rPr>
          <w:bCs/>
          <w:iCs/>
        </w:rPr>
        <w:tab/>
        <w:t>horizontally:</w:t>
      </w:r>
      <w:r w:rsidRPr="004B3523">
        <w:rPr>
          <w:bCs/>
          <w:iCs/>
        </w:rPr>
        <w:tab/>
        <w:t xml:space="preserve"> ± 25° </w:t>
      </w:r>
    </w:p>
    <w:p w14:paraId="70115FC6" w14:textId="77777777" w:rsidR="0002580F" w:rsidRPr="004B3523" w:rsidRDefault="0002580F" w:rsidP="0002580F">
      <w:pPr>
        <w:pStyle w:val="SingleTxtG"/>
        <w:ind w:left="2268"/>
        <w:rPr>
          <w:bCs/>
          <w:iCs/>
        </w:rPr>
      </w:pPr>
      <w:r w:rsidRPr="004B3523">
        <w:rPr>
          <w:bCs/>
          <w:iCs/>
        </w:rPr>
        <w:t>In this zone, the intensity of the projection shall not exceed 2.15</w:t>
      </w:r>
      <w:r w:rsidRPr="004B3523">
        <w:rPr>
          <w:rFonts w:ascii="Segoe UI Symbol" w:hAnsi="Segoe UI Symbol"/>
          <w:bCs/>
          <w:iCs/>
        </w:rPr>
        <w:t>·</w:t>
      </w:r>
      <w:r w:rsidRPr="004B3523">
        <w:rPr>
          <w:bCs/>
          <w:iCs/>
        </w:rPr>
        <w:t>10</w:t>
      </w:r>
      <w:r w:rsidRPr="004B3523">
        <w:rPr>
          <w:bCs/>
          <w:iCs/>
          <w:vertAlign w:val="superscript"/>
        </w:rPr>
        <w:t>5</w:t>
      </w:r>
      <w:r w:rsidRPr="004B3523">
        <w:rPr>
          <w:bCs/>
          <w:iCs/>
        </w:rPr>
        <w:t xml:space="preserve"> cd and shall not be less than the minimum intensities prescribed in Table 7.</w:t>
      </w:r>
    </w:p>
    <w:p w14:paraId="659413A2" w14:textId="77777777" w:rsidR="0002580F" w:rsidRPr="004B3523" w:rsidRDefault="0002580F" w:rsidP="0002580F">
      <w:pPr>
        <w:pStyle w:val="SingleTxtG"/>
        <w:tabs>
          <w:tab w:val="left" w:pos="2268"/>
        </w:tabs>
        <w:ind w:left="2268" w:hanging="1134"/>
        <w:rPr>
          <w:bCs/>
          <w:iCs/>
        </w:rPr>
      </w:pPr>
      <w:r w:rsidRPr="004B3523">
        <w:rPr>
          <w:bCs/>
        </w:rPr>
        <w:t>5.3.2.10.1.</w:t>
      </w:r>
      <w:r w:rsidRPr="004B3523">
        <w:rPr>
          <w:bCs/>
          <w:iCs/>
        </w:rPr>
        <w:tab/>
        <w:t>The colour of the light emitted for Driver Assistance Projection shall be white.</w:t>
      </w:r>
    </w:p>
    <w:p w14:paraId="7CC20C7C" w14:textId="2BF907B8" w:rsidR="0002580F" w:rsidRPr="004B3523" w:rsidRDefault="0002580F" w:rsidP="0002580F">
      <w:pPr>
        <w:pStyle w:val="SingleTxtG"/>
        <w:tabs>
          <w:tab w:val="left" w:pos="2268"/>
        </w:tabs>
        <w:ind w:left="2268" w:hanging="1134"/>
        <w:rPr>
          <w:bCs/>
          <w:i/>
        </w:rPr>
      </w:pPr>
      <w:r w:rsidRPr="004B3523">
        <w:rPr>
          <w:bCs/>
        </w:rPr>
        <w:t>5.3.2.10.2.</w:t>
      </w:r>
      <w:r w:rsidRPr="004B3523">
        <w:rPr>
          <w:bCs/>
          <w:iCs/>
        </w:rPr>
        <w:tab/>
        <w:t>In case a Driver Assistance Projection is approved as part of the passing-beam light distribution an indication shall be made in the communication form in Annex 1</w:t>
      </w:r>
      <w:r w:rsidR="004B3523">
        <w:rPr>
          <w:bCs/>
          <w:iCs/>
        </w:rPr>
        <w:t>.</w:t>
      </w:r>
      <w:r w:rsidRPr="004B3523">
        <w:rPr>
          <w:bCs/>
          <w:iCs/>
        </w:rPr>
        <w:t>”</w:t>
      </w:r>
      <w:r w:rsidRPr="004B3523">
        <w:rPr>
          <w:bCs/>
          <w:noProof/>
          <w:lang w:val="en-US" w:eastAsia="de-DE"/>
        </w:rPr>
        <w:t xml:space="preserve"> </w:t>
      </w:r>
    </w:p>
    <w:p w14:paraId="3B65DAB2" w14:textId="6B5DC226" w:rsidR="0002580F" w:rsidRPr="00465BBD" w:rsidRDefault="0002580F" w:rsidP="0002580F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lang w:val="en-US"/>
        </w:rPr>
      </w:pPr>
      <w:r>
        <w:rPr>
          <w:i/>
          <w:lang w:val="en-US"/>
        </w:rPr>
        <w:t>Paragraph</w:t>
      </w:r>
      <w:r w:rsidRPr="00465BBD">
        <w:rPr>
          <w:i/>
          <w:lang w:val="en-US"/>
        </w:rPr>
        <w:t xml:space="preserve"> 5.3.3.8.</w:t>
      </w:r>
      <w:r>
        <w:rPr>
          <w:i/>
        </w:rPr>
        <w:t xml:space="preserve">, </w:t>
      </w:r>
      <w:r>
        <w:rPr>
          <w:iCs/>
        </w:rPr>
        <w:t>amend</w:t>
      </w:r>
      <w:r w:rsidRPr="00465BBD">
        <w:rPr>
          <w:i/>
          <w:lang w:val="en-US"/>
        </w:rPr>
        <w:t xml:space="preserve"> </w:t>
      </w:r>
      <w:r w:rsidRPr="00465BBD">
        <w:rPr>
          <w:lang w:val="en-US"/>
        </w:rPr>
        <w:t>to read:</w:t>
      </w:r>
    </w:p>
    <w:p w14:paraId="4D83BD00" w14:textId="0ADBFB12" w:rsidR="0002580F" w:rsidRPr="00076F58" w:rsidRDefault="0002580F" w:rsidP="0002580F">
      <w:pPr>
        <w:spacing w:after="120"/>
        <w:ind w:left="2268" w:right="1134" w:hanging="1134"/>
        <w:jc w:val="both"/>
        <w:rPr>
          <w:iCs/>
        </w:rPr>
      </w:pPr>
      <w:r w:rsidRPr="0051597C">
        <w:rPr>
          <w:bCs/>
          <w:iCs/>
        </w:rPr>
        <w:t>“</w:t>
      </w:r>
      <w:r w:rsidRPr="0051597C">
        <w:rPr>
          <w:iCs/>
        </w:rPr>
        <w:t>5.3.3.8.</w:t>
      </w:r>
      <w:r w:rsidRPr="0051597C">
        <w:rPr>
          <w:iCs/>
        </w:rPr>
        <w:tab/>
      </w:r>
      <w:bookmarkStart w:id="0" w:name="_Hlk92362325"/>
      <w:r w:rsidRPr="00076F58">
        <w:rPr>
          <w:iCs/>
        </w:rPr>
        <w:t xml:space="preserve">The Driver Assistance Projection </w:t>
      </w:r>
      <w:bookmarkEnd w:id="0"/>
      <w:r w:rsidRPr="00076F58">
        <w:rPr>
          <w:iCs/>
        </w:rPr>
        <w:t>according to UN Regulation No. 48, paragraph 5.35., may be part of the driving-beam light distribution within a zone limited by the following angles:</w:t>
      </w:r>
    </w:p>
    <w:p w14:paraId="51F676C6" w14:textId="77777777" w:rsidR="0002580F" w:rsidRPr="00076F58" w:rsidRDefault="0002580F" w:rsidP="0002580F">
      <w:pPr>
        <w:spacing w:after="120"/>
        <w:ind w:left="2268" w:right="1134"/>
        <w:jc w:val="both"/>
        <w:rPr>
          <w:iCs/>
        </w:rPr>
      </w:pPr>
      <w:r w:rsidRPr="00076F58">
        <w:rPr>
          <w:iCs/>
        </w:rPr>
        <w:t>vertically:</w:t>
      </w:r>
      <w:r w:rsidRPr="00076F58">
        <w:rPr>
          <w:iCs/>
        </w:rPr>
        <w:tab/>
        <w:t>- 1.2° and below</w:t>
      </w:r>
    </w:p>
    <w:p w14:paraId="77377899" w14:textId="77777777" w:rsidR="0002580F" w:rsidRPr="00076F58" w:rsidRDefault="0002580F" w:rsidP="0002580F">
      <w:pPr>
        <w:spacing w:after="120"/>
        <w:ind w:left="2268" w:right="1134"/>
        <w:jc w:val="both"/>
        <w:rPr>
          <w:iCs/>
        </w:rPr>
      </w:pPr>
      <w:r w:rsidRPr="00076F58">
        <w:rPr>
          <w:iCs/>
        </w:rPr>
        <w:t xml:space="preserve">horizontally: </w:t>
      </w:r>
      <w:r w:rsidRPr="00076F58">
        <w:rPr>
          <w:iCs/>
        </w:rPr>
        <w:tab/>
        <w:t>± 25°</w:t>
      </w:r>
    </w:p>
    <w:p w14:paraId="261A6A4A" w14:textId="1EFF679C" w:rsidR="0002580F" w:rsidRPr="00076F58" w:rsidRDefault="0002580F" w:rsidP="0002580F">
      <w:pPr>
        <w:spacing w:after="120"/>
        <w:ind w:left="2268" w:right="1134"/>
        <w:jc w:val="both"/>
        <w:rPr>
          <w:iCs/>
        </w:rPr>
      </w:pPr>
      <w:r w:rsidRPr="00076F58">
        <w:rPr>
          <w:iCs/>
        </w:rPr>
        <w:t xml:space="preserve">The </w:t>
      </w:r>
      <w:bookmarkStart w:id="1" w:name="_Hlk92363020"/>
      <w:bookmarkStart w:id="2" w:name="_Hlk92362366"/>
      <w:r w:rsidRPr="00076F58">
        <w:rPr>
          <w:iCs/>
        </w:rPr>
        <w:t xml:space="preserve">Driver Assistance Projection </w:t>
      </w:r>
      <w:bookmarkEnd w:id="1"/>
      <w:r w:rsidRPr="00076F58">
        <w:rPr>
          <w:iCs/>
        </w:rPr>
        <w:t xml:space="preserve">may </w:t>
      </w:r>
      <w:bookmarkEnd w:id="2"/>
      <w:r w:rsidRPr="00076F58">
        <w:rPr>
          <w:iCs/>
        </w:rPr>
        <w:t>be produced by modifying the beam pattern in the zone defined above, where the luminous intensity in any point of the entire driving beam shall not exceed the maximum value (</w:t>
      </w:r>
      <w:r w:rsidRPr="00076F58">
        <w:rPr>
          <w:lang w:val="en-US"/>
        </w:rPr>
        <w:t>I</w:t>
      </w:r>
      <w:r w:rsidRPr="00076F58">
        <w:rPr>
          <w:vertAlign w:val="subscript"/>
          <w:lang w:val="en-US"/>
        </w:rPr>
        <w:t>max</w:t>
      </w:r>
      <w:r w:rsidRPr="00076F58">
        <w:rPr>
          <w:iCs/>
        </w:rPr>
        <w:t xml:space="preserve">) according to </w:t>
      </w:r>
      <w:bookmarkStart w:id="3" w:name="_Hlk82705395"/>
      <w:r w:rsidRPr="00076F58">
        <w:rPr>
          <w:iCs/>
        </w:rPr>
        <w:t>paragraph 5.1.4.2. and not be less than the minimum intensities prescribed in Table 13 Part B.</w:t>
      </w:r>
      <w:bookmarkEnd w:id="3"/>
      <w:r w:rsidR="00076F58">
        <w:rPr>
          <w:iCs/>
        </w:rPr>
        <w:t>”</w:t>
      </w:r>
    </w:p>
    <w:p w14:paraId="6C124E70" w14:textId="2A975210" w:rsidR="006C0886" w:rsidRPr="001D3FFA" w:rsidRDefault="00B136E4" w:rsidP="0002580F">
      <w:pPr>
        <w:spacing w:after="120"/>
        <w:ind w:left="2268" w:right="1134" w:hanging="1134"/>
        <w:jc w:val="both"/>
        <w:rPr>
          <w:iCs/>
        </w:rPr>
      </w:pPr>
      <w:r w:rsidRPr="001D3FFA">
        <w:rPr>
          <w:i/>
        </w:rPr>
        <w:t>Add a new paragraph</w:t>
      </w:r>
      <w:r w:rsidR="00076F58" w:rsidRPr="001D3FFA">
        <w:rPr>
          <w:i/>
        </w:rPr>
        <w:t xml:space="preserve"> </w:t>
      </w:r>
      <w:r w:rsidR="001D3FFA" w:rsidRPr="001D3FFA">
        <w:rPr>
          <w:i/>
        </w:rPr>
        <w:t>5.3.3.8.2.</w:t>
      </w:r>
      <w:r w:rsidR="001D3FFA" w:rsidRPr="001D3FFA">
        <w:rPr>
          <w:iCs/>
        </w:rPr>
        <w:t xml:space="preserve"> to read:</w:t>
      </w:r>
    </w:p>
    <w:p w14:paraId="7C722ED0" w14:textId="330C15F4" w:rsidR="0002580F" w:rsidRPr="001D3FFA" w:rsidRDefault="001D3FFA" w:rsidP="0002580F">
      <w:pPr>
        <w:spacing w:after="120"/>
        <w:ind w:left="2268" w:right="1134" w:hanging="1134"/>
        <w:jc w:val="both"/>
        <w:rPr>
          <w:iCs/>
        </w:rPr>
      </w:pPr>
      <w:r>
        <w:rPr>
          <w:iCs/>
        </w:rPr>
        <w:t>“</w:t>
      </w:r>
      <w:r w:rsidR="0002580F" w:rsidRPr="001D3FFA">
        <w:rPr>
          <w:iCs/>
        </w:rPr>
        <w:t>5.3.3.8.2.</w:t>
      </w:r>
      <w:r w:rsidR="0002580F" w:rsidRPr="001D3FFA">
        <w:rPr>
          <w:iCs/>
        </w:rPr>
        <w:tab/>
        <w:t>In case a Driver Assistance Projection is approved as part of the driving-beam light distribution an indication shall be made in the communication form in Annex 1.”</w:t>
      </w:r>
    </w:p>
    <w:p w14:paraId="7D02CFA1" w14:textId="77777777" w:rsidR="004A0B46" w:rsidRDefault="0002580F" w:rsidP="0002580F">
      <w:pPr>
        <w:spacing w:after="120"/>
        <w:ind w:left="2268" w:right="1134" w:hanging="1134"/>
        <w:jc w:val="both"/>
        <w:rPr>
          <w:i/>
          <w:iCs/>
        </w:rPr>
      </w:pPr>
      <w:r w:rsidRPr="000803DC">
        <w:rPr>
          <w:i/>
          <w:iCs/>
        </w:rPr>
        <w:t>Annex 1</w:t>
      </w:r>
      <w:r w:rsidRPr="0054034C">
        <w:rPr>
          <w:i/>
          <w:iCs/>
        </w:rPr>
        <w:t xml:space="preserve">, </w:t>
      </w:r>
    </w:p>
    <w:p w14:paraId="437AE61C" w14:textId="268AF21E" w:rsidR="0002580F" w:rsidRDefault="004A0B46" w:rsidP="0002580F">
      <w:pPr>
        <w:spacing w:after="120"/>
        <w:ind w:left="2268" w:right="1134" w:hanging="1134"/>
        <w:jc w:val="both"/>
      </w:pPr>
      <w:r>
        <w:rPr>
          <w:i/>
          <w:iCs/>
        </w:rPr>
        <w:t>A</w:t>
      </w:r>
      <w:r w:rsidR="0002580F" w:rsidRPr="0054034C">
        <w:rPr>
          <w:i/>
          <w:iCs/>
        </w:rPr>
        <w:t xml:space="preserve">dd new </w:t>
      </w:r>
      <w:r w:rsidR="00BD4220" w:rsidRPr="0054034C">
        <w:rPr>
          <w:i/>
          <w:iCs/>
        </w:rPr>
        <w:t xml:space="preserve">items </w:t>
      </w:r>
      <w:r w:rsidR="0002580F" w:rsidRPr="0054034C">
        <w:rPr>
          <w:i/>
          <w:iCs/>
        </w:rPr>
        <w:t>9.2.10.7. and 9.2.10.8.</w:t>
      </w:r>
      <w:r w:rsidR="00BD4220">
        <w:t xml:space="preserve"> to read</w:t>
      </w:r>
      <w:r w:rsidR="0002580F">
        <w:t>:</w:t>
      </w:r>
    </w:p>
    <w:p w14:paraId="5CDAA673" w14:textId="77777777" w:rsidR="0002580F" w:rsidRPr="00463C78" w:rsidRDefault="0002580F" w:rsidP="0002580F">
      <w:pPr>
        <w:spacing w:after="120"/>
        <w:ind w:left="2268" w:right="1134" w:hanging="1134"/>
        <w:jc w:val="both"/>
      </w:pPr>
      <w:r w:rsidRPr="00463C78">
        <w:t>“9.2.10.7.</w:t>
      </w:r>
      <w:r w:rsidRPr="00463C78">
        <w:tab/>
        <w:t>The Adaptive driving-beam may produce Driver Assistance Projection according to UN Regulation No. 48: yes/</w:t>
      </w:r>
      <w:proofErr w:type="gramStart"/>
      <w:r w:rsidRPr="00463C78">
        <w:t>no</w:t>
      </w:r>
      <w:r w:rsidRPr="00463C78">
        <w:rPr>
          <w:vertAlign w:val="superscript"/>
        </w:rPr>
        <w:t>2</w:t>
      </w:r>
      <w:proofErr w:type="gramEnd"/>
    </w:p>
    <w:p w14:paraId="4B30614B" w14:textId="77777777" w:rsidR="0002580F" w:rsidRPr="00463C78" w:rsidRDefault="0002580F" w:rsidP="0002580F">
      <w:pPr>
        <w:spacing w:after="120"/>
        <w:ind w:left="2268" w:right="1134" w:hanging="1134"/>
        <w:jc w:val="both"/>
      </w:pPr>
      <w:r w:rsidRPr="00463C78">
        <w:t>9.2.10.8.</w:t>
      </w:r>
      <w:r w:rsidRPr="00463C78">
        <w:tab/>
        <w:t>The passing-beam may produce Driver Assistance Projection according to UN Regulation No. 48: yes/</w:t>
      </w:r>
      <w:proofErr w:type="gramStart"/>
      <w:r w:rsidRPr="00463C78">
        <w:t>no</w:t>
      </w:r>
      <w:r w:rsidRPr="00463C78">
        <w:rPr>
          <w:vertAlign w:val="superscript"/>
        </w:rPr>
        <w:t>2</w:t>
      </w:r>
      <w:r w:rsidRPr="00463C78">
        <w:t>”</w:t>
      </w:r>
      <w:proofErr w:type="gramEnd"/>
    </w:p>
    <w:p w14:paraId="74F96737" w14:textId="44425C37" w:rsidR="00B52F3B" w:rsidRPr="00F1456D" w:rsidRDefault="00B52F3B" w:rsidP="00B52F3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643D25" w14:textId="574F4D20" w:rsidR="001C6663" w:rsidRPr="00B52F3B" w:rsidRDefault="001C6663" w:rsidP="00B52F3B"/>
    <w:sectPr w:rsidR="001C6663" w:rsidRPr="00B52F3B" w:rsidSect="00B52F3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5CC0" w14:textId="77777777" w:rsidR="00E300AD" w:rsidRDefault="00E300AD"/>
  </w:endnote>
  <w:endnote w:type="continuationSeparator" w:id="0">
    <w:p w14:paraId="53B2D2D6" w14:textId="77777777" w:rsidR="00E300AD" w:rsidRDefault="00E300AD"/>
  </w:endnote>
  <w:endnote w:type="continuationNotice" w:id="1">
    <w:p w14:paraId="11233728" w14:textId="77777777" w:rsidR="00E300AD" w:rsidRDefault="00E30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FDD6" w14:textId="34788106" w:rsidR="00B52F3B" w:rsidRPr="00B52F3B" w:rsidRDefault="00B52F3B" w:rsidP="00B52F3B">
    <w:pPr>
      <w:pStyle w:val="Footer"/>
      <w:tabs>
        <w:tab w:val="right" w:pos="9638"/>
      </w:tabs>
      <w:rPr>
        <w:sz w:val="18"/>
      </w:rPr>
    </w:pPr>
    <w:r w:rsidRPr="00B52F3B">
      <w:rPr>
        <w:b/>
        <w:sz w:val="18"/>
      </w:rPr>
      <w:fldChar w:fldCharType="begin"/>
    </w:r>
    <w:r w:rsidRPr="00B52F3B">
      <w:rPr>
        <w:b/>
        <w:sz w:val="18"/>
      </w:rPr>
      <w:instrText xml:space="preserve"> PAGE  \* MERGEFORMAT </w:instrText>
    </w:r>
    <w:r w:rsidRPr="00B52F3B">
      <w:rPr>
        <w:b/>
        <w:sz w:val="18"/>
      </w:rPr>
      <w:fldChar w:fldCharType="separate"/>
    </w:r>
    <w:r w:rsidRPr="00B52F3B">
      <w:rPr>
        <w:b/>
        <w:noProof/>
        <w:sz w:val="18"/>
      </w:rPr>
      <w:t>2</w:t>
    </w:r>
    <w:r w:rsidRPr="00B52F3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737C" w14:textId="15B0577F" w:rsidR="00B52F3B" w:rsidRPr="00B52F3B" w:rsidRDefault="00B52F3B" w:rsidP="00B52F3B">
    <w:pPr>
      <w:pStyle w:val="Footer"/>
      <w:tabs>
        <w:tab w:val="right" w:pos="9638"/>
      </w:tabs>
      <w:rPr>
        <w:b/>
        <w:sz w:val="18"/>
      </w:rPr>
    </w:pPr>
    <w:r>
      <w:tab/>
    </w:r>
    <w:r w:rsidRPr="00B52F3B">
      <w:rPr>
        <w:b/>
        <w:sz w:val="18"/>
      </w:rPr>
      <w:fldChar w:fldCharType="begin"/>
    </w:r>
    <w:r w:rsidRPr="00B52F3B">
      <w:rPr>
        <w:b/>
        <w:sz w:val="18"/>
      </w:rPr>
      <w:instrText xml:space="preserve"> PAGE  \* MERGEFORMAT </w:instrText>
    </w:r>
    <w:r w:rsidRPr="00B52F3B">
      <w:rPr>
        <w:b/>
        <w:sz w:val="18"/>
      </w:rPr>
      <w:fldChar w:fldCharType="separate"/>
    </w:r>
    <w:r w:rsidRPr="00B52F3B">
      <w:rPr>
        <w:b/>
        <w:noProof/>
        <w:sz w:val="18"/>
      </w:rPr>
      <w:t>3</w:t>
    </w:r>
    <w:r w:rsidRPr="00B52F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D305" w14:textId="4F39897D" w:rsidR="0035223F" w:rsidRDefault="00C22396" w:rsidP="00C22396">
    <w:pPr>
      <w:pStyle w:val="Footer"/>
      <w:rPr>
        <w:sz w:val="20"/>
      </w:rPr>
    </w:pPr>
    <w:r w:rsidRPr="00C22396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4664312D" wp14:editId="0CBF736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206C9" w14:textId="486FE731" w:rsidR="00C22396" w:rsidRPr="00C22396" w:rsidRDefault="00C22396" w:rsidP="00C22396">
    <w:pPr>
      <w:pStyle w:val="Footer"/>
      <w:ind w:right="1134"/>
      <w:rPr>
        <w:sz w:val="20"/>
      </w:rPr>
    </w:pPr>
    <w:r>
      <w:rPr>
        <w:sz w:val="20"/>
      </w:rPr>
      <w:t>GE.23-16301(E)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0FB103E3" wp14:editId="68590D9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63DD" w14:textId="77777777" w:rsidR="00E300AD" w:rsidRPr="000B175B" w:rsidRDefault="00E300A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7599DB" w14:textId="77777777" w:rsidR="00E300AD" w:rsidRPr="00FC68B7" w:rsidRDefault="00E300A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C06849" w14:textId="77777777" w:rsidR="00E300AD" w:rsidRDefault="00E300AD"/>
  </w:footnote>
  <w:footnote w:id="2">
    <w:p w14:paraId="2545176E" w14:textId="77777777" w:rsidR="00B52F3B" w:rsidRPr="00EA370C" w:rsidRDefault="00B52F3B" w:rsidP="00B52F3B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C25D" w14:textId="00167956" w:rsidR="00B52F3B" w:rsidRPr="00B52F3B" w:rsidRDefault="00021F21">
    <w:pPr>
      <w:pStyle w:val="Header"/>
    </w:pPr>
    <w:r>
      <w:t>ECE/TRANS/WP.29/2023/</w:t>
    </w:r>
    <w:r w:rsidR="00F10996">
      <w:t>97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3E5C" w14:textId="2062139E" w:rsidR="00B52F3B" w:rsidRPr="00B52F3B" w:rsidRDefault="00C22396" w:rsidP="00B52F3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F606E">
      <w:t>ECE/TRANS/WP.29/2023/02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118345">
    <w:abstractNumId w:val="1"/>
  </w:num>
  <w:num w:numId="2" w16cid:durableId="646594119">
    <w:abstractNumId w:val="0"/>
  </w:num>
  <w:num w:numId="3" w16cid:durableId="757674886">
    <w:abstractNumId w:val="2"/>
  </w:num>
  <w:num w:numId="4" w16cid:durableId="623269186">
    <w:abstractNumId w:val="3"/>
  </w:num>
  <w:num w:numId="5" w16cid:durableId="816725057">
    <w:abstractNumId w:val="8"/>
  </w:num>
  <w:num w:numId="6" w16cid:durableId="443573312">
    <w:abstractNumId w:val="9"/>
  </w:num>
  <w:num w:numId="7" w16cid:durableId="2105497223">
    <w:abstractNumId w:val="7"/>
  </w:num>
  <w:num w:numId="8" w16cid:durableId="876620184">
    <w:abstractNumId w:val="6"/>
  </w:num>
  <w:num w:numId="9" w16cid:durableId="1525289188">
    <w:abstractNumId w:val="5"/>
  </w:num>
  <w:num w:numId="10" w16cid:durableId="1221746214">
    <w:abstractNumId w:val="4"/>
  </w:num>
  <w:num w:numId="11" w16cid:durableId="916286443">
    <w:abstractNumId w:val="15"/>
  </w:num>
  <w:num w:numId="12" w16cid:durableId="1670714835">
    <w:abstractNumId w:val="14"/>
  </w:num>
  <w:num w:numId="13" w16cid:durableId="21169933">
    <w:abstractNumId w:val="10"/>
  </w:num>
  <w:num w:numId="14" w16cid:durableId="1614820349">
    <w:abstractNumId w:val="12"/>
  </w:num>
  <w:num w:numId="15" w16cid:durableId="271983115">
    <w:abstractNumId w:val="16"/>
  </w:num>
  <w:num w:numId="16" w16cid:durableId="2057197082">
    <w:abstractNumId w:val="13"/>
  </w:num>
  <w:num w:numId="17" w16cid:durableId="1801993351">
    <w:abstractNumId w:val="18"/>
  </w:num>
  <w:num w:numId="18" w16cid:durableId="105931860">
    <w:abstractNumId w:val="19"/>
  </w:num>
  <w:num w:numId="19" w16cid:durableId="654651158">
    <w:abstractNumId w:val="11"/>
  </w:num>
  <w:num w:numId="20" w16cid:durableId="24635225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3B"/>
    <w:rsid w:val="00002A7D"/>
    <w:rsid w:val="000038A8"/>
    <w:rsid w:val="00005DF3"/>
    <w:rsid w:val="00006790"/>
    <w:rsid w:val="0001492E"/>
    <w:rsid w:val="00021F21"/>
    <w:rsid w:val="0002580F"/>
    <w:rsid w:val="00027624"/>
    <w:rsid w:val="00044C6C"/>
    <w:rsid w:val="00050F6B"/>
    <w:rsid w:val="00066A9A"/>
    <w:rsid w:val="000678CD"/>
    <w:rsid w:val="00072C8C"/>
    <w:rsid w:val="00076F58"/>
    <w:rsid w:val="00081CE0"/>
    <w:rsid w:val="00084D30"/>
    <w:rsid w:val="00090320"/>
    <w:rsid w:val="000931C0"/>
    <w:rsid w:val="00097003"/>
    <w:rsid w:val="000A2E09"/>
    <w:rsid w:val="000B175B"/>
    <w:rsid w:val="000B3A0F"/>
    <w:rsid w:val="000C635E"/>
    <w:rsid w:val="000D4B44"/>
    <w:rsid w:val="000E0415"/>
    <w:rsid w:val="000E0922"/>
    <w:rsid w:val="000F7715"/>
    <w:rsid w:val="00105D95"/>
    <w:rsid w:val="00136A81"/>
    <w:rsid w:val="00156B99"/>
    <w:rsid w:val="00166124"/>
    <w:rsid w:val="0017288C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D3FFA"/>
    <w:rsid w:val="001E5954"/>
    <w:rsid w:val="001F1599"/>
    <w:rsid w:val="001F19C4"/>
    <w:rsid w:val="001F5A2D"/>
    <w:rsid w:val="002043F0"/>
    <w:rsid w:val="002101A4"/>
    <w:rsid w:val="00211E0B"/>
    <w:rsid w:val="0022671F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2F424E"/>
    <w:rsid w:val="00301764"/>
    <w:rsid w:val="00321A66"/>
    <w:rsid w:val="003229D8"/>
    <w:rsid w:val="00332BD9"/>
    <w:rsid w:val="00336C97"/>
    <w:rsid w:val="00337F88"/>
    <w:rsid w:val="00342432"/>
    <w:rsid w:val="0035223F"/>
    <w:rsid w:val="00352D4B"/>
    <w:rsid w:val="0035638C"/>
    <w:rsid w:val="003A15D6"/>
    <w:rsid w:val="003A46BB"/>
    <w:rsid w:val="003A4EC7"/>
    <w:rsid w:val="003A7295"/>
    <w:rsid w:val="003B1F60"/>
    <w:rsid w:val="003C2CC4"/>
    <w:rsid w:val="003D4B23"/>
    <w:rsid w:val="003E278A"/>
    <w:rsid w:val="003F46C9"/>
    <w:rsid w:val="004021DC"/>
    <w:rsid w:val="00413520"/>
    <w:rsid w:val="00420F88"/>
    <w:rsid w:val="004325CB"/>
    <w:rsid w:val="00440A07"/>
    <w:rsid w:val="004563A9"/>
    <w:rsid w:val="00462880"/>
    <w:rsid w:val="00463C78"/>
    <w:rsid w:val="00465402"/>
    <w:rsid w:val="00476F24"/>
    <w:rsid w:val="00481F73"/>
    <w:rsid w:val="004A0B46"/>
    <w:rsid w:val="004A5D33"/>
    <w:rsid w:val="004B3523"/>
    <w:rsid w:val="004B57CC"/>
    <w:rsid w:val="004C3420"/>
    <w:rsid w:val="004C55B0"/>
    <w:rsid w:val="004D4AA1"/>
    <w:rsid w:val="004E0549"/>
    <w:rsid w:val="004F01C0"/>
    <w:rsid w:val="004F6BA0"/>
    <w:rsid w:val="00503BEA"/>
    <w:rsid w:val="00524589"/>
    <w:rsid w:val="00533616"/>
    <w:rsid w:val="00535ABA"/>
    <w:rsid w:val="0053768B"/>
    <w:rsid w:val="0054034C"/>
    <w:rsid w:val="005420F2"/>
    <w:rsid w:val="0054285C"/>
    <w:rsid w:val="00584173"/>
    <w:rsid w:val="00592533"/>
    <w:rsid w:val="00595520"/>
    <w:rsid w:val="005A44B9"/>
    <w:rsid w:val="005B1BA0"/>
    <w:rsid w:val="005B3DB3"/>
    <w:rsid w:val="005B5438"/>
    <w:rsid w:val="005C0268"/>
    <w:rsid w:val="005C71D3"/>
    <w:rsid w:val="005D01C4"/>
    <w:rsid w:val="005D15CA"/>
    <w:rsid w:val="005F0432"/>
    <w:rsid w:val="005F08DF"/>
    <w:rsid w:val="005F17FB"/>
    <w:rsid w:val="005F3066"/>
    <w:rsid w:val="005F3E61"/>
    <w:rsid w:val="005F7C24"/>
    <w:rsid w:val="00604DDD"/>
    <w:rsid w:val="006115CC"/>
    <w:rsid w:val="00611FC4"/>
    <w:rsid w:val="00613ACA"/>
    <w:rsid w:val="006176FB"/>
    <w:rsid w:val="00630FCB"/>
    <w:rsid w:val="00640B26"/>
    <w:rsid w:val="006511E0"/>
    <w:rsid w:val="0065766B"/>
    <w:rsid w:val="006770B2"/>
    <w:rsid w:val="00686A48"/>
    <w:rsid w:val="0068763C"/>
    <w:rsid w:val="00690D7B"/>
    <w:rsid w:val="00691BE9"/>
    <w:rsid w:val="006940E1"/>
    <w:rsid w:val="006A3C72"/>
    <w:rsid w:val="006A7392"/>
    <w:rsid w:val="006B03A1"/>
    <w:rsid w:val="006B67D9"/>
    <w:rsid w:val="006C0886"/>
    <w:rsid w:val="006C5535"/>
    <w:rsid w:val="006D0589"/>
    <w:rsid w:val="006D4D90"/>
    <w:rsid w:val="006E564B"/>
    <w:rsid w:val="006E7154"/>
    <w:rsid w:val="007003CD"/>
    <w:rsid w:val="00706FD4"/>
    <w:rsid w:val="0070701E"/>
    <w:rsid w:val="0072632A"/>
    <w:rsid w:val="00730E9D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05FA7"/>
    <w:rsid w:val="00810BAC"/>
    <w:rsid w:val="008175E9"/>
    <w:rsid w:val="008242D7"/>
    <w:rsid w:val="0082577B"/>
    <w:rsid w:val="00825CB5"/>
    <w:rsid w:val="0084581D"/>
    <w:rsid w:val="00866893"/>
    <w:rsid w:val="00866F02"/>
    <w:rsid w:val="00867D18"/>
    <w:rsid w:val="00871F9A"/>
    <w:rsid w:val="00871FD5"/>
    <w:rsid w:val="0088172E"/>
    <w:rsid w:val="00881EFA"/>
    <w:rsid w:val="00883D59"/>
    <w:rsid w:val="008879CB"/>
    <w:rsid w:val="008979B1"/>
    <w:rsid w:val="008A3FE7"/>
    <w:rsid w:val="008A6B25"/>
    <w:rsid w:val="008A6C4F"/>
    <w:rsid w:val="008B389E"/>
    <w:rsid w:val="008D045E"/>
    <w:rsid w:val="008D3F25"/>
    <w:rsid w:val="008D4D82"/>
    <w:rsid w:val="008E0E46"/>
    <w:rsid w:val="008E1E3B"/>
    <w:rsid w:val="008E7116"/>
    <w:rsid w:val="008F143B"/>
    <w:rsid w:val="008F3882"/>
    <w:rsid w:val="008F4B7C"/>
    <w:rsid w:val="00913573"/>
    <w:rsid w:val="00926E47"/>
    <w:rsid w:val="00947162"/>
    <w:rsid w:val="009511AE"/>
    <w:rsid w:val="00954D65"/>
    <w:rsid w:val="00955AF0"/>
    <w:rsid w:val="009610D0"/>
    <w:rsid w:val="0096375C"/>
    <w:rsid w:val="009662E6"/>
    <w:rsid w:val="0097095E"/>
    <w:rsid w:val="00984C64"/>
    <w:rsid w:val="0098592B"/>
    <w:rsid w:val="00985FC4"/>
    <w:rsid w:val="00990766"/>
    <w:rsid w:val="00991261"/>
    <w:rsid w:val="009964C4"/>
    <w:rsid w:val="009A7B81"/>
    <w:rsid w:val="009B7EB7"/>
    <w:rsid w:val="009C1B2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1234"/>
    <w:rsid w:val="00A425EB"/>
    <w:rsid w:val="00A72F22"/>
    <w:rsid w:val="00A733BC"/>
    <w:rsid w:val="00A748A6"/>
    <w:rsid w:val="00A76A69"/>
    <w:rsid w:val="00A879A4"/>
    <w:rsid w:val="00AA0FF8"/>
    <w:rsid w:val="00AA317A"/>
    <w:rsid w:val="00AC0F2C"/>
    <w:rsid w:val="00AC502A"/>
    <w:rsid w:val="00AE0B22"/>
    <w:rsid w:val="00AE1E26"/>
    <w:rsid w:val="00AF58C1"/>
    <w:rsid w:val="00AF66B2"/>
    <w:rsid w:val="00B04A3F"/>
    <w:rsid w:val="00B06643"/>
    <w:rsid w:val="00B136E4"/>
    <w:rsid w:val="00B15055"/>
    <w:rsid w:val="00B20551"/>
    <w:rsid w:val="00B27E58"/>
    <w:rsid w:val="00B30179"/>
    <w:rsid w:val="00B31E0B"/>
    <w:rsid w:val="00B33FC7"/>
    <w:rsid w:val="00B35CC2"/>
    <w:rsid w:val="00B37B15"/>
    <w:rsid w:val="00B4162A"/>
    <w:rsid w:val="00B45C02"/>
    <w:rsid w:val="00B52F3B"/>
    <w:rsid w:val="00B70B63"/>
    <w:rsid w:val="00B72A1E"/>
    <w:rsid w:val="00B7701A"/>
    <w:rsid w:val="00B81E12"/>
    <w:rsid w:val="00B82C1C"/>
    <w:rsid w:val="00BA339B"/>
    <w:rsid w:val="00BB23CC"/>
    <w:rsid w:val="00BC1E7E"/>
    <w:rsid w:val="00BC74E9"/>
    <w:rsid w:val="00BC7E30"/>
    <w:rsid w:val="00BD4220"/>
    <w:rsid w:val="00BE36A9"/>
    <w:rsid w:val="00BE5E3F"/>
    <w:rsid w:val="00BE618E"/>
    <w:rsid w:val="00BE6D0C"/>
    <w:rsid w:val="00BE7BEC"/>
    <w:rsid w:val="00BF0A5A"/>
    <w:rsid w:val="00BF0E63"/>
    <w:rsid w:val="00BF12A3"/>
    <w:rsid w:val="00BF16D7"/>
    <w:rsid w:val="00BF2373"/>
    <w:rsid w:val="00BF25B0"/>
    <w:rsid w:val="00BF279B"/>
    <w:rsid w:val="00C044E2"/>
    <w:rsid w:val="00C048CB"/>
    <w:rsid w:val="00C05ADC"/>
    <w:rsid w:val="00C066F3"/>
    <w:rsid w:val="00C22396"/>
    <w:rsid w:val="00C463DD"/>
    <w:rsid w:val="00C745C3"/>
    <w:rsid w:val="00C87D09"/>
    <w:rsid w:val="00C978F5"/>
    <w:rsid w:val="00CA24A4"/>
    <w:rsid w:val="00CB348D"/>
    <w:rsid w:val="00CB4914"/>
    <w:rsid w:val="00CB4E49"/>
    <w:rsid w:val="00CD46F5"/>
    <w:rsid w:val="00CD6EEC"/>
    <w:rsid w:val="00CE4A8F"/>
    <w:rsid w:val="00CF071D"/>
    <w:rsid w:val="00D0123D"/>
    <w:rsid w:val="00D15B04"/>
    <w:rsid w:val="00D2031B"/>
    <w:rsid w:val="00D25FE2"/>
    <w:rsid w:val="00D2736B"/>
    <w:rsid w:val="00D37DA9"/>
    <w:rsid w:val="00D406A7"/>
    <w:rsid w:val="00D43252"/>
    <w:rsid w:val="00D44D86"/>
    <w:rsid w:val="00D50B7D"/>
    <w:rsid w:val="00D52012"/>
    <w:rsid w:val="00D6385D"/>
    <w:rsid w:val="00D704E5"/>
    <w:rsid w:val="00D72727"/>
    <w:rsid w:val="00D87CB6"/>
    <w:rsid w:val="00D978C6"/>
    <w:rsid w:val="00DA0956"/>
    <w:rsid w:val="00DA357F"/>
    <w:rsid w:val="00DA3E12"/>
    <w:rsid w:val="00DC18AD"/>
    <w:rsid w:val="00DC2FC2"/>
    <w:rsid w:val="00DD5F78"/>
    <w:rsid w:val="00DF7CAE"/>
    <w:rsid w:val="00E300AD"/>
    <w:rsid w:val="00E350AC"/>
    <w:rsid w:val="00E40146"/>
    <w:rsid w:val="00E423C0"/>
    <w:rsid w:val="00E6414C"/>
    <w:rsid w:val="00E7260F"/>
    <w:rsid w:val="00E83ACB"/>
    <w:rsid w:val="00E8702D"/>
    <w:rsid w:val="00E905F4"/>
    <w:rsid w:val="00E916A9"/>
    <w:rsid w:val="00E916DE"/>
    <w:rsid w:val="00E925AD"/>
    <w:rsid w:val="00E96630"/>
    <w:rsid w:val="00EA3480"/>
    <w:rsid w:val="00ED18DC"/>
    <w:rsid w:val="00ED6201"/>
    <w:rsid w:val="00ED7A2A"/>
    <w:rsid w:val="00EE03AD"/>
    <w:rsid w:val="00EF1D7F"/>
    <w:rsid w:val="00F0137E"/>
    <w:rsid w:val="00F04E44"/>
    <w:rsid w:val="00F10996"/>
    <w:rsid w:val="00F21786"/>
    <w:rsid w:val="00F25D06"/>
    <w:rsid w:val="00F31CFF"/>
    <w:rsid w:val="00F3742B"/>
    <w:rsid w:val="00F41FDB"/>
    <w:rsid w:val="00F50597"/>
    <w:rsid w:val="00F56D63"/>
    <w:rsid w:val="00F609A9"/>
    <w:rsid w:val="00F64B7D"/>
    <w:rsid w:val="00F65240"/>
    <w:rsid w:val="00F65BE1"/>
    <w:rsid w:val="00F67474"/>
    <w:rsid w:val="00F67BB7"/>
    <w:rsid w:val="00F7698F"/>
    <w:rsid w:val="00F80C99"/>
    <w:rsid w:val="00F867EC"/>
    <w:rsid w:val="00F91B2B"/>
    <w:rsid w:val="00FA09E0"/>
    <w:rsid w:val="00FC03CD"/>
    <w:rsid w:val="00FC0646"/>
    <w:rsid w:val="00FC17B1"/>
    <w:rsid w:val="00FC68B7"/>
    <w:rsid w:val="00FD00FA"/>
    <w:rsid w:val="00FE6985"/>
    <w:rsid w:val="00FF5190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0FE40"/>
  <w15:docId w15:val="{4BAC530B-1254-4E58-AE18-5305D0D3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B52F3B"/>
    <w:rPr>
      <w:lang w:val="en-GB"/>
    </w:rPr>
  </w:style>
  <w:style w:type="character" w:customStyle="1" w:styleId="HChGChar">
    <w:name w:val="_ H _Ch_G Char"/>
    <w:link w:val="HChG"/>
    <w:locked/>
    <w:rsid w:val="00B52F3B"/>
    <w:rPr>
      <w:b/>
      <w:sz w:val="28"/>
      <w:lang w:val="en-GB"/>
    </w:rPr>
  </w:style>
  <w:style w:type="character" w:customStyle="1" w:styleId="H1GChar">
    <w:name w:val="_ H_1_G Char"/>
    <w:link w:val="H1G"/>
    <w:locked/>
    <w:rsid w:val="00B52F3B"/>
    <w:rPr>
      <w:b/>
      <w:sz w:val="24"/>
      <w:lang w:val="en-GB"/>
    </w:rPr>
  </w:style>
  <w:style w:type="paragraph" w:customStyle="1" w:styleId="para">
    <w:name w:val="para"/>
    <w:basedOn w:val="Normal"/>
    <w:link w:val="paraChar"/>
    <w:qFormat/>
    <w:rsid w:val="00B52F3B"/>
    <w:pPr>
      <w:suppressAutoHyphens w:val="0"/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B52F3B"/>
    <w:rPr>
      <w:rFonts w:eastAsia="Yu Mincho"/>
      <w:snapToGrid w:val="0"/>
      <w:lang w:eastAsia="en-US"/>
    </w:rPr>
  </w:style>
  <w:style w:type="paragraph" w:customStyle="1" w:styleId="a">
    <w:name w:val="a)"/>
    <w:basedOn w:val="Normal"/>
    <w:rsid w:val="00B52F3B"/>
    <w:pPr>
      <w:tabs>
        <w:tab w:val="decimal" w:pos="567"/>
      </w:tabs>
      <w:spacing w:after="120"/>
      <w:ind w:left="2835" w:right="1134" w:hanging="567"/>
      <w:jc w:val="both"/>
    </w:pPr>
    <w:rPr>
      <w:rFonts w:eastAsia="SimSun"/>
      <w:lang w:val="fr-CH" w:eastAsia="en-US"/>
    </w:rPr>
  </w:style>
  <w:style w:type="character" w:customStyle="1" w:styleId="ui-provider">
    <w:name w:val="ui-provider"/>
    <w:basedOn w:val="DefaultParagraphFont"/>
    <w:rsid w:val="00B52F3B"/>
  </w:style>
  <w:style w:type="paragraph" w:styleId="ListParagraph">
    <w:name w:val="List Paragraph"/>
    <w:basedOn w:val="Normal"/>
    <w:uiPriority w:val="34"/>
    <w:qFormat/>
    <w:rsid w:val="006511E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paragraph" w:customStyle="1" w:styleId="ParaNo">
    <w:name w:val="ParaNo."/>
    <w:basedOn w:val="Normal"/>
    <w:rsid w:val="00AE0B22"/>
    <w:pPr>
      <w:numPr>
        <w:numId w:val="20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 w:eastAsia="en-US"/>
    </w:rPr>
  </w:style>
  <w:style w:type="paragraph" w:customStyle="1" w:styleId="Para0">
    <w:name w:val="Para"/>
    <w:basedOn w:val="ParaNo"/>
    <w:qFormat/>
    <w:rsid w:val="00AE0B22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i">
    <w:name w:val="(i)"/>
    <w:basedOn w:val="Normal"/>
    <w:qFormat/>
    <w:rsid w:val="00AE0B22"/>
    <w:pPr>
      <w:spacing w:after="120"/>
      <w:ind w:left="3402" w:right="1134" w:hanging="567"/>
      <w:jc w:val="both"/>
    </w:pPr>
    <w:rPr>
      <w:lang w:val="it-IT" w:eastAsia="en-US"/>
    </w:rPr>
  </w:style>
  <w:style w:type="paragraph" w:styleId="Revision">
    <w:name w:val="Revision"/>
    <w:hidden/>
    <w:uiPriority w:val="99"/>
    <w:semiHidden/>
    <w:rsid w:val="00F1099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24B72-CEF9-4B65-9384-27C26C353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C7892-4621-4D45-BA8D-C6F6AEC30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2415</Characters>
  <Application>Microsoft Office Word</Application>
  <DocSecurity>0</DocSecurity>
  <Lines>62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ECE/TRANS/WP.29/2023/97</dc:title>
  <dc:subject>2316301</dc:subject>
  <dc:creator>Una Giltsoff</dc:creator>
  <cp:keywords/>
  <dc:description/>
  <cp:lastModifiedBy>Una Giltsoff</cp:lastModifiedBy>
  <cp:revision>2</cp:revision>
  <cp:lastPrinted>2023-09-26T13:47:00Z</cp:lastPrinted>
  <dcterms:created xsi:type="dcterms:W3CDTF">2023-09-27T06:20:00Z</dcterms:created>
  <dcterms:modified xsi:type="dcterms:W3CDTF">2023-09-27T06:20:00Z</dcterms:modified>
</cp:coreProperties>
</file>