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09CBF16" w14:textId="77777777" w:rsidTr="00C97039">
        <w:trPr>
          <w:trHeight w:hRule="exact" w:val="851"/>
        </w:trPr>
        <w:tc>
          <w:tcPr>
            <w:tcW w:w="1276" w:type="dxa"/>
            <w:tcBorders>
              <w:bottom w:val="single" w:sz="4" w:space="0" w:color="auto"/>
            </w:tcBorders>
          </w:tcPr>
          <w:p w14:paraId="594B3251" w14:textId="77777777" w:rsidR="00F35BAF" w:rsidRPr="00DB58B5" w:rsidRDefault="00F35BAF" w:rsidP="004628FD"/>
        </w:tc>
        <w:tc>
          <w:tcPr>
            <w:tcW w:w="2268" w:type="dxa"/>
            <w:tcBorders>
              <w:bottom w:val="single" w:sz="4" w:space="0" w:color="auto"/>
            </w:tcBorders>
            <w:vAlign w:val="bottom"/>
          </w:tcPr>
          <w:p w14:paraId="34D63BF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9C689AF" w14:textId="48322283" w:rsidR="00F35BAF" w:rsidRPr="00DB58B5" w:rsidRDefault="004628FD" w:rsidP="004628FD">
            <w:pPr>
              <w:jc w:val="right"/>
            </w:pPr>
            <w:r w:rsidRPr="004628FD">
              <w:rPr>
                <w:sz w:val="40"/>
              </w:rPr>
              <w:t>ECE</w:t>
            </w:r>
            <w:r>
              <w:t>/TRANS/WP.29/2023/96</w:t>
            </w:r>
          </w:p>
        </w:tc>
      </w:tr>
      <w:tr w:rsidR="00F35BAF" w:rsidRPr="00DB58B5" w14:paraId="1D5748AB" w14:textId="77777777" w:rsidTr="00C97039">
        <w:trPr>
          <w:trHeight w:hRule="exact" w:val="2835"/>
        </w:trPr>
        <w:tc>
          <w:tcPr>
            <w:tcW w:w="1276" w:type="dxa"/>
            <w:tcBorders>
              <w:top w:val="single" w:sz="4" w:space="0" w:color="auto"/>
              <w:bottom w:val="single" w:sz="12" w:space="0" w:color="auto"/>
            </w:tcBorders>
          </w:tcPr>
          <w:p w14:paraId="485B97E4" w14:textId="77777777" w:rsidR="00F35BAF" w:rsidRPr="00DB58B5" w:rsidRDefault="00F35BAF" w:rsidP="00C97039">
            <w:pPr>
              <w:spacing w:before="120"/>
              <w:jc w:val="center"/>
            </w:pPr>
            <w:r>
              <w:rPr>
                <w:noProof/>
                <w:lang w:eastAsia="fr-CH"/>
              </w:rPr>
              <w:drawing>
                <wp:inline distT="0" distB="0" distL="0" distR="0" wp14:anchorId="0CBC962A" wp14:editId="39D97D8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DEEB0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88AEE3F" w14:textId="77777777" w:rsidR="00F35BAF" w:rsidRDefault="004628FD" w:rsidP="00C97039">
            <w:pPr>
              <w:spacing w:before="240"/>
            </w:pPr>
            <w:proofErr w:type="spellStart"/>
            <w:r>
              <w:t>Distr</w:t>
            </w:r>
            <w:proofErr w:type="spellEnd"/>
            <w:r>
              <w:t>. générale</w:t>
            </w:r>
          </w:p>
          <w:p w14:paraId="2D0905B4" w14:textId="77777777" w:rsidR="004628FD" w:rsidRDefault="004628FD" w:rsidP="004628FD">
            <w:pPr>
              <w:spacing w:line="240" w:lineRule="exact"/>
            </w:pPr>
            <w:r>
              <w:t>24 août 2023</w:t>
            </w:r>
          </w:p>
          <w:p w14:paraId="261868FB" w14:textId="77777777" w:rsidR="004628FD" w:rsidRDefault="004628FD" w:rsidP="004628FD">
            <w:pPr>
              <w:spacing w:line="240" w:lineRule="exact"/>
            </w:pPr>
            <w:r>
              <w:t>Français</w:t>
            </w:r>
          </w:p>
          <w:p w14:paraId="0EEC6124" w14:textId="7AC5F6FC" w:rsidR="004628FD" w:rsidRPr="00DB58B5" w:rsidRDefault="004628FD" w:rsidP="004628FD">
            <w:pPr>
              <w:spacing w:line="240" w:lineRule="exact"/>
            </w:pPr>
            <w:r>
              <w:t>Original : anglais</w:t>
            </w:r>
          </w:p>
        </w:tc>
      </w:tr>
    </w:tbl>
    <w:p w14:paraId="388B9081" w14:textId="77777777" w:rsidR="007F20FA" w:rsidRPr="000312C0" w:rsidRDefault="007F20FA" w:rsidP="007F20FA">
      <w:pPr>
        <w:spacing w:before="120"/>
        <w:rPr>
          <w:b/>
          <w:sz w:val="28"/>
          <w:szCs w:val="28"/>
        </w:rPr>
      </w:pPr>
      <w:r w:rsidRPr="000312C0">
        <w:rPr>
          <w:b/>
          <w:sz w:val="28"/>
          <w:szCs w:val="28"/>
        </w:rPr>
        <w:t>Commission économique pour l’Europe</w:t>
      </w:r>
    </w:p>
    <w:p w14:paraId="5D336A2C" w14:textId="77777777" w:rsidR="007F20FA" w:rsidRDefault="007F20FA" w:rsidP="007F20FA">
      <w:pPr>
        <w:spacing w:before="120"/>
        <w:rPr>
          <w:sz w:val="28"/>
          <w:szCs w:val="28"/>
        </w:rPr>
      </w:pPr>
      <w:r w:rsidRPr="00685843">
        <w:rPr>
          <w:sz w:val="28"/>
          <w:szCs w:val="28"/>
        </w:rPr>
        <w:t>Comité des transports intérieurs</w:t>
      </w:r>
    </w:p>
    <w:p w14:paraId="739ACCF7" w14:textId="38F99CF8" w:rsidR="00074DF7" w:rsidRPr="00074DF7" w:rsidRDefault="00074DF7" w:rsidP="00074DF7">
      <w:pPr>
        <w:spacing w:before="120"/>
        <w:rPr>
          <w:b/>
          <w:bCs/>
          <w:sz w:val="24"/>
          <w:szCs w:val="24"/>
        </w:rPr>
      </w:pPr>
      <w:r w:rsidRPr="00074DF7">
        <w:rPr>
          <w:b/>
          <w:bCs/>
          <w:sz w:val="24"/>
          <w:szCs w:val="24"/>
          <w:lang w:val="fr-FR"/>
        </w:rPr>
        <w:t xml:space="preserve">Forum mondial de l’harmonisation des Règlements </w:t>
      </w:r>
      <w:r>
        <w:rPr>
          <w:b/>
          <w:bCs/>
          <w:sz w:val="24"/>
          <w:szCs w:val="24"/>
          <w:lang w:val="fr-FR"/>
        </w:rPr>
        <w:br/>
      </w:r>
      <w:r w:rsidRPr="00074DF7">
        <w:rPr>
          <w:b/>
          <w:bCs/>
          <w:sz w:val="24"/>
          <w:szCs w:val="24"/>
          <w:lang w:val="fr-FR"/>
        </w:rPr>
        <w:t>concernant les véhicules</w:t>
      </w:r>
    </w:p>
    <w:p w14:paraId="14B610CD" w14:textId="77777777" w:rsidR="00074DF7" w:rsidRPr="004A7781" w:rsidRDefault="00074DF7" w:rsidP="00074DF7">
      <w:pPr>
        <w:spacing w:before="120"/>
        <w:rPr>
          <w:b/>
        </w:rPr>
      </w:pPr>
      <w:r>
        <w:rPr>
          <w:b/>
          <w:bCs/>
          <w:lang w:val="fr-FR"/>
        </w:rPr>
        <w:t>191</w:t>
      </w:r>
      <w:r w:rsidRPr="002F5C39">
        <w:rPr>
          <w:b/>
          <w:bCs/>
          <w:vertAlign w:val="superscript"/>
          <w:lang w:val="fr-FR"/>
        </w:rPr>
        <w:t>e</w:t>
      </w:r>
      <w:r>
        <w:rPr>
          <w:b/>
          <w:bCs/>
          <w:lang w:val="fr-FR"/>
        </w:rPr>
        <w:t xml:space="preserve"> session</w:t>
      </w:r>
    </w:p>
    <w:p w14:paraId="27AF3FB2" w14:textId="4F90C588" w:rsidR="00074DF7" w:rsidRPr="004A7781" w:rsidRDefault="00074DF7" w:rsidP="00074DF7">
      <w:r>
        <w:rPr>
          <w:lang w:val="fr-FR"/>
        </w:rPr>
        <w:t>Genève, 14-1</w:t>
      </w:r>
      <w:r>
        <w:rPr>
          <w:lang w:val="fr-FR"/>
        </w:rPr>
        <w:t>6</w:t>
      </w:r>
      <w:r>
        <w:rPr>
          <w:lang w:val="fr-FR"/>
        </w:rPr>
        <w:t xml:space="preserve"> novembre 2023</w:t>
      </w:r>
    </w:p>
    <w:p w14:paraId="092B647D" w14:textId="77777777" w:rsidR="00074DF7" w:rsidRPr="004A7781" w:rsidRDefault="00074DF7" w:rsidP="00074DF7">
      <w:r>
        <w:rPr>
          <w:lang w:val="fr-FR"/>
        </w:rPr>
        <w:t>Point 4.6.6 de l’ordre du jour provisoire</w:t>
      </w:r>
    </w:p>
    <w:p w14:paraId="12CD158A" w14:textId="0BA35370" w:rsidR="00074DF7" w:rsidRPr="004A7781" w:rsidRDefault="00074DF7" w:rsidP="00074DF7">
      <w:pPr>
        <w:rPr>
          <w:b/>
          <w:bCs/>
        </w:rPr>
      </w:pPr>
      <w:r>
        <w:rPr>
          <w:b/>
          <w:bCs/>
          <w:lang w:val="fr-FR"/>
        </w:rPr>
        <w:t>Accord de 1958 :</w:t>
      </w:r>
      <w:r>
        <w:rPr>
          <w:b/>
          <w:bCs/>
          <w:lang w:val="fr-FR"/>
        </w:rPr>
        <w:t xml:space="preserve"> </w:t>
      </w:r>
      <w:r>
        <w:rPr>
          <w:b/>
          <w:bCs/>
          <w:lang w:val="fr-FR"/>
        </w:rPr>
        <w:t xml:space="preserve">Examen de projets d’amendements </w:t>
      </w:r>
      <w:r>
        <w:rPr>
          <w:b/>
          <w:bCs/>
          <w:lang w:val="fr-FR"/>
        </w:rPr>
        <w:br/>
      </w:r>
      <w:r>
        <w:rPr>
          <w:b/>
          <w:bCs/>
          <w:lang w:val="fr-FR"/>
        </w:rPr>
        <w:t>à des Règlements ONU</w:t>
      </w:r>
      <w:r>
        <w:rPr>
          <w:b/>
          <w:bCs/>
          <w:lang w:val="fr-FR"/>
        </w:rPr>
        <w:t xml:space="preserve"> </w:t>
      </w:r>
      <w:r>
        <w:rPr>
          <w:b/>
          <w:bCs/>
          <w:lang w:val="fr-FR"/>
        </w:rPr>
        <w:t>existants, soumis par le GRE</w:t>
      </w:r>
    </w:p>
    <w:p w14:paraId="60BFFA5D" w14:textId="4DEC4FFA" w:rsidR="00074DF7" w:rsidRPr="004A7781" w:rsidRDefault="00C64CDB" w:rsidP="00C64CDB">
      <w:pPr>
        <w:pStyle w:val="HChG"/>
      </w:pPr>
      <w:r>
        <w:rPr>
          <w:lang w:val="fr-FR"/>
        </w:rPr>
        <w:tab/>
      </w:r>
      <w:r>
        <w:rPr>
          <w:lang w:val="fr-FR"/>
        </w:rPr>
        <w:tab/>
      </w:r>
      <w:r w:rsidR="00074DF7">
        <w:rPr>
          <w:lang w:val="fr-FR"/>
        </w:rPr>
        <w:t xml:space="preserve">Proposition de complément 4 à la série 08 d’amendements </w:t>
      </w:r>
      <w:r>
        <w:rPr>
          <w:lang w:val="fr-FR"/>
        </w:rPr>
        <w:br/>
      </w:r>
      <w:r w:rsidR="00074DF7">
        <w:rPr>
          <w:lang w:val="fr-FR"/>
        </w:rPr>
        <w:t xml:space="preserve">au Règlement ONU </w:t>
      </w:r>
      <w:r w:rsidR="004209A1" w:rsidRPr="004209A1">
        <w:rPr>
          <w:rFonts w:eastAsia="MS Mincho"/>
          <w:lang w:val="fr-FR"/>
        </w:rPr>
        <w:t>n</w:t>
      </w:r>
      <w:r w:rsidR="004209A1" w:rsidRPr="004209A1">
        <w:rPr>
          <w:rFonts w:eastAsia="MS Mincho"/>
          <w:vertAlign w:val="superscript"/>
          <w:lang w:val="fr-FR"/>
        </w:rPr>
        <w:t>o</w:t>
      </w:r>
      <w:r w:rsidR="004209A1">
        <w:rPr>
          <w:lang w:val="fr-FR"/>
        </w:rPr>
        <w:t> </w:t>
      </w:r>
      <w:r w:rsidR="00074DF7">
        <w:rPr>
          <w:lang w:val="fr-FR"/>
        </w:rPr>
        <w:t>48 (Installation des dispositifs d’éclairage et de signalisation lumineuse)</w:t>
      </w:r>
    </w:p>
    <w:p w14:paraId="3FF4BA92" w14:textId="082E6790" w:rsidR="00074DF7" w:rsidRPr="004A7781" w:rsidRDefault="00074DF7" w:rsidP="00C64CDB">
      <w:pPr>
        <w:pStyle w:val="H1G"/>
        <w:rPr>
          <w:szCs w:val="24"/>
        </w:rPr>
      </w:pPr>
      <w:r>
        <w:rPr>
          <w:lang w:val="fr-FR"/>
        </w:rPr>
        <w:tab/>
      </w:r>
      <w:r>
        <w:rPr>
          <w:lang w:val="fr-FR"/>
        </w:rPr>
        <w:tab/>
        <w:t xml:space="preserve">Communication du Groupe de travail de l’éclairage </w:t>
      </w:r>
      <w:r w:rsidR="00C64CDB">
        <w:rPr>
          <w:lang w:val="fr-FR"/>
        </w:rPr>
        <w:br/>
      </w:r>
      <w:r>
        <w:rPr>
          <w:lang w:val="fr-FR"/>
        </w:rPr>
        <w:t>et de la signalisation lumineuse</w:t>
      </w:r>
      <w:r w:rsidR="00C64CDB" w:rsidRPr="00C64CDB">
        <w:rPr>
          <w:rStyle w:val="Appelnotedebasdep"/>
          <w:b w:val="0"/>
          <w:bCs/>
          <w:sz w:val="20"/>
          <w:vertAlign w:val="baseline"/>
        </w:rPr>
        <w:footnoteReference w:customMarkFollows="1" w:id="2"/>
        <w:t>*</w:t>
      </w:r>
    </w:p>
    <w:p w14:paraId="2AA64563" w14:textId="0430F1C5" w:rsidR="00074DF7" w:rsidRDefault="00C64CDB" w:rsidP="00074DF7">
      <w:pPr>
        <w:pStyle w:val="SingleTxtG"/>
        <w:ind w:firstLine="567"/>
        <w:rPr>
          <w:sz w:val="24"/>
          <w:szCs w:val="24"/>
        </w:rPr>
      </w:pPr>
      <w:r>
        <w:rPr>
          <w:lang w:val="fr-FR"/>
        </w:rPr>
        <w:t xml:space="preserve">Le </w:t>
      </w:r>
      <w:r w:rsidR="00074DF7">
        <w:rPr>
          <w:lang w:val="fr-FR"/>
        </w:rPr>
        <w:t>texte ci-après, adopté par le Groupe de travail de l’éclairage et de la signalisation lumineuse (GRE) à sa quatre-vingt-huitième session (ECE/TRANS/WP.29/GRE/88, par.</w:t>
      </w:r>
      <w:r>
        <w:rPr>
          <w:lang w:val="fr-FR"/>
        </w:rPr>
        <w:t> </w:t>
      </w:r>
      <w:r w:rsidR="00074DF7">
        <w:rPr>
          <w:lang w:val="fr-FR"/>
        </w:rPr>
        <w:t xml:space="preserve">18 et 25), est fondé sur les documents informels GRE-88-17 et GRE-88-25-Rev.1. Il est soumis au Forum mondial de l’harmonisation des Règlements concernant les véhicules (WP.29) et au Comité d’administration de l’Accord de 1958 (AC.1) pour examen à leurs sessions de novembre 2023.  </w:t>
      </w:r>
    </w:p>
    <w:p w14:paraId="47C0B258" w14:textId="77777777" w:rsidR="00074DF7" w:rsidRPr="004A7781" w:rsidRDefault="00074DF7" w:rsidP="00074DF7">
      <w:pPr>
        <w:suppressAutoHyphens w:val="0"/>
        <w:spacing w:line="240" w:lineRule="auto"/>
      </w:pPr>
      <w:r w:rsidRPr="004A7781">
        <w:br w:type="page"/>
      </w:r>
    </w:p>
    <w:p w14:paraId="4686A978" w14:textId="77777777" w:rsidR="00074DF7" w:rsidRPr="004A7781" w:rsidRDefault="00074DF7" w:rsidP="00C64CDB">
      <w:pPr>
        <w:pStyle w:val="SingleTxtG"/>
        <w:keepNext/>
      </w:pPr>
      <w:r>
        <w:rPr>
          <w:i/>
          <w:iCs/>
          <w:lang w:val="fr-FR"/>
        </w:rPr>
        <w:lastRenderedPageBreak/>
        <w:t>Paragraphe 3.2.6.5</w:t>
      </w:r>
      <w:r>
        <w:rPr>
          <w:lang w:val="fr-FR"/>
        </w:rPr>
        <w:t>, lire :</w:t>
      </w:r>
    </w:p>
    <w:p w14:paraId="37202FB8" w14:textId="77777777" w:rsidR="00074DF7" w:rsidRPr="00BE5E3F" w:rsidRDefault="00074DF7" w:rsidP="00965E96">
      <w:pPr>
        <w:pStyle w:val="SingleTxtG"/>
        <w:ind w:left="2268" w:hanging="1134"/>
      </w:pPr>
      <w:r>
        <w:t>« 3.2.6.5</w:t>
      </w:r>
      <w:r>
        <w:tab/>
        <w:t>Les documents demandés dans le paragraphe 6.22.9.3 du présent Règlement ; ».</w:t>
      </w:r>
    </w:p>
    <w:p w14:paraId="68D3787D" w14:textId="77777777" w:rsidR="00074DF7" w:rsidRPr="004A7781" w:rsidRDefault="00074DF7" w:rsidP="00C64CDB">
      <w:pPr>
        <w:pStyle w:val="SingleTxtG"/>
        <w:keepNext/>
      </w:pPr>
      <w:r>
        <w:rPr>
          <w:i/>
          <w:iCs/>
          <w:lang w:val="fr-FR"/>
        </w:rPr>
        <w:t>Paragraphe 5.10.4.3</w:t>
      </w:r>
      <w:r>
        <w:rPr>
          <w:lang w:val="fr-FR"/>
        </w:rPr>
        <w:t>, lire :</w:t>
      </w:r>
    </w:p>
    <w:p w14:paraId="13C23AAA" w14:textId="3959DF15" w:rsidR="00074DF7" w:rsidRPr="00BE5E3F" w:rsidRDefault="00074DF7" w:rsidP="00965E96">
      <w:pPr>
        <w:pStyle w:val="SingleTxtG"/>
        <w:ind w:left="2268" w:hanging="1134"/>
      </w:pPr>
      <w:r>
        <w:t>« 5.10.4.3</w:t>
      </w:r>
      <w:r>
        <w:tab/>
        <w:t>En cas de doute, la prescription susmentionnée est considérée comme respectée si l’intensité lumineuse de la lumière rouge émise vers l’avant et/ou de la lumière blanche émise vers l’arrière, telle que mesurée dans le cadre de l’homologation de type des feux, ne dépasse pas 0,25</w:t>
      </w:r>
      <w:r w:rsidR="004209A1">
        <w:t> </w:t>
      </w:r>
      <w:r>
        <w:t>cd par feu, compte tenu, s’il y a lieu, de l’influence de la carrosserie du véhicule. ».</w:t>
      </w:r>
    </w:p>
    <w:p w14:paraId="1D514AC6" w14:textId="77777777" w:rsidR="00074DF7" w:rsidRPr="004A7781" w:rsidRDefault="00074DF7" w:rsidP="00C64CDB">
      <w:pPr>
        <w:pStyle w:val="SingleTxtG"/>
        <w:keepNext/>
        <w:rPr>
          <w:i/>
          <w:iCs/>
        </w:rPr>
      </w:pPr>
      <w:r>
        <w:rPr>
          <w:i/>
          <w:iCs/>
          <w:lang w:val="fr-FR"/>
        </w:rPr>
        <w:t>Ajouter le nouveau paragraphe 5.35.3</w:t>
      </w:r>
      <w:r>
        <w:rPr>
          <w:lang w:val="fr-FR"/>
        </w:rPr>
        <w:t>, libellé comme suit :</w:t>
      </w:r>
    </w:p>
    <w:p w14:paraId="52AE5E8D" w14:textId="77777777" w:rsidR="00074DF7" w:rsidRPr="00883D59" w:rsidRDefault="00074DF7" w:rsidP="00965E96">
      <w:pPr>
        <w:pStyle w:val="SingleTxtG"/>
        <w:ind w:left="2268" w:hanging="1134"/>
        <w:rPr>
          <w:iCs/>
          <w:color w:val="000000" w:themeColor="text1"/>
        </w:rPr>
      </w:pPr>
      <w:bookmarkStart w:id="0" w:name="_Hlk72918101"/>
      <w:r>
        <w:t>« 5.35.3</w:t>
      </w:r>
      <w:r>
        <w:tab/>
        <w:t>Les projections du système d’aide à la conduite ne doivent ni clignoter ni se modifier, sauf dans les cas d’utilisation expressément définis à l’annexe 16. ».</w:t>
      </w:r>
      <w:bookmarkStart w:id="1" w:name="_Hlk92356212"/>
    </w:p>
    <w:p w14:paraId="066E3226" w14:textId="613E12AD" w:rsidR="00074DF7" w:rsidRPr="00BF25B0" w:rsidRDefault="00074DF7" w:rsidP="00074DF7">
      <w:pPr>
        <w:pStyle w:val="SingleTxtG"/>
        <w:rPr>
          <w:i/>
          <w:iCs/>
          <w:color w:val="000000" w:themeColor="text1"/>
        </w:rPr>
      </w:pPr>
      <w:r>
        <w:rPr>
          <w:i/>
          <w:iCs/>
        </w:rPr>
        <w:t>Les paragraphes 5.35.3</w:t>
      </w:r>
      <w:r>
        <w:t xml:space="preserve"> </w:t>
      </w:r>
      <w:r>
        <w:rPr>
          <w:i/>
          <w:iCs/>
        </w:rPr>
        <w:t>à 5.35.5</w:t>
      </w:r>
      <w:r>
        <w:t xml:space="preserve"> deviennent les paragraphes 5.35.4 à 5.35.6.</w:t>
      </w:r>
    </w:p>
    <w:bookmarkEnd w:id="0"/>
    <w:bookmarkEnd w:id="1"/>
    <w:p w14:paraId="4C8696FF" w14:textId="77777777" w:rsidR="00074DF7" w:rsidRPr="004A7781" w:rsidRDefault="00074DF7" w:rsidP="00C64CDB">
      <w:pPr>
        <w:pStyle w:val="SingleTxtG"/>
        <w:keepNext/>
      </w:pPr>
      <w:r>
        <w:rPr>
          <w:i/>
          <w:iCs/>
          <w:lang w:val="fr-FR"/>
        </w:rPr>
        <w:t>Le paragraphe 5.35.6</w:t>
      </w:r>
      <w:r>
        <w:rPr>
          <w:lang w:val="fr-FR"/>
        </w:rPr>
        <w:t xml:space="preserve"> devient le paragraphe 5.35.7 et se lit comme suit : </w:t>
      </w:r>
    </w:p>
    <w:p w14:paraId="625BA181" w14:textId="77777777" w:rsidR="00074DF7" w:rsidRPr="00321A66" w:rsidRDefault="00074DF7" w:rsidP="00965E96">
      <w:pPr>
        <w:pStyle w:val="SingleTxtG"/>
        <w:ind w:left="2268" w:hanging="1134"/>
      </w:pPr>
      <w:r>
        <w:t>« 5.35.7</w:t>
      </w:r>
      <w:r>
        <w:tab/>
        <w:t>La fonction de projection du système d’aide à la conduite doit se désactiver automatiquement si une défaillance électrique détectable du système vient perturber les informations visuelles concernant la route qu’il projette. ».</w:t>
      </w:r>
    </w:p>
    <w:p w14:paraId="704FCF24" w14:textId="77777777" w:rsidR="00074DF7" w:rsidRPr="006D4D90" w:rsidRDefault="00074DF7" w:rsidP="00805E65">
      <w:pPr>
        <w:pStyle w:val="SingleTxtG"/>
        <w:keepNext/>
      </w:pPr>
      <w:r>
        <w:rPr>
          <w:i/>
          <w:iCs/>
        </w:rPr>
        <w:t>Ajouter les nouveaux paragraphes 5.35.8 à 5.35.11</w:t>
      </w:r>
      <w:r>
        <w:t>, libellés comme suit :</w:t>
      </w:r>
    </w:p>
    <w:p w14:paraId="40CA8CE4" w14:textId="0ED8AD2F" w:rsidR="00074DF7" w:rsidRPr="00913573" w:rsidRDefault="00074DF7" w:rsidP="00965E96">
      <w:pPr>
        <w:pStyle w:val="SingleTxtG"/>
        <w:ind w:left="2268" w:hanging="1134"/>
        <w:rPr>
          <w:iCs/>
        </w:rPr>
      </w:pPr>
      <w:r>
        <w:t>« 5.35.8</w:t>
      </w:r>
      <w:r>
        <w:tab/>
        <w:t xml:space="preserve">Les projections du système d’aide à la conduite ne doivent pas perturber les informations du dispositif d’assistance par affichage dans le champ de vision, au sens du Règlement ONU </w:t>
      </w:r>
      <w:r w:rsidR="004C6F68">
        <w:rPr>
          <w:rFonts w:eastAsia="MS Mincho"/>
        </w:rPr>
        <w:t>n</w:t>
      </w:r>
      <w:r w:rsidR="004C6F68">
        <w:rPr>
          <w:rFonts w:eastAsia="MS Mincho"/>
          <w:vertAlign w:val="superscript"/>
        </w:rPr>
        <w:t>o</w:t>
      </w:r>
      <w:r w:rsidR="004C6F68">
        <w:t> </w:t>
      </w:r>
      <w:r>
        <w:t>125.</w:t>
      </w:r>
    </w:p>
    <w:p w14:paraId="358BE790" w14:textId="6355834A" w:rsidR="00074DF7" w:rsidRPr="00913573" w:rsidRDefault="00074DF7" w:rsidP="00965E96">
      <w:pPr>
        <w:pStyle w:val="SingleTxtG"/>
        <w:ind w:left="2268" w:hanging="1134"/>
        <w:rPr>
          <w:iCs/>
        </w:rPr>
      </w:pPr>
      <w:r>
        <w:t>5.35.9</w:t>
      </w:r>
      <w:r>
        <w:tab/>
        <w:t>La fonction de projection du système d’aide à la conduite ne doit pas être activée quand les essuie-glace sont activés sans discontinuer pendant au moins 2</w:t>
      </w:r>
      <w:r w:rsidR="00AD7408">
        <w:t> </w:t>
      </w:r>
      <w:r>
        <w:t>min.</w:t>
      </w:r>
    </w:p>
    <w:p w14:paraId="533F45E5" w14:textId="5D5875C0" w:rsidR="00074DF7" w:rsidRPr="004A7781" w:rsidRDefault="00074DF7" w:rsidP="00965E96">
      <w:pPr>
        <w:pStyle w:val="SingleTxtG"/>
        <w:ind w:left="2268" w:hanging="1134"/>
      </w:pPr>
      <w:r>
        <w:rPr>
          <w:lang w:val="fr-FR"/>
        </w:rPr>
        <w:t>5.35.10</w:t>
      </w:r>
      <w:r>
        <w:rPr>
          <w:lang w:val="fr-FR"/>
        </w:rPr>
        <w:tab/>
      </w:r>
      <w:r>
        <w:rPr>
          <w:lang w:val="fr-FR"/>
        </w:rPr>
        <w:tab/>
        <w:t>La fonction de projection du système d’aide à la conduite ne doit pas être activée lorsque la vitesse du véhicule est inférieure à 65</w:t>
      </w:r>
      <w:r w:rsidR="00AD7408">
        <w:rPr>
          <w:lang w:val="fr-FR"/>
        </w:rPr>
        <w:t> </w:t>
      </w:r>
      <w:r>
        <w:rPr>
          <w:lang w:val="fr-FR"/>
        </w:rPr>
        <w:t>km/h, sauf pour projeter le symbole d’avertissement de contresens et le symbole d’avertissement de risque de choc. Toutefois, lorsqu’elle est déjà activée, elle peut le rester tant que la vitesse du véhicule demeure supérieure à 40 km/h.</w:t>
      </w:r>
    </w:p>
    <w:p w14:paraId="3D694014" w14:textId="417A0A5C" w:rsidR="00074DF7" w:rsidRPr="00913573" w:rsidRDefault="00074DF7" w:rsidP="00965E96">
      <w:pPr>
        <w:pStyle w:val="SingleTxtG"/>
        <w:ind w:left="2268" w:hanging="1134"/>
        <w:rPr>
          <w:iCs/>
        </w:rPr>
      </w:pPr>
      <w:r>
        <w:t>5.35.11</w:t>
      </w:r>
      <w:r>
        <w:tab/>
        <w:t>La distance latérale entre le bord extérieur des projections du système d’aide à la conduite et le plan longitudinal médian ou la trajectoire du centre de gravité du véhicule ne doit pas dépasser 1</w:t>
      </w:r>
      <w:r w:rsidR="00AD7408">
        <w:t> </w:t>
      </w:r>
      <w:r>
        <w:t>250</w:t>
      </w:r>
      <w:r w:rsidR="00AD7408">
        <w:t> </w:t>
      </w:r>
      <w:proofErr w:type="spellStart"/>
      <w:r>
        <w:t>mm.</w:t>
      </w:r>
      <w:proofErr w:type="spellEnd"/>
    </w:p>
    <w:p w14:paraId="09CC0999" w14:textId="77777777" w:rsidR="00074DF7" w:rsidRPr="004A7781" w:rsidRDefault="00074DF7" w:rsidP="00AD7408">
      <w:pPr>
        <w:pStyle w:val="SingleTxtG"/>
        <w:ind w:left="2268"/>
        <w:rPr>
          <w:iCs/>
        </w:rPr>
      </w:pPr>
      <w:r>
        <w:rPr>
          <w:lang w:val="fr-FR"/>
        </w:rPr>
        <w:tab/>
        <w:t>Le constructeur doit démontrer, par calcul ou par tout autre moyen agréé par l’autorité d’homologation de type, que cette condition est remplie. ».</w:t>
      </w:r>
    </w:p>
    <w:p w14:paraId="7398ED40" w14:textId="01EC3DB2" w:rsidR="00074DF7" w:rsidRPr="004A7781" w:rsidRDefault="00074DF7" w:rsidP="00074DF7">
      <w:pPr>
        <w:pStyle w:val="SingleTxtG"/>
      </w:pPr>
      <w:r>
        <w:rPr>
          <w:i/>
          <w:iCs/>
          <w:lang w:val="fr-FR"/>
        </w:rPr>
        <w:t>Paragraphe 6.22.7.1.2, première phrase</w:t>
      </w:r>
      <w:r>
        <w:rPr>
          <w:lang w:val="fr-FR"/>
        </w:rPr>
        <w:t xml:space="preserve">, remplacer « 6.22.9.3 » par « 6.22.9.4 ». </w:t>
      </w:r>
    </w:p>
    <w:p w14:paraId="4CD292B5" w14:textId="77777777" w:rsidR="00074DF7" w:rsidRPr="004A7781" w:rsidRDefault="00074DF7" w:rsidP="00805E65">
      <w:pPr>
        <w:pStyle w:val="SingleTxtG"/>
        <w:keepNext/>
        <w:rPr>
          <w:iCs/>
        </w:rPr>
      </w:pPr>
      <w:r>
        <w:rPr>
          <w:i/>
          <w:iCs/>
          <w:lang w:val="fr-FR"/>
        </w:rPr>
        <w:t>Ajouter le nouveau paragraphe 6.22.9.2</w:t>
      </w:r>
      <w:r>
        <w:rPr>
          <w:lang w:val="fr-FR"/>
        </w:rPr>
        <w:t>, libellé comme suit :</w:t>
      </w:r>
    </w:p>
    <w:p w14:paraId="4552F74E" w14:textId="41AE9E86" w:rsidR="00074DF7" w:rsidRPr="004A7781" w:rsidRDefault="00074DF7" w:rsidP="00074DF7">
      <w:pPr>
        <w:pStyle w:val="SingleTxtG"/>
        <w:ind w:left="2268" w:hanging="1134"/>
        <w:rPr>
          <w:bCs/>
          <w:iCs/>
        </w:rPr>
      </w:pPr>
      <w:r>
        <w:rPr>
          <w:lang w:val="fr-FR"/>
        </w:rPr>
        <w:t>« 6.22.9.2</w:t>
      </w:r>
      <w:r>
        <w:rPr>
          <w:lang w:val="fr-FR"/>
        </w:rPr>
        <w:tab/>
        <w:t>Les unités d’éclairage produisant le faisceau de croisement et/ou le faisceau de route adaptatif de l’AFS peuvent projeter les motifs et symboles du système d’aide à la conduite afin d’avertir le conducteur, dans la mesure des besoins, de certaines situations ou conditions relatives à la circulation.</w:t>
      </w:r>
      <w:r w:rsidR="00AD7408">
        <w:rPr>
          <w:lang w:val="fr-FR"/>
        </w:rPr>
        <w:t> </w:t>
      </w:r>
      <w:r>
        <w:rPr>
          <w:lang w:val="fr-FR"/>
        </w:rPr>
        <w:t>».</w:t>
      </w:r>
    </w:p>
    <w:p w14:paraId="1AE6451A" w14:textId="77777777" w:rsidR="00074DF7" w:rsidRPr="004F1674" w:rsidRDefault="00074DF7" w:rsidP="00074DF7">
      <w:pPr>
        <w:pStyle w:val="SingleTxtG"/>
      </w:pPr>
      <w:r>
        <w:rPr>
          <w:i/>
          <w:iCs/>
        </w:rPr>
        <w:t>Le paragraphe 6.22.9.2</w:t>
      </w:r>
      <w:r>
        <w:t xml:space="preserve"> devient le paragraphe 6.22.9.3.</w:t>
      </w:r>
    </w:p>
    <w:p w14:paraId="0EF5C127" w14:textId="24035628" w:rsidR="00074DF7" w:rsidRPr="004F1674" w:rsidRDefault="00074DF7" w:rsidP="00805E65">
      <w:pPr>
        <w:pStyle w:val="SingleTxtG"/>
        <w:keepNext/>
      </w:pPr>
      <w:r>
        <w:rPr>
          <w:i/>
          <w:iCs/>
        </w:rPr>
        <w:t>Le paragraphe 6.22.9.2.1</w:t>
      </w:r>
      <w:r>
        <w:t xml:space="preserve"> devient le paragraphe 6.22.9.3.1 et se lit comme suit (ajout d’un nouvel alinéa c) en fin de paragraphe)</w:t>
      </w:r>
      <w:r w:rsidR="00633438">
        <w:t> :</w:t>
      </w:r>
    </w:p>
    <w:p w14:paraId="04FFAC52" w14:textId="77777777" w:rsidR="00074DF7" w:rsidRPr="00AA317A" w:rsidRDefault="00074DF7" w:rsidP="00965E96">
      <w:pPr>
        <w:pStyle w:val="SingleTxtG"/>
        <w:ind w:left="2268" w:hanging="1134"/>
      </w:pPr>
      <w:r>
        <w:t>« 6.22.9.3.1</w:t>
      </w:r>
      <w:r>
        <w:tab/>
        <w:t xml:space="preserve">Le demandeur... </w:t>
      </w:r>
    </w:p>
    <w:p w14:paraId="5F826D46" w14:textId="77777777" w:rsidR="00074DF7" w:rsidRPr="00AA317A" w:rsidRDefault="00074DF7" w:rsidP="00633438">
      <w:pPr>
        <w:pStyle w:val="SingleTxtG"/>
        <w:ind w:left="2835" w:hanging="567"/>
      </w:pPr>
      <w:r>
        <w:t>a)</w:t>
      </w:r>
      <w:r>
        <w:tab/>
        <w:t xml:space="preserve">... </w:t>
      </w:r>
    </w:p>
    <w:p w14:paraId="29A70C12" w14:textId="77777777" w:rsidR="00074DF7" w:rsidRPr="00AA317A" w:rsidRDefault="00074DF7" w:rsidP="00633438">
      <w:pPr>
        <w:pStyle w:val="SingleTxtG"/>
        <w:ind w:left="2835" w:hanging="567"/>
      </w:pPr>
      <w:r>
        <w:t>...</w:t>
      </w:r>
    </w:p>
    <w:p w14:paraId="0886C8C3" w14:textId="7C40C10B" w:rsidR="00074DF7" w:rsidRPr="00AA317A" w:rsidRDefault="00074DF7" w:rsidP="00633438">
      <w:pPr>
        <w:pStyle w:val="SingleTxtG"/>
        <w:ind w:left="2835" w:hanging="567"/>
      </w:pPr>
      <w:r>
        <w:lastRenderedPageBreak/>
        <w:t>c)</w:t>
      </w:r>
      <w:r>
        <w:tab/>
        <w:t>La conformité de la fonction de projection du système d’aide à la conduite, le cas échéant, avec les prescriptions énoncées au paragraphe</w:t>
      </w:r>
      <w:r w:rsidR="00633438">
        <w:t> </w:t>
      </w:r>
      <w:r>
        <w:t>5.35. ».</w:t>
      </w:r>
    </w:p>
    <w:p w14:paraId="35D0997D" w14:textId="77777777" w:rsidR="00074DF7" w:rsidRDefault="00074DF7" w:rsidP="00805E65">
      <w:pPr>
        <w:pStyle w:val="SingleTxtG"/>
        <w:keepNext/>
      </w:pPr>
      <w:r>
        <w:rPr>
          <w:i/>
          <w:iCs/>
        </w:rPr>
        <w:t>Le paragraphe 6.22.9.2.2</w:t>
      </w:r>
      <w:r>
        <w:t xml:space="preserve"> devient le paragraphe 6.22.9.3.2 et se lit comme suit :</w:t>
      </w:r>
    </w:p>
    <w:p w14:paraId="1E9D102D" w14:textId="5B3AB9D5" w:rsidR="00074DF7" w:rsidRPr="004563A9" w:rsidRDefault="00074DF7" w:rsidP="00965E96">
      <w:pPr>
        <w:pStyle w:val="SingleTxtG"/>
        <w:ind w:left="2268" w:hanging="1134"/>
      </w:pPr>
      <w:r>
        <w:t>« 6.22.9.3.2</w:t>
      </w:r>
      <w:r>
        <w:tab/>
        <w:t xml:space="preserve">Afin de vérifier... (angle excessif ou scintillement par exemple) doit entraîner une contestation. </w:t>
      </w:r>
    </w:p>
    <w:p w14:paraId="0A8257EE" w14:textId="6D74E770" w:rsidR="00074DF7" w:rsidRPr="004563A9" w:rsidRDefault="00074DF7" w:rsidP="00633438">
      <w:pPr>
        <w:pStyle w:val="SingleTxtG"/>
        <w:ind w:left="2268"/>
      </w:pPr>
      <w:r>
        <w:t>En outre, si le véhicule est doté d’une fonction de projection du système d’aide à la conduite, le service technique doit vérifier pendant l’essai de conduite que cette fonction ne provoque aucune distraction. ».</w:t>
      </w:r>
    </w:p>
    <w:p w14:paraId="4574072C" w14:textId="77777777" w:rsidR="00074DF7" w:rsidRDefault="00074DF7" w:rsidP="00805E65">
      <w:pPr>
        <w:pStyle w:val="SingleTxtG"/>
        <w:keepNext/>
      </w:pPr>
      <w:r>
        <w:rPr>
          <w:i/>
          <w:iCs/>
        </w:rPr>
        <w:t>Le paragraphe 6.22.9.2.3</w:t>
      </w:r>
      <w:r>
        <w:t xml:space="preserve"> devient le paragraphe 6.22.9.3.3 et se lit comme suit :</w:t>
      </w:r>
    </w:p>
    <w:p w14:paraId="0F44084A" w14:textId="77777777" w:rsidR="00074DF7" w:rsidRPr="00E40146" w:rsidRDefault="00074DF7" w:rsidP="00965E96">
      <w:pPr>
        <w:pStyle w:val="SingleTxtG"/>
        <w:ind w:left="2268" w:hanging="1134"/>
      </w:pPr>
      <w:r>
        <w:t>« 6.22.9.3.3</w:t>
      </w:r>
      <w:r>
        <w:tab/>
        <w:t>Le demandeur doit fournir la preuve du fonctionnement général de la commande automatique, y compris des projections du système d’aide à la conduite, si le véhicule est équipé de cette fonction... ».</w:t>
      </w:r>
    </w:p>
    <w:p w14:paraId="3FFEC88A" w14:textId="77777777" w:rsidR="00074DF7" w:rsidRDefault="00074DF7" w:rsidP="00074DF7">
      <w:pPr>
        <w:pStyle w:val="SingleTxtG"/>
      </w:pPr>
      <w:r>
        <w:rPr>
          <w:i/>
          <w:iCs/>
        </w:rPr>
        <w:t>Le paragraphe 6.22.9.2.4</w:t>
      </w:r>
      <w:r>
        <w:t xml:space="preserve"> devient le paragraphe 6.22.9.3.4.</w:t>
      </w:r>
    </w:p>
    <w:p w14:paraId="2C601ED1" w14:textId="77777777" w:rsidR="00074DF7" w:rsidRPr="004A7781" w:rsidRDefault="00074DF7" w:rsidP="00074DF7">
      <w:pPr>
        <w:pStyle w:val="SingleTxtG"/>
      </w:pPr>
      <w:r>
        <w:rPr>
          <w:i/>
          <w:iCs/>
          <w:lang w:val="fr-FR"/>
        </w:rPr>
        <w:t>Le paragraphe 6.22.9.3</w:t>
      </w:r>
      <w:r>
        <w:rPr>
          <w:lang w:val="fr-FR"/>
        </w:rPr>
        <w:t xml:space="preserve"> devient le paragraphe 6.22.9.4.</w:t>
      </w:r>
    </w:p>
    <w:p w14:paraId="7E8AF2BE" w14:textId="77777777" w:rsidR="00074DF7" w:rsidRPr="004A7781" w:rsidRDefault="00074DF7" w:rsidP="00074DF7">
      <w:pPr>
        <w:pStyle w:val="SingleTxtG"/>
      </w:pPr>
      <w:r>
        <w:rPr>
          <w:i/>
          <w:iCs/>
          <w:lang w:val="fr-FR"/>
        </w:rPr>
        <w:t>Le paragraphe 6.22.9.3.1 et ses sous-paragraphes</w:t>
      </w:r>
      <w:r>
        <w:rPr>
          <w:lang w:val="fr-FR"/>
        </w:rPr>
        <w:t xml:space="preserve"> deviennent le paragraphe 6.22.9.4.1 et ses sous-paragraphes.</w:t>
      </w:r>
    </w:p>
    <w:p w14:paraId="338F536B" w14:textId="77777777" w:rsidR="00074DF7" w:rsidRPr="004A7781" w:rsidRDefault="00074DF7" w:rsidP="00074DF7">
      <w:pPr>
        <w:pStyle w:val="SingleTxtG"/>
      </w:pPr>
      <w:r>
        <w:rPr>
          <w:i/>
          <w:iCs/>
          <w:lang w:val="fr-FR"/>
        </w:rPr>
        <w:t>Le paragraphe 6.22.9.3.2</w:t>
      </w:r>
      <w:r>
        <w:rPr>
          <w:lang w:val="fr-FR"/>
        </w:rPr>
        <w:t xml:space="preserve"> </w:t>
      </w:r>
      <w:r>
        <w:rPr>
          <w:i/>
          <w:iCs/>
          <w:lang w:val="fr-FR"/>
        </w:rPr>
        <w:t>et ses sous-paragraphes</w:t>
      </w:r>
      <w:r>
        <w:rPr>
          <w:lang w:val="fr-FR"/>
        </w:rPr>
        <w:t xml:space="preserve"> sont supprimés.</w:t>
      </w:r>
      <w:bookmarkStart w:id="2" w:name="_Hlk106197132"/>
      <w:bookmarkEnd w:id="2"/>
    </w:p>
    <w:p w14:paraId="1C7FF508" w14:textId="77777777" w:rsidR="00074DF7" w:rsidRPr="004A7781" w:rsidRDefault="00074DF7" w:rsidP="00074DF7">
      <w:pPr>
        <w:pStyle w:val="SingleTxtG"/>
      </w:pPr>
      <w:r>
        <w:rPr>
          <w:i/>
          <w:iCs/>
          <w:lang w:val="fr-FR"/>
        </w:rPr>
        <w:t>Les paragraphes 6.22.9.4</w:t>
      </w:r>
      <w:r>
        <w:rPr>
          <w:lang w:val="fr-FR"/>
        </w:rPr>
        <w:t xml:space="preserve"> </w:t>
      </w:r>
      <w:r>
        <w:rPr>
          <w:i/>
          <w:iCs/>
          <w:lang w:val="fr-FR"/>
        </w:rPr>
        <w:t>et 6.22.9.5</w:t>
      </w:r>
      <w:r>
        <w:rPr>
          <w:lang w:val="fr-FR"/>
        </w:rPr>
        <w:t xml:space="preserve"> deviennent les paragraphes 6.22.9.5 et 6.22.9.6. </w:t>
      </w:r>
    </w:p>
    <w:p w14:paraId="73E8007B" w14:textId="77777777" w:rsidR="00074DF7" w:rsidRPr="004A7781" w:rsidRDefault="00074DF7" w:rsidP="00805E65">
      <w:pPr>
        <w:pStyle w:val="SingleTxtG"/>
        <w:keepNext/>
        <w:rPr>
          <w:iCs/>
        </w:rPr>
      </w:pPr>
      <w:r>
        <w:rPr>
          <w:i/>
          <w:iCs/>
          <w:lang w:val="fr-FR"/>
        </w:rPr>
        <w:t>Annexe 1, point 9.22</w:t>
      </w:r>
      <w:r>
        <w:rPr>
          <w:lang w:val="fr-FR"/>
        </w:rPr>
        <w:t>, lire :</w:t>
      </w:r>
    </w:p>
    <w:p w14:paraId="266760F3" w14:textId="77991102" w:rsidR="00074DF7" w:rsidRPr="004A7781" w:rsidRDefault="00074DF7" w:rsidP="00C075E0">
      <w:pPr>
        <w:pStyle w:val="SingleTxtG"/>
        <w:tabs>
          <w:tab w:val="right" w:pos="8505"/>
        </w:tabs>
        <w:ind w:left="2268" w:hanging="1134"/>
        <w:rPr>
          <w:iCs/>
          <w:strike/>
          <w:vertAlign w:val="superscript"/>
        </w:rPr>
      </w:pPr>
      <w:r>
        <w:rPr>
          <w:lang w:val="fr-FR"/>
        </w:rPr>
        <w:t>« 9.22</w:t>
      </w:r>
      <w:r>
        <w:rPr>
          <w:lang w:val="fr-FR"/>
        </w:rPr>
        <w:tab/>
        <w:t xml:space="preserve">Système d’éclairage avant adaptatif (AFS) : </w:t>
      </w:r>
      <w:r>
        <w:rPr>
          <w:lang w:val="fr-FR"/>
        </w:rPr>
        <w:tab/>
        <w:t>oui/non</w:t>
      </w:r>
      <w:r w:rsidRPr="00255D3C">
        <w:rPr>
          <w:sz w:val="18"/>
          <w:szCs w:val="18"/>
          <w:vertAlign w:val="superscript"/>
          <w:lang w:val="fr-FR"/>
        </w:rPr>
        <w:t>2</w:t>
      </w:r>
    </w:p>
    <w:p w14:paraId="66FF2444" w14:textId="28143038" w:rsidR="00074DF7" w:rsidRPr="004A7781" w:rsidRDefault="00074DF7" w:rsidP="00C075E0">
      <w:pPr>
        <w:pStyle w:val="SingleTxtG"/>
        <w:tabs>
          <w:tab w:val="right" w:pos="8505"/>
        </w:tabs>
        <w:ind w:left="2268" w:hanging="1134"/>
        <w:rPr>
          <w:iCs/>
          <w:vertAlign w:val="superscript"/>
        </w:rPr>
      </w:pPr>
      <w:r>
        <w:rPr>
          <w:lang w:val="fr-FR"/>
        </w:rPr>
        <w:t>9.22.1</w:t>
      </w:r>
      <w:r>
        <w:rPr>
          <w:lang w:val="fr-FR"/>
        </w:rPr>
        <w:tab/>
        <w:t>Faisceau de croisement de l’AFS</w:t>
      </w:r>
      <w:r>
        <w:rPr>
          <w:lang w:val="fr-FR"/>
        </w:rPr>
        <w:tab/>
        <w:t>oui/non</w:t>
      </w:r>
      <w:r w:rsidRPr="00255D3C">
        <w:rPr>
          <w:sz w:val="18"/>
          <w:szCs w:val="18"/>
          <w:vertAlign w:val="superscript"/>
          <w:lang w:val="fr-FR"/>
        </w:rPr>
        <w:t>2</w:t>
      </w:r>
    </w:p>
    <w:p w14:paraId="76C0E235" w14:textId="298A9DA0" w:rsidR="00074DF7" w:rsidRPr="001B6D3E" w:rsidRDefault="00074DF7" w:rsidP="001B6D3E">
      <w:pPr>
        <w:pStyle w:val="SingleTxtG"/>
        <w:tabs>
          <w:tab w:val="right" w:pos="8505"/>
        </w:tabs>
        <w:ind w:left="2268" w:hanging="1134"/>
        <w:jc w:val="left"/>
        <w:rPr>
          <w:lang w:val="fr-FR"/>
        </w:rPr>
      </w:pPr>
      <w:r>
        <w:rPr>
          <w:lang w:val="fr-FR"/>
        </w:rPr>
        <w:t>9.22.1.1</w:t>
      </w:r>
      <w:r>
        <w:rPr>
          <w:lang w:val="fr-FR"/>
        </w:rPr>
        <w:tab/>
        <w:t>Faisceau de croisement de l’AFS + fonction de projection du système d’aide à la conduite</w:t>
      </w:r>
      <w:r>
        <w:rPr>
          <w:lang w:val="fr-FR"/>
        </w:rPr>
        <w:tab/>
        <w:t>oui/non</w:t>
      </w:r>
      <w:r w:rsidRPr="00255D3C">
        <w:rPr>
          <w:sz w:val="18"/>
          <w:szCs w:val="18"/>
          <w:vertAlign w:val="superscript"/>
          <w:lang w:val="fr-FR"/>
        </w:rPr>
        <w:t>2</w:t>
      </w:r>
    </w:p>
    <w:p w14:paraId="60B30097" w14:textId="45CDCF54" w:rsidR="00074DF7" w:rsidRPr="004A7781" w:rsidRDefault="00074DF7" w:rsidP="00C075E0">
      <w:pPr>
        <w:pStyle w:val="SingleTxtG"/>
        <w:tabs>
          <w:tab w:val="right" w:pos="8505"/>
        </w:tabs>
        <w:ind w:left="2268" w:hanging="1134"/>
        <w:rPr>
          <w:iCs/>
        </w:rPr>
      </w:pPr>
      <w:r>
        <w:rPr>
          <w:lang w:val="fr-FR"/>
        </w:rPr>
        <w:t>9.22.2</w:t>
      </w:r>
      <w:r>
        <w:rPr>
          <w:lang w:val="fr-FR"/>
        </w:rPr>
        <w:tab/>
        <w:t>Faisceau de route de l’AFS</w:t>
      </w:r>
      <w:r>
        <w:rPr>
          <w:lang w:val="fr-FR"/>
        </w:rPr>
        <w:tab/>
        <w:t>oui/non</w:t>
      </w:r>
      <w:r w:rsidRPr="00255D3C">
        <w:rPr>
          <w:sz w:val="18"/>
          <w:szCs w:val="18"/>
          <w:vertAlign w:val="superscript"/>
          <w:lang w:val="fr-FR"/>
        </w:rPr>
        <w:t>2</w:t>
      </w:r>
    </w:p>
    <w:p w14:paraId="4E2A8C14" w14:textId="039798F2" w:rsidR="00074DF7" w:rsidRPr="004A7781" w:rsidRDefault="00074DF7" w:rsidP="00C075E0">
      <w:pPr>
        <w:pStyle w:val="SingleTxtG"/>
        <w:tabs>
          <w:tab w:val="right" w:pos="8505"/>
        </w:tabs>
        <w:ind w:left="2268" w:hanging="1134"/>
        <w:rPr>
          <w:iCs/>
          <w:vertAlign w:val="superscript"/>
        </w:rPr>
      </w:pPr>
      <w:r>
        <w:rPr>
          <w:lang w:val="fr-FR"/>
        </w:rPr>
        <w:t>9.22.3</w:t>
      </w:r>
      <w:r>
        <w:rPr>
          <w:lang w:val="fr-FR"/>
        </w:rPr>
        <w:tab/>
        <w:t>Faisceau de route adaptatif de l’AFS (ADB)</w:t>
      </w:r>
      <w:r>
        <w:rPr>
          <w:lang w:val="fr-FR"/>
        </w:rPr>
        <w:tab/>
        <w:t>oui/non</w:t>
      </w:r>
      <w:r w:rsidRPr="00255D3C">
        <w:rPr>
          <w:sz w:val="18"/>
          <w:szCs w:val="18"/>
          <w:vertAlign w:val="superscript"/>
          <w:lang w:val="fr-FR"/>
        </w:rPr>
        <w:t>2</w:t>
      </w:r>
    </w:p>
    <w:p w14:paraId="2D624F9C" w14:textId="69D31DB4" w:rsidR="00F9573C" w:rsidRDefault="00074DF7" w:rsidP="00346380">
      <w:pPr>
        <w:pStyle w:val="SingleTxtG"/>
        <w:tabs>
          <w:tab w:val="right" w:pos="8505"/>
        </w:tabs>
        <w:ind w:left="2268" w:hanging="1134"/>
        <w:rPr>
          <w:lang w:val="fr-FR"/>
        </w:rPr>
      </w:pPr>
      <w:r>
        <w:rPr>
          <w:lang w:val="fr-FR"/>
        </w:rPr>
        <w:t>9.22.3.1</w:t>
      </w:r>
      <w:r>
        <w:rPr>
          <w:lang w:val="fr-FR"/>
        </w:rPr>
        <w:tab/>
        <w:t>Faisceau de route adaptatif de l’AFS (ADB) + fonction de projection du système d’aide à la conduite</w:t>
      </w:r>
      <w:r>
        <w:rPr>
          <w:lang w:val="fr-FR"/>
        </w:rPr>
        <w:tab/>
        <w:t>oui/non</w:t>
      </w:r>
      <w:r w:rsidRPr="00255D3C">
        <w:rPr>
          <w:sz w:val="18"/>
          <w:szCs w:val="18"/>
          <w:vertAlign w:val="superscript"/>
          <w:lang w:val="fr-FR"/>
        </w:rPr>
        <w:t>2</w:t>
      </w:r>
      <w:r w:rsidRPr="00255D3C">
        <w:rPr>
          <w:lang w:val="fr-FR"/>
        </w:rPr>
        <w:t> </w:t>
      </w:r>
      <w:r>
        <w:rPr>
          <w:lang w:val="fr-FR"/>
        </w:rPr>
        <w:t>».</w:t>
      </w:r>
    </w:p>
    <w:p w14:paraId="028FD617" w14:textId="33D12FEA" w:rsidR="005C0637" w:rsidRPr="005C0637" w:rsidRDefault="005C0637" w:rsidP="005C0637">
      <w:pPr>
        <w:pStyle w:val="SingleTxtG"/>
        <w:spacing w:before="240" w:after="0"/>
        <w:jc w:val="center"/>
        <w:rPr>
          <w:u w:val="single"/>
        </w:rPr>
      </w:pPr>
      <w:r>
        <w:rPr>
          <w:u w:val="single"/>
        </w:rPr>
        <w:tab/>
      </w:r>
      <w:r>
        <w:rPr>
          <w:u w:val="single"/>
        </w:rPr>
        <w:tab/>
      </w:r>
      <w:r>
        <w:rPr>
          <w:u w:val="single"/>
        </w:rPr>
        <w:tab/>
      </w:r>
      <w:r>
        <w:rPr>
          <w:u w:val="single"/>
        </w:rPr>
        <w:tab/>
      </w:r>
    </w:p>
    <w:sectPr w:rsidR="005C0637" w:rsidRPr="005C0637" w:rsidSect="004628F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DAFB" w14:textId="77777777" w:rsidR="00400288" w:rsidRDefault="00400288" w:rsidP="00F95C08">
      <w:pPr>
        <w:spacing w:line="240" w:lineRule="auto"/>
      </w:pPr>
    </w:p>
  </w:endnote>
  <w:endnote w:type="continuationSeparator" w:id="0">
    <w:p w14:paraId="5EE88592" w14:textId="77777777" w:rsidR="00400288" w:rsidRPr="00AC3823" w:rsidRDefault="00400288" w:rsidP="00AC3823">
      <w:pPr>
        <w:pStyle w:val="Pieddepage"/>
      </w:pPr>
    </w:p>
  </w:endnote>
  <w:endnote w:type="continuationNotice" w:id="1">
    <w:p w14:paraId="0BEF5CF6" w14:textId="77777777" w:rsidR="00400288" w:rsidRDefault="004002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44C2" w14:textId="68C999CB" w:rsidR="004628FD" w:rsidRPr="004628FD" w:rsidRDefault="004628FD" w:rsidP="004628FD">
    <w:pPr>
      <w:pStyle w:val="Pieddepage"/>
      <w:tabs>
        <w:tab w:val="right" w:pos="9638"/>
      </w:tabs>
    </w:pPr>
    <w:r w:rsidRPr="004628FD">
      <w:rPr>
        <w:b/>
        <w:sz w:val="18"/>
      </w:rPr>
      <w:fldChar w:fldCharType="begin"/>
    </w:r>
    <w:r w:rsidRPr="004628FD">
      <w:rPr>
        <w:b/>
        <w:sz w:val="18"/>
      </w:rPr>
      <w:instrText xml:space="preserve"> PAGE  \* MERGEFORMAT </w:instrText>
    </w:r>
    <w:r w:rsidRPr="004628FD">
      <w:rPr>
        <w:b/>
        <w:sz w:val="18"/>
      </w:rPr>
      <w:fldChar w:fldCharType="separate"/>
    </w:r>
    <w:r w:rsidRPr="004628FD">
      <w:rPr>
        <w:b/>
        <w:noProof/>
        <w:sz w:val="18"/>
      </w:rPr>
      <w:t>2</w:t>
    </w:r>
    <w:r w:rsidRPr="004628FD">
      <w:rPr>
        <w:b/>
        <w:sz w:val="18"/>
      </w:rPr>
      <w:fldChar w:fldCharType="end"/>
    </w:r>
    <w:r>
      <w:rPr>
        <w:b/>
        <w:sz w:val="18"/>
      </w:rPr>
      <w:tab/>
    </w:r>
    <w:r>
      <w:t>GE.23-16298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4A44" w14:textId="16374922" w:rsidR="004628FD" w:rsidRPr="004628FD" w:rsidRDefault="004628FD" w:rsidP="004628FD">
    <w:pPr>
      <w:pStyle w:val="Pieddepage"/>
      <w:tabs>
        <w:tab w:val="right" w:pos="9638"/>
      </w:tabs>
      <w:rPr>
        <w:b/>
        <w:sz w:val="18"/>
      </w:rPr>
    </w:pPr>
    <w:r>
      <w:t>GE.23-16298</w:t>
    </w:r>
    <w:r>
      <w:tab/>
    </w:r>
    <w:r w:rsidRPr="004628FD">
      <w:rPr>
        <w:b/>
        <w:sz w:val="18"/>
      </w:rPr>
      <w:fldChar w:fldCharType="begin"/>
    </w:r>
    <w:r w:rsidRPr="004628FD">
      <w:rPr>
        <w:b/>
        <w:sz w:val="18"/>
      </w:rPr>
      <w:instrText xml:space="preserve"> PAGE  \* MERGEFORMAT </w:instrText>
    </w:r>
    <w:r w:rsidRPr="004628FD">
      <w:rPr>
        <w:b/>
        <w:sz w:val="18"/>
      </w:rPr>
      <w:fldChar w:fldCharType="separate"/>
    </w:r>
    <w:r w:rsidRPr="004628FD">
      <w:rPr>
        <w:b/>
        <w:noProof/>
        <w:sz w:val="18"/>
      </w:rPr>
      <w:t>3</w:t>
    </w:r>
    <w:r w:rsidRPr="004628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8321" w14:textId="2EB06459" w:rsidR="007F20FA" w:rsidRPr="004628FD" w:rsidRDefault="004628FD" w:rsidP="004628F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24D351F" wp14:editId="393AF0D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23-16298  (F)</w:t>
    </w:r>
    <w:r>
      <w:rPr>
        <w:noProof/>
        <w:sz w:val="20"/>
      </w:rPr>
      <w:drawing>
        <wp:anchor distT="0" distB="0" distL="114300" distR="114300" simplePos="0" relativeHeight="251660288" behindDoc="0" locked="0" layoutInCell="1" allowOverlap="1" wp14:anchorId="6D204085" wp14:editId="3382116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250923    270923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A88B" w14:textId="77777777" w:rsidR="00400288" w:rsidRPr="00AC3823" w:rsidRDefault="00400288" w:rsidP="00AC3823">
      <w:pPr>
        <w:pStyle w:val="Pieddepage"/>
        <w:tabs>
          <w:tab w:val="right" w:pos="2155"/>
        </w:tabs>
        <w:spacing w:after="80" w:line="240" w:lineRule="atLeast"/>
        <w:ind w:left="680"/>
        <w:rPr>
          <w:u w:val="single"/>
        </w:rPr>
      </w:pPr>
      <w:r>
        <w:rPr>
          <w:u w:val="single"/>
        </w:rPr>
        <w:tab/>
      </w:r>
    </w:p>
  </w:footnote>
  <w:footnote w:type="continuationSeparator" w:id="0">
    <w:p w14:paraId="241AFD81" w14:textId="77777777" w:rsidR="00400288" w:rsidRPr="00AC3823" w:rsidRDefault="00400288" w:rsidP="00AC3823">
      <w:pPr>
        <w:pStyle w:val="Pieddepage"/>
        <w:tabs>
          <w:tab w:val="right" w:pos="2155"/>
        </w:tabs>
        <w:spacing w:after="80" w:line="240" w:lineRule="atLeast"/>
        <w:ind w:left="680"/>
        <w:rPr>
          <w:u w:val="single"/>
        </w:rPr>
      </w:pPr>
      <w:r>
        <w:rPr>
          <w:u w:val="single"/>
        </w:rPr>
        <w:tab/>
      </w:r>
    </w:p>
  </w:footnote>
  <w:footnote w:type="continuationNotice" w:id="1">
    <w:p w14:paraId="437B5F06" w14:textId="77777777" w:rsidR="00400288" w:rsidRPr="00AC3823" w:rsidRDefault="00400288">
      <w:pPr>
        <w:spacing w:line="240" w:lineRule="auto"/>
        <w:rPr>
          <w:sz w:val="2"/>
          <w:szCs w:val="2"/>
        </w:rPr>
      </w:pPr>
    </w:p>
  </w:footnote>
  <w:footnote w:id="2">
    <w:p w14:paraId="7E4102DE" w14:textId="7DC5012F" w:rsidR="00C64CDB" w:rsidRDefault="00C64CDB">
      <w:pPr>
        <w:pStyle w:val="Notedebasdepage"/>
        <w:rPr>
          <w:lang w:val="fr-FR"/>
        </w:rPr>
      </w:pPr>
      <w:r>
        <w:rPr>
          <w:rStyle w:val="Appelnotedebasdep"/>
        </w:rPr>
        <w:tab/>
      </w:r>
      <w:r w:rsidRPr="00C64CDB">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p w14:paraId="09CB6056" w14:textId="77777777" w:rsidR="004209A1" w:rsidRPr="00C64CDB" w:rsidRDefault="004209A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CB34" w14:textId="0B9C5537" w:rsidR="004628FD" w:rsidRPr="004628FD" w:rsidRDefault="004628FD">
    <w:pPr>
      <w:pStyle w:val="En-tte"/>
    </w:pPr>
    <w:fldSimple w:instr=" TITLE  \* MERGEFORMAT ">
      <w:r>
        <w:t>ECE/TRANS/WP.29/2023/96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7986" w14:textId="51F4A807" w:rsidR="004628FD" w:rsidRPr="004628FD" w:rsidRDefault="004628FD" w:rsidP="004628FD">
    <w:pPr>
      <w:pStyle w:val="En-tte"/>
      <w:jc w:val="right"/>
    </w:pPr>
    <w:fldSimple w:instr=" TITLE  \* MERGEFORMAT ">
      <w:r>
        <w:t>ECE/TRANS/WP.29/2023/96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64924827">
    <w:abstractNumId w:val="12"/>
  </w:num>
  <w:num w:numId="2" w16cid:durableId="765923405">
    <w:abstractNumId w:val="11"/>
  </w:num>
  <w:num w:numId="3" w16cid:durableId="1391346007">
    <w:abstractNumId w:val="10"/>
  </w:num>
  <w:num w:numId="4" w16cid:durableId="1621641812">
    <w:abstractNumId w:val="8"/>
  </w:num>
  <w:num w:numId="5" w16cid:durableId="759107411">
    <w:abstractNumId w:val="3"/>
  </w:num>
  <w:num w:numId="6" w16cid:durableId="1179076994">
    <w:abstractNumId w:val="2"/>
  </w:num>
  <w:num w:numId="7" w16cid:durableId="712735389">
    <w:abstractNumId w:val="1"/>
  </w:num>
  <w:num w:numId="8" w16cid:durableId="1801337056">
    <w:abstractNumId w:val="0"/>
  </w:num>
  <w:num w:numId="9" w16cid:durableId="2111654203">
    <w:abstractNumId w:val="9"/>
  </w:num>
  <w:num w:numId="10" w16cid:durableId="788547965">
    <w:abstractNumId w:val="7"/>
  </w:num>
  <w:num w:numId="11" w16cid:durableId="2120101127">
    <w:abstractNumId w:val="6"/>
  </w:num>
  <w:num w:numId="12" w16cid:durableId="746653855">
    <w:abstractNumId w:val="5"/>
  </w:num>
  <w:num w:numId="13" w16cid:durableId="1814368932">
    <w:abstractNumId w:val="4"/>
  </w:num>
  <w:num w:numId="14" w16cid:durableId="1187407722">
    <w:abstractNumId w:val="12"/>
  </w:num>
  <w:num w:numId="15" w16cid:durableId="1823766820">
    <w:abstractNumId w:val="11"/>
  </w:num>
  <w:num w:numId="16" w16cid:durableId="3955911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88"/>
    <w:rsid w:val="00017F94"/>
    <w:rsid w:val="00023842"/>
    <w:rsid w:val="000334F9"/>
    <w:rsid w:val="00045FEB"/>
    <w:rsid w:val="00074DF7"/>
    <w:rsid w:val="0007796D"/>
    <w:rsid w:val="000B7790"/>
    <w:rsid w:val="00111F2F"/>
    <w:rsid w:val="0014365E"/>
    <w:rsid w:val="00143C66"/>
    <w:rsid w:val="00176178"/>
    <w:rsid w:val="001B6D3E"/>
    <w:rsid w:val="001F525A"/>
    <w:rsid w:val="00201148"/>
    <w:rsid w:val="00223272"/>
    <w:rsid w:val="0024779E"/>
    <w:rsid w:val="00255D3C"/>
    <w:rsid w:val="00257168"/>
    <w:rsid w:val="002744B8"/>
    <w:rsid w:val="002832AC"/>
    <w:rsid w:val="002D7C93"/>
    <w:rsid w:val="00305801"/>
    <w:rsid w:val="00346380"/>
    <w:rsid w:val="003916DE"/>
    <w:rsid w:val="00400288"/>
    <w:rsid w:val="004209A1"/>
    <w:rsid w:val="00421996"/>
    <w:rsid w:val="00441C3B"/>
    <w:rsid w:val="00446FE5"/>
    <w:rsid w:val="00452396"/>
    <w:rsid w:val="004628FD"/>
    <w:rsid w:val="00477EB2"/>
    <w:rsid w:val="004837D8"/>
    <w:rsid w:val="004C6F68"/>
    <w:rsid w:val="004E2EED"/>
    <w:rsid w:val="004E468C"/>
    <w:rsid w:val="005505B7"/>
    <w:rsid w:val="00573BE5"/>
    <w:rsid w:val="00586ED3"/>
    <w:rsid w:val="00596AA9"/>
    <w:rsid w:val="005C0637"/>
    <w:rsid w:val="00633438"/>
    <w:rsid w:val="00656007"/>
    <w:rsid w:val="0071601D"/>
    <w:rsid w:val="007A62E6"/>
    <w:rsid w:val="007F20FA"/>
    <w:rsid w:val="00805E65"/>
    <w:rsid w:val="0080684C"/>
    <w:rsid w:val="00871C75"/>
    <w:rsid w:val="008776DC"/>
    <w:rsid w:val="008D5EF9"/>
    <w:rsid w:val="009446C0"/>
    <w:rsid w:val="00965E96"/>
    <w:rsid w:val="009705C8"/>
    <w:rsid w:val="009A497E"/>
    <w:rsid w:val="009C1CF4"/>
    <w:rsid w:val="009F6B74"/>
    <w:rsid w:val="00A3029F"/>
    <w:rsid w:val="00A30353"/>
    <w:rsid w:val="00AC3823"/>
    <w:rsid w:val="00AD7408"/>
    <w:rsid w:val="00AE323C"/>
    <w:rsid w:val="00AF0CB5"/>
    <w:rsid w:val="00B00181"/>
    <w:rsid w:val="00B00B0D"/>
    <w:rsid w:val="00B45F2E"/>
    <w:rsid w:val="00B765F7"/>
    <w:rsid w:val="00B77993"/>
    <w:rsid w:val="00BA0CA9"/>
    <w:rsid w:val="00C02897"/>
    <w:rsid w:val="00C075E0"/>
    <w:rsid w:val="00C64CDB"/>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49A2B"/>
  <w15:docId w15:val="{DB3C58AD-F0D2-4EB1-9A39-419155D2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074DF7"/>
    <w:rPr>
      <w:rFonts w:ascii="Times New Roman" w:eastAsiaTheme="minorHAnsi" w:hAnsi="Times New Roman" w:cs="Times New Roman"/>
      <w:sz w:val="20"/>
      <w:szCs w:val="20"/>
      <w:lang w:eastAsia="en-US"/>
    </w:rPr>
  </w:style>
  <w:style w:type="character" w:customStyle="1" w:styleId="HChGChar">
    <w:name w:val="_ H _Ch_G Char"/>
    <w:link w:val="HChG"/>
    <w:locked/>
    <w:rsid w:val="00074DF7"/>
    <w:rPr>
      <w:rFonts w:ascii="Times New Roman" w:eastAsiaTheme="minorHAnsi" w:hAnsi="Times New Roman" w:cs="Times New Roman"/>
      <w:b/>
      <w:sz w:val="28"/>
      <w:szCs w:val="20"/>
      <w:lang w:eastAsia="en-US"/>
    </w:rPr>
  </w:style>
  <w:style w:type="character" w:customStyle="1" w:styleId="H1GChar">
    <w:name w:val="_ H_1_G Char"/>
    <w:link w:val="H1G"/>
    <w:locked/>
    <w:rsid w:val="00074DF7"/>
    <w:rPr>
      <w:rFonts w:ascii="Times New Roman" w:eastAsiaTheme="minorHAnsi" w:hAnsi="Times New Roman" w:cs="Times New Roman"/>
      <w:b/>
      <w:sz w:val="24"/>
      <w:szCs w:val="20"/>
      <w:lang w:eastAsia="en-US"/>
    </w:rPr>
  </w:style>
  <w:style w:type="paragraph" w:customStyle="1" w:styleId="para">
    <w:name w:val="para"/>
    <w:basedOn w:val="Normal"/>
    <w:link w:val="paraChar"/>
    <w:qFormat/>
    <w:rsid w:val="00074DF7"/>
    <w:pPr>
      <w:suppressAutoHyphens w:val="0"/>
      <w:spacing w:after="120"/>
      <w:ind w:left="2268" w:right="1134" w:hanging="1134"/>
      <w:jc w:val="both"/>
    </w:pPr>
    <w:rPr>
      <w:rFonts w:eastAsia="Yu Mincho"/>
      <w:snapToGrid w:val="0"/>
      <w:lang w:val="fr-FR"/>
    </w:rPr>
  </w:style>
  <w:style w:type="character" w:customStyle="1" w:styleId="paraChar">
    <w:name w:val="para Char"/>
    <w:link w:val="para"/>
    <w:rsid w:val="00074DF7"/>
    <w:rPr>
      <w:rFonts w:ascii="Times New Roman" w:eastAsia="Yu Mincho" w:hAnsi="Times New Roman" w:cs="Times New Roman"/>
      <w:snapToGrid w:val="0"/>
      <w:sz w:val="20"/>
      <w:szCs w:val="20"/>
      <w:lang w:val="fr-FR" w:eastAsia="en-US"/>
    </w:rPr>
  </w:style>
  <w:style w:type="paragraph" w:customStyle="1" w:styleId="Para0">
    <w:name w:val="Para"/>
    <w:basedOn w:val="Normal"/>
    <w:qFormat/>
    <w:rsid w:val="00074DF7"/>
    <w:pPr>
      <w:numPr>
        <w:numId w:val="20"/>
      </w:numPr>
      <w:tabs>
        <w:tab w:val="clear" w:pos="360"/>
      </w:tabs>
      <w:suppressAutoHyphens w:val="0"/>
      <w:spacing w:after="120"/>
      <w:ind w:left="1134" w:right="1134" w:hanging="1134"/>
      <w:jc w:val="both"/>
    </w:pPr>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732</Words>
  <Characters>5125</Characters>
  <Application>Microsoft Office Word</Application>
  <DocSecurity>0</DocSecurity>
  <Lines>427</Lines>
  <Paragraphs>234</Paragraphs>
  <ScaleCrop>false</ScaleCrop>
  <HeadingPairs>
    <vt:vector size="2" baseType="variant">
      <vt:variant>
        <vt:lpstr>Titre</vt:lpstr>
      </vt:variant>
      <vt:variant>
        <vt:i4>1</vt:i4>
      </vt:variant>
    </vt:vector>
  </HeadingPairs>
  <TitlesOfParts>
    <vt:vector size="1" baseType="lpstr">
      <vt:lpstr>ECE/TRANS/WP.29/2023/96</vt:lpstr>
    </vt:vector>
  </TitlesOfParts>
  <Company>DCM</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ECE/TRANS/WP.29/2023/96</dc:title>
  <dc:subject/>
  <dc:creator>Nathalie VITTOZ</dc:creator>
  <cp:keywords/>
  <cp:lastModifiedBy>Nathalie Vittoz</cp:lastModifiedBy>
  <cp:revision>2</cp:revision>
  <cp:lastPrinted>2014-05-14T10:59:00Z</cp:lastPrinted>
  <dcterms:created xsi:type="dcterms:W3CDTF">2023-09-27T13:17:00Z</dcterms:created>
  <dcterms:modified xsi:type="dcterms:W3CDTF">2023-09-27T13:17:00Z</dcterms:modified>
</cp:coreProperties>
</file>