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29F0A013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9353E5C" w14:textId="77777777" w:rsidR="00F35BAF" w:rsidRPr="00DB58B5" w:rsidRDefault="00F35BAF" w:rsidP="00B37B62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AA64702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7FEEDAC" w14:textId="1F72ACA6" w:rsidR="00F35BAF" w:rsidRPr="00DB58B5" w:rsidRDefault="00B37B62" w:rsidP="00B37B62">
            <w:pPr>
              <w:jc w:val="right"/>
            </w:pPr>
            <w:r w:rsidRPr="00B37B62">
              <w:rPr>
                <w:sz w:val="40"/>
              </w:rPr>
              <w:t>ECE</w:t>
            </w:r>
            <w:r>
              <w:t>/TRANS/WP</w:t>
            </w:r>
            <w:r w:rsidR="005C5F43" w:rsidRPr="005C5F43">
              <w:t>.</w:t>
            </w:r>
            <w:r>
              <w:t>29/2023/93</w:t>
            </w:r>
          </w:p>
        </w:tc>
      </w:tr>
      <w:tr w:rsidR="00F35BAF" w:rsidRPr="00DB58B5" w14:paraId="1A907D1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F39C26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35DD7C1" wp14:editId="522AEDF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E3F0E4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677C8B9" w14:textId="3E7F2597" w:rsidR="00F35BAF" w:rsidRDefault="00B37B62" w:rsidP="00C97039">
            <w:pPr>
              <w:spacing w:before="240"/>
            </w:pPr>
            <w:proofErr w:type="spellStart"/>
            <w:r>
              <w:t>Distr</w:t>
            </w:r>
            <w:proofErr w:type="spellEnd"/>
            <w:r w:rsidR="005C5F43" w:rsidRPr="005C5F43">
              <w:t>.</w:t>
            </w:r>
            <w:r>
              <w:t xml:space="preserve"> générale</w:t>
            </w:r>
          </w:p>
          <w:p w14:paraId="7D980313" w14:textId="77777777" w:rsidR="00B37B62" w:rsidRDefault="00B37B62" w:rsidP="00B37B62">
            <w:pPr>
              <w:spacing w:line="240" w:lineRule="exact"/>
            </w:pPr>
            <w:r>
              <w:t>22 août 2023</w:t>
            </w:r>
          </w:p>
          <w:p w14:paraId="31B618DF" w14:textId="77777777" w:rsidR="00B37B62" w:rsidRDefault="00B37B62" w:rsidP="00B37B62">
            <w:pPr>
              <w:spacing w:line="240" w:lineRule="exact"/>
            </w:pPr>
            <w:r>
              <w:t>Français</w:t>
            </w:r>
          </w:p>
          <w:p w14:paraId="049D1DE5" w14:textId="3743DA33" w:rsidR="00B37B62" w:rsidRPr="00DB58B5" w:rsidRDefault="00B37B62" w:rsidP="00B37B62">
            <w:pPr>
              <w:spacing w:line="240" w:lineRule="exact"/>
            </w:pPr>
            <w:r>
              <w:t>Original : anglais</w:t>
            </w:r>
          </w:p>
        </w:tc>
      </w:tr>
    </w:tbl>
    <w:p w14:paraId="341C6760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40B69D4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EBCDABD" w14:textId="77777777" w:rsidR="00B37B62" w:rsidRPr="00452C0F" w:rsidRDefault="00B37B62" w:rsidP="00B37B62">
      <w:pPr>
        <w:spacing w:before="120"/>
        <w:rPr>
          <w:b/>
          <w:sz w:val="24"/>
          <w:szCs w:val="24"/>
          <w:lang w:val="fr-FR"/>
        </w:rPr>
      </w:pPr>
      <w:r w:rsidRPr="00452C0F">
        <w:rPr>
          <w:b/>
          <w:sz w:val="24"/>
          <w:lang w:val="fr-FR"/>
        </w:rPr>
        <w:t xml:space="preserve">Forum mondial de </w:t>
      </w:r>
      <w:r w:rsidRPr="00452C0F">
        <w:rPr>
          <w:b/>
          <w:sz w:val="24"/>
          <w:szCs w:val="24"/>
          <w:lang w:val="fr-FR"/>
        </w:rPr>
        <w:t>l</w:t>
      </w:r>
      <w:r>
        <w:rPr>
          <w:b/>
          <w:sz w:val="24"/>
          <w:szCs w:val="24"/>
          <w:lang w:val="fr-FR"/>
        </w:rPr>
        <w:t>’</w:t>
      </w:r>
      <w:r w:rsidRPr="00452C0F">
        <w:rPr>
          <w:b/>
          <w:sz w:val="24"/>
          <w:szCs w:val="24"/>
          <w:lang w:val="fr-FR"/>
        </w:rPr>
        <w:t>harmonisation</w:t>
      </w:r>
      <w:r w:rsidRPr="00452C0F">
        <w:rPr>
          <w:b/>
          <w:sz w:val="24"/>
          <w:szCs w:val="24"/>
          <w:lang w:val="fr-FR"/>
        </w:rPr>
        <w:br/>
      </w:r>
      <w:r w:rsidRPr="00452C0F">
        <w:rPr>
          <w:b/>
          <w:sz w:val="24"/>
          <w:lang w:val="fr-FR"/>
        </w:rPr>
        <w:t>des Règlements concernant les véhicules</w:t>
      </w:r>
    </w:p>
    <w:p w14:paraId="5E207BF2" w14:textId="77777777" w:rsidR="00B37B62" w:rsidRPr="00452C0F" w:rsidRDefault="00B37B62" w:rsidP="00B37B62">
      <w:pPr>
        <w:spacing w:before="120" w:line="240" w:lineRule="exact"/>
        <w:rPr>
          <w:b/>
          <w:lang w:val="fr-FR"/>
        </w:rPr>
      </w:pPr>
      <w:r>
        <w:rPr>
          <w:b/>
          <w:bCs/>
          <w:lang w:val="fr-FR"/>
        </w:rPr>
        <w:t>191</w:t>
      </w:r>
      <w:r w:rsidRPr="00E009BC">
        <w:rPr>
          <w:b/>
          <w:bCs/>
          <w:vertAlign w:val="superscript"/>
          <w:lang w:val="fr-FR"/>
        </w:rPr>
        <w:t>e</w:t>
      </w:r>
      <w:r w:rsidRPr="00452C0F">
        <w:rPr>
          <w:b/>
          <w:lang w:val="fr-FR"/>
        </w:rPr>
        <w:t xml:space="preserve"> session</w:t>
      </w:r>
    </w:p>
    <w:p w14:paraId="1F3FD359" w14:textId="77777777" w:rsidR="00B37B62" w:rsidRPr="00452C0F" w:rsidRDefault="00B37B62" w:rsidP="00B37B62">
      <w:pPr>
        <w:spacing w:line="240" w:lineRule="exact"/>
        <w:rPr>
          <w:lang w:val="fr-FR"/>
        </w:rPr>
      </w:pPr>
      <w:r w:rsidRPr="00452C0F">
        <w:rPr>
          <w:lang w:val="fr-FR"/>
        </w:rPr>
        <w:t xml:space="preserve">Genève, </w:t>
      </w:r>
      <w:r>
        <w:rPr>
          <w:lang w:val="fr-FR"/>
        </w:rPr>
        <w:t>14-16 novembre 2023</w:t>
      </w:r>
    </w:p>
    <w:p w14:paraId="6E9BCE67" w14:textId="4FBA15D6" w:rsidR="00B37B62" w:rsidRPr="00452C0F" w:rsidRDefault="00B37B62" w:rsidP="00B37B62">
      <w:pPr>
        <w:spacing w:line="240" w:lineRule="exact"/>
        <w:rPr>
          <w:lang w:val="fr-FR"/>
        </w:rPr>
      </w:pPr>
      <w:r w:rsidRPr="00452C0F">
        <w:rPr>
          <w:lang w:val="fr-FR"/>
        </w:rPr>
        <w:t xml:space="preserve">Point </w:t>
      </w:r>
      <w:r>
        <w:rPr>
          <w:lang w:val="fr-FR"/>
        </w:rPr>
        <w:t>4</w:t>
      </w:r>
      <w:r w:rsidR="005C5F43" w:rsidRPr="005C5F43">
        <w:rPr>
          <w:lang w:val="fr-FR"/>
        </w:rPr>
        <w:t>.</w:t>
      </w:r>
      <w:r>
        <w:rPr>
          <w:lang w:val="fr-FR"/>
        </w:rPr>
        <w:t>6</w:t>
      </w:r>
      <w:r w:rsidR="005C5F43" w:rsidRPr="005C5F43">
        <w:rPr>
          <w:lang w:val="fr-FR"/>
        </w:rPr>
        <w:t>.</w:t>
      </w:r>
      <w:r>
        <w:rPr>
          <w:lang w:val="fr-FR"/>
        </w:rPr>
        <w:t>3</w:t>
      </w:r>
      <w:r w:rsidRPr="00452C0F">
        <w:rPr>
          <w:lang w:val="fr-FR"/>
        </w:rPr>
        <w:t xml:space="preserve"> de l</w:t>
      </w:r>
      <w:r>
        <w:rPr>
          <w:lang w:val="fr-FR"/>
        </w:rPr>
        <w:t>’</w:t>
      </w:r>
      <w:r w:rsidRPr="00452C0F">
        <w:rPr>
          <w:lang w:val="fr-FR"/>
        </w:rPr>
        <w:t>ordre du jour provisoire</w:t>
      </w:r>
    </w:p>
    <w:p w14:paraId="6A4A33C9" w14:textId="77777777" w:rsidR="00B37B62" w:rsidRDefault="00B37B62" w:rsidP="00B37B62">
      <w:pPr>
        <w:rPr>
          <w:rStyle w:val="commented"/>
          <w:b/>
          <w:bCs/>
          <w:lang w:val="fr-FR"/>
        </w:rPr>
      </w:pPr>
      <w:r>
        <w:rPr>
          <w:rStyle w:val="commented"/>
          <w:b/>
          <w:bCs/>
          <w:lang w:val="fr-FR"/>
        </w:rPr>
        <w:t>Accord de 1958 :</w:t>
      </w:r>
    </w:p>
    <w:p w14:paraId="3BB1954A" w14:textId="77777777" w:rsidR="00B37B62" w:rsidRPr="005D69DE" w:rsidRDefault="00B37B62" w:rsidP="00B37B62">
      <w:pPr>
        <w:rPr>
          <w:b/>
          <w:bCs/>
          <w:lang w:val="fr-FR"/>
        </w:rPr>
      </w:pPr>
      <w:r>
        <w:rPr>
          <w:rStyle w:val="content"/>
          <w:b/>
          <w:bCs/>
          <w:lang w:val="fr-FR"/>
        </w:rPr>
        <w:t xml:space="preserve">Examen de projets d’amendements à </w:t>
      </w:r>
      <w:r>
        <w:rPr>
          <w:b/>
          <w:bCs/>
          <w:lang w:val="fr-FR"/>
        </w:rPr>
        <w:t>des Règlements ONU</w:t>
      </w:r>
      <w:r w:rsidRPr="00452C0F">
        <w:rPr>
          <w:b/>
          <w:bCs/>
          <w:lang w:val="fr-FR"/>
        </w:rPr>
        <w:t xml:space="preserve">, </w:t>
      </w:r>
      <w:r>
        <w:rPr>
          <w:b/>
          <w:bCs/>
          <w:lang w:val="fr-FR"/>
        </w:rPr>
        <w:br/>
      </w:r>
      <w:r w:rsidRPr="00452C0F">
        <w:rPr>
          <w:b/>
          <w:bCs/>
          <w:lang w:val="fr-FR"/>
        </w:rPr>
        <w:t>soumis par le GRE</w:t>
      </w:r>
    </w:p>
    <w:p w14:paraId="26B9079C" w14:textId="5CA7DBA8" w:rsidR="00B37B62" w:rsidRPr="00603C97" w:rsidRDefault="00B37B62" w:rsidP="00B37B62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Proposition de série 03 d’amendements au</w:t>
      </w:r>
      <w:r w:rsidR="00F2675D">
        <w:rPr>
          <w:lang w:val="fr-FR"/>
        </w:rPr>
        <w:t xml:space="preserve"> </w:t>
      </w:r>
      <w:r>
        <w:rPr>
          <w:lang w:val="fr-FR"/>
        </w:rPr>
        <w:t>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452C0F">
        <w:rPr>
          <w:lang w:val="fr-FR"/>
        </w:rPr>
        <w:t>86</w:t>
      </w:r>
      <w:r w:rsidRPr="00452C0F">
        <w:rPr>
          <w:rStyle w:val="commented"/>
          <w:lang w:val="fr-FR"/>
        </w:rPr>
        <w:t xml:space="preserve"> </w:t>
      </w:r>
      <w:r>
        <w:rPr>
          <w:rStyle w:val="commented"/>
          <w:lang w:val="fr-FR"/>
        </w:rPr>
        <w:t>(</w:t>
      </w:r>
      <w:r w:rsidRPr="00452C0F">
        <w:rPr>
          <w:rStyle w:val="commented"/>
          <w:lang w:val="fr-FR"/>
        </w:rPr>
        <w:t>Dispositifs d</w:t>
      </w:r>
      <w:r>
        <w:rPr>
          <w:rStyle w:val="commented"/>
          <w:lang w:val="fr-FR"/>
        </w:rPr>
        <w:t>’</w:t>
      </w:r>
      <w:r w:rsidRPr="00452C0F">
        <w:rPr>
          <w:rStyle w:val="commented"/>
          <w:lang w:val="fr-FR"/>
        </w:rPr>
        <w:t xml:space="preserve">éclairage et de signalisation lumineuse </w:t>
      </w:r>
      <w:r>
        <w:rPr>
          <w:rStyle w:val="commented"/>
          <w:lang w:val="fr-FR"/>
        </w:rPr>
        <w:br/>
      </w:r>
      <w:r w:rsidRPr="00452C0F">
        <w:rPr>
          <w:rStyle w:val="commented"/>
          <w:lang w:val="fr-FR"/>
        </w:rPr>
        <w:t>des véhicules agricoles ou forestiers</w:t>
      </w:r>
      <w:r w:rsidRPr="00E009BC">
        <w:rPr>
          <w:rStyle w:val="commented"/>
          <w:lang w:val="fr-FR"/>
        </w:rPr>
        <w:t>)</w:t>
      </w:r>
    </w:p>
    <w:p w14:paraId="2365A957" w14:textId="604F45D8" w:rsidR="00B37B62" w:rsidRDefault="00B37B62" w:rsidP="00B37B62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Communication du Groupe de travail de l’éclairage </w:t>
      </w:r>
      <w:r>
        <w:rPr>
          <w:lang w:val="fr-FR"/>
        </w:rPr>
        <w:br/>
      </w:r>
      <w:r>
        <w:rPr>
          <w:lang w:val="fr-FR"/>
        </w:rPr>
        <w:t>et de la signalisation lumineuse</w:t>
      </w:r>
      <w:r w:rsidRPr="00F2675D">
        <w:rPr>
          <w:rStyle w:val="Appelnotedebasdep"/>
          <w:b w:val="0"/>
          <w:sz w:val="20"/>
          <w:vertAlign w:val="baseline"/>
          <w:lang w:val="fr-FR"/>
        </w:rPr>
        <w:footnoteReference w:customMarkFollows="1" w:id="2"/>
        <w:t>*</w:t>
      </w:r>
    </w:p>
    <w:p w14:paraId="0E1E34E4" w14:textId="29ED136E" w:rsidR="00B37B62" w:rsidRPr="00452C0F" w:rsidRDefault="00B37B62" w:rsidP="00B37B62">
      <w:pPr>
        <w:pStyle w:val="SingleTxtG"/>
        <w:ind w:firstLine="567"/>
        <w:rPr>
          <w:lang w:val="fr-FR"/>
        </w:rPr>
      </w:pPr>
      <w:r w:rsidRPr="00452C0F">
        <w:rPr>
          <w:lang w:val="fr-FR"/>
        </w:rPr>
        <w:t xml:space="preserve">Le texte ci-après, </w:t>
      </w:r>
      <w:r>
        <w:rPr>
          <w:lang w:val="fr-FR"/>
        </w:rPr>
        <w:t>adopté</w:t>
      </w:r>
      <w:r w:rsidRPr="00452C0F">
        <w:rPr>
          <w:lang w:val="fr-FR"/>
        </w:rPr>
        <w:t xml:space="preserve"> par le </w:t>
      </w:r>
      <w:r>
        <w:rPr>
          <w:lang w:val="fr-FR"/>
        </w:rPr>
        <w:t>Groupe</w:t>
      </w:r>
      <w:r w:rsidRPr="00452C0F">
        <w:rPr>
          <w:lang w:val="fr-FR"/>
        </w:rPr>
        <w:t xml:space="preserve"> de travail de l</w:t>
      </w:r>
      <w:r>
        <w:rPr>
          <w:lang w:val="fr-FR"/>
        </w:rPr>
        <w:t>’</w:t>
      </w:r>
      <w:r w:rsidRPr="00452C0F">
        <w:rPr>
          <w:lang w:val="fr-FR"/>
        </w:rPr>
        <w:t xml:space="preserve">éclairage et </w:t>
      </w:r>
      <w:r>
        <w:rPr>
          <w:lang w:val="fr-FR"/>
        </w:rPr>
        <w:t>de</w:t>
      </w:r>
      <w:r w:rsidRPr="00452C0F">
        <w:rPr>
          <w:lang w:val="fr-FR"/>
        </w:rPr>
        <w:t xml:space="preserve"> la signalisation lumineuse (</w:t>
      </w:r>
      <w:r>
        <w:rPr>
          <w:lang w:val="fr-FR"/>
        </w:rPr>
        <w:t>GRE</w:t>
      </w:r>
      <w:r w:rsidRPr="00452C0F">
        <w:rPr>
          <w:lang w:val="fr-FR"/>
        </w:rPr>
        <w:t>)</w:t>
      </w:r>
      <w:r>
        <w:rPr>
          <w:lang w:val="fr-FR"/>
        </w:rPr>
        <w:t xml:space="preserve"> à sa quatre-vingt-huitième session (ECE/TRANS/WP</w:t>
      </w:r>
      <w:r w:rsidR="005C5F43" w:rsidRPr="005C5F43">
        <w:rPr>
          <w:lang w:val="fr-FR"/>
        </w:rPr>
        <w:t>.</w:t>
      </w:r>
      <w:r>
        <w:rPr>
          <w:lang w:val="fr-FR"/>
        </w:rPr>
        <w:t>29/GRE/88, par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 10), est </w:t>
      </w:r>
      <w:r w:rsidRPr="00783A2F">
        <w:rPr>
          <w:lang w:val="fr-FR"/>
        </w:rPr>
        <w:t>fondé sur le document ECE/TRANS/WP</w:t>
      </w:r>
      <w:r w:rsidR="005C5F43" w:rsidRPr="005C5F43">
        <w:rPr>
          <w:lang w:val="fr-FR"/>
        </w:rPr>
        <w:t>.</w:t>
      </w:r>
      <w:r w:rsidRPr="00783A2F">
        <w:rPr>
          <w:lang w:val="fr-FR"/>
        </w:rPr>
        <w:t>29/GRE/2023/6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 xml:space="preserve"> </w:t>
      </w:r>
      <w:r>
        <w:rPr>
          <w:lang w:val="fr-FR"/>
        </w:rPr>
        <w:t>Il est soumis au Forum mondial de l’harmonisation des Règlements concernant les véhicules (WP</w:t>
      </w:r>
      <w:r w:rsidR="005C5F43" w:rsidRPr="005C5F43">
        <w:rPr>
          <w:lang w:val="fr-FR"/>
        </w:rPr>
        <w:t>.</w:t>
      </w:r>
      <w:r>
        <w:rPr>
          <w:lang w:val="fr-FR"/>
        </w:rPr>
        <w:t>29) et au Comité d’administration de l’Accord de 1958 (AC</w:t>
      </w:r>
      <w:r w:rsidR="005C5F43" w:rsidRPr="005C5F43">
        <w:rPr>
          <w:lang w:val="fr-FR"/>
        </w:rPr>
        <w:t>.</w:t>
      </w:r>
      <w:r>
        <w:rPr>
          <w:lang w:val="fr-FR"/>
        </w:rPr>
        <w:t>1) pour examen à leurs sessions de novembre 2023</w:t>
      </w:r>
      <w:r w:rsidR="005C5F43" w:rsidRPr="005C5F43">
        <w:rPr>
          <w:lang w:val="fr-FR"/>
        </w:rPr>
        <w:t>.</w:t>
      </w:r>
    </w:p>
    <w:p w14:paraId="37DFD0D7" w14:textId="77777777" w:rsidR="00B37B62" w:rsidRDefault="00B37B62" w:rsidP="00B37B62">
      <w:pPr>
        <w:suppressAutoHyphens w:val="0"/>
        <w:spacing w:line="240" w:lineRule="auto"/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</w:p>
    <w:p w14:paraId="205BA2EC" w14:textId="6A9FE40E" w:rsidR="00B37B62" w:rsidRPr="005D69DE" w:rsidRDefault="00B37B62" w:rsidP="00B37B62">
      <w:pPr>
        <w:pStyle w:val="SingleTxtG"/>
        <w:rPr>
          <w:lang w:val="fr-FR"/>
        </w:rPr>
      </w:pPr>
      <w:r w:rsidRPr="00355D03">
        <w:rPr>
          <w:i/>
          <w:iCs/>
          <w:lang w:val="fr-FR"/>
        </w:rPr>
        <w:lastRenderedPageBreak/>
        <w:t>Paragraphe 6</w:t>
      </w:r>
      <w:r w:rsidR="005C5F43" w:rsidRPr="005C5F43">
        <w:rPr>
          <w:i/>
          <w:iCs/>
          <w:lang w:val="fr-FR"/>
        </w:rPr>
        <w:t>.</w:t>
      </w:r>
      <w:r w:rsidRPr="00355D03">
        <w:rPr>
          <w:i/>
          <w:iCs/>
          <w:lang w:val="fr-FR"/>
        </w:rPr>
        <w:t>1</w:t>
      </w:r>
      <w:r>
        <w:rPr>
          <w:lang w:val="fr-FR"/>
        </w:rPr>
        <w:t>, lire :</w:t>
      </w:r>
    </w:p>
    <w:p w14:paraId="7685F0E7" w14:textId="46B6A185" w:rsidR="00B37B62" w:rsidRPr="00452C0F" w:rsidRDefault="00B37B62" w:rsidP="00B37B62">
      <w:pPr>
        <w:pStyle w:val="SingleTxtG"/>
        <w:ind w:left="2268" w:hanging="1134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</w:t>
      </w:r>
      <w:r w:rsidRPr="00452C0F">
        <w:rPr>
          <w:lang w:val="fr-FR"/>
        </w:rPr>
        <w:tab/>
        <w:t>Feux de route (Règlement ONU n</w:t>
      </w:r>
      <w:r w:rsidRPr="00452C0F">
        <w:rPr>
          <w:vertAlign w:val="superscript"/>
          <w:lang w:val="fr-FR"/>
        </w:rPr>
        <w:t>o</w:t>
      </w:r>
      <w:r w:rsidRPr="00452C0F">
        <w:rPr>
          <w:lang w:val="fr-FR"/>
        </w:rPr>
        <w:t> 149)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0B77BE77" w14:textId="1E1F7CC9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0BD2881E" w14:textId="5003A85F" w:rsidR="00B37B62" w:rsidRPr="005D69DE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1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>
        <w:rPr>
          <w:lang w:val="fr-FR"/>
        </w:rPr>
        <w:tab/>
        <w:t>Nombre :</w:t>
      </w:r>
      <w:r>
        <w:rPr>
          <w:lang w:val="fr-FR"/>
        </w:rPr>
        <w:tab/>
        <w:t xml:space="preserve">Deux, </w:t>
      </w:r>
      <w:r w:rsidRPr="00452C0F">
        <w:rPr>
          <w:lang w:val="fr-FR"/>
        </w:rPr>
        <w:t>homologués</w:t>
      </w:r>
      <w:r>
        <w:rPr>
          <w:lang w:val="fr-FR"/>
        </w:rPr>
        <w:t xml:space="preserve"> conformément</w:t>
      </w:r>
      <w:r w:rsidRPr="00E009BC">
        <w:rPr>
          <w:lang w:val="fr-FR"/>
        </w:rPr>
        <w:t xml:space="preserve"> à </w:t>
      </w:r>
      <w:r w:rsidRPr="0098307C">
        <w:rPr>
          <w:lang w:val="fr-FR"/>
        </w:rPr>
        <w:t>la classe</w:t>
      </w:r>
      <w:r w:rsidR="00F2675D">
        <w:rPr>
          <w:lang w:val="fr-FR"/>
        </w:rPr>
        <w:t> </w:t>
      </w:r>
      <w:r w:rsidRPr="0098307C">
        <w:rPr>
          <w:lang w:val="fr-FR"/>
        </w:rPr>
        <w:t>A</w:t>
      </w:r>
      <w:r>
        <w:rPr>
          <w:lang w:val="fr-FR"/>
        </w:rPr>
        <w:t xml:space="preserve">, B, BS, CS ou DS de la série 01 </w:t>
      </w:r>
      <w:r w:rsidRPr="00E009BC">
        <w:rPr>
          <w:lang w:val="fr-FR"/>
        </w:rPr>
        <w:t>ou d</w:t>
      </w:r>
      <w:r>
        <w:rPr>
          <w:lang w:val="fr-FR"/>
        </w:rPr>
        <w:t>’</w:t>
      </w:r>
      <w:r w:rsidRPr="00E009BC">
        <w:rPr>
          <w:lang w:val="fr-FR"/>
        </w:rPr>
        <w:t xml:space="preserve">une </w:t>
      </w:r>
      <w:r>
        <w:rPr>
          <w:lang w:val="fr-FR"/>
        </w:rPr>
        <w:t xml:space="preserve">série ultérieure d’amendements au Règlement ONU </w:t>
      </w:r>
      <w:r w:rsidRPr="00B37B62">
        <w:rPr>
          <w:rFonts w:eastAsia="MS Mincho"/>
          <w:lang w:val="fr-FR"/>
        </w:rPr>
        <w:t>n</w:t>
      </w:r>
      <w:r w:rsidRPr="00B37B62">
        <w:rPr>
          <w:rFonts w:eastAsia="MS Mincho"/>
          <w:vertAlign w:val="superscript"/>
          <w:lang w:val="fr-FR"/>
        </w:rPr>
        <w:t>o</w:t>
      </w:r>
      <w:r>
        <w:rPr>
          <w:lang w:val="fr-FR"/>
        </w:rPr>
        <w:t> </w:t>
      </w:r>
      <w:r>
        <w:rPr>
          <w:lang w:val="fr-FR"/>
        </w:rPr>
        <w:t>149</w:t>
      </w:r>
      <w:r w:rsidR="005C5F43" w:rsidRPr="005C5F43">
        <w:rPr>
          <w:lang w:val="fr-FR"/>
        </w:rPr>
        <w:t>.</w:t>
      </w:r>
    </w:p>
    <w:p w14:paraId="26BC92CF" w14:textId="2FC9E761" w:rsidR="00B37B62" w:rsidRPr="005D69DE" w:rsidRDefault="00B37B62" w:rsidP="00B37B62">
      <w:pPr>
        <w:pStyle w:val="SingleTxtG"/>
        <w:ind w:left="4820"/>
        <w:rPr>
          <w:lang w:val="fr-FR"/>
        </w:rPr>
      </w:pPr>
      <w:r>
        <w:rPr>
          <w:lang w:val="fr-FR"/>
        </w:rPr>
        <w:t>Le véhicule peut éventuellement être équipé d’une paire supplémentaire de feux de route, qui doivent être homologués conformément</w:t>
      </w:r>
      <w:r>
        <w:rPr>
          <w:strike/>
          <w:lang w:val="fr-FR"/>
        </w:rPr>
        <w:t xml:space="preserve"> </w:t>
      </w:r>
      <w:r w:rsidRPr="00E009BC">
        <w:rPr>
          <w:lang w:val="fr-FR"/>
        </w:rPr>
        <w:t>à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la classe A, B, BS, CS, </w:t>
      </w:r>
      <w:r w:rsidRPr="00E009BC">
        <w:rPr>
          <w:lang w:val="fr-FR"/>
        </w:rPr>
        <w:t>D,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DS</w:t>
      </w:r>
      <w:r w:rsidRPr="00E009BC">
        <w:rPr>
          <w:lang w:val="fr-FR"/>
        </w:rPr>
        <w:t>, ES</w:t>
      </w:r>
      <w:r>
        <w:rPr>
          <w:lang w:val="fr-FR"/>
        </w:rPr>
        <w:t xml:space="preserve"> ou RA </w:t>
      </w:r>
      <w:r w:rsidRPr="00E009BC">
        <w:rPr>
          <w:lang w:val="fr-FR"/>
        </w:rPr>
        <w:t>de la série originale ou d</w:t>
      </w:r>
      <w:r>
        <w:rPr>
          <w:lang w:val="fr-FR"/>
        </w:rPr>
        <w:t>’</w:t>
      </w:r>
      <w:r w:rsidRPr="00E009BC">
        <w:rPr>
          <w:lang w:val="fr-FR"/>
        </w:rPr>
        <w:t>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au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149</w:t>
      </w:r>
      <w:r w:rsidR="005C5F43" w:rsidRPr="005C5F43">
        <w:rPr>
          <w:lang w:val="fr-FR"/>
        </w:rPr>
        <w:t>.</w:t>
      </w:r>
      <w:r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2B58D39C" w14:textId="6646999F" w:rsidR="00B37B62" w:rsidRPr="005D69DE" w:rsidRDefault="00B37B62" w:rsidP="00B37B62">
      <w:pPr>
        <w:pStyle w:val="SingleTxtG"/>
        <w:rPr>
          <w:rFonts w:asciiTheme="majorBidi" w:hAnsiTheme="majorBidi" w:cstheme="majorBidi"/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7</w:t>
      </w:r>
      <w:r>
        <w:rPr>
          <w:lang w:val="fr-FR"/>
        </w:rPr>
        <w:t xml:space="preserve">, </w:t>
      </w:r>
      <w:r w:rsidRPr="00A650B3">
        <w:rPr>
          <w:lang w:val="fr-FR"/>
        </w:rPr>
        <w:t>lire</w:t>
      </w:r>
      <w:r>
        <w:rPr>
          <w:lang w:val="fr-FR"/>
        </w:rPr>
        <w:t> :</w:t>
      </w:r>
    </w:p>
    <w:p w14:paraId="09BADB4C" w14:textId="7F3261B9" w:rsidR="00B37B62" w:rsidRPr="005D69DE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1</w:t>
      </w:r>
      <w:r w:rsidR="005C5F43" w:rsidRPr="005C5F43">
        <w:rPr>
          <w:lang w:val="fr-FR"/>
        </w:rPr>
        <w:t>.</w:t>
      </w:r>
      <w:r>
        <w:rPr>
          <w:lang w:val="fr-FR"/>
        </w:rPr>
        <w:t>7</w:t>
      </w:r>
      <w:r>
        <w:rPr>
          <w:lang w:val="fr-FR"/>
        </w:rPr>
        <w:tab/>
        <w:t>Branchements électriques :</w:t>
      </w:r>
      <w:r>
        <w:rPr>
          <w:lang w:val="fr-FR"/>
        </w:rPr>
        <w:tab/>
        <w:t xml:space="preserve">L’allumage des feux de </w:t>
      </w:r>
      <w:r w:rsidRPr="00452C0F">
        <w:rPr>
          <w:lang w:val="fr-FR"/>
        </w:rPr>
        <w:t>route</w:t>
      </w:r>
      <w:r>
        <w:rPr>
          <w:lang w:val="fr-FR"/>
        </w:rPr>
        <w:t xml:space="preserve"> peut se faire simultanément ou par paire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 Lors du passage des feux de croisement aux feux de route, une paire au moins de feux de route doit s’allumer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 Lors du passage des feux de route aux feux de croisement, tous les feux de route doivent s’éteindre ensemble</w:t>
      </w:r>
      <w:r w:rsidR="005C5F43" w:rsidRPr="005C5F43">
        <w:rPr>
          <w:lang w:val="fr-FR"/>
        </w:rPr>
        <w:t>.</w:t>
      </w:r>
    </w:p>
    <w:p w14:paraId="607B9AFE" w14:textId="71F0BE41" w:rsidR="00B37B62" w:rsidRPr="005D69DE" w:rsidRDefault="00B37B62" w:rsidP="00B37B62">
      <w:pPr>
        <w:pStyle w:val="SingleTxtG"/>
        <w:ind w:left="4820"/>
        <w:rPr>
          <w:lang w:val="fr-FR"/>
        </w:rPr>
      </w:pPr>
      <w:r>
        <w:rPr>
          <w:lang w:val="fr-FR"/>
        </w:rPr>
        <w:t>Les feux de croisement peuvent rester allumés en même temps que les feux de route</w:t>
      </w:r>
      <w:r w:rsidR="005C5F43" w:rsidRPr="005C5F43">
        <w:rPr>
          <w:lang w:val="fr-FR"/>
        </w:rPr>
        <w:t>.</w:t>
      </w:r>
    </w:p>
    <w:p w14:paraId="00F5FECF" w14:textId="77777777" w:rsidR="00B37B62" w:rsidRPr="00E009BC" w:rsidRDefault="00B37B62" w:rsidP="00B37B62">
      <w:pPr>
        <w:pStyle w:val="SingleTxtG"/>
        <w:ind w:left="4820"/>
        <w:rPr>
          <w:lang w:val="fr-FR"/>
        </w:rPr>
      </w:pPr>
      <w:r w:rsidRPr="00E009BC">
        <w:rPr>
          <w:lang w:val="fr-FR"/>
        </w:rPr>
        <w:t>Toutefois, lorsque le véhicule est équipé d</w:t>
      </w:r>
      <w:r>
        <w:rPr>
          <w:lang w:val="fr-FR"/>
        </w:rPr>
        <w:t>’</w:t>
      </w:r>
      <w:r w:rsidRPr="00E009BC">
        <w:rPr>
          <w:lang w:val="fr-FR"/>
        </w:rPr>
        <w:t>un ou de plusieurs feux de route secondaires homologués conformément à la série 01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149, au moins un des feux suivants doit rester allumé avec le ou les feux de route secondaires :</w:t>
      </w:r>
    </w:p>
    <w:p w14:paraId="783CFA53" w14:textId="65C40E6C" w:rsidR="00B37B62" w:rsidRPr="00E009BC" w:rsidRDefault="00B37B62" w:rsidP="00B37B62">
      <w:pPr>
        <w:pStyle w:val="SingleTxtG"/>
        <w:ind w:left="5387" w:hanging="567"/>
        <w:rPr>
          <w:iCs/>
          <w:lang w:val="fr-FR"/>
        </w:rPr>
      </w:pPr>
      <w:r w:rsidRPr="00E009BC">
        <w:rPr>
          <w:iCs/>
          <w:lang w:val="fr-FR"/>
        </w:rPr>
        <w:t>a)</w:t>
      </w:r>
      <w:r w:rsidRPr="00E009BC">
        <w:rPr>
          <w:iCs/>
          <w:lang w:val="fr-FR"/>
        </w:rPr>
        <w:tab/>
      </w:r>
      <w:r w:rsidRPr="00E009BC">
        <w:rPr>
          <w:lang w:val="fr-FR"/>
        </w:rPr>
        <w:t>Feu(x) de croisement ;</w:t>
      </w:r>
    </w:p>
    <w:p w14:paraId="565C4C05" w14:textId="3639EADE" w:rsidR="00B37B62" w:rsidRPr="00E009BC" w:rsidRDefault="00B37B62" w:rsidP="00B37B62">
      <w:pPr>
        <w:pStyle w:val="SingleTxtG"/>
        <w:ind w:left="5387" w:hanging="567"/>
        <w:rPr>
          <w:iCs/>
          <w:lang w:val="fr-FR"/>
        </w:rPr>
      </w:pPr>
      <w:r w:rsidRPr="00E009BC">
        <w:rPr>
          <w:iCs/>
          <w:lang w:val="fr-FR"/>
        </w:rPr>
        <w:t>b)</w:t>
      </w:r>
      <w:r w:rsidRPr="00E009BC">
        <w:rPr>
          <w:iCs/>
          <w:lang w:val="fr-FR"/>
        </w:rPr>
        <w:tab/>
      </w:r>
      <w:r w:rsidRPr="00E009BC">
        <w:rPr>
          <w:lang w:val="fr-FR"/>
        </w:rPr>
        <w:t>Feu de route de classe</w:t>
      </w:r>
      <w:r w:rsidR="00F2675D">
        <w:rPr>
          <w:lang w:val="fr-FR"/>
        </w:rPr>
        <w:t> </w:t>
      </w:r>
      <w:r w:rsidRPr="00E009BC">
        <w:rPr>
          <w:lang w:val="fr-FR"/>
        </w:rPr>
        <w:t xml:space="preserve">A ou B homologué conformément à la série 01 </w:t>
      </w:r>
      <w:r w:rsidRPr="00F2675D">
        <w:rPr>
          <w:spacing w:val="-2"/>
          <w:lang w:val="fr-FR"/>
        </w:rPr>
        <w:t>ou à une série ultérieure d’amendements</w:t>
      </w:r>
      <w:r w:rsidRPr="00E009BC">
        <w:rPr>
          <w:lang w:val="fr-FR"/>
        </w:rPr>
        <w:t xml:space="preserve">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149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2DDD4996" w14:textId="3CEB7FF7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1D5CDD4E" w14:textId="168CCBF7" w:rsidR="00B37B62" w:rsidRPr="00452C0F" w:rsidRDefault="00B37B62" w:rsidP="00B37B62">
      <w:pPr>
        <w:pStyle w:val="SingleTxtG"/>
        <w:ind w:left="2268" w:hanging="1134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Feux de croisement (Règlement ONU n</w:t>
      </w:r>
      <w:r w:rsidRPr="00452C0F">
        <w:rPr>
          <w:vertAlign w:val="superscript"/>
          <w:lang w:val="fr-FR"/>
        </w:rPr>
        <w:t>o</w:t>
      </w:r>
      <w:r w:rsidRPr="00452C0F">
        <w:rPr>
          <w:lang w:val="fr-FR"/>
        </w:rPr>
        <w:t> 149)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0EA2BCB3" w14:textId="3252F377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A650B3">
        <w:rPr>
          <w:lang w:val="fr-FR"/>
        </w:rPr>
        <w:t>lire</w:t>
      </w:r>
      <w:r>
        <w:rPr>
          <w:lang w:val="fr-FR"/>
        </w:rPr>
        <w:t> :</w:t>
      </w:r>
    </w:p>
    <w:p w14:paraId="142DDDD2" w14:textId="4493FA45" w:rsidR="00B37B62" w:rsidRPr="005D69DE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>
        <w:rPr>
          <w:lang w:val="fr-FR"/>
        </w:rPr>
        <w:tab/>
        <w:t>Nombre :</w:t>
      </w:r>
      <w:r>
        <w:rPr>
          <w:lang w:val="fr-FR"/>
        </w:rPr>
        <w:tab/>
        <w:t>Deux (ou quatre −</w:t>
      </w:r>
      <w:r w:rsidR="00F2675D">
        <w:rPr>
          <w:lang w:val="fr-FR"/>
        </w:rPr>
        <w:t> </w:t>
      </w:r>
      <w:r>
        <w:rPr>
          <w:lang w:val="fr-FR"/>
        </w:rPr>
        <w:t>voir par</w:t>
      </w:r>
      <w:r w:rsidR="005C5F43" w:rsidRPr="005C5F43">
        <w:rPr>
          <w:lang w:val="fr-FR"/>
        </w:rPr>
        <w:t>.</w:t>
      </w:r>
      <w:r>
        <w:rPr>
          <w:lang w:val="fr-FR"/>
        </w:rPr>
        <w:t> 6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 w:rsidR="005C5F43" w:rsidRPr="005C5F43">
        <w:rPr>
          <w:lang w:val="fr-FR"/>
        </w:rPr>
        <w:t>.</w:t>
      </w:r>
      <w:r>
        <w:rPr>
          <w:lang w:val="fr-FR"/>
        </w:rPr>
        <w:t>4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 w:rsidR="005C5F43" w:rsidRPr="005C5F43">
        <w:rPr>
          <w:lang w:val="fr-FR"/>
        </w:rPr>
        <w:t>.</w:t>
      </w:r>
      <w:r>
        <w:rPr>
          <w:lang w:val="fr-FR"/>
        </w:rPr>
        <w:t>4), homologués conformément</w:t>
      </w:r>
      <w:r w:rsidRPr="00F2675D">
        <w:rPr>
          <w:lang w:val="fr-FR"/>
        </w:rPr>
        <w:t xml:space="preserve"> </w:t>
      </w:r>
      <w:r w:rsidRPr="00E009BC">
        <w:rPr>
          <w:lang w:val="fr-FR"/>
        </w:rPr>
        <w:t>à</w:t>
      </w:r>
      <w:r w:rsidRPr="00F2675D">
        <w:rPr>
          <w:lang w:val="fr-FR"/>
        </w:rPr>
        <w:t xml:space="preserve"> </w:t>
      </w:r>
      <w:r w:rsidRPr="0098307C">
        <w:rPr>
          <w:lang w:val="fr-FR"/>
        </w:rPr>
        <w:t>la classe AS</w:t>
      </w:r>
      <w:r>
        <w:rPr>
          <w:lang w:val="fr-FR"/>
        </w:rPr>
        <w:t xml:space="preserve">, BS, C, CS, DS ou V de la série 01 </w:t>
      </w:r>
      <w:r w:rsidRPr="00E009BC">
        <w:rPr>
          <w:lang w:val="fr-FR"/>
        </w:rPr>
        <w:t>ou d</w:t>
      </w:r>
      <w:r>
        <w:rPr>
          <w:lang w:val="fr-FR"/>
        </w:rPr>
        <w:t>’</w:t>
      </w:r>
      <w:r w:rsidRPr="00E009BC">
        <w:rPr>
          <w:lang w:val="fr-FR"/>
        </w:rPr>
        <w:t>une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série ultérieure d’amendements au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> 149</w:t>
      </w:r>
      <w:r w:rsidR="005C5F43" w:rsidRPr="005C5F43">
        <w:rPr>
          <w:lang w:val="fr-FR"/>
        </w:rPr>
        <w:t>.</w:t>
      </w:r>
      <w:r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3EA37D02" w14:textId="741FA26D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3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20FF86A7" w14:textId="7E8DEB2A" w:rsidR="00B37B62" w:rsidRPr="00452C0F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</w:r>
      <w:r w:rsidRPr="00D17091">
        <w:rPr>
          <w:lang w:val="fr-FR"/>
        </w:rPr>
        <w:t>Nombre</w:t>
      </w:r>
      <w:r w:rsidRPr="00452C0F">
        <w:rPr>
          <w:lang w:val="fr-FR"/>
        </w:rPr>
        <w:t> :</w:t>
      </w:r>
      <w:r w:rsidRPr="00452C0F">
        <w:rPr>
          <w:lang w:val="fr-FR"/>
        </w:rPr>
        <w:tab/>
        <w:t>Deux</w:t>
      </w:r>
      <w:r w:rsidRPr="00E009BC">
        <w:rPr>
          <w:lang w:val="fr-FR"/>
        </w:rPr>
        <w:t>, homologués en tant que dispositifs de la classe F3 conformément à la série 03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19,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149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05DD6EBE" w14:textId="70949E2C" w:rsidR="00B37B62" w:rsidRPr="005D69DE" w:rsidRDefault="00B37B62" w:rsidP="00C53BD5">
      <w:pPr>
        <w:pStyle w:val="SingleTxtG"/>
        <w:keepNext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lastRenderedPageBreak/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4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1AEE19BC" w14:textId="32D686B9" w:rsidR="00B37B62" w:rsidRPr="00452C0F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4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</w:r>
      <w:r w:rsidRPr="00D17091">
        <w:rPr>
          <w:lang w:val="fr-FR"/>
        </w:rPr>
        <w:t>Nombre</w:t>
      </w:r>
      <w:r w:rsidRPr="00452C0F">
        <w:rPr>
          <w:lang w:val="fr-FR"/>
        </w:rPr>
        <w:t> :</w:t>
      </w:r>
      <w:r w:rsidRPr="00452C0F">
        <w:rPr>
          <w:lang w:val="fr-FR"/>
        </w:rPr>
        <w:tab/>
        <w:t>Un ou deux</w:t>
      </w:r>
      <w:r w:rsidRPr="00E009BC">
        <w:rPr>
          <w:lang w:val="fr-FR"/>
        </w:rPr>
        <w:t>,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23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3B5E094E" w14:textId="7937D9D4" w:rsidR="00B37B62" w:rsidRPr="005D69DE" w:rsidRDefault="00B37B62" w:rsidP="00C53BD5">
      <w:pPr>
        <w:pStyle w:val="SingleTxtG"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5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2197BE2B" w14:textId="306E3278" w:rsidR="00B37B62" w:rsidRPr="00452C0F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5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Le nombre des dispositifs doit être tel qu</w:t>
      </w:r>
      <w:r>
        <w:rPr>
          <w:lang w:val="fr-FR"/>
        </w:rPr>
        <w:t>’</w:t>
      </w:r>
      <w:r w:rsidRPr="00452C0F">
        <w:rPr>
          <w:lang w:val="fr-FR"/>
        </w:rPr>
        <w:t>ils puissent émettre des signaux correspondant à l</w:t>
      </w:r>
      <w:r>
        <w:rPr>
          <w:lang w:val="fr-FR"/>
        </w:rPr>
        <w:t>’</w:t>
      </w:r>
      <w:r w:rsidRPr="00452C0F">
        <w:rPr>
          <w:lang w:val="fr-FR"/>
        </w:rPr>
        <w:t>un des schémas décrits au paragraphe 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5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3</w:t>
      </w:r>
      <w:r w:rsidR="005C5F43" w:rsidRPr="005C5F43">
        <w:rPr>
          <w:lang w:val="fr-FR"/>
        </w:rPr>
        <w:t>.</w:t>
      </w:r>
    </w:p>
    <w:p w14:paraId="55674060" w14:textId="4CDA3A7B" w:rsidR="00B37B62" w:rsidRPr="00355D03" w:rsidRDefault="00B37B62" w:rsidP="00C53BD5">
      <w:pPr>
        <w:pStyle w:val="SingleTxtG"/>
        <w:spacing w:after="100" w:line="220" w:lineRule="atLeast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01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6,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51D8B06" w14:textId="506F51C4" w:rsidR="00B37B62" w:rsidRPr="005D69DE" w:rsidRDefault="00B37B62" w:rsidP="00C53BD5">
      <w:pPr>
        <w:pStyle w:val="SingleTxtG"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7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096B5174" w14:textId="1222EDCE" w:rsidR="00B37B62" w:rsidRPr="00452C0F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7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 xml:space="preserve">Deux dispositifs </w:t>
      </w:r>
      <w:r w:rsidRPr="00E009BC">
        <w:rPr>
          <w:lang w:val="fr-FR"/>
        </w:rPr>
        <w:t xml:space="preserve">de la catégorie </w:t>
      </w:r>
      <w:r w:rsidRPr="00452C0F">
        <w:rPr>
          <w:lang w:val="fr-FR"/>
        </w:rPr>
        <w:t>S1 ou S2 et un dispositif de la catégorie S3 ou S4</w:t>
      </w:r>
      <w:r w:rsidR="005C5F43" w:rsidRPr="005C5F43">
        <w:rPr>
          <w:lang w:val="fr-FR"/>
        </w:rPr>
        <w:t>.</w:t>
      </w:r>
    </w:p>
    <w:p w14:paraId="752094BF" w14:textId="49F58CE2" w:rsidR="00B37B62" w:rsidRPr="00355D03" w:rsidRDefault="00B37B62" w:rsidP="00C53BD5">
      <w:pPr>
        <w:pStyle w:val="SingleTxtG"/>
        <w:spacing w:after="100" w:line="220" w:lineRule="atLeast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02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DF759C5" w14:textId="5F3DD688" w:rsidR="00B37B62" w:rsidRPr="005D69DE" w:rsidRDefault="00B37B62" w:rsidP="00C53BD5">
      <w:pPr>
        <w:pStyle w:val="SingleTxtG"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8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153BDA79" w14:textId="0710FCCA" w:rsidR="00B37B62" w:rsidRPr="00355D03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8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Deux ou quatre (voir par</w:t>
      </w:r>
      <w:r w:rsidR="005C5F43" w:rsidRPr="005C5F43">
        <w:rPr>
          <w:lang w:val="fr-FR"/>
        </w:rPr>
        <w:t>.</w:t>
      </w:r>
      <w:r w:rsidR="00F2675D">
        <w:rPr>
          <w:lang w:val="fr-FR"/>
        </w:rPr>
        <w:t> </w:t>
      </w:r>
      <w:r w:rsidRPr="00452C0F">
        <w:rPr>
          <w:lang w:val="fr-FR"/>
        </w:rPr>
        <w:t>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8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4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2)</w:t>
      </w:r>
      <w:r w:rsidRPr="00C53BD5">
        <w:rPr>
          <w:lang w:val="fr-FR"/>
        </w:rPr>
        <w:t xml:space="preserve">, </w:t>
      </w:r>
      <w:r w:rsidRPr="00E009BC">
        <w:rPr>
          <w:lang w:val="fr-FR"/>
        </w:rPr>
        <w:t>homologués conformément à la série 02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343909D5" w14:textId="559EE977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9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> :</w:t>
      </w:r>
    </w:p>
    <w:p w14:paraId="0B3AFADC" w14:textId="1D1E5230" w:rsidR="00B37B62" w:rsidRPr="00355D03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9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Deux ou plus (voir par</w:t>
      </w:r>
      <w:r w:rsidR="00F2675D">
        <w:rPr>
          <w:lang w:val="fr-FR"/>
        </w:rPr>
        <w:t>. </w:t>
      </w:r>
      <w:r w:rsidRPr="00452C0F">
        <w:rPr>
          <w:lang w:val="fr-FR"/>
        </w:rPr>
        <w:t>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9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4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3 et 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9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5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</w:t>
      </w:r>
      <w:r w:rsidRPr="00355D03">
        <w:rPr>
          <w:lang w:val="fr-FR"/>
        </w:rPr>
        <w:t>)</w:t>
      </w:r>
      <w:r w:rsidRPr="00E009BC">
        <w:rPr>
          <w:lang w:val="fr-FR"/>
        </w:rPr>
        <w:t>, homologués conformément à la série 02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0B69286" w14:textId="72C53087" w:rsidR="00B37B62" w:rsidRPr="005D69DE" w:rsidRDefault="00B37B62" w:rsidP="00C53BD5">
      <w:pPr>
        <w:pStyle w:val="SingleTxtG"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10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> :</w:t>
      </w:r>
    </w:p>
    <w:p w14:paraId="27201F42" w14:textId="37080E9F" w:rsidR="00B37B62" w:rsidRPr="00452C0F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10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Un ou deux</w:t>
      </w:r>
      <w:r w:rsidRPr="00E009BC">
        <w:rPr>
          <w:lang w:val="fr-FR"/>
        </w:rPr>
        <w:t>,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38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55D03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165BF521" w14:textId="3AE70E2A" w:rsidR="00B37B62" w:rsidRPr="005D69DE" w:rsidRDefault="00B37B62" w:rsidP="00C53BD5">
      <w:pPr>
        <w:pStyle w:val="SingleTxtG"/>
        <w:spacing w:after="100" w:line="220" w:lineRule="atLeast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11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> :</w:t>
      </w:r>
    </w:p>
    <w:p w14:paraId="60D7B7C5" w14:textId="36998DBD" w:rsidR="00B37B62" w:rsidRPr="00452C0F" w:rsidRDefault="00B37B62" w:rsidP="00C53BD5">
      <w:pPr>
        <w:pStyle w:val="SingleTxtG"/>
        <w:tabs>
          <w:tab w:val="left" w:pos="2268"/>
        </w:tabs>
        <w:spacing w:after="100" w:line="220" w:lineRule="atLeast"/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11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Selon le schéma d</w:t>
      </w:r>
      <w:r>
        <w:rPr>
          <w:lang w:val="fr-FR"/>
        </w:rPr>
        <w:t>’</w:t>
      </w:r>
      <w:r w:rsidRPr="00452C0F">
        <w:rPr>
          <w:lang w:val="fr-FR"/>
        </w:rPr>
        <w:t>installation</w:t>
      </w:r>
      <w:r w:rsidR="005C5F43" w:rsidRPr="005C5F43">
        <w:rPr>
          <w:lang w:val="fr-FR"/>
        </w:rPr>
        <w:t>.</w:t>
      </w:r>
    </w:p>
    <w:p w14:paraId="4EB1F707" w14:textId="5F0D9AB2" w:rsidR="00B37B62" w:rsidRPr="00355D03" w:rsidRDefault="00B37B62" w:rsidP="00C53BD5">
      <w:pPr>
        <w:pStyle w:val="SingleTxtG"/>
        <w:spacing w:after="100" w:line="220" w:lineRule="atLeast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77, à la série 02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 </w:t>
      </w:r>
      <w:r w:rsidRPr="00355D03">
        <w:rPr>
          <w:lang w:val="fr-FR"/>
        </w:rPr>
        <w:t>»</w:t>
      </w:r>
      <w:r w:rsidR="005C5F43" w:rsidRPr="005C5F43">
        <w:rPr>
          <w:lang w:val="fr-FR"/>
        </w:rPr>
        <w:t>.</w:t>
      </w:r>
    </w:p>
    <w:p w14:paraId="1C5EA80E" w14:textId="31B140FF" w:rsidR="00B37B62" w:rsidRPr="005D69DE" w:rsidRDefault="00B37B62" w:rsidP="00C53BD5">
      <w:pPr>
        <w:pStyle w:val="SingleTxtG"/>
        <w:keepNext/>
        <w:rPr>
          <w:lang w:val="fr-FR"/>
        </w:rPr>
      </w:pPr>
      <w:r>
        <w:rPr>
          <w:i/>
          <w:iCs/>
          <w:lang w:val="fr-FR"/>
        </w:rPr>
        <w:lastRenderedPageBreak/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> :</w:t>
      </w:r>
    </w:p>
    <w:p w14:paraId="7661D2C3" w14:textId="3D9AC5D7" w:rsidR="00B37B62" w:rsidRPr="00452C0F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Deux visibles de l</w:t>
      </w:r>
      <w:r>
        <w:rPr>
          <w:lang w:val="fr-FR"/>
        </w:rPr>
        <w:t>’</w:t>
      </w:r>
      <w:r w:rsidRPr="00452C0F">
        <w:rPr>
          <w:lang w:val="fr-FR"/>
        </w:rPr>
        <w:t>avant et deux visibles de l</w:t>
      </w:r>
      <w:r>
        <w:rPr>
          <w:lang w:val="fr-FR"/>
        </w:rPr>
        <w:t>’</w:t>
      </w:r>
      <w:r w:rsidRPr="00452C0F">
        <w:rPr>
          <w:lang w:val="fr-FR"/>
        </w:rPr>
        <w:t>arrière</w:t>
      </w:r>
      <w:r w:rsidR="005C5F43" w:rsidRPr="005C5F43">
        <w:rPr>
          <w:lang w:val="fr-FR"/>
        </w:rPr>
        <w:t>.</w:t>
      </w:r>
    </w:p>
    <w:p w14:paraId="21DF6D17" w14:textId="77777777" w:rsidR="00B37B62" w:rsidRPr="005D69DE" w:rsidRDefault="00B37B62" w:rsidP="00B37B62">
      <w:pPr>
        <w:pStyle w:val="SingleTxtG"/>
        <w:ind w:left="4820"/>
        <w:rPr>
          <w:lang w:val="fr-FR"/>
        </w:rPr>
      </w:pPr>
      <w:r>
        <w:rPr>
          <w:lang w:val="fr-FR"/>
        </w:rPr>
        <w:t>Facultatif : des feux supplémentaires peuvent être installés comme suit :</w:t>
      </w:r>
    </w:p>
    <w:p w14:paraId="1368D4B7" w14:textId="77777777" w:rsidR="00B37B62" w:rsidRPr="005D69DE" w:rsidRDefault="00B37B62" w:rsidP="00B37B62">
      <w:pPr>
        <w:pStyle w:val="SingleTxtG"/>
        <w:ind w:left="5387" w:hanging="567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>Deux visibles de l’avant ;</w:t>
      </w:r>
    </w:p>
    <w:p w14:paraId="37B51D4A" w14:textId="4895E961" w:rsidR="00B37B62" w:rsidRPr="005D69DE" w:rsidRDefault="00B37B62" w:rsidP="00B37B62">
      <w:pPr>
        <w:pStyle w:val="SingleTxtG"/>
        <w:ind w:left="5387" w:hanging="567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Deux visibles de l’arrière</w:t>
      </w:r>
      <w:r w:rsidR="005C5F43" w:rsidRPr="005C5F43">
        <w:rPr>
          <w:lang w:val="fr-FR"/>
        </w:rPr>
        <w:t>.</w:t>
      </w:r>
    </w:p>
    <w:p w14:paraId="3A316B30" w14:textId="7AB1B2F5" w:rsidR="00B37B62" w:rsidRPr="00355D03" w:rsidRDefault="00B37B62" w:rsidP="00B37B62">
      <w:pPr>
        <w:pStyle w:val="SingleTxtG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02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7,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 </w:t>
      </w:r>
      <w:r w:rsidRPr="00355D03">
        <w:rPr>
          <w:lang w:val="fr-FR"/>
        </w:rPr>
        <w:t>»</w:t>
      </w:r>
      <w:r w:rsidR="005C5F43" w:rsidRPr="005C5F43">
        <w:rPr>
          <w:lang w:val="fr-FR"/>
        </w:rPr>
        <w:t>.</w:t>
      </w:r>
    </w:p>
    <w:p w14:paraId="14E9D8F9" w14:textId="35C3AF66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14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6A357556" w14:textId="63798B52" w:rsidR="00B37B62" w:rsidRPr="00452C0F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14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>
        <w:rPr>
          <w:lang w:val="fr-FR"/>
        </w:rPr>
        <w:tab/>
        <w:t>Nombre :</w:t>
      </w:r>
      <w:r>
        <w:rPr>
          <w:lang w:val="fr-FR"/>
        </w:rPr>
        <w:tab/>
        <w:t xml:space="preserve">Deux ou </w:t>
      </w:r>
      <w:r w:rsidRPr="00452C0F">
        <w:rPr>
          <w:lang w:val="fr-FR"/>
        </w:rPr>
        <w:t>quatre</w:t>
      </w:r>
      <w:r>
        <w:rPr>
          <w:lang w:val="fr-FR"/>
        </w:rPr>
        <w:t xml:space="preserve"> (voir par</w:t>
      </w:r>
      <w:r w:rsidR="005C5F43" w:rsidRPr="005C5F43">
        <w:rPr>
          <w:lang w:val="fr-FR"/>
        </w:rPr>
        <w:t>.</w:t>
      </w:r>
      <w:r w:rsidR="00C53BD5">
        <w:rPr>
          <w:lang w:val="fr-FR"/>
        </w:rPr>
        <w:t> </w:t>
      </w:r>
      <w:r>
        <w:rPr>
          <w:lang w:val="fr-FR"/>
        </w:rPr>
        <w:t>6</w:t>
      </w:r>
      <w:r w:rsidR="005C5F43" w:rsidRPr="005C5F43">
        <w:rPr>
          <w:lang w:val="fr-FR"/>
        </w:rPr>
        <w:t>.</w:t>
      </w:r>
      <w:r>
        <w:rPr>
          <w:lang w:val="fr-FR"/>
        </w:rPr>
        <w:t>14</w:t>
      </w:r>
      <w:r w:rsidR="005C5F43" w:rsidRPr="005C5F43">
        <w:rPr>
          <w:lang w:val="fr-FR"/>
        </w:rPr>
        <w:t>.</w:t>
      </w:r>
      <w:r>
        <w:rPr>
          <w:lang w:val="fr-FR"/>
        </w:rPr>
        <w:t>5</w:t>
      </w:r>
      <w:r w:rsidR="005C5F43" w:rsidRPr="005C5F43">
        <w:rPr>
          <w:lang w:val="fr-FR"/>
        </w:rPr>
        <w:t>.</w:t>
      </w:r>
      <w:r>
        <w:rPr>
          <w:lang w:val="fr-FR"/>
        </w:rPr>
        <w:t>1)</w:t>
      </w:r>
      <w:r w:rsidRPr="00E009BC">
        <w:rPr>
          <w:lang w:val="fr-FR"/>
        </w:rPr>
        <w:t>,</w:t>
      </w:r>
      <w:r w:rsidRPr="00644BE6">
        <w:rPr>
          <w:lang w:val="fr-FR"/>
        </w:rPr>
        <w:t xml:space="preserve"> </w:t>
      </w:r>
      <w:r w:rsidRPr="00E009BC">
        <w:rPr>
          <w:lang w:val="fr-FR"/>
        </w:rPr>
        <w:t>homologués conformément</w:t>
      </w:r>
      <w:r w:rsidRPr="00452C0F">
        <w:rPr>
          <w:b/>
          <w:bCs/>
          <w:lang w:val="fr-FR"/>
        </w:rPr>
        <w:t xml:space="preserve"> </w:t>
      </w:r>
      <w:r w:rsidRPr="00452C0F">
        <w:rPr>
          <w:lang w:val="fr-FR"/>
        </w:rPr>
        <w:t xml:space="preserve">aux prescriptions </w:t>
      </w:r>
      <w:r w:rsidRPr="00B70229">
        <w:rPr>
          <w:lang w:val="fr-FR"/>
        </w:rPr>
        <w:t>concernant</w:t>
      </w:r>
      <w:r w:rsidRPr="00452C0F">
        <w:rPr>
          <w:lang w:val="fr-FR"/>
        </w:rPr>
        <w:t xml:space="preserve"> les catadioptres de la classe IA ou</w:t>
      </w:r>
      <w:r w:rsidR="00C53BD5">
        <w:rPr>
          <w:lang w:val="fr-FR"/>
        </w:rPr>
        <w:t> </w:t>
      </w:r>
      <w:r w:rsidRPr="00452C0F">
        <w:rPr>
          <w:lang w:val="fr-FR"/>
        </w:rPr>
        <w:t xml:space="preserve">IB, énoncées </w:t>
      </w:r>
      <w:r w:rsidRPr="00E009BC">
        <w:rPr>
          <w:lang w:val="fr-FR"/>
        </w:rPr>
        <w:t>dans la série 02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3 ou dans la série originale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 xml:space="preserve"> </w:t>
      </w:r>
    </w:p>
    <w:p w14:paraId="1FE35CE1" w14:textId="52421462" w:rsidR="00B37B62" w:rsidRPr="00452C0F" w:rsidRDefault="00B37B62" w:rsidP="00B37B62">
      <w:pPr>
        <w:pStyle w:val="SingleTxtG"/>
        <w:ind w:left="4820"/>
        <w:rPr>
          <w:lang w:val="fr-FR"/>
        </w:rPr>
      </w:pPr>
      <w:r w:rsidRPr="00C53BD5">
        <w:rPr>
          <w:spacing w:val="-2"/>
          <w:lang w:val="fr-FR"/>
        </w:rPr>
        <w:t>Les dispositifs et matériaux réfléchissants supplémentaires (notamment deux catadioptres ne satisfaisant pas aux</w:t>
      </w:r>
      <w:r w:rsidRPr="00452C0F">
        <w:rPr>
          <w:lang w:val="fr-FR"/>
        </w:rPr>
        <w:t xml:space="preserve"> dispositions du paragraphe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14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4 ci-dessous) sont autorisés à condition qu</w:t>
      </w:r>
      <w:r>
        <w:rPr>
          <w:lang w:val="fr-FR"/>
        </w:rPr>
        <w:t>’</w:t>
      </w:r>
      <w:r w:rsidRPr="00452C0F">
        <w:rPr>
          <w:lang w:val="fr-FR"/>
        </w:rPr>
        <w:t>ils ne nuisent pas à l</w:t>
      </w:r>
      <w:r>
        <w:rPr>
          <w:lang w:val="fr-FR"/>
        </w:rPr>
        <w:t>’</w:t>
      </w:r>
      <w:r w:rsidRPr="00452C0F">
        <w:rPr>
          <w:lang w:val="fr-FR"/>
        </w:rPr>
        <w:t>efficacité des dispositifs obligatoires d</w:t>
      </w:r>
      <w:r>
        <w:rPr>
          <w:lang w:val="fr-FR"/>
        </w:rPr>
        <w:t>’</w:t>
      </w:r>
      <w:r w:rsidRPr="00452C0F">
        <w:rPr>
          <w:lang w:val="fr-FR"/>
        </w:rPr>
        <w:t>éclairage et de signalisation lumineuse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06EE825" w14:textId="3BB1CEF0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15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> :</w:t>
      </w:r>
    </w:p>
    <w:p w14:paraId="69CCCD6C" w14:textId="49C1B4B7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15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>
        <w:rPr>
          <w:lang w:val="fr-FR"/>
        </w:rPr>
        <w:tab/>
        <w:t>Nombre :</w:t>
      </w:r>
      <w:r>
        <w:rPr>
          <w:lang w:val="fr-FR"/>
        </w:rPr>
        <w:tab/>
        <w:t xml:space="preserve">Tel que les </w:t>
      </w:r>
      <w:r w:rsidRPr="00452C0F">
        <w:rPr>
          <w:lang w:val="fr-FR"/>
        </w:rPr>
        <w:t>prescriptions</w:t>
      </w:r>
      <w:r>
        <w:rPr>
          <w:lang w:val="fr-FR"/>
        </w:rPr>
        <w:t xml:space="preserve"> relatives à l’emplacement en longueur soient respectées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 Les dispositifs doivent être </w:t>
      </w:r>
      <w:r w:rsidRPr="00E009BC">
        <w:rPr>
          <w:lang w:val="fr-FR"/>
        </w:rPr>
        <w:t>homologués conformément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aux prescriptions concernant les catadioptres de la classe</w:t>
      </w:r>
      <w:r w:rsidR="00C53BD5">
        <w:rPr>
          <w:lang w:val="fr-FR"/>
        </w:rPr>
        <w:t> </w:t>
      </w:r>
      <w:r>
        <w:rPr>
          <w:lang w:val="fr-FR"/>
        </w:rPr>
        <w:t xml:space="preserve">IA ou IB, énoncées </w:t>
      </w:r>
      <w:r w:rsidRPr="00E009BC">
        <w:rPr>
          <w:lang w:val="fr-FR"/>
        </w:rPr>
        <w:t>dans la série</w:t>
      </w:r>
      <w:r w:rsidR="00C53BD5">
        <w:rPr>
          <w:lang w:val="fr-FR"/>
        </w:rPr>
        <w:t> </w:t>
      </w:r>
      <w:r w:rsidRPr="00E009BC">
        <w:rPr>
          <w:lang w:val="fr-FR"/>
        </w:rPr>
        <w:t>02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3 ou dans la série originale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</w:p>
    <w:p w14:paraId="70F19D58" w14:textId="429E5C22" w:rsidR="00B37B62" w:rsidRPr="00452C0F" w:rsidRDefault="00B37B62" w:rsidP="00B37B62">
      <w:pPr>
        <w:pStyle w:val="SingleTxtG"/>
        <w:ind w:left="4820"/>
        <w:rPr>
          <w:lang w:val="fr-FR"/>
        </w:rPr>
      </w:pPr>
      <w:r w:rsidRPr="00452C0F">
        <w:rPr>
          <w:lang w:val="fr-FR"/>
        </w:rPr>
        <w:t>Les dispositifs et matériaux réfléchissants supplémentaires (y compris deux catadioptres ne répondant pas aux prescriptions du paragraphe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15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4 ci-dessous) sont autorisés à condition qu</w:t>
      </w:r>
      <w:r>
        <w:rPr>
          <w:lang w:val="fr-FR"/>
        </w:rPr>
        <w:t>’</w:t>
      </w:r>
      <w:r w:rsidRPr="00452C0F">
        <w:rPr>
          <w:lang w:val="fr-FR"/>
        </w:rPr>
        <w:t>ils ne nuisent pas à l</w:t>
      </w:r>
      <w:r>
        <w:rPr>
          <w:lang w:val="fr-FR"/>
        </w:rPr>
        <w:t>’</w:t>
      </w:r>
      <w:r w:rsidRPr="00452C0F">
        <w:rPr>
          <w:lang w:val="fr-FR"/>
        </w:rPr>
        <w:t>efficacité des dispositifs d</w:t>
      </w:r>
      <w:r>
        <w:rPr>
          <w:lang w:val="fr-FR"/>
        </w:rPr>
        <w:t>’</w:t>
      </w:r>
      <w:r w:rsidRPr="00452C0F">
        <w:rPr>
          <w:lang w:val="fr-FR"/>
        </w:rPr>
        <w:t>éclairage et de signalisation lumineuse obligatoires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5DF441AE" w14:textId="7708FAD2" w:rsidR="00B37B62" w:rsidRPr="00C86F19" w:rsidRDefault="00B37B62" w:rsidP="00F2675D">
      <w:pPr>
        <w:pStyle w:val="SingleTxtG"/>
        <w:keepNext/>
        <w:keepLines/>
      </w:pPr>
      <w:r>
        <w:rPr>
          <w:i/>
          <w:iCs/>
          <w:lang w:val="fr-FR"/>
        </w:rPr>
        <w:lastRenderedPageBreak/>
        <w:t>Paragraphes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 à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6</w:t>
      </w:r>
      <w:r>
        <w:rPr>
          <w:lang w:val="fr-FR"/>
        </w:rPr>
        <w:t xml:space="preserve">, </w:t>
      </w:r>
      <w:r w:rsidRPr="00C14668">
        <w:rPr>
          <w:lang w:val="fr-FR"/>
        </w:rPr>
        <w:t>lire</w:t>
      </w:r>
      <w:r>
        <w:rPr>
          <w:lang w:val="fr-FR"/>
        </w:rPr>
        <w:t xml:space="preserve"> : </w:t>
      </w:r>
    </w:p>
    <w:tbl>
      <w:tblPr>
        <w:tblW w:w="8628" w:type="dxa"/>
        <w:tblInd w:w="1119" w:type="dxa"/>
        <w:tblLayout w:type="fixed"/>
        <w:tblLook w:val="0000" w:firstRow="0" w:lastRow="0" w:firstColumn="0" w:lastColumn="0" w:noHBand="0" w:noVBand="0"/>
      </w:tblPr>
      <w:tblGrid>
        <w:gridCol w:w="3525"/>
        <w:gridCol w:w="265"/>
        <w:gridCol w:w="4838"/>
      </w:tblGrid>
      <w:tr w:rsidR="00B37B62" w:rsidRPr="00E009BC" w14:paraId="3EACBD57" w14:textId="77777777" w:rsidTr="00117F9C">
        <w:trPr>
          <w:trHeight w:val="1316"/>
        </w:trPr>
        <w:tc>
          <w:tcPr>
            <w:tcW w:w="3525" w:type="dxa"/>
          </w:tcPr>
          <w:p w14:paraId="7E88A221" w14:textId="2328529C" w:rsidR="00B37B62" w:rsidRPr="005D69DE" w:rsidRDefault="00B37B62" w:rsidP="00F2675D">
            <w:pPr>
              <w:keepNext/>
              <w:keepLines/>
              <w:tabs>
                <w:tab w:val="left" w:pos="1134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pacing w:val="-2"/>
                <w:lang w:val="fr-FR"/>
              </w:rPr>
            </w:pPr>
            <w:r>
              <w:rPr>
                <w:lang w:val="fr-FR"/>
              </w:rPr>
              <w:t>« 6</w:t>
            </w:r>
            <w:r w:rsidR="005C5F43" w:rsidRPr="005C5F43">
              <w:rPr>
                <w:lang w:val="fr-FR"/>
              </w:rPr>
              <w:t>.</w:t>
            </w:r>
            <w:r w:rsidRPr="00452C0F">
              <w:rPr>
                <w:spacing w:val="-2"/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ab/>
              <w:t>Nombre</w:t>
            </w:r>
          </w:p>
          <w:p w14:paraId="5AC0C7D8" w14:textId="1E4F4197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pacing w:val="-2"/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3</w:t>
            </w:r>
            <w:r>
              <w:rPr>
                <w:lang w:val="fr-FR"/>
              </w:rPr>
              <w:tab/>
              <w:t>Schéma d’installation</w:t>
            </w:r>
          </w:p>
          <w:p w14:paraId="30BF8D0D" w14:textId="53ED839B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pacing w:val="-2"/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4</w:t>
            </w:r>
            <w:r>
              <w:rPr>
                <w:lang w:val="fr-FR"/>
              </w:rPr>
              <w:tab/>
              <w:t>Emplacement</w:t>
            </w:r>
          </w:p>
          <w:p w14:paraId="3F92EE8F" w14:textId="785F7A9A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4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</w:t>
            </w:r>
            <w:r>
              <w:rPr>
                <w:lang w:val="fr-FR"/>
              </w:rPr>
              <w:tab/>
              <w:t>En largeur</w:t>
            </w:r>
          </w:p>
          <w:p w14:paraId="02D6BEB1" w14:textId="6AE4A7B6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4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ab/>
              <w:t>En hauteur</w:t>
            </w:r>
          </w:p>
          <w:p w14:paraId="035E3E82" w14:textId="0D98538F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4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3</w:t>
            </w:r>
            <w:r>
              <w:rPr>
                <w:lang w:val="fr-FR"/>
              </w:rPr>
              <w:tab/>
              <w:t>En longueur</w:t>
            </w:r>
          </w:p>
          <w:p w14:paraId="5190A92A" w14:textId="4173E2C8" w:rsidR="00B37B62" w:rsidRPr="005D69DE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pacing w:val="-2"/>
                <w:lang w:val="fr-FR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5</w:t>
            </w:r>
            <w:r>
              <w:rPr>
                <w:lang w:val="fr-FR"/>
              </w:rPr>
              <w:tab/>
              <w:t>Visibilité géométrique</w:t>
            </w:r>
          </w:p>
          <w:p w14:paraId="35B699F9" w14:textId="6013477F" w:rsidR="00B37B62" w:rsidRPr="00C86F19" w:rsidRDefault="00B37B62" w:rsidP="00F2675D">
            <w:pPr>
              <w:keepNext/>
              <w:keepLines/>
              <w:tabs>
                <w:tab w:val="left" w:pos="1149"/>
                <w:tab w:val="left" w:pos="2268"/>
                <w:tab w:val="left" w:pos="2835"/>
                <w:tab w:val="left" w:pos="5103"/>
              </w:tabs>
              <w:spacing w:after="120"/>
              <w:ind w:right="-130"/>
              <w:rPr>
                <w:spacing w:val="-2"/>
              </w:rPr>
            </w:pPr>
            <w:r>
              <w:rPr>
                <w:lang w:val="fr-FR"/>
              </w:rPr>
              <w:t>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16</w:t>
            </w:r>
            <w:r w:rsidR="005C5F43" w:rsidRPr="005C5F43">
              <w:rPr>
                <w:lang w:val="fr-FR"/>
              </w:rPr>
              <w:t>.</w:t>
            </w:r>
            <w:r>
              <w:rPr>
                <w:lang w:val="fr-FR"/>
              </w:rPr>
              <w:t>6</w:t>
            </w:r>
            <w:r>
              <w:rPr>
                <w:lang w:val="fr-FR"/>
              </w:rPr>
              <w:tab/>
              <w:t>Orientation</w:t>
            </w:r>
          </w:p>
        </w:tc>
        <w:tc>
          <w:tcPr>
            <w:tcW w:w="265" w:type="dxa"/>
          </w:tcPr>
          <w:p w14:paraId="393DBB53" w14:textId="77777777" w:rsidR="00B37B62" w:rsidRPr="00C86F19" w:rsidRDefault="00B37B62" w:rsidP="00F2675D">
            <w:pPr>
              <w:keepNext/>
              <w:keepLines/>
            </w:pPr>
            <w:r w:rsidRPr="00C86F1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B71AA" wp14:editId="55245DC0">
                      <wp:simplePos x="0" y="0"/>
                      <wp:positionH relativeFrom="column">
                        <wp:posOffset>-164118</wp:posOffset>
                      </wp:positionH>
                      <wp:positionV relativeFrom="paragraph">
                        <wp:posOffset>-7620</wp:posOffset>
                      </wp:positionV>
                      <wp:extent cx="228600" cy="1791970"/>
                      <wp:effectExtent l="0" t="0" r="19050" b="17780"/>
                      <wp:wrapNone/>
                      <wp:docPr id="34" name="Right Br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791970"/>
                              </a:xfrm>
                              <a:prstGeom prst="rightBrace">
                                <a:avLst>
                                  <a:gd name="adj1" fmla="val 653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A67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4" o:spid="_x0000_s1026" type="#_x0000_t88" style="position:absolute;margin-left:-12.9pt;margin-top:-.6pt;width:18pt;height:1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"/>
                  </w:pict>
                </mc:Fallback>
              </mc:AlternateContent>
            </w:r>
          </w:p>
        </w:tc>
        <w:tc>
          <w:tcPr>
            <w:tcW w:w="4838" w:type="dxa"/>
          </w:tcPr>
          <w:p w14:paraId="10483F24" w14:textId="59FC07F7" w:rsidR="00B37B62" w:rsidRPr="005D69DE" w:rsidRDefault="00B37B62" w:rsidP="00F2675D">
            <w:pPr>
              <w:keepNext/>
              <w:keepLines/>
              <w:tabs>
                <w:tab w:val="left" w:pos="3126"/>
              </w:tabs>
              <w:spacing w:before="360" w:after="120"/>
              <w:ind w:left="17" w:right="1134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 dispositif doit pouvoir éclairer l’emplacement de la plaque </w:t>
            </w:r>
            <w:r w:rsidRPr="00452C0F">
              <w:rPr>
                <w:lang w:val="fr-FR"/>
              </w:rPr>
              <w:t>d</w:t>
            </w:r>
            <w:r>
              <w:rPr>
                <w:lang w:val="fr-FR"/>
              </w:rPr>
              <w:t>’</w:t>
            </w:r>
            <w:r w:rsidRPr="00452C0F">
              <w:rPr>
                <w:lang w:val="fr-FR"/>
              </w:rPr>
              <w:t>immatriculation</w:t>
            </w:r>
            <w:r w:rsidR="005C5F43" w:rsidRPr="005C5F43">
              <w:rPr>
                <w:lang w:val="fr-FR"/>
              </w:rPr>
              <w:t>.</w:t>
            </w:r>
          </w:p>
          <w:p w14:paraId="3EAAEF57" w14:textId="3F4400AA" w:rsidR="00B37B62" w:rsidRPr="003E38D5" w:rsidRDefault="00B37B62" w:rsidP="00F2675D">
            <w:pPr>
              <w:keepNext/>
              <w:keepLines/>
              <w:tabs>
                <w:tab w:val="left" w:pos="3126"/>
              </w:tabs>
              <w:spacing w:after="120"/>
              <w:ind w:left="19" w:right="1134"/>
              <w:jc w:val="both"/>
              <w:rPr>
                <w:lang w:val="fr-FR"/>
              </w:rPr>
            </w:pPr>
            <w:r w:rsidRPr="00E009BC">
              <w:rPr>
                <w:lang w:val="fr-FR"/>
              </w:rPr>
              <w:t>Les dispositifs doivent être homologués conformément à la série originale ou à une série ultérieure d</w:t>
            </w:r>
            <w:r>
              <w:rPr>
                <w:lang w:val="fr-FR"/>
              </w:rPr>
              <w:t>’</w:t>
            </w:r>
            <w:r w:rsidRPr="00E009BC">
              <w:rPr>
                <w:lang w:val="fr-FR"/>
              </w:rPr>
              <w:t>amendements au Règlement ONU n</w:t>
            </w:r>
            <w:r w:rsidRPr="00E009BC">
              <w:rPr>
                <w:vertAlign w:val="superscript"/>
                <w:lang w:val="fr-FR"/>
              </w:rPr>
              <w:t>o</w:t>
            </w:r>
            <w:r w:rsidRPr="00E009BC">
              <w:rPr>
                <w:lang w:val="fr-FR"/>
              </w:rPr>
              <w:t> 4 ou au Règlement ONU n</w:t>
            </w:r>
            <w:r w:rsidRPr="00E009BC">
              <w:rPr>
                <w:vertAlign w:val="superscript"/>
                <w:lang w:val="fr-FR"/>
              </w:rPr>
              <w:t>o</w:t>
            </w:r>
            <w:r w:rsidRPr="00E009BC">
              <w:rPr>
                <w:lang w:val="fr-FR"/>
              </w:rPr>
              <w:t xml:space="preserve"> 148</w:t>
            </w:r>
            <w:r w:rsidR="005C5F43" w:rsidRPr="005C5F43">
              <w:rPr>
                <w:lang w:val="fr-FR"/>
              </w:rPr>
              <w:t>.</w:t>
            </w:r>
            <w:r w:rsidRPr="003E38D5">
              <w:rPr>
                <w:lang w:val="fr-FR"/>
              </w:rPr>
              <w:t> »</w:t>
            </w:r>
            <w:r w:rsidR="005C5F43" w:rsidRPr="005C5F43">
              <w:rPr>
                <w:lang w:val="fr-FR"/>
              </w:rPr>
              <w:t>.</w:t>
            </w:r>
          </w:p>
        </w:tc>
      </w:tr>
    </w:tbl>
    <w:p w14:paraId="03E87931" w14:textId="2039093E" w:rsidR="00B37B62" w:rsidRPr="005D69DE" w:rsidRDefault="00B37B62" w:rsidP="00B37B62">
      <w:pPr>
        <w:pStyle w:val="SingleTxtG"/>
        <w:spacing w:before="120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17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F61685">
        <w:rPr>
          <w:lang w:val="fr-FR"/>
        </w:rPr>
        <w:t>lire</w:t>
      </w:r>
      <w:r>
        <w:rPr>
          <w:lang w:val="fr-FR"/>
        </w:rPr>
        <w:t> :</w:t>
      </w:r>
    </w:p>
    <w:p w14:paraId="087E0454" w14:textId="2753332D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452C0F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17</w:t>
      </w:r>
      <w:r w:rsidR="005C5F43" w:rsidRPr="005C5F43">
        <w:rPr>
          <w:lang w:val="fr-FR"/>
        </w:rPr>
        <w:t>.</w:t>
      </w:r>
      <w:r w:rsidRPr="00452C0F">
        <w:rPr>
          <w:lang w:val="fr-FR"/>
        </w:rPr>
        <w:t>2</w:t>
      </w:r>
      <w:r w:rsidRPr="00452C0F">
        <w:rPr>
          <w:lang w:val="fr-FR"/>
        </w:rPr>
        <w:tab/>
        <w:t>Nombre :</w:t>
      </w:r>
      <w:r w:rsidRPr="00452C0F">
        <w:rPr>
          <w:lang w:val="fr-FR"/>
        </w:rPr>
        <w:tab/>
        <w:t>Deux ou quatre</w:t>
      </w:r>
      <w:r w:rsidRPr="00E009BC">
        <w:rPr>
          <w:lang w:val="fr-FR"/>
        </w:rPr>
        <w:t>, homologués conformément aux prescriptions concernant les catadioptres de la classe IA ou IB, énoncées dans la série</w:t>
      </w:r>
      <w:r w:rsidR="00C53BD5">
        <w:rPr>
          <w:lang w:val="fr-FR"/>
        </w:rPr>
        <w:t> </w:t>
      </w:r>
      <w:r w:rsidRPr="00E009BC">
        <w:rPr>
          <w:lang w:val="fr-FR"/>
        </w:rPr>
        <w:t>02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3 ou dans la série originale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6578AE7B" w14:textId="54B950F9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18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8C52AD">
        <w:rPr>
          <w:lang w:val="fr-FR"/>
        </w:rPr>
        <w:t>lire</w:t>
      </w:r>
      <w:r>
        <w:rPr>
          <w:lang w:val="fr-FR"/>
        </w:rPr>
        <w:t> :</w:t>
      </w:r>
    </w:p>
    <w:p w14:paraId="61CA85B7" w14:textId="7921838F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18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 minimal par côté :</w:t>
      </w:r>
      <w:r w:rsidRPr="003E38D5">
        <w:rPr>
          <w:lang w:val="fr-FR"/>
        </w:rPr>
        <w:tab/>
        <w:t xml:space="preserve">Tel que les prescriptions </w:t>
      </w:r>
      <w:r w:rsidRPr="00E009BC">
        <w:rPr>
          <w:lang w:val="fr-FR"/>
        </w:rPr>
        <w:t>relatives à l</w:t>
      </w:r>
      <w:r>
        <w:rPr>
          <w:lang w:val="fr-FR"/>
        </w:rPr>
        <w:t>’</w:t>
      </w:r>
      <w:r w:rsidRPr="00E009BC">
        <w:rPr>
          <w:lang w:val="fr-FR"/>
        </w:rPr>
        <w:t>emplacement</w:t>
      </w:r>
      <w:r w:rsidRPr="003E38D5">
        <w:rPr>
          <w:b/>
          <w:bCs/>
          <w:lang w:val="fr-FR"/>
        </w:rPr>
        <w:t xml:space="preserve"> </w:t>
      </w:r>
      <w:r w:rsidRPr="003E38D5">
        <w:rPr>
          <w:lang w:val="fr-FR"/>
        </w:rPr>
        <w:t>en longueur soient respectées</w:t>
      </w:r>
      <w:r w:rsidR="005C5F43" w:rsidRPr="005C5F43">
        <w:rPr>
          <w:lang w:val="fr-FR"/>
        </w:rPr>
        <w:t>.</w:t>
      </w:r>
    </w:p>
    <w:p w14:paraId="31789FF0" w14:textId="29B5EC72" w:rsidR="00B37B62" w:rsidRPr="003E38D5" w:rsidRDefault="00B37B62" w:rsidP="00B37B62">
      <w:pPr>
        <w:pStyle w:val="SingleTxtG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91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B9C8796" w14:textId="69F0DFD4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19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DC67C2">
        <w:rPr>
          <w:lang w:val="fr-FR"/>
        </w:rPr>
        <w:t>lire</w:t>
      </w:r>
      <w:r>
        <w:rPr>
          <w:lang w:val="fr-FR"/>
        </w:rPr>
        <w:t> :</w:t>
      </w:r>
    </w:p>
    <w:p w14:paraId="3F0A77AF" w14:textId="3BDDB53B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19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 :</w:t>
      </w:r>
      <w:r w:rsidRPr="003E38D5">
        <w:rPr>
          <w:lang w:val="fr-FR"/>
        </w:rPr>
        <w:tab/>
        <w:t>Deux ou quatre (voir par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19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4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2)</w:t>
      </w:r>
      <w:r w:rsidRPr="00E009BC">
        <w:rPr>
          <w:lang w:val="fr-FR"/>
        </w:rPr>
        <w:t>,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87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0F9E4786" w14:textId="5112F64D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20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821104">
        <w:rPr>
          <w:lang w:val="fr-FR"/>
        </w:rPr>
        <w:t>lire</w:t>
      </w:r>
      <w:r>
        <w:rPr>
          <w:lang w:val="fr-FR"/>
        </w:rPr>
        <w:t> :</w:t>
      </w:r>
    </w:p>
    <w:p w14:paraId="462A9614" w14:textId="0511AD12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20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 :</w:t>
      </w:r>
      <w:r w:rsidRPr="003E38D5">
        <w:rPr>
          <w:lang w:val="fr-FR"/>
        </w:rPr>
        <w:tab/>
        <w:t>Deux ou quatre</w:t>
      </w:r>
      <w:r w:rsidRPr="00E009BC">
        <w:rPr>
          <w:lang w:val="fr-FR"/>
        </w:rPr>
        <w:t>, homologués conformément à la série</w:t>
      </w:r>
      <w:r w:rsidR="00C53BD5">
        <w:rPr>
          <w:lang w:val="fr-FR"/>
        </w:rPr>
        <w:t> </w:t>
      </w:r>
      <w:r w:rsidRPr="00E009BC">
        <w:rPr>
          <w:lang w:val="fr-FR"/>
        </w:rPr>
        <w:t>01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119, ou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149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6ACC5228" w14:textId="55E8CC19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21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 xml:space="preserve">, </w:t>
      </w:r>
      <w:r w:rsidRPr="00821104">
        <w:rPr>
          <w:lang w:val="fr-FR"/>
        </w:rPr>
        <w:t>lire</w:t>
      </w:r>
      <w:r>
        <w:rPr>
          <w:lang w:val="fr-FR"/>
        </w:rPr>
        <w:t> :</w:t>
      </w:r>
    </w:p>
    <w:p w14:paraId="3B78C104" w14:textId="69D4078D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21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 :</w:t>
      </w:r>
      <w:r w:rsidRPr="003E38D5">
        <w:rPr>
          <w:lang w:val="fr-FR"/>
        </w:rPr>
        <w:tab/>
        <w:t>Selon la présence</w:t>
      </w:r>
      <w:r w:rsidR="005C5F43" w:rsidRPr="005C5F43">
        <w:rPr>
          <w:lang w:val="fr-FR"/>
        </w:rPr>
        <w:t>.</w:t>
      </w:r>
    </w:p>
    <w:p w14:paraId="2291934B" w14:textId="3745111A" w:rsidR="00B37B62" w:rsidRPr="003E38D5" w:rsidRDefault="00B37B62" w:rsidP="00B37B62">
      <w:pPr>
        <w:pStyle w:val="SingleTxtG"/>
        <w:ind w:left="4820"/>
        <w:rPr>
          <w:lang w:val="fr-FR"/>
        </w:rPr>
      </w:pPr>
      <w:r w:rsidRPr="00E009BC">
        <w:rPr>
          <w:lang w:val="fr-FR"/>
        </w:rPr>
        <w:t>Les dispositifs doivent être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104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 xml:space="preserve"> 150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45CC59BF" w14:textId="1FC891BB" w:rsidR="00B37B62" w:rsidRPr="005D69DE" w:rsidRDefault="00B37B62" w:rsidP="00C53BD5">
      <w:pPr>
        <w:pStyle w:val="SingleTxtG"/>
        <w:keepNext/>
        <w:rPr>
          <w:lang w:val="fr-FR"/>
        </w:rPr>
      </w:pPr>
      <w:r>
        <w:rPr>
          <w:i/>
          <w:iCs/>
          <w:lang w:val="fr-FR"/>
        </w:rPr>
        <w:lastRenderedPageBreak/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4B9BC263" w14:textId="19976168" w:rsidR="00B37B62" w:rsidRPr="005D69DE" w:rsidRDefault="00B37B62" w:rsidP="00C53BD5">
      <w:pPr>
        <w:pStyle w:val="SingleTxtG"/>
        <w:keepNext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22</w:t>
      </w:r>
      <w:r w:rsidR="005C5F43" w:rsidRPr="005C5F43">
        <w:rPr>
          <w:lang w:val="fr-FR"/>
        </w:rPr>
        <w:t>.</w:t>
      </w:r>
      <w:r>
        <w:rPr>
          <w:lang w:val="fr-FR"/>
        </w:rPr>
        <w:t>2</w:t>
      </w:r>
      <w:r>
        <w:rPr>
          <w:lang w:val="fr-FR"/>
        </w:rPr>
        <w:tab/>
        <w:t>Nombre :</w:t>
      </w:r>
      <w:r>
        <w:rPr>
          <w:lang w:val="fr-FR"/>
        </w:rPr>
        <w:tab/>
      </w:r>
      <w:r w:rsidRPr="003E38D5">
        <w:rPr>
          <w:lang w:val="fr-FR"/>
        </w:rPr>
        <w:t>Conformément</w:t>
      </w:r>
      <w:r>
        <w:rPr>
          <w:b/>
          <w:bCs/>
          <w:lang w:val="fr-FR"/>
        </w:rPr>
        <w:t> </w:t>
      </w:r>
      <w:r w:rsidRPr="00E009BC">
        <w:rPr>
          <w:lang w:val="fr-FR"/>
        </w:rPr>
        <w:t>:</w:t>
      </w:r>
    </w:p>
    <w:p w14:paraId="7ADA5CA3" w14:textId="5FB3C360" w:rsidR="00C53BD5" w:rsidRPr="00C53BD5" w:rsidRDefault="00C53BD5" w:rsidP="00C53BD5">
      <w:pPr>
        <w:pStyle w:val="SingleTxtG"/>
        <w:keepNext/>
        <w:numPr>
          <w:ilvl w:val="0"/>
          <w:numId w:val="18"/>
        </w:numPr>
        <w:rPr>
          <w:iCs/>
          <w:kern w:val="2"/>
          <w:lang w:val="fr-FR"/>
        </w:rPr>
      </w:pPr>
      <w:r w:rsidRPr="00C53BD5">
        <w:rPr>
          <w:lang w:val="fr-FR"/>
        </w:rPr>
        <w:t>À</w:t>
      </w:r>
      <w:r w:rsidR="00B37B62" w:rsidRPr="00C53BD5">
        <w:rPr>
          <w:lang w:val="fr-FR"/>
        </w:rPr>
        <w:t xml:space="preserve"> l’annexe</w:t>
      </w:r>
      <w:r>
        <w:rPr>
          <w:lang w:val="fr-FR"/>
        </w:rPr>
        <w:t> </w:t>
      </w:r>
      <w:r w:rsidR="00B37B62" w:rsidRPr="00C53BD5">
        <w:rPr>
          <w:lang w:val="fr-FR"/>
        </w:rPr>
        <w:t>15 de la série</w:t>
      </w:r>
      <w:r>
        <w:rPr>
          <w:lang w:val="fr-FR"/>
        </w:rPr>
        <w:t> </w:t>
      </w:r>
      <w:r w:rsidR="00B37B62" w:rsidRPr="00C53BD5">
        <w:rPr>
          <w:lang w:val="fr-FR"/>
        </w:rPr>
        <w:t>01 d’amendements au Règlement ONU n</w:t>
      </w:r>
      <w:r w:rsidR="00B37B62" w:rsidRPr="00C53BD5">
        <w:rPr>
          <w:vertAlign w:val="superscript"/>
          <w:lang w:val="fr-FR"/>
        </w:rPr>
        <w:t>o</w:t>
      </w:r>
      <w:r w:rsidR="00B37B62" w:rsidRPr="00C53BD5">
        <w:rPr>
          <w:lang w:val="fr-FR"/>
        </w:rPr>
        <w:t> 69</w:t>
      </w:r>
      <w:r w:rsidR="00B37B62" w:rsidRPr="00C53BD5">
        <w:rPr>
          <w:b/>
          <w:bCs/>
          <w:lang w:val="fr-FR"/>
        </w:rPr>
        <w:t> </w:t>
      </w:r>
      <w:r w:rsidR="00B37B62" w:rsidRPr="00C53BD5">
        <w:rPr>
          <w:lang w:val="fr-FR"/>
        </w:rPr>
        <w:t xml:space="preserve">; ou </w:t>
      </w:r>
    </w:p>
    <w:p w14:paraId="2A3AEFB1" w14:textId="5BBBEF5A" w:rsidR="00B37B62" w:rsidRPr="00C53B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C53BD5">
        <w:rPr>
          <w:lang w:val="fr-FR"/>
        </w:rPr>
        <w:t xml:space="preserve"> l’annexe</w:t>
      </w:r>
      <w:r>
        <w:rPr>
          <w:lang w:val="fr-FR"/>
        </w:rPr>
        <w:t> </w:t>
      </w:r>
      <w:r w:rsidR="00B37B62" w:rsidRPr="00C53BD5">
        <w:rPr>
          <w:lang w:val="fr-FR"/>
        </w:rPr>
        <w:t>25 de la série originale d’amendements au Règlement ONU n</w:t>
      </w:r>
      <w:r w:rsidR="00B37B62" w:rsidRPr="00C53BD5">
        <w:rPr>
          <w:vertAlign w:val="superscript"/>
          <w:lang w:val="fr-FR"/>
        </w:rPr>
        <w:t>o</w:t>
      </w:r>
      <w:r w:rsidR="00B37B62" w:rsidRPr="00C53BD5">
        <w:rPr>
          <w:lang w:val="fr-FR"/>
        </w:rPr>
        <w:t> 150</w:t>
      </w:r>
      <w:r w:rsidR="00B37B62" w:rsidRPr="00C53BD5">
        <w:rPr>
          <w:b/>
          <w:bCs/>
          <w:lang w:val="fr-FR"/>
        </w:rPr>
        <w:t> </w:t>
      </w:r>
      <w:r w:rsidR="00B37B62" w:rsidRPr="00C53BD5">
        <w:rPr>
          <w:lang w:val="fr-FR"/>
        </w:rPr>
        <w:t>; ou</w:t>
      </w:r>
    </w:p>
    <w:p w14:paraId="320A12B2" w14:textId="41567974" w:rsidR="00B37B62" w:rsidRPr="005D69DE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477C15BF" w14:textId="54A5776F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3</w:t>
      </w:r>
      <w:r>
        <w:rPr>
          <w:lang w:val="fr-FR"/>
        </w:rPr>
        <w:t xml:space="preserve">, </w:t>
      </w:r>
      <w:r w:rsidRPr="00821104">
        <w:rPr>
          <w:lang w:val="fr-FR"/>
        </w:rPr>
        <w:t>lire</w:t>
      </w:r>
      <w:r>
        <w:rPr>
          <w:lang w:val="fr-FR"/>
        </w:rPr>
        <w:t xml:space="preserve"> : </w:t>
      </w:r>
    </w:p>
    <w:p w14:paraId="7E5B2D7B" w14:textId="48B48FC0" w:rsidR="00B37B62" w:rsidRPr="005D69DE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22</w:t>
      </w:r>
      <w:r w:rsidR="005C5F43" w:rsidRPr="005C5F43">
        <w:rPr>
          <w:lang w:val="fr-FR"/>
        </w:rPr>
        <w:t>.</w:t>
      </w:r>
      <w:r>
        <w:rPr>
          <w:lang w:val="fr-FR"/>
        </w:rPr>
        <w:t>3</w:t>
      </w:r>
      <w:r>
        <w:rPr>
          <w:lang w:val="fr-FR"/>
        </w:rPr>
        <w:tab/>
        <w:t xml:space="preserve">Schéma </w:t>
      </w:r>
      <w:r w:rsidRPr="003E38D5">
        <w:rPr>
          <w:lang w:val="fr-FR"/>
        </w:rPr>
        <w:t>d</w:t>
      </w:r>
      <w:r>
        <w:rPr>
          <w:lang w:val="fr-FR"/>
        </w:rPr>
        <w:t>’</w:t>
      </w:r>
      <w:r w:rsidRPr="003E38D5">
        <w:rPr>
          <w:lang w:val="fr-FR"/>
        </w:rPr>
        <w:t>installation</w:t>
      </w:r>
      <w:r>
        <w:rPr>
          <w:lang w:val="fr-FR"/>
        </w:rPr>
        <w:t> :</w:t>
      </w:r>
      <w:r>
        <w:rPr>
          <w:lang w:val="fr-FR"/>
        </w:rPr>
        <w:tab/>
        <w:t>Conformément</w:t>
      </w:r>
      <w:r>
        <w:rPr>
          <w:b/>
          <w:bCs/>
          <w:lang w:val="fr-FR"/>
        </w:rPr>
        <w:t> </w:t>
      </w:r>
      <w:r w:rsidRPr="00E009BC">
        <w:rPr>
          <w:lang w:val="fr-FR"/>
        </w:rPr>
        <w:t>:</w:t>
      </w:r>
    </w:p>
    <w:p w14:paraId="0AECB382" w14:textId="0DB65295" w:rsidR="00B37B62" w:rsidRPr="00E009BC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>annexe</w:t>
      </w:r>
      <w:r>
        <w:rPr>
          <w:lang w:val="fr-FR"/>
        </w:rPr>
        <w:t> </w:t>
      </w:r>
      <w:r w:rsidR="00B37B62" w:rsidRPr="003E38D5">
        <w:rPr>
          <w:lang w:val="fr-FR"/>
        </w:rPr>
        <w:t xml:space="preserve">15 </w:t>
      </w:r>
      <w:r w:rsidR="00B37B62" w:rsidRPr="00E009BC">
        <w:rPr>
          <w:lang w:val="fr-FR"/>
        </w:rPr>
        <w:t>de la série</w:t>
      </w:r>
      <w:r>
        <w:rPr>
          <w:lang w:val="fr-FR"/>
        </w:rPr>
        <w:t> </w:t>
      </w:r>
      <w:r w:rsidR="00B37B62" w:rsidRPr="00E009BC">
        <w:rPr>
          <w:lang w:val="fr-FR"/>
        </w:rPr>
        <w:t>01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 xml:space="preserve">amendements au </w:t>
      </w:r>
      <w:r w:rsidR="00B37B62" w:rsidRPr="003E38D5">
        <w:rPr>
          <w:lang w:val="fr-FR"/>
        </w:rPr>
        <w:t>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69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35AF4464" w14:textId="4F6164C1" w:rsidR="00B37B62" w:rsidRPr="003E38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 xml:space="preserve">annexe 25 </w:t>
      </w:r>
      <w:r w:rsidR="00B37B62" w:rsidRPr="00E009BC">
        <w:rPr>
          <w:lang w:val="fr-FR"/>
        </w:rPr>
        <w:t>de la série originale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</w:t>
      </w:r>
      <w:r w:rsidR="00B37B62" w:rsidRPr="003E38D5">
        <w:rPr>
          <w:lang w:val="fr-FR"/>
        </w:rPr>
        <w:t xml:space="preserve"> 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150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1FDF72B8" w14:textId="7B495981" w:rsidR="00B37B62" w:rsidRPr="003E38D5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5A40ADC5" w14:textId="58F4A926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4</w:t>
      </w:r>
      <w:r>
        <w:rPr>
          <w:lang w:val="fr-FR"/>
        </w:rPr>
        <w:t xml:space="preserve">, lire : </w:t>
      </w:r>
    </w:p>
    <w:p w14:paraId="7E574FDB" w14:textId="2476326B" w:rsidR="00B37B62" w:rsidRPr="005D69DE" w:rsidRDefault="00B37B62" w:rsidP="00B37B62">
      <w:pPr>
        <w:pStyle w:val="SingleTxtG"/>
        <w:tabs>
          <w:tab w:val="left" w:pos="2268"/>
        </w:tabs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22</w:t>
      </w:r>
      <w:r w:rsidR="005C5F43" w:rsidRPr="005C5F43">
        <w:rPr>
          <w:lang w:val="fr-FR"/>
        </w:rPr>
        <w:t>.</w:t>
      </w:r>
      <w:r>
        <w:rPr>
          <w:lang w:val="fr-FR"/>
        </w:rPr>
        <w:t>4</w:t>
      </w:r>
      <w:r>
        <w:rPr>
          <w:lang w:val="fr-FR"/>
        </w:rPr>
        <w:tab/>
        <w:t>Emplacement</w:t>
      </w:r>
    </w:p>
    <w:p w14:paraId="769F76F9" w14:textId="77777777" w:rsidR="00B37B62" w:rsidRPr="005D69DE" w:rsidRDefault="00B37B62" w:rsidP="00B37B62">
      <w:pPr>
        <w:pStyle w:val="SingleTxtG"/>
        <w:tabs>
          <w:tab w:val="left" w:pos="2268"/>
        </w:tabs>
        <w:ind w:left="4820" w:hanging="2552"/>
        <w:rPr>
          <w:lang w:val="fr-FR"/>
        </w:rPr>
      </w:pPr>
      <w:r>
        <w:rPr>
          <w:lang w:val="fr-FR"/>
        </w:rPr>
        <w:t>En largeur :</w:t>
      </w:r>
      <w:r>
        <w:rPr>
          <w:lang w:val="fr-FR"/>
        </w:rPr>
        <w:tab/>
      </w:r>
      <w:r w:rsidRPr="00783A2F">
        <w:rPr>
          <w:lang w:val="fr-FR"/>
        </w:rPr>
        <w:t>Conformément</w:t>
      </w:r>
      <w:r w:rsidRPr="00E009BC">
        <w:rPr>
          <w:lang w:val="fr-FR"/>
        </w:rPr>
        <w:t> :</w:t>
      </w:r>
    </w:p>
    <w:p w14:paraId="5EA41662" w14:textId="7135BA2B" w:rsidR="00B37B62" w:rsidRPr="00E009BC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>annexe</w:t>
      </w:r>
      <w:r>
        <w:rPr>
          <w:lang w:val="fr-FR"/>
        </w:rPr>
        <w:t> </w:t>
      </w:r>
      <w:r w:rsidR="00B37B62" w:rsidRPr="003E38D5">
        <w:rPr>
          <w:lang w:val="fr-FR"/>
        </w:rPr>
        <w:t xml:space="preserve">15 </w:t>
      </w:r>
      <w:r w:rsidR="00B37B62" w:rsidRPr="00E009BC">
        <w:rPr>
          <w:lang w:val="fr-FR"/>
        </w:rPr>
        <w:t>de la série</w:t>
      </w:r>
      <w:r>
        <w:rPr>
          <w:lang w:val="fr-FR"/>
        </w:rPr>
        <w:t> </w:t>
      </w:r>
      <w:r w:rsidR="00B37B62" w:rsidRPr="00E009BC">
        <w:rPr>
          <w:lang w:val="fr-FR"/>
        </w:rPr>
        <w:t>01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 xml:space="preserve">amendements au </w:t>
      </w:r>
      <w:r w:rsidR="00B37B62" w:rsidRPr="003E38D5">
        <w:rPr>
          <w:lang w:val="fr-FR"/>
        </w:rPr>
        <w:t>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69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  <w:r w:rsidR="00B37B62" w:rsidRPr="003E38D5">
        <w:rPr>
          <w:lang w:val="fr-FR"/>
        </w:rPr>
        <w:t xml:space="preserve"> </w:t>
      </w:r>
    </w:p>
    <w:p w14:paraId="57FB850B" w14:textId="3AFF07EE" w:rsidR="00B37B62" w:rsidRPr="003E38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 xml:space="preserve">annexe 25 </w:t>
      </w:r>
      <w:r w:rsidR="00B37B62" w:rsidRPr="00E009BC">
        <w:rPr>
          <w:lang w:val="fr-FR"/>
        </w:rPr>
        <w:t>de la série originale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</w:t>
      </w:r>
      <w:r w:rsidR="00B37B62" w:rsidRPr="003E38D5">
        <w:rPr>
          <w:lang w:val="fr-FR"/>
        </w:rPr>
        <w:t xml:space="preserve"> 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150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672BCFDC" w14:textId="39FA60B0" w:rsidR="00B37B62" w:rsidRPr="005D69DE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16D21519" w14:textId="46F73441" w:rsidR="00B37B62" w:rsidRPr="005D69DE" w:rsidRDefault="00B37B62" w:rsidP="00B37B62">
      <w:pPr>
        <w:pStyle w:val="SingleTxtG"/>
        <w:tabs>
          <w:tab w:val="left" w:pos="2268"/>
        </w:tabs>
        <w:ind w:left="4820" w:hanging="2552"/>
        <w:rPr>
          <w:lang w:val="fr-FR"/>
        </w:rPr>
      </w:pPr>
      <w:r>
        <w:rPr>
          <w:lang w:val="fr-FR"/>
        </w:rPr>
        <w:t>En hauteur :</w:t>
      </w:r>
      <w:r>
        <w:rPr>
          <w:lang w:val="fr-FR"/>
        </w:rPr>
        <w:tab/>
        <w:t>Aucune prescription particulière</w:t>
      </w:r>
      <w:r w:rsidR="005C5F43" w:rsidRPr="005C5F43">
        <w:rPr>
          <w:lang w:val="fr-FR"/>
        </w:rPr>
        <w:t>.</w:t>
      </w:r>
    </w:p>
    <w:p w14:paraId="14802252" w14:textId="77777777" w:rsidR="00B37B62" w:rsidRPr="005D69DE" w:rsidRDefault="00B37B62" w:rsidP="00B37B62">
      <w:pPr>
        <w:pStyle w:val="SingleTxtG"/>
        <w:tabs>
          <w:tab w:val="left" w:pos="2268"/>
        </w:tabs>
        <w:ind w:left="4820" w:hanging="2552"/>
        <w:rPr>
          <w:lang w:val="fr-FR"/>
        </w:rPr>
      </w:pPr>
      <w:r>
        <w:rPr>
          <w:lang w:val="fr-FR"/>
        </w:rPr>
        <w:t>En longueur :</w:t>
      </w:r>
      <w:r>
        <w:rPr>
          <w:lang w:val="fr-FR"/>
        </w:rPr>
        <w:tab/>
        <w:t>Conformément</w:t>
      </w:r>
      <w:r>
        <w:rPr>
          <w:b/>
          <w:bCs/>
          <w:lang w:val="fr-FR"/>
        </w:rPr>
        <w:t> </w:t>
      </w:r>
      <w:r w:rsidRPr="00E009BC">
        <w:rPr>
          <w:lang w:val="fr-FR"/>
        </w:rPr>
        <w:t>:</w:t>
      </w:r>
    </w:p>
    <w:p w14:paraId="12B16D26" w14:textId="0AFA79E8" w:rsidR="00B37B62" w:rsidRPr="00E009BC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>annexe</w:t>
      </w:r>
      <w:r>
        <w:rPr>
          <w:lang w:val="fr-FR"/>
        </w:rPr>
        <w:t> </w:t>
      </w:r>
      <w:r w:rsidR="00B37B62" w:rsidRPr="003E38D5">
        <w:rPr>
          <w:lang w:val="fr-FR"/>
        </w:rPr>
        <w:t xml:space="preserve">15 </w:t>
      </w:r>
      <w:r w:rsidR="00B37B62" w:rsidRPr="00E009BC">
        <w:rPr>
          <w:lang w:val="fr-FR"/>
        </w:rPr>
        <w:t>de la série</w:t>
      </w:r>
      <w:r>
        <w:rPr>
          <w:lang w:val="fr-FR"/>
        </w:rPr>
        <w:t> </w:t>
      </w:r>
      <w:r w:rsidR="00B37B62" w:rsidRPr="00E009BC">
        <w:rPr>
          <w:lang w:val="fr-FR"/>
        </w:rPr>
        <w:t>01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 xml:space="preserve">amendements au </w:t>
      </w:r>
      <w:r w:rsidR="00B37B62" w:rsidRPr="003E38D5">
        <w:rPr>
          <w:lang w:val="fr-FR"/>
        </w:rPr>
        <w:t>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69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  <w:r w:rsidR="00B37B62" w:rsidRPr="003E38D5">
        <w:rPr>
          <w:lang w:val="fr-FR"/>
        </w:rPr>
        <w:t xml:space="preserve"> </w:t>
      </w:r>
    </w:p>
    <w:p w14:paraId="3BB4F79D" w14:textId="074376FE" w:rsidR="00B37B62" w:rsidRPr="003E38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 xml:space="preserve">annexe 25 </w:t>
      </w:r>
      <w:r w:rsidR="00B37B62" w:rsidRPr="00E009BC">
        <w:rPr>
          <w:lang w:val="fr-FR"/>
        </w:rPr>
        <w:t>de la série originale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</w:t>
      </w:r>
      <w:r w:rsidR="00B37B62" w:rsidRPr="003E38D5">
        <w:rPr>
          <w:lang w:val="fr-FR"/>
        </w:rPr>
        <w:t xml:space="preserve"> 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150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288C0D57" w14:textId="6686D0F9" w:rsidR="00B37B62" w:rsidRPr="003E38D5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1FE88B23" w14:textId="3D088A88" w:rsidR="00B37B62" w:rsidRPr="005D69DE" w:rsidRDefault="00B37B62" w:rsidP="00F2675D">
      <w:pPr>
        <w:pStyle w:val="SingleTxtG"/>
        <w:keepNext/>
        <w:rPr>
          <w:lang w:val="fr-FR"/>
        </w:rPr>
      </w:pPr>
      <w:r>
        <w:rPr>
          <w:i/>
          <w:iCs/>
          <w:lang w:val="fr-FR"/>
        </w:rPr>
        <w:lastRenderedPageBreak/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5</w:t>
      </w:r>
      <w:r>
        <w:rPr>
          <w:lang w:val="fr-FR"/>
        </w:rPr>
        <w:t xml:space="preserve">, </w:t>
      </w:r>
      <w:r w:rsidRPr="0043270F">
        <w:rPr>
          <w:lang w:val="fr-FR"/>
        </w:rPr>
        <w:t>lire</w:t>
      </w:r>
      <w:r>
        <w:rPr>
          <w:lang w:val="fr-FR"/>
        </w:rPr>
        <w:t xml:space="preserve"> : </w:t>
      </w:r>
    </w:p>
    <w:p w14:paraId="372E90F6" w14:textId="29018DF6" w:rsidR="00B37B62" w:rsidRPr="005D69DE" w:rsidRDefault="00B37B62" w:rsidP="00F2675D">
      <w:pPr>
        <w:pStyle w:val="SingleTxtG"/>
        <w:keepNext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22</w:t>
      </w:r>
      <w:r w:rsidR="005C5F43" w:rsidRPr="005C5F43">
        <w:rPr>
          <w:lang w:val="fr-FR"/>
        </w:rPr>
        <w:t>.</w:t>
      </w:r>
      <w:r>
        <w:rPr>
          <w:lang w:val="fr-FR"/>
        </w:rPr>
        <w:t>5</w:t>
      </w:r>
      <w:r>
        <w:rPr>
          <w:lang w:val="fr-FR"/>
        </w:rPr>
        <w:tab/>
        <w:t>Visibilité géométrique</w:t>
      </w:r>
      <w:r>
        <w:rPr>
          <w:lang w:val="fr-FR"/>
        </w:rPr>
        <w:tab/>
      </w:r>
      <w:r w:rsidRPr="00E009BC">
        <w:rPr>
          <w:lang w:val="fr-FR"/>
        </w:rPr>
        <w:t>Conformément</w:t>
      </w:r>
      <w:r>
        <w:rPr>
          <w:b/>
          <w:bCs/>
          <w:lang w:val="fr-FR"/>
        </w:rPr>
        <w:t> </w:t>
      </w:r>
      <w:r w:rsidRPr="00E009BC">
        <w:rPr>
          <w:lang w:val="fr-FR"/>
        </w:rPr>
        <w:t>:</w:t>
      </w:r>
    </w:p>
    <w:p w14:paraId="107BFFA4" w14:textId="1D1BB37C" w:rsidR="00B37B62" w:rsidRPr="00E009BC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>annexe</w:t>
      </w:r>
      <w:r>
        <w:rPr>
          <w:lang w:val="fr-FR"/>
        </w:rPr>
        <w:t> </w:t>
      </w:r>
      <w:r w:rsidR="00B37B62" w:rsidRPr="003E38D5">
        <w:rPr>
          <w:lang w:val="fr-FR"/>
        </w:rPr>
        <w:t xml:space="preserve">15 </w:t>
      </w:r>
      <w:r w:rsidR="00B37B62" w:rsidRPr="00E009BC">
        <w:rPr>
          <w:lang w:val="fr-FR"/>
        </w:rPr>
        <w:t>de la série</w:t>
      </w:r>
      <w:r>
        <w:rPr>
          <w:lang w:val="fr-FR"/>
        </w:rPr>
        <w:t> </w:t>
      </w:r>
      <w:r w:rsidR="00B37B62" w:rsidRPr="00E009BC">
        <w:rPr>
          <w:lang w:val="fr-FR"/>
        </w:rPr>
        <w:t>01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 xml:space="preserve">amendements au </w:t>
      </w:r>
      <w:r w:rsidR="00B37B62" w:rsidRPr="003E38D5">
        <w:rPr>
          <w:lang w:val="fr-FR"/>
        </w:rPr>
        <w:t>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69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  <w:r w:rsidR="00B37B62" w:rsidRPr="003E38D5">
        <w:rPr>
          <w:lang w:val="fr-FR"/>
        </w:rPr>
        <w:t xml:space="preserve"> </w:t>
      </w:r>
    </w:p>
    <w:p w14:paraId="000AFAFE" w14:textId="764DEB41" w:rsidR="00B37B62" w:rsidRPr="003E38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>annexe</w:t>
      </w:r>
      <w:r>
        <w:rPr>
          <w:lang w:val="fr-FR"/>
        </w:rPr>
        <w:t> </w:t>
      </w:r>
      <w:r w:rsidR="00B37B62" w:rsidRPr="003E38D5">
        <w:rPr>
          <w:lang w:val="fr-FR"/>
        </w:rPr>
        <w:t xml:space="preserve">25 </w:t>
      </w:r>
      <w:r w:rsidR="00B37B62" w:rsidRPr="00E009BC">
        <w:rPr>
          <w:lang w:val="fr-FR"/>
        </w:rPr>
        <w:t>de la série originale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</w:t>
      </w:r>
      <w:r w:rsidR="00B37B62" w:rsidRPr="003E38D5">
        <w:rPr>
          <w:lang w:val="fr-FR"/>
        </w:rPr>
        <w:t xml:space="preserve"> 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150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404B8F88" w14:textId="03D6F6A1" w:rsidR="00B37B62" w:rsidRPr="003E38D5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2DCE2329" w14:textId="3CEF4422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22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6</w:t>
      </w:r>
      <w:r>
        <w:rPr>
          <w:lang w:val="fr-FR"/>
        </w:rPr>
        <w:t xml:space="preserve">, lire : </w:t>
      </w:r>
    </w:p>
    <w:p w14:paraId="58279956" w14:textId="227B270F" w:rsidR="00B37B62" w:rsidRPr="005D69DE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>
        <w:rPr>
          <w:lang w:val="fr-FR"/>
        </w:rPr>
        <w:t>« 6</w:t>
      </w:r>
      <w:r w:rsidR="005C5F43" w:rsidRPr="005C5F43">
        <w:rPr>
          <w:lang w:val="fr-FR"/>
        </w:rPr>
        <w:t>.</w:t>
      </w:r>
      <w:r>
        <w:rPr>
          <w:lang w:val="fr-FR"/>
        </w:rPr>
        <w:t>22</w:t>
      </w:r>
      <w:r w:rsidR="005C5F43" w:rsidRPr="005C5F43">
        <w:rPr>
          <w:lang w:val="fr-FR"/>
        </w:rPr>
        <w:t>.</w:t>
      </w:r>
      <w:r>
        <w:rPr>
          <w:lang w:val="fr-FR"/>
        </w:rPr>
        <w:t>6</w:t>
      </w:r>
      <w:r>
        <w:rPr>
          <w:lang w:val="fr-FR"/>
        </w:rPr>
        <w:tab/>
        <w:t>Orientation :</w:t>
      </w:r>
      <w:r>
        <w:rPr>
          <w:lang w:val="fr-FR"/>
        </w:rPr>
        <w:tab/>
      </w:r>
      <w:r w:rsidRPr="003E38D5">
        <w:rPr>
          <w:lang w:val="fr-FR"/>
        </w:rPr>
        <w:t>Conformément</w:t>
      </w:r>
      <w:r>
        <w:rPr>
          <w:b/>
          <w:bCs/>
          <w:lang w:val="fr-FR"/>
        </w:rPr>
        <w:t> </w:t>
      </w:r>
      <w:r w:rsidRPr="00E009BC">
        <w:rPr>
          <w:lang w:val="fr-FR"/>
        </w:rPr>
        <w:t>:</w:t>
      </w:r>
    </w:p>
    <w:p w14:paraId="02324FFD" w14:textId="36520F0E" w:rsidR="00B37B62" w:rsidRPr="00E009BC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 xml:space="preserve">annexe 15 </w:t>
      </w:r>
      <w:r w:rsidR="00B37B62" w:rsidRPr="00E009BC">
        <w:rPr>
          <w:lang w:val="fr-FR"/>
        </w:rPr>
        <w:t>de la série 01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 xml:space="preserve">amendements au </w:t>
      </w:r>
      <w:r w:rsidR="00B37B62" w:rsidRPr="003E38D5">
        <w:rPr>
          <w:lang w:val="fr-FR"/>
        </w:rPr>
        <w:t>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69</w:t>
      </w:r>
      <w:r w:rsidR="00B37B62" w:rsidRPr="00E009BC">
        <w:rPr>
          <w:lang w:val="fr-FR"/>
        </w:rPr>
        <w:t> 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  <w:r w:rsidR="00B37B62" w:rsidRPr="003E38D5">
        <w:rPr>
          <w:lang w:val="fr-FR"/>
        </w:rPr>
        <w:t xml:space="preserve"> </w:t>
      </w:r>
    </w:p>
    <w:p w14:paraId="5F3344EC" w14:textId="5A602AAD" w:rsidR="00B37B62" w:rsidRPr="003E38D5" w:rsidRDefault="00C53BD5" w:rsidP="00C53BD5">
      <w:pPr>
        <w:pStyle w:val="SingleTxtG"/>
        <w:numPr>
          <w:ilvl w:val="0"/>
          <w:numId w:val="18"/>
        </w:numPr>
        <w:rPr>
          <w:iCs/>
          <w:kern w:val="2"/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3E38D5">
        <w:rPr>
          <w:lang w:val="fr-FR"/>
        </w:rPr>
        <w:t xml:space="preserve">annexe 25 </w:t>
      </w:r>
      <w:r w:rsidR="00B37B62" w:rsidRPr="00E009BC">
        <w:rPr>
          <w:lang w:val="fr-FR"/>
        </w:rPr>
        <w:t>de la série originale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</w:t>
      </w:r>
      <w:r w:rsidR="00B37B62" w:rsidRPr="003E38D5">
        <w:rPr>
          <w:lang w:val="fr-FR"/>
        </w:rPr>
        <w:t xml:space="preserve"> Règlement ONU n</w:t>
      </w:r>
      <w:r w:rsidR="00B37B62" w:rsidRPr="003E38D5">
        <w:rPr>
          <w:vertAlign w:val="superscript"/>
          <w:lang w:val="fr-FR"/>
        </w:rPr>
        <w:t>o</w:t>
      </w:r>
      <w:r w:rsidR="00B37B62" w:rsidRPr="003E38D5">
        <w:rPr>
          <w:lang w:val="fr-FR"/>
        </w:rPr>
        <w:t> 150 </w:t>
      </w:r>
      <w:r w:rsidR="00B37B62" w:rsidRPr="00E009BC">
        <w:rPr>
          <w:lang w:val="fr-FR"/>
        </w:rPr>
        <w:t>;</w:t>
      </w:r>
      <w:r w:rsidR="00B37B62" w:rsidRPr="003E38D5">
        <w:rPr>
          <w:lang w:val="fr-FR"/>
        </w:rPr>
        <w:t xml:space="preserve"> </w:t>
      </w:r>
      <w:r w:rsidR="00B37B62" w:rsidRPr="00E009BC">
        <w:rPr>
          <w:lang w:val="fr-FR"/>
        </w:rPr>
        <w:t>ou</w:t>
      </w:r>
    </w:p>
    <w:p w14:paraId="4CE7EB6D" w14:textId="2C858496" w:rsidR="00B37B62" w:rsidRPr="003E38D5" w:rsidRDefault="00C53BD5" w:rsidP="00C53BD5">
      <w:pPr>
        <w:pStyle w:val="SingleTxtG"/>
        <w:numPr>
          <w:ilvl w:val="0"/>
          <w:numId w:val="18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annexe 11 de la série 01 ou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783F8F55" w14:textId="2D6A988B" w:rsidR="00B37B62" w:rsidRPr="005D69DE" w:rsidRDefault="00B37B62" w:rsidP="00B37B62">
      <w:pPr>
        <w:pStyle w:val="SingleTxtG"/>
        <w:rPr>
          <w:lang w:val="fr-FR"/>
        </w:rPr>
      </w:pPr>
      <w:r w:rsidRPr="007D7E09"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 w:rsidRPr="007D7E09">
        <w:rPr>
          <w:i/>
          <w:iCs/>
          <w:lang w:val="fr-FR"/>
        </w:rPr>
        <w:t>24</w:t>
      </w:r>
      <w:r w:rsidR="005C5F43" w:rsidRPr="005C5F43">
        <w:rPr>
          <w:i/>
          <w:iCs/>
          <w:lang w:val="fr-FR"/>
        </w:rPr>
        <w:t>.</w:t>
      </w:r>
      <w:r w:rsidRPr="007D7E09">
        <w:rPr>
          <w:i/>
          <w:iCs/>
          <w:lang w:val="fr-FR"/>
        </w:rPr>
        <w:t>2</w:t>
      </w:r>
      <w:r w:rsidRPr="007D7E09">
        <w:rPr>
          <w:lang w:val="fr-FR"/>
        </w:rPr>
        <w:t>, lire</w:t>
      </w:r>
      <w:r>
        <w:rPr>
          <w:lang w:val="fr-FR"/>
        </w:rPr>
        <w:t> :</w:t>
      </w:r>
    </w:p>
    <w:p w14:paraId="396AAECF" w14:textId="4981D65D" w:rsidR="00B37B62" w:rsidRPr="003E38D5" w:rsidRDefault="00B37B62" w:rsidP="00B37B62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24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 :</w:t>
      </w:r>
      <w:r w:rsidRPr="003E38D5">
        <w:rPr>
          <w:lang w:val="fr-FR"/>
        </w:rPr>
        <w:tab/>
        <w:t>Un ou deux (un par côté)</w:t>
      </w:r>
      <w:r w:rsidRPr="00E009BC">
        <w:rPr>
          <w:lang w:val="fr-FR"/>
        </w:rPr>
        <w:t>, homologués conformément à la série originale ou à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23 ou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148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4CC109A6" w14:textId="7CB2C15A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Paragraphe 6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25</w:t>
      </w:r>
      <w:r w:rsidR="005C5F43" w:rsidRPr="005C5F43">
        <w:rPr>
          <w:i/>
          <w:iCs/>
          <w:lang w:val="fr-FR"/>
        </w:rPr>
        <w:t>.</w:t>
      </w:r>
      <w:r>
        <w:rPr>
          <w:i/>
          <w:iCs/>
          <w:lang w:val="fr-FR"/>
        </w:rPr>
        <w:t>2</w:t>
      </w:r>
      <w:r>
        <w:rPr>
          <w:lang w:val="fr-FR"/>
        </w:rPr>
        <w:t>, lire :</w:t>
      </w:r>
    </w:p>
    <w:p w14:paraId="109D9459" w14:textId="6E2A98C5" w:rsidR="00B37B62" w:rsidRPr="003E38D5" w:rsidRDefault="00B37B62" w:rsidP="00F2675D">
      <w:pPr>
        <w:pStyle w:val="SingleTxtG"/>
        <w:tabs>
          <w:tab w:val="left" w:pos="2268"/>
        </w:tabs>
        <w:ind w:left="4820" w:hanging="3686"/>
        <w:rPr>
          <w:lang w:val="fr-FR"/>
        </w:rPr>
      </w:pPr>
      <w:r w:rsidRPr="003E38D5">
        <w:rPr>
          <w:lang w:val="fr-FR"/>
        </w:rPr>
        <w:t>« 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25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</w:t>
      </w:r>
      <w:r w:rsidRPr="003E38D5">
        <w:rPr>
          <w:lang w:val="fr-FR"/>
        </w:rPr>
        <w:tab/>
        <w:t>Nombre :</w:t>
      </w:r>
      <w:r w:rsidRPr="003E38D5">
        <w:rPr>
          <w:lang w:val="fr-FR"/>
        </w:rPr>
        <w:tab/>
        <w:t>Deux ou quatre (voir par</w:t>
      </w:r>
      <w:r w:rsidR="005C5F43" w:rsidRPr="005C5F43">
        <w:rPr>
          <w:lang w:val="fr-FR"/>
        </w:rPr>
        <w:t>.</w:t>
      </w:r>
      <w:r w:rsidR="00F2675D">
        <w:rPr>
          <w:lang w:val="fr-FR"/>
        </w:rPr>
        <w:t> </w:t>
      </w:r>
      <w:r w:rsidRPr="003E38D5">
        <w:rPr>
          <w:lang w:val="fr-FR"/>
        </w:rPr>
        <w:t>6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25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5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1)</w:t>
      </w:r>
      <w:r w:rsidRPr="00E009BC">
        <w:rPr>
          <w:lang w:val="fr-FR"/>
        </w:rPr>
        <w:t>,</w:t>
      </w:r>
      <w:r w:rsidR="00F2675D">
        <w:rPr>
          <w:lang w:val="fr-FR"/>
        </w:rPr>
        <w:t xml:space="preserve"> </w:t>
      </w:r>
      <w:r w:rsidRPr="00E009BC">
        <w:rPr>
          <w:lang w:val="fr-FR"/>
        </w:rPr>
        <w:t>homologués conformément aux prescriptions concernant les catadioptres de la classe IIIA ou IIIB, énoncées dans la série 02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3, ou dans la série originale ou une série ultérieure d</w:t>
      </w:r>
      <w:r>
        <w:rPr>
          <w:lang w:val="fr-FR"/>
        </w:rPr>
        <w:t>’</w:t>
      </w:r>
      <w:r w:rsidRPr="00E009BC">
        <w:rPr>
          <w:lang w:val="fr-FR"/>
        </w:rPr>
        <w:t>amendements au Règlement ONU n</w:t>
      </w:r>
      <w:r w:rsidRPr="00E009BC">
        <w:rPr>
          <w:vertAlign w:val="superscript"/>
          <w:lang w:val="fr-FR"/>
        </w:rPr>
        <w:t>o</w:t>
      </w:r>
      <w:r w:rsidRPr="00E009BC">
        <w:rPr>
          <w:lang w:val="fr-FR"/>
        </w:rPr>
        <w:t> 150 </w:t>
      </w:r>
      <w:r w:rsidRPr="003E38D5">
        <w:rPr>
          <w:lang w:val="fr-FR"/>
        </w:rPr>
        <w:t>»</w:t>
      </w:r>
      <w:r w:rsidR="005C5F43" w:rsidRPr="005C5F43">
        <w:rPr>
          <w:lang w:val="fr-FR"/>
        </w:rPr>
        <w:t>.</w:t>
      </w:r>
    </w:p>
    <w:p w14:paraId="0850D5FB" w14:textId="20B6BAE7" w:rsidR="00B37B62" w:rsidRPr="005D69DE" w:rsidRDefault="00B37B62" w:rsidP="00B37B62">
      <w:pPr>
        <w:pStyle w:val="SingleTxtG"/>
        <w:rPr>
          <w:lang w:val="fr-FR"/>
        </w:rPr>
      </w:pPr>
      <w:r>
        <w:rPr>
          <w:lang w:val="fr-FR"/>
        </w:rPr>
        <w:t xml:space="preserve">Ajouter le </w:t>
      </w:r>
      <w:r w:rsidRPr="00E009BC">
        <w:rPr>
          <w:i/>
          <w:iCs/>
          <w:lang w:val="fr-FR"/>
        </w:rPr>
        <w:t>nouveau paragraphe 12</w:t>
      </w:r>
      <w:r w:rsidR="005C5F43" w:rsidRPr="005C5F43">
        <w:rPr>
          <w:i/>
          <w:iCs/>
          <w:lang w:val="fr-FR"/>
        </w:rPr>
        <w:t>.</w:t>
      </w:r>
      <w:r w:rsidRPr="00E009BC">
        <w:rPr>
          <w:i/>
          <w:iCs/>
          <w:lang w:val="fr-FR"/>
        </w:rPr>
        <w:t>3</w:t>
      </w:r>
      <w:r>
        <w:rPr>
          <w:lang w:val="fr-FR"/>
        </w:rPr>
        <w:t>, libellé comme suit :</w:t>
      </w:r>
    </w:p>
    <w:p w14:paraId="202DA1C7" w14:textId="60445288" w:rsidR="00B37B62" w:rsidRPr="00E009BC" w:rsidRDefault="00B37B62" w:rsidP="00B37B62">
      <w:pPr>
        <w:pStyle w:val="SingleTxtG"/>
        <w:ind w:left="2268" w:hanging="1134"/>
        <w:rPr>
          <w:lang w:val="fr-FR"/>
        </w:rPr>
      </w:pPr>
      <w:r w:rsidRPr="003E38D5">
        <w:rPr>
          <w:lang w:val="fr-FR"/>
        </w:rPr>
        <w:t>« </w:t>
      </w: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Pr="003E38D5">
        <w:rPr>
          <w:lang w:val="fr-FR"/>
        </w:rPr>
        <w:tab/>
      </w:r>
      <w:r w:rsidRPr="00E009BC">
        <w:rPr>
          <w:lang w:val="fr-FR"/>
        </w:rPr>
        <w:t>Pour la série 03 d</w:t>
      </w:r>
      <w:r>
        <w:rPr>
          <w:lang w:val="fr-FR"/>
        </w:rPr>
        <w:t>’</w:t>
      </w:r>
      <w:r w:rsidRPr="00E009BC">
        <w:rPr>
          <w:lang w:val="fr-FR"/>
        </w:rPr>
        <w:t>amendements</w:t>
      </w:r>
    </w:p>
    <w:p w14:paraId="11A40D7D" w14:textId="440CB0ED" w:rsidR="00B37B62" w:rsidRPr="00E009BC" w:rsidRDefault="00B37B62" w:rsidP="00B37B62">
      <w:pPr>
        <w:pStyle w:val="SingleTxtG"/>
        <w:ind w:left="2268" w:hanging="1134"/>
        <w:rPr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1</w:t>
      </w:r>
      <w:r w:rsidRPr="003E38D5">
        <w:rPr>
          <w:lang w:val="fr-FR"/>
        </w:rPr>
        <w:tab/>
      </w:r>
      <w:r w:rsidRPr="00E009BC">
        <w:rPr>
          <w:lang w:val="fr-FR"/>
        </w:rPr>
        <w:t>À compter de la date officielle d</w:t>
      </w:r>
      <w:r>
        <w:rPr>
          <w:lang w:val="fr-FR"/>
        </w:rPr>
        <w:t>’</w:t>
      </w:r>
      <w:r w:rsidRPr="00E009BC">
        <w:rPr>
          <w:lang w:val="fr-FR"/>
        </w:rPr>
        <w:t>entrée en vigueur de la série 03 d</w:t>
      </w:r>
      <w:r>
        <w:rPr>
          <w:lang w:val="fr-FR"/>
        </w:rPr>
        <w:t>’</w:t>
      </w:r>
      <w:r w:rsidRPr="00E009BC">
        <w:rPr>
          <w:lang w:val="fr-FR"/>
        </w:rPr>
        <w:t>amendements, aucune Partie contractante appliquant le présent Règlement ne pourra refuser d</w:t>
      </w:r>
      <w:r>
        <w:rPr>
          <w:lang w:val="fr-FR"/>
        </w:rPr>
        <w:t>’</w:t>
      </w:r>
      <w:r w:rsidRPr="00E009BC">
        <w:rPr>
          <w:lang w:val="fr-FR"/>
        </w:rPr>
        <w:t>accorder ou d</w:t>
      </w:r>
      <w:r>
        <w:rPr>
          <w:lang w:val="fr-FR"/>
        </w:rPr>
        <w:t>’</w:t>
      </w:r>
      <w:r w:rsidRPr="00E009BC">
        <w:rPr>
          <w:lang w:val="fr-FR"/>
        </w:rPr>
        <w:t>accepter une homologation de type délivrée en vertu dudit Règlement tel que modifié par ladite série</w:t>
      </w:r>
      <w:r w:rsidR="005C5F43" w:rsidRPr="005C5F43">
        <w:rPr>
          <w:lang w:val="fr-FR"/>
        </w:rPr>
        <w:t>.</w:t>
      </w:r>
    </w:p>
    <w:p w14:paraId="5DA61EBE" w14:textId="31CFE778" w:rsidR="00B37B62" w:rsidRPr="00E009BC" w:rsidRDefault="00B37B62" w:rsidP="00B37B62">
      <w:pPr>
        <w:pStyle w:val="SingleTxtG"/>
        <w:ind w:left="2268" w:hanging="1134"/>
        <w:rPr>
          <w:rFonts w:eastAsia="MS Mincho"/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2</w:t>
      </w:r>
      <w:r w:rsidRPr="003E38D5">
        <w:rPr>
          <w:lang w:val="fr-FR"/>
        </w:rPr>
        <w:tab/>
      </w:r>
      <w:r w:rsidRPr="003E38D5">
        <w:rPr>
          <w:lang w:val="fr-FR"/>
        </w:rPr>
        <w:tab/>
      </w:r>
      <w:r w:rsidRPr="00E009BC">
        <w:rPr>
          <w:lang w:val="fr-FR"/>
        </w:rPr>
        <w:t>À compter du 1</w:t>
      </w:r>
      <w:r w:rsidRPr="00E009BC">
        <w:rPr>
          <w:vertAlign w:val="superscript"/>
          <w:lang w:val="fr-FR"/>
        </w:rPr>
        <w:t>er</w:t>
      </w:r>
      <w:r w:rsidRPr="00E009BC">
        <w:rPr>
          <w:lang w:val="fr-FR"/>
        </w:rPr>
        <w:t> septembre 2028, les Parties contractantes appliquant le présent Règlement ne seront plus tenues d</w:t>
      </w:r>
      <w:r>
        <w:rPr>
          <w:lang w:val="fr-FR"/>
        </w:rPr>
        <w:t>’</w:t>
      </w:r>
      <w:r w:rsidRPr="00E009BC">
        <w:rPr>
          <w:lang w:val="fr-FR"/>
        </w:rPr>
        <w:t>accepter les homologations de type établies conformément aux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amendements, délivrées pour la première fois après le 1</w:t>
      </w:r>
      <w:r w:rsidRPr="00E009BC">
        <w:rPr>
          <w:vertAlign w:val="superscript"/>
          <w:lang w:val="fr-FR"/>
        </w:rPr>
        <w:t>er</w:t>
      </w:r>
      <w:r w:rsidRPr="00E009BC">
        <w:rPr>
          <w:lang w:val="fr-FR"/>
        </w:rPr>
        <w:t> septembre 2028</w:t>
      </w:r>
      <w:r w:rsidR="005C5F43" w:rsidRPr="005C5F43">
        <w:rPr>
          <w:lang w:val="fr-FR"/>
        </w:rPr>
        <w:t>.</w:t>
      </w:r>
    </w:p>
    <w:p w14:paraId="48F650EA" w14:textId="353409E4" w:rsidR="00B37B62" w:rsidRPr="00E009BC" w:rsidRDefault="00B37B62" w:rsidP="00B37B62">
      <w:pPr>
        <w:pStyle w:val="SingleTxtG"/>
        <w:ind w:left="2268" w:hanging="1134"/>
        <w:rPr>
          <w:rFonts w:eastAsia="MS Mincho"/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Pr="003E38D5">
        <w:rPr>
          <w:lang w:val="fr-FR"/>
        </w:rPr>
        <w:tab/>
      </w:r>
      <w:r w:rsidRPr="00E009BC">
        <w:rPr>
          <w:lang w:val="fr-FR"/>
        </w:rPr>
        <w:t>Jusqu</w:t>
      </w:r>
      <w:r>
        <w:rPr>
          <w:lang w:val="fr-FR"/>
        </w:rPr>
        <w:t>’</w:t>
      </w:r>
      <w:r w:rsidRPr="00E009BC">
        <w:rPr>
          <w:lang w:val="fr-FR"/>
        </w:rPr>
        <w:t>au 1</w:t>
      </w:r>
      <w:r w:rsidRPr="00E009BC">
        <w:rPr>
          <w:vertAlign w:val="superscript"/>
          <w:lang w:val="fr-FR"/>
        </w:rPr>
        <w:t>er</w:t>
      </w:r>
      <w:r w:rsidRPr="00E009BC">
        <w:rPr>
          <w:lang w:val="fr-FR"/>
        </w:rPr>
        <w:t> septembre 2030, les Parties contractantes appliquant le présent Règlement seront tenues d</w:t>
      </w:r>
      <w:r>
        <w:rPr>
          <w:lang w:val="fr-FR"/>
        </w:rPr>
        <w:t>’</w:t>
      </w:r>
      <w:r w:rsidRPr="00E009BC">
        <w:rPr>
          <w:lang w:val="fr-FR"/>
        </w:rPr>
        <w:t>accepter les homologations de type établies conformément aux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amendements, délivrées pour la première fois avant le 1</w:t>
      </w:r>
      <w:r w:rsidRPr="00E009BC">
        <w:rPr>
          <w:vertAlign w:val="superscript"/>
          <w:lang w:val="fr-FR"/>
        </w:rPr>
        <w:t>er</w:t>
      </w:r>
      <w:r w:rsidRPr="00E009BC">
        <w:rPr>
          <w:lang w:val="fr-FR"/>
        </w:rPr>
        <w:t> septembre 2028</w:t>
      </w:r>
      <w:r w:rsidR="005C5F43" w:rsidRPr="005C5F43">
        <w:rPr>
          <w:lang w:val="fr-FR"/>
        </w:rPr>
        <w:t>.</w:t>
      </w:r>
    </w:p>
    <w:p w14:paraId="2C8AFE72" w14:textId="182A252E" w:rsidR="00B37B62" w:rsidRPr="00E009BC" w:rsidRDefault="00B37B62" w:rsidP="00F2675D">
      <w:pPr>
        <w:pStyle w:val="SingleTxtG"/>
        <w:keepNext/>
        <w:keepLines/>
        <w:ind w:left="2268" w:hanging="1134"/>
        <w:rPr>
          <w:lang w:val="fr-FR"/>
        </w:rPr>
      </w:pPr>
      <w:r w:rsidRPr="00E009BC">
        <w:rPr>
          <w:lang w:val="fr-FR"/>
        </w:rPr>
        <w:lastRenderedPageBreak/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4</w:t>
      </w:r>
      <w:r w:rsidRPr="003E38D5">
        <w:rPr>
          <w:lang w:val="fr-FR"/>
        </w:rPr>
        <w:tab/>
      </w:r>
      <w:r w:rsidRPr="00E009BC">
        <w:rPr>
          <w:lang w:val="fr-FR"/>
        </w:rPr>
        <w:t>À compter du 1</w:t>
      </w:r>
      <w:r w:rsidRPr="00E009BC">
        <w:rPr>
          <w:vertAlign w:val="superscript"/>
          <w:lang w:val="fr-FR"/>
        </w:rPr>
        <w:t>er</w:t>
      </w:r>
      <w:r w:rsidRPr="00E009BC">
        <w:rPr>
          <w:lang w:val="fr-FR"/>
        </w:rPr>
        <w:t> septembre 2030, les Parties contractantes appliquant le présent Règlement ne seront plus tenues d</w:t>
      </w:r>
      <w:r>
        <w:rPr>
          <w:lang w:val="fr-FR"/>
        </w:rPr>
        <w:t>’</w:t>
      </w:r>
      <w:r w:rsidRPr="00E009BC">
        <w:rPr>
          <w:lang w:val="fr-FR"/>
        </w:rPr>
        <w:t>accepter les homologations de type délivrées en vertu des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 audit Règlement ainsi que les extensions de ces homologations</w:t>
      </w:r>
      <w:r w:rsidR="005C5F43" w:rsidRPr="005C5F43">
        <w:rPr>
          <w:lang w:val="fr-FR"/>
        </w:rPr>
        <w:t>.</w:t>
      </w:r>
      <w:bookmarkStart w:id="0" w:name="_Hlk122078856"/>
      <w:bookmarkEnd w:id="0"/>
    </w:p>
    <w:p w14:paraId="6B50224B" w14:textId="2AAF7B75" w:rsidR="00B37B62" w:rsidRPr="00E009BC" w:rsidRDefault="00B37B62" w:rsidP="00B37B62">
      <w:pPr>
        <w:pStyle w:val="SingleTxtG"/>
        <w:ind w:left="2268" w:hanging="1134"/>
        <w:rPr>
          <w:rFonts w:eastAsia="MS PGothic"/>
          <w:iCs/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5</w:t>
      </w:r>
      <w:r w:rsidRPr="003E38D5">
        <w:rPr>
          <w:lang w:val="fr-FR"/>
        </w:rPr>
        <w:tab/>
      </w:r>
      <w:r w:rsidRPr="003E38D5">
        <w:rPr>
          <w:lang w:val="fr-FR"/>
        </w:rPr>
        <w:tab/>
      </w:r>
      <w:r w:rsidRPr="00E009BC">
        <w:rPr>
          <w:lang w:val="fr-FR"/>
        </w:rPr>
        <w:t>Nonobstant les dispositions transitoires ci-dessus, les Parties contractantes qui commencent à appliquer le présent Règlement après la date d</w:t>
      </w:r>
      <w:r>
        <w:rPr>
          <w:lang w:val="fr-FR"/>
        </w:rPr>
        <w:t>’</w:t>
      </w:r>
      <w:r w:rsidRPr="00E009BC">
        <w:rPr>
          <w:lang w:val="fr-FR"/>
        </w:rPr>
        <w:t>entrée en vigueur de la série d</w:t>
      </w:r>
      <w:r>
        <w:rPr>
          <w:lang w:val="fr-FR"/>
        </w:rPr>
        <w:t>’</w:t>
      </w:r>
      <w:r w:rsidRPr="00E009BC">
        <w:rPr>
          <w:lang w:val="fr-FR"/>
        </w:rPr>
        <w:t>amendements la plus récente ne sont pas tenues d</w:t>
      </w:r>
      <w:r>
        <w:rPr>
          <w:lang w:val="fr-FR"/>
        </w:rPr>
        <w:t>’</w:t>
      </w:r>
      <w:r w:rsidRPr="00E009BC">
        <w:rPr>
          <w:lang w:val="fr-FR"/>
        </w:rPr>
        <w:t>accepter les homologations de type délivrées en vertu de l</w:t>
      </w:r>
      <w:r>
        <w:rPr>
          <w:lang w:val="fr-FR"/>
        </w:rPr>
        <w:t>’</w:t>
      </w:r>
      <w:r w:rsidRPr="00E009BC">
        <w:rPr>
          <w:lang w:val="fr-FR"/>
        </w:rPr>
        <w:t>une quelconque des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 audit Règlement</w:t>
      </w:r>
      <w:r w:rsidR="005C5F43" w:rsidRPr="005C5F43">
        <w:rPr>
          <w:lang w:val="fr-FR"/>
        </w:rPr>
        <w:t>.</w:t>
      </w:r>
    </w:p>
    <w:p w14:paraId="7C409100" w14:textId="08F0FC64" w:rsidR="00B37B62" w:rsidRPr="00E009BC" w:rsidRDefault="00B37B62" w:rsidP="00B37B62">
      <w:pPr>
        <w:pStyle w:val="SingleTxtG"/>
        <w:ind w:left="2268" w:hanging="1134"/>
        <w:rPr>
          <w:rFonts w:eastAsia="MS PGothic"/>
          <w:iCs/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6</w:t>
      </w:r>
      <w:r w:rsidRPr="003E38D5">
        <w:rPr>
          <w:lang w:val="fr-FR"/>
        </w:rPr>
        <w:tab/>
      </w:r>
      <w:r w:rsidRPr="00E009BC">
        <w:rPr>
          <w:lang w:val="fr-FR"/>
        </w:rPr>
        <w:t>Nonobstant les dispositions du paragraphe 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4, les Parties contractantes appliquant le présent Règlement continueront de reconnaître les homologations de type délivrées en vertu des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 audit Règlement pour les types de véhicules non concernés par les modifications apportées par la série 03 d</w:t>
      </w:r>
      <w:r>
        <w:rPr>
          <w:lang w:val="fr-FR"/>
        </w:rPr>
        <w:t>’</w:t>
      </w:r>
      <w:r w:rsidRPr="00E009BC">
        <w:rPr>
          <w:lang w:val="fr-FR"/>
        </w:rPr>
        <w:t>amendements</w:t>
      </w:r>
      <w:r w:rsidR="005C5F43" w:rsidRPr="005C5F43">
        <w:rPr>
          <w:lang w:val="fr-FR"/>
        </w:rPr>
        <w:t>.</w:t>
      </w:r>
    </w:p>
    <w:p w14:paraId="5407B3A5" w14:textId="09C86649" w:rsidR="00B37B62" w:rsidRPr="00E009BC" w:rsidRDefault="00B37B62" w:rsidP="00B37B62">
      <w:pPr>
        <w:pStyle w:val="SingleTxtG"/>
        <w:ind w:left="2268" w:hanging="1134"/>
        <w:rPr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7</w:t>
      </w:r>
      <w:r w:rsidRPr="003E38D5">
        <w:rPr>
          <w:lang w:val="fr-FR"/>
        </w:rPr>
        <w:tab/>
      </w:r>
      <w:r w:rsidRPr="00E009BC">
        <w:rPr>
          <w:lang w:val="fr-FR"/>
        </w:rPr>
        <w:t>Les Parties contractantes appliquant le présent Règlement peuvent accorder des homologations de type en vertu de l</w:t>
      </w:r>
      <w:r>
        <w:rPr>
          <w:lang w:val="fr-FR"/>
        </w:rPr>
        <w:t>’</w:t>
      </w:r>
      <w:r w:rsidRPr="00E009BC">
        <w:rPr>
          <w:lang w:val="fr-FR"/>
        </w:rPr>
        <w:t>une quelconque des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 audit Règlement</w:t>
      </w:r>
      <w:r w:rsidR="005C5F43" w:rsidRPr="005C5F43">
        <w:rPr>
          <w:lang w:val="fr-FR"/>
        </w:rPr>
        <w:t>.</w:t>
      </w:r>
    </w:p>
    <w:p w14:paraId="4683AA84" w14:textId="6E492E7B" w:rsidR="00B37B62" w:rsidRPr="003E38D5" w:rsidRDefault="00B37B62" w:rsidP="00B37B62">
      <w:pPr>
        <w:pStyle w:val="SingleTxtG"/>
        <w:ind w:left="2268" w:hanging="1134"/>
        <w:rPr>
          <w:lang w:val="fr-FR"/>
        </w:rPr>
      </w:pPr>
      <w:r w:rsidRPr="00E009BC">
        <w:rPr>
          <w:lang w:val="fr-FR"/>
        </w:rPr>
        <w:t>12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3</w:t>
      </w:r>
      <w:r w:rsidR="005C5F43" w:rsidRPr="005C5F43">
        <w:rPr>
          <w:lang w:val="fr-FR"/>
        </w:rPr>
        <w:t>.</w:t>
      </w:r>
      <w:r w:rsidRPr="00E009BC">
        <w:rPr>
          <w:lang w:val="fr-FR"/>
        </w:rPr>
        <w:t>8</w:t>
      </w:r>
      <w:r w:rsidRPr="003E38D5">
        <w:rPr>
          <w:lang w:val="fr-FR"/>
        </w:rPr>
        <w:tab/>
      </w:r>
      <w:r w:rsidRPr="00E009BC">
        <w:rPr>
          <w:lang w:val="fr-FR"/>
        </w:rPr>
        <w:t>Les Parties contractantes appliquant le présent Règlement doivent continuer d</w:t>
      </w:r>
      <w:r>
        <w:rPr>
          <w:lang w:val="fr-FR"/>
        </w:rPr>
        <w:t>’</w:t>
      </w:r>
      <w:r w:rsidRPr="00E009BC">
        <w:rPr>
          <w:lang w:val="fr-FR"/>
        </w:rPr>
        <w:t>accorder des extensions pour les homologations déjà délivrées en vertu de l</w:t>
      </w:r>
      <w:r>
        <w:rPr>
          <w:lang w:val="fr-FR"/>
        </w:rPr>
        <w:t>’</w:t>
      </w:r>
      <w:r w:rsidRPr="00E009BC">
        <w:rPr>
          <w:lang w:val="fr-FR"/>
        </w:rPr>
        <w:t>une quelconque des précédentes séries d</w:t>
      </w:r>
      <w:r>
        <w:rPr>
          <w:lang w:val="fr-FR"/>
        </w:rPr>
        <w:t>’</w:t>
      </w:r>
      <w:r w:rsidRPr="00E009BC">
        <w:rPr>
          <w:lang w:val="fr-FR"/>
        </w:rPr>
        <w:t>amendements audit Règlement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4431612B" w14:textId="77777777" w:rsidR="00B37B62" w:rsidRPr="005D69DE" w:rsidRDefault="00B37B62" w:rsidP="00B37B62">
      <w:pPr>
        <w:pStyle w:val="SingleTxtG"/>
        <w:rPr>
          <w:lang w:val="fr-FR"/>
        </w:rPr>
      </w:pPr>
      <w:r>
        <w:rPr>
          <w:i/>
          <w:iCs/>
          <w:lang w:val="fr-FR"/>
        </w:rPr>
        <w:t>Annexe 6, paragraphe 2</w:t>
      </w:r>
      <w:r>
        <w:rPr>
          <w:lang w:val="fr-FR"/>
        </w:rPr>
        <w:t>, lire :</w:t>
      </w:r>
    </w:p>
    <w:p w14:paraId="356998F2" w14:textId="0F72F490" w:rsidR="00B37B62" w:rsidRPr="003E38D5" w:rsidRDefault="00B37B62" w:rsidP="00B37B62">
      <w:pPr>
        <w:pStyle w:val="SingleTxtG"/>
        <w:ind w:left="2268" w:hanging="1134"/>
        <w:rPr>
          <w:noProof/>
          <w:lang w:val="fr-FR"/>
        </w:rPr>
      </w:pPr>
      <w:r w:rsidRPr="003E38D5">
        <w:rPr>
          <w:lang w:val="fr-FR"/>
        </w:rPr>
        <w:t>« 2</w:t>
      </w:r>
      <w:r w:rsidR="005C5F43" w:rsidRPr="005C5F43">
        <w:rPr>
          <w:lang w:val="fr-FR"/>
        </w:rPr>
        <w:t>.</w:t>
      </w:r>
      <w:r w:rsidRPr="003E38D5">
        <w:rPr>
          <w:lang w:val="fr-FR"/>
        </w:rPr>
        <w:tab/>
        <w:t>Couleurs et prescriptions photométriques minimales</w:t>
      </w:r>
    </w:p>
    <w:p w14:paraId="2F1D4C17" w14:textId="77777777" w:rsidR="00B37B62" w:rsidRPr="003E38D5" w:rsidRDefault="00B37B62" w:rsidP="00B37B62">
      <w:pPr>
        <w:pStyle w:val="SingleTxtG"/>
        <w:ind w:left="2268"/>
        <w:rPr>
          <w:noProof/>
          <w:lang w:val="fr-FR"/>
        </w:rPr>
      </w:pPr>
      <w:r w:rsidRPr="003E38D5">
        <w:rPr>
          <w:lang w:val="fr-FR"/>
        </w:rPr>
        <w:t xml:space="preserve">Chaque bandeau doit être </w:t>
      </w:r>
      <w:r w:rsidRPr="00E009BC">
        <w:rPr>
          <w:lang w:val="fr-FR"/>
        </w:rPr>
        <w:t>homologué conformément</w:t>
      </w:r>
      <w:r w:rsidRPr="003E38D5">
        <w:rPr>
          <w:b/>
          <w:bCs/>
          <w:lang w:val="fr-FR"/>
        </w:rPr>
        <w:t xml:space="preserve"> </w:t>
      </w:r>
      <w:r w:rsidRPr="003E38D5">
        <w:rPr>
          <w:lang w:val="fr-FR"/>
        </w:rPr>
        <w:t xml:space="preserve">aux prescriptions </w:t>
      </w:r>
      <w:r w:rsidRPr="00E009BC">
        <w:rPr>
          <w:lang w:val="fr-FR"/>
        </w:rPr>
        <w:t>applicables :</w:t>
      </w:r>
    </w:p>
    <w:p w14:paraId="11FCCF79" w14:textId="70826C1A" w:rsidR="00B37B62" w:rsidRPr="00E009BC" w:rsidRDefault="00F2675D" w:rsidP="00F2675D">
      <w:pPr>
        <w:pStyle w:val="SingleTxtG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À </w:t>
      </w:r>
      <w:r w:rsidR="00B37B62" w:rsidRPr="00E009BC">
        <w:rPr>
          <w:lang w:val="fr-FR"/>
        </w:rPr>
        <w:t>la classe 5 dans la série 01 ou 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70 ; ou</w:t>
      </w:r>
    </w:p>
    <w:p w14:paraId="55E71D8C" w14:textId="3070C1A7" w:rsidR="00B37B62" w:rsidRDefault="00F2675D" w:rsidP="00F2675D">
      <w:pPr>
        <w:pStyle w:val="SingleTxtG"/>
        <w:numPr>
          <w:ilvl w:val="0"/>
          <w:numId w:val="17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la classe F dans la série originale ou 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104 ; ou</w:t>
      </w:r>
      <w:r w:rsidR="00B37B62">
        <w:rPr>
          <w:lang w:val="fr-FR"/>
        </w:rPr>
        <w:t xml:space="preserve"> </w:t>
      </w:r>
    </w:p>
    <w:p w14:paraId="1B7DFF2B" w14:textId="7B968EE4" w:rsidR="00F9573C" w:rsidRDefault="00F2675D" w:rsidP="00F2675D">
      <w:pPr>
        <w:pStyle w:val="SingleTxtG"/>
        <w:numPr>
          <w:ilvl w:val="0"/>
          <w:numId w:val="17"/>
        </w:numPr>
        <w:rPr>
          <w:lang w:val="fr-FR"/>
        </w:rPr>
      </w:pPr>
      <w:r>
        <w:rPr>
          <w:lang w:val="fr-FR"/>
        </w:rPr>
        <w:t>À</w:t>
      </w:r>
      <w:r w:rsidR="00B37B62" w:rsidRPr="00E009BC">
        <w:rPr>
          <w:lang w:val="fr-FR"/>
        </w:rPr>
        <w:t xml:space="preserve"> la classe 5 ou à la classe F dans la série originale ou une série ultérieure d</w:t>
      </w:r>
      <w:r w:rsidR="00B37B62">
        <w:rPr>
          <w:lang w:val="fr-FR"/>
        </w:rPr>
        <w:t>’</w:t>
      </w:r>
      <w:r w:rsidR="00B37B62" w:rsidRPr="00E009BC">
        <w:rPr>
          <w:lang w:val="fr-FR"/>
        </w:rPr>
        <w:t>amendements au Règlement ONU n</w:t>
      </w:r>
      <w:r w:rsidR="00B37B62" w:rsidRPr="00E009BC">
        <w:rPr>
          <w:vertAlign w:val="superscript"/>
          <w:lang w:val="fr-FR"/>
        </w:rPr>
        <w:t>o</w:t>
      </w:r>
      <w:r w:rsidR="00B37B62" w:rsidRPr="00E009BC">
        <w:rPr>
          <w:lang w:val="fr-FR"/>
        </w:rPr>
        <w:t> 150</w:t>
      </w:r>
      <w:r w:rsidR="005C5F43" w:rsidRPr="005C5F43">
        <w:rPr>
          <w:lang w:val="fr-FR"/>
        </w:rPr>
        <w:t>.</w:t>
      </w:r>
      <w:r w:rsidR="00B37B62" w:rsidRPr="003E38D5">
        <w:rPr>
          <w:lang w:val="fr-FR"/>
        </w:rPr>
        <w:t> »</w:t>
      </w:r>
      <w:r w:rsidR="005C5F43" w:rsidRPr="005C5F43">
        <w:rPr>
          <w:lang w:val="fr-FR"/>
        </w:rPr>
        <w:t>.</w:t>
      </w:r>
    </w:p>
    <w:p w14:paraId="35F2DDB8" w14:textId="00E01E03" w:rsidR="00B37B62" w:rsidRPr="00B37B62" w:rsidRDefault="00B37B62" w:rsidP="00B37B62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37B62" w:rsidRPr="00B37B62" w:rsidSect="00B37B6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761D" w14:textId="77777777" w:rsidR="00B74748" w:rsidRDefault="00B74748" w:rsidP="00F95C08">
      <w:pPr>
        <w:spacing w:line="240" w:lineRule="auto"/>
      </w:pPr>
    </w:p>
  </w:endnote>
  <w:endnote w:type="continuationSeparator" w:id="0">
    <w:p w14:paraId="45C9504D" w14:textId="77777777" w:rsidR="00B74748" w:rsidRPr="00AC3823" w:rsidRDefault="00B74748" w:rsidP="00AC3823">
      <w:pPr>
        <w:pStyle w:val="Pieddepage"/>
      </w:pPr>
    </w:p>
  </w:endnote>
  <w:endnote w:type="continuationNotice" w:id="1">
    <w:p w14:paraId="2A7E1F65" w14:textId="77777777" w:rsidR="00B74748" w:rsidRDefault="00B747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9C18" w14:textId="6B33767B" w:rsidR="00B37B62" w:rsidRPr="00B37B62" w:rsidRDefault="00B37B62" w:rsidP="00B37B62">
    <w:pPr>
      <w:pStyle w:val="Pieddepage"/>
      <w:tabs>
        <w:tab w:val="right" w:pos="9638"/>
      </w:tabs>
    </w:pPr>
    <w:r w:rsidRPr="00B37B62">
      <w:rPr>
        <w:b/>
        <w:sz w:val="18"/>
      </w:rPr>
      <w:fldChar w:fldCharType="begin"/>
    </w:r>
    <w:r w:rsidRPr="00B37B62">
      <w:rPr>
        <w:b/>
        <w:sz w:val="18"/>
      </w:rPr>
      <w:instrText xml:space="preserve"> PAGE  \* MERGEFORMAT </w:instrText>
    </w:r>
    <w:r w:rsidRPr="00B37B62">
      <w:rPr>
        <w:b/>
        <w:sz w:val="18"/>
      </w:rPr>
      <w:fldChar w:fldCharType="separate"/>
    </w:r>
    <w:r w:rsidRPr="00B37B62">
      <w:rPr>
        <w:b/>
        <w:noProof/>
        <w:sz w:val="18"/>
      </w:rPr>
      <w:t>2</w:t>
    </w:r>
    <w:r w:rsidRPr="00B37B62">
      <w:rPr>
        <w:b/>
        <w:sz w:val="18"/>
      </w:rPr>
      <w:fldChar w:fldCharType="end"/>
    </w:r>
    <w:r>
      <w:rPr>
        <w:b/>
        <w:sz w:val="18"/>
      </w:rPr>
      <w:tab/>
    </w:r>
    <w:r>
      <w:t>GE</w:t>
    </w:r>
    <w:r w:rsidR="005C5F43" w:rsidRPr="005C5F43">
      <w:t>.</w:t>
    </w:r>
    <w:r>
      <w:t>23-16158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7A9B" w14:textId="50AA9249" w:rsidR="00B37B62" w:rsidRPr="00B37B62" w:rsidRDefault="00B37B62" w:rsidP="00B37B62">
    <w:pPr>
      <w:pStyle w:val="Pieddepage"/>
      <w:tabs>
        <w:tab w:val="right" w:pos="9638"/>
      </w:tabs>
      <w:rPr>
        <w:b/>
        <w:sz w:val="18"/>
      </w:rPr>
    </w:pPr>
    <w:r>
      <w:t>GE</w:t>
    </w:r>
    <w:r w:rsidR="005C5F43" w:rsidRPr="005C5F43">
      <w:t>.</w:t>
    </w:r>
    <w:r>
      <w:t>23-16158</w:t>
    </w:r>
    <w:r>
      <w:tab/>
    </w:r>
    <w:r w:rsidRPr="00B37B62">
      <w:rPr>
        <w:b/>
        <w:sz w:val="18"/>
      </w:rPr>
      <w:fldChar w:fldCharType="begin"/>
    </w:r>
    <w:r w:rsidRPr="00B37B62">
      <w:rPr>
        <w:b/>
        <w:sz w:val="18"/>
      </w:rPr>
      <w:instrText xml:space="preserve"> PAGE  \* MERGEFORMAT </w:instrText>
    </w:r>
    <w:r w:rsidRPr="00B37B62">
      <w:rPr>
        <w:b/>
        <w:sz w:val="18"/>
      </w:rPr>
      <w:fldChar w:fldCharType="separate"/>
    </w:r>
    <w:r w:rsidRPr="00B37B62">
      <w:rPr>
        <w:b/>
        <w:noProof/>
        <w:sz w:val="18"/>
      </w:rPr>
      <w:t>3</w:t>
    </w:r>
    <w:r w:rsidRPr="00B37B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3415" w14:textId="2B5ACBA4" w:rsidR="007F20FA" w:rsidRPr="00B37B62" w:rsidRDefault="00B37B62" w:rsidP="00B37B62">
    <w:pPr>
      <w:pStyle w:val="Pieddepage"/>
      <w:spacing w:before="120"/>
      <w:rPr>
        <w:sz w:val="20"/>
      </w:rPr>
    </w:pPr>
    <w:r>
      <w:rPr>
        <w:sz w:val="20"/>
      </w:rPr>
      <w:t>GE</w:t>
    </w:r>
    <w:r w:rsidR="005C5F43" w:rsidRPr="005C5F43">
      <w:rPr>
        <w:sz w:val="20"/>
      </w:rPr>
      <w:t>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F8BB720" wp14:editId="5D7BA09E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23-16158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B71C0AD" wp14:editId="40BFDDDB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270923    290923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EBCF" w14:textId="77777777" w:rsidR="00B74748" w:rsidRPr="00AC3823" w:rsidRDefault="00B7474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BCC3A7" w14:textId="77777777" w:rsidR="00B74748" w:rsidRPr="00AC3823" w:rsidRDefault="00B7474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B9AE09D" w14:textId="77777777" w:rsidR="00B74748" w:rsidRPr="00AC3823" w:rsidRDefault="00B74748">
      <w:pPr>
        <w:spacing w:line="240" w:lineRule="auto"/>
        <w:rPr>
          <w:sz w:val="2"/>
          <w:szCs w:val="2"/>
        </w:rPr>
      </w:pPr>
    </w:p>
  </w:footnote>
  <w:footnote w:id="2">
    <w:p w14:paraId="6F2D642A" w14:textId="75AA1F47" w:rsidR="00B37B62" w:rsidRDefault="00B37B62" w:rsidP="00B37B62">
      <w:pPr>
        <w:pStyle w:val="Notedebasdepage"/>
        <w:rPr>
          <w:lang w:val="fr-FR"/>
        </w:rPr>
      </w:pPr>
      <w:r w:rsidRPr="00B37B62">
        <w:rPr>
          <w:rStyle w:val="Appelnotedebasdep"/>
          <w:vertAlign w:val="baseline"/>
          <w:lang w:val="fr-FR"/>
        </w:rPr>
        <w:tab/>
      </w:r>
      <w:r w:rsidRPr="00B37B62">
        <w:rPr>
          <w:rStyle w:val="Appelnotedebasdep"/>
          <w:sz w:val="20"/>
          <w:vertAlign w:val="baseline"/>
          <w:lang w:val="fr-FR"/>
        </w:rPr>
        <w:t>*</w:t>
      </w:r>
      <w:r w:rsidRPr="00B37B62">
        <w:rPr>
          <w:rStyle w:val="Appelnotedebasdep"/>
          <w:sz w:val="20"/>
          <w:vertAlign w:val="baseline"/>
          <w:lang w:val="fr-FR"/>
        </w:rPr>
        <w:tab/>
      </w:r>
      <w:r>
        <w:rPr>
          <w:lang w:val="fr-FR"/>
        </w:rPr>
        <w:t>Conformément au programme de travail du Comité des transports intérieurs pour 2023 tel qu’il figure dans le projet de budget-programme pour 2023 (A/77/6 (Sect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 20), tableau 20</w:t>
      </w:r>
      <w:r w:rsidR="005C5F43" w:rsidRPr="005C5F43">
        <w:rPr>
          <w:lang w:val="fr-FR"/>
        </w:rPr>
        <w:t>.</w:t>
      </w:r>
      <w:r>
        <w:rPr>
          <w:lang w:val="fr-FR"/>
        </w:rPr>
        <w:t>6), le Forum mondial a pour mission d’élaborer, d’harmoniser et de mettre à jour les Règlements ONU en vue d’améliorer les caractéristiques fonctionnelles des véhicules</w:t>
      </w:r>
      <w:r w:rsidR="005C5F43" w:rsidRPr="005C5F43">
        <w:rPr>
          <w:lang w:val="fr-FR"/>
        </w:rPr>
        <w:t>.</w:t>
      </w:r>
      <w:r>
        <w:rPr>
          <w:lang w:val="fr-FR"/>
        </w:rPr>
        <w:t xml:space="preserve"> Le présent document est soumis en vertu de ce mandat</w:t>
      </w:r>
      <w:r w:rsidR="005C5F43" w:rsidRPr="005C5F43">
        <w:rPr>
          <w:lang w:val="fr-FR"/>
        </w:rPr>
        <w:t>.</w:t>
      </w:r>
    </w:p>
    <w:p w14:paraId="3D2CA337" w14:textId="77777777" w:rsidR="00B37B62" w:rsidRPr="00783A2F" w:rsidRDefault="00B37B62" w:rsidP="00B37B62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FCA" w14:textId="235193AC" w:rsidR="00B37B62" w:rsidRPr="00B37B62" w:rsidRDefault="00B37B62">
    <w:pPr>
      <w:pStyle w:val="En-tte"/>
    </w:pPr>
    <w:fldSimple w:instr=" TITLE  \* MERGEFORMAT ">
      <w:r w:rsidR="00890F85">
        <w:t>ECE/TRANS/WP.29/2023/93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19A9" w14:textId="54E2336B" w:rsidR="00B37B62" w:rsidRPr="00B37B62" w:rsidRDefault="00B37B62" w:rsidP="00B37B62">
    <w:pPr>
      <w:pStyle w:val="En-tte"/>
      <w:jc w:val="right"/>
    </w:pPr>
    <w:fldSimple w:instr=" TITLE  \* MERGEFORMAT ">
      <w:r w:rsidR="00890F85">
        <w:t>ECE/TRANS/WP.29/2023/93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458FF"/>
    <w:multiLevelType w:val="hybridMultilevel"/>
    <w:tmpl w:val="CEEA9DEA"/>
    <w:lvl w:ilvl="0" w:tplc="6142B69A">
      <w:start w:val="14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7F3EBB"/>
    <w:multiLevelType w:val="hybridMultilevel"/>
    <w:tmpl w:val="261A2438"/>
    <w:lvl w:ilvl="0" w:tplc="770A2B0E">
      <w:start w:val="2"/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803498630">
    <w:abstractNumId w:val="14"/>
  </w:num>
  <w:num w:numId="2" w16cid:durableId="1459881447">
    <w:abstractNumId w:val="12"/>
  </w:num>
  <w:num w:numId="3" w16cid:durableId="1855411270">
    <w:abstractNumId w:val="10"/>
  </w:num>
  <w:num w:numId="4" w16cid:durableId="376048512">
    <w:abstractNumId w:val="8"/>
  </w:num>
  <w:num w:numId="5" w16cid:durableId="633021288">
    <w:abstractNumId w:val="3"/>
  </w:num>
  <w:num w:numId="6" w16cid:durableId="1379013434">
    <w:abstractNumId w:val="2"/>
  </w:num>
  <w:num w:numId="7" w16cid:durableId="634943915">
    <w:abstractNumId w:val="1"/>
  </w:num>
  <w:num w:numId="8" w16cid:durableId="600575462">
    <w:abstractNumId w:val="0"/>
  </w:num>
  <w:num w:numId="9" w16cid:durableId="1439332477">
    <w:abstractNumId w:val="9"/>
  </w:num>
  <w:num w:numId="10" w16cid:durableId="1734768788">
    <w:abstractNumId w:val="7"/>
  </w:num>
  <w:num w:numId="11" w16cid:durableId="1898200959">
    <w:abstractNumId w:val="6"/>
  </w:num>
  <w:num w:numId="12" w16cid:durableId="1046105208">
    <w:abstractNumId w:val="5"/>
  </w:num>
  <w:num w:numId="13" w16cid:durableId="1926375863">
    <w:abstractNumId w:val="4"/>
  </w:num>
  <w:num w:numId="14" w16cid:durableId="1562056846">
    <w:abstractNumId w:val="14"/>
  </w:num>
  <w:num w:numId="15" w16cid:durableId="1128401263">
    <w:abstractNumId w:val="12"/>
  </w:num>
  <w:num w:numId="16" w16cid:durableId="491289866">
    <w:abstractNumId w:val="10"/>
  </w:num>
  <w:num w:numId="17" w16cid:durableId="705521241">
    <w:abstractNumId w:val="11"/>
  </w:num>
  <w:num w:numId="18" w16cid:durableId="1474101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48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A6C41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C5F43"/>
    <w:rsid w:val="0071601D"/>
    <w:rsid w:val="007A62E6"/>
    <w:rsid w:val="007F20FA"/>
    <w:rsid w:val="0080684C"/>
    <w:rsid w:val="00871C75"/>
    <w:rsid w:val="008776DC"/>
    <w:rsid w:val="00890F85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37B62"/>
    <w:rsid w:val="00B45F2E"/>
    <w:rsid w:val="00B74748"/>
    <w:rsid w:val="00B765F7"/>
    <w:rsid w:val="00B77993"/>
    <w:rsid w:val="00BA0CA9"/>
    <w:rsid w:val="00C02897"/>
    <w:rsid w:val="00C53BD5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2675D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A567"/>
  <w15:docId w15:val="{5EF3CD30-38CE-4771-8446-44A378A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,-E Fußnotentext Car,footnote text Car,Fußnotentext Ursprung Car,Footnote Text Char Char Char Char Car,Footnote Text1 Car,Footnote Text Char Char Char Car,Fußnotentext Char1 Car,Fußn Car"/>
    <w:basedOn w:val="Policepardfaut"/>
    <w:link w:val="Notedebasdepage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B37B62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locked/>
    <w:rsid w:val="00B37B62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B37B62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commented">
    <w:name w:val="commented"/>
    <w:basedOn w:val="Policepardfaut"/>
    <w:rsid w:val="00B37B62"/>
  </w:style>
  <w:style w:type="character" w:customStyle="1" w:styleId="content">
    <w:name w:val="content"/>
    <w:basedOn w:val="Policepardfaut"/>
    <w:rsid w:val="00B3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55FB6-7ECF-468B-8201-06F06D0B1AE0}"/>
</file>

<file path=customXml/itemProps2.xml><?xml version="1.0" encoding="utf-8"?>
<ds:datastoreItem xmlns:ds="http://schemas.openxmlformats.org/officeDocument/2006/customXml" ds:itemID="{1BE957C4-51E0-450C-9802-E3EE9936D2E3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8</Pages>
  <Words>1764</Words>
  <Characters>12353</Characters>
  <Application>Microsoft Office Word</Application>
  <DocSecurity>0</DocSecurity>
  <Lines>1029</Lines>
  <Paragraphs>564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ECE/TRANS/WP.29/2023/93</vt:lpstr>
    </vt:vector>
  </TitlesOfParts>
  <Company>DCM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ECE/TRANS/WP.29/2023/93</dc:title>
  <dc:subject/>
  <dc:creator>Maud DARICHE</dc:creator>
  <cp:keywords/>
  <cp:lastModifiedBy>Maud Dariche</cp:lastModifiedBy>
  <cp:revision>3</cp:revision>
  <cp:lastPrinted>2023-09-29T05:58:00Z</cp:lastPrinted>
  <dcterms:created xsi:type="dcterms:W3CDTF">2023-09-29T05:58:00Z</dcterms:created>
  <dcterms:modified xsi:type="dcterms:W3CDTF">2023-09-29T05:59:00Z</dcterms:modified>
</cp:coreProperties>
</file>