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E789A9" w14:textId="77777777" w:rsidTr="00C97039">
        <w:trPr>
          <w:trHeight w:hRule="exact" w:val="851"/>
        </w:trPr>
        <w:tc>
          <w:tcPr>
            <w:tcW w:w="1276" w:type="dxa"/>
            <w:tcBorders>
              <w:bottom w:val="single" w:sz="4" w:space="0" w:color="auto"/>
            </w:tcBorders>
          </w:tcPr>
          <w:p w14:paraId="3225907E" w14:textId="77777777" w:rsidR="00F35BAF" w:rsidRPr="00DB58B5" w:rsidRDefault="00F35BAF" w:rsidP="007C537B"/>
        </w:tc>
        <w:tc>
          <w:tcPr>
            <w:tcW w:w="2268" w:type="dxa"/>
            <w:tcBorders>
              <w:bottom w:val="single" w:sz="4" w:space="0" w:color="auto"/>
            </w:tcBorders>
            <w:vAlign w:val="bottom"/>
          </w:tcPr>
          <w:p w14:paraId="66250EA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B13268" w14:textId="52BCD7F8" w:rsidR="00F35BAF" w:rsidRPr="00DB58B5" w:rsidRDefault="007C537B" w:rsidP="007C537B">
            <w:pPr>
              <w:jc w:val="right"/>
            </w:pPr>
            <w:r w:rsidRPr="007C537B">
              <w:rPr>
                <w:sz w:val="40"/>
              </w:rPr>
              <w:t>ECE</w:t>
            </w:r>
            <w:r>
              <w:t>/TRANS/WP.29/2023/91</w:t>
            </w:r>
          </w:p>
        </w:tc>
      </w:tr>
      <w:tr w:rsidR="00F35BAF" w:rsidRPr="00DB58B5" w14:paraId="19C480FD" w14:textId="77777777" w:rsidTr="00C97039">
        <w:trPr>
          <w:trHeight w:hRule="exact" w:val="2835"/>
        </w:trPr>
        <w:tc>
          <w:tcPr>
            <w:tcW w:w="1276" w:type="dxa"/>
            <w:tcBorders>
              <w:top w:val="single" w:sz="4" w:space="0" w:color="auto"/>
              <w:bottom w:val="single" w:sz="12" w:space="0" w:color="auto"/>
            </w:tcBorders>
          </w:tcPr>
          <w:p w14:paraId="3B98F5FB" w14:textId="77777777" w:rsidR="00F35BAF" w:rsidRPr="00DB58B5" w:rsidRDefault="00F35BAF" w:rsidP="00C97039">
            <w:pPr>
              <w:spacing w:before="120"/>
              <w:jc w:val="center"/>
            </w:pPr>
            <w:r>
              <w:rPr>
                <w:noProof/>
                <w:lang w:eastAsia="fr-CH"/>
              </w:rPr>
              <w:drawing>
                <wp:inline distT="0" distB="0" distL="0" distR="0" wp14:anchorId="5D397E0E" wp14:editId="01A5B8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21730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0B8EAB2" w14:textId="77777777" w:rsidR="00F35BAF" w:rsidRDefault="007C537B" w:rsidP="00C97039">
            <w:pPr>
              <w:spacing w:before="240"/>
            </w:pPr>
            <w:proofErr w:type="spellStart"/>
            <w:r>
              <w:t>Distr</w:t>
            </w:r>
            <w:proofErr w:type="spellEnd"/>
            <w:r>
              <w:t>. générale</w:t>
            </w:r>
          </w:p>
          <w:p w14:paraId="289DBF8C" w14:textId="77777777" w:rsidR="007C537B" w:rsidRDefault="007C537B" w:rsidP="007C537B">
            <w:pPr>
              <w:spacing w:line="240" w:lineRule="exact"/>
            </w:pPr>
            <w:r>
              <w:t>22 août 2023</w:t>
            </w:r>
          </w:p>
          <w:p w14:paraId="2A2F8344" w14:textId="77777777" w:rsidR="007C537B" w:rsidRDefault="007C537B" w:rsidP="007C537B">
            <w:pPr>
              <w:spacing w:line="240" w:lineRule="exact"/>
            </w:pPr>
            <w:r>
              <w:t>Français</w:t>
            </w:r>
          </w:p>
          <w:p w14:paraId="7C45B883" w14:textId="4E2F2119" w:rsidR="007C537B" w:rsidRPr="00DB58B5" w:rsidRDefault="007C537B" w:rsidP="007C537B">
            <w:pPr>
              <w:spacing w:line="240" w:lineRule="exact"/>
            </w:pPr>
            <w:r>
              <w:t>Original : anglais</w:t>
            </w:r>
          </w:p>
        </w:tc>
      </w:tr>
    </w:tbl>
    <w:p w14:paraId="22952614" w14:textId="77777777" w:rsidR="007F20FA" w:rsidRPr="000312C0" w:rsidRDefault="007F20FA" w:rsidP="007F20FA">
      <w:pPr>
        <w:spacing w:before="120"/>
        <w:rPr>
          <w:b/>
          <w:sz w:val="28"/>
          <w:szCs w:val="28"/>
        </w:rPr>
      </w:pPr>
      <w:r w:rsidRPr="000312C0">
        <w:rPr>
          <w:b/>
          <w:sz w:val="28"/>
          <w:szCs w:val="28"/>
        </w:rPr>
        <w:t>Commission économique pour l’Europe</w:t>
      </w:r>
    </w:p>
    <w:p w14:paraId="4EE2A1A2" w14:textId="77777777" w:rsidR="007F20FA" w:rsidRDefault="007F20FA" w:rsidP="007F20FA">
      <w:pPr>
        <w:spacing w:before="120"/>
        <w:rPr>
          <w:sz w:val="28"/>
          <w:szCs w:val="28"/>
        </w:rPr>
      </w:pPr>
      <w:r w:rsidRPr="00685843">
        <w:rPr>
          <w:sz w:val="28"/>
          <w:szCs w:val="28"/>
        </w:rPr>
        <w:t>Comité des transports intérieurs</w:t>
      </w:r>
    </w:p>
    <w:p w14:paraId="1671622D" w14:textId="786357B7" w:rsidR="007C537B" w:rsidRPr="00113F8B" w:rsidRDefault="007C537B" w:rsidP="007C537B">
      <w:pPr>
        <w:spacing w:before="120"/>
        <w:rPr>
          <w:b/>
          <w:sz w:val="24"/>
          <w:szCs w:val="24"/>
          <w:lang w:val="fr-FR"/>
        </w:rPr>
      </w:pPr>
      <w:r w:rsidRPr="00113F8B">
        <w:rPr>
          <w:b/>
          <w:bCs/>
          <w:sz w:val="24"/>
          <w:szCs w:val="24"/>
          <w:lang w:val="fr-FR"/>
        </w:rPr>
        <w:t xml:space="preserve">Forum mondial de l’harmonisation des Règlements </w:t>
      </w:r>
      <w:r w:rsidR="00113F8B">
        <w:rPr>
          <w:b/>
          <w:bCs/>
          <w:sz w:val="24"/>
          <w:szCs w:val="24"/>
          <w:lang w:val="fr-FR"/>
        </w:rPr>
        <w:br/>
      </w:r>
      <w:r w:rsidRPr="00113F8B">
        <w:rPr>
          <w:b/>
          <w:bCs/>
          <w:sz w:val="24"/>
          <w:szCs w:val="24"/>
          <w:lang w:val="fr-FR"/>
        </w:rPr>
        <w:t>concernant les véhicules</w:t>
      </w:r>
    </w:p>
    <w:p w14:paraId="16D00BE7" w14:textId="77777777" w:rsidR="007C537B" w:rsidRPr="00DB29E3" w:rsidRDefault="007C537B" w:rsidP="007C537B">
      <w:pPr>
        <w:spacing w:before="120"/>
        <w:rPr>
          <w:b/>
          <w:lang w:val="fr-FR"/>
        </w:rPr>
      </w:pPr>
      <w:r>
        <w:rPr>
          <w:b/>
          <w:bCs/>
          <w:lang w:val="fr-FR"/>
        </w:rPr>
        <w:t>191</w:t>
      </w:r>
      <w:r w:rsidRPr="00FF4A85">
        <w:rPr>
          <w:b/>
          <w:bCs/>
          <w:vertAlign w:val="superscript"/>
          <w:lang w:val="fr-FR"/>
        </w:rPr>
        <w:t>e</w:t>
      </w:r>
      <w:r>
        <w:rPr>
          <w:b/>
          <w:bCs/>
          <w:lang w:val="fr-FR"/>
        </w:rPr>
        <w:t xml:space="preserve"> session</w:t>
      </w:r>
    </w:p>
    <w:p w14:paraId="46654F32" w14:textId="46F7234B" w:rsidR="007C537B" w:rsidRPr="00DB29E3" w:rsidRDefault="007C537B" w:rsidP="007C537B">
      <w:pPr>
        <w:rPr>
          <w:lang w:val="fr-FR"/>
        </w:rPr>
      </w:pPr>
      <w:r>
        <w:rPr>
          <w:lang w:val="fr-FR"/>
        </w:rPr>
        <w:t>Genève, 14-1</w:t>
      </w:r>
      <w:r w:rsidR="00DD40E7">
        <w:rPr>
          <w:lang w:val="fr-FR"/>
        </w:rPr>
        <w:t>6</w:t>
      </w:r>
      <w:r>
        <w:rPr>
          <w:lang w:val="fr-FR"/>
        </w:rPr>
        <w:t xml:space="preserve"> novembre 2023</w:t>
      </w:r>
    </w:p>
    <w:p w14:paraId="379C066F" w14:textId="77777777" w:rsidR="007C537B" w:rsidRPr="00DB29E3" w:rsidRDefault="007C537B" w:rsidP="007C537B">
      <w:pPr>
        <w:rPr>
          <w:lang w:val="fr-FR"/>
        </w:rPr>
      </w:pPr>
      <w:r>
        <w:rPr>
          <w:lang w:val="fr-FR"/>
        </w:rPr>
        <w:t>Point 4.6.1 de l’ordre du jour provisoire</w:t>
      </w:r>
    </w:p>
    <w:p w14:paraId="29761E41" w14:textId="249E8EE8" w:rsidR="007C537B" w:rsidRPr="00DB29E3" w:rsidRDefault="007C537B" w:rsidP="007C537B">
      <w:pPr>
        <w:rPr>
          <w:b/>
          <w:bCs/>
          <w:lang w:val="fr-FR"/>
        </w:rPr>
      </w:pPr>
      <w:r>
        <w:rPr>
          <w:b/>
          <w:bCs/>
          <w:lang w:val="fr-FR"/>
        </w:rPr>
        <w:t>Accord de 1958 :</w:t>
      </w:r>
      <w:r w:rsidR="00113F8B">
        <w:rPr>
          <w:b/>
          <w:bCs/>
          <w:lang w:val="fr-FR"/>
        </w:rPr>
        <w:t xml:space="preserve"> </w:t>
      </w:r>
      <w:r>
        <w:rPr>
          <w:b/>
          <w:bCs/>
          <w:lang w:val="fr-FR"/>
        </w:rPr>
        <w:t xml:space="preserve">Examen de projets d’amendements </w:t>
      </w:r>
      <w:r w:rsidR="00113F8B">
        <w:rPr>
          <w:b/>
          <w:bCs/>
          <w:lang w:val="fr-FR"/>
        </w:rPr>
        <w:br/>
      </w:r>
      <w:r>
        <w:rPr>
          <w:b/>
          <w:bCs/>
          <w:lang w:val="fr-FR"/>
        </w:rPr>
        <w:t>à des Règlements ONU</w:t>
      </w:r>
      <w:r w:rsidR="00113F8B">
        <w:rPr>
          <w:b/>
          <w:bCs/>
          <w:lang w:val="fr-FR"/>
        </w:rPr>
        <w:t xml:space="preserve"> </w:t>
      </w:r>
      <w:r>
        <w:rPr>
          <w:b/>
          <w:bCs/>
          <w:lang w:val="fr-FR"/>
        </w:rPr>
        <w:t>existants, soumis par le GRE</w:t>
      </w:r>
    </w:p>
    <w:p w14:paraId="33736002" w14:textId="196B2861" w:rsidR="007C537B" w:rsidRPr="00A30535" w:rsidRDefault="00113F8B" w:rsidP="00113F8B">
      <w:pPr>
        <w:pStyle w:val="HChG"/>
        <w:rPr>
          <w:spacing w:val="-2"/>
          <w:lang w:val="fr-FR"/>
        </w:rPr>
      </w:pPr>
      <w:r>
        <w:rPr>
          <w:lang w:val="fr-FR"/>
        </w:rPr>
        <w:tab/>
      </w:r>
      <w:r>
        <w:rPr>
          <w:lang w:val="fr-FR"/>
        </w:rPr>
        <w:tab/>
      </w:r>
      <w:r w:rsidR="007C537B" w:rsidRPr="00A30535">
        <w:rPr>
          <w:spacing w:val="-2"/>
          <w:lang w:val="fr-FR"/>
        </w:rPr>
        <w:t>Proposition de série 04 d’amendements au Règlement ONU n</w:t>
      </w:r>
      <w:r w:rsidR="007C537B" w:rsidRPr="00A30535">
        <w:rPr>
          <w:spacing w:val="-2"/>
          <w:vertAlign w:val="superscript"/>
          <w:lang w:val="fr-FR"/>
        </w:rPr>
        <w:t>o</w:t>
      </w:r>
      <w:r w:rsidRPr="00A30535">
        <w:rPr>
          <w:spacing w:val="-2"/>
          <w:lang w:val="fr-FR"/>
        </w:rPr>
        <w:t> </w:t>
      </w:r>
      <w:r w:rsidR="007C537B" w:rsidRPr="00A30535">
        <w:rPr>
          <w:spacing w:val="-2"/>
          <w:lang w:val="fr-FR"/>
        </w:rPr>
        <w:t>53 (Installation des dispositifs d’éclairage et de signalisation lumineuse sur les véhicules de la catégorie L</w:t>
      </w:r>
      <w:r w:rsidR="007C537B" w:rsidRPr="00A30535">
        <w:rPr>
          <w:spacing w:val="-2"/>
          <w:vertAlign w:val="subscript"/>
          <w:lang w:val="fr-FR"/>
        </w:rPr>
        <w:t>3</w:t>
      </w:r>
      <w:r w:rsidR="007C537B" w:rsidRPr="00A30535">
        <w:rPr>
          <w:spacing w:val="-2"/>
          <w:lang w:val="fr-FR"/>
        </w:rPr>
        <w:t xml:space="preserve">) </w:t>
      </w:r>
    </w:p>
    <w:p w14:paraId="6C36EFA3" w14:textId="65EED15A" w:rsidR="007C537B" w:rsidRPr="003918DD" w:rsidRDefault="007C537B" w:rsidP="00A30535">
      <w:pPr>
        <w:pStyle w:val="H1G"/>
        <w:rPr>
          <w:szCs w:val="24"/>
          <w:lang w:val="fr-FR"/>
        </w:rPr>
      </w:pPr>
      <w:r>
        <w:rPr>
          <w:lang w:val="fr-FR"/>
        </w:rPr>
        <w:tab/>
      </w:r>
      <w:r>
        <w:rPr>
          <w:lang w:val="fr-FR"/>
        </w:rPr>
        <w:tab/>
        <w:t xml:space="preserve">Communication du Groupe de travail de l’éclairage </w:t>
      </w:r>
      <w:r w:rsidR="00A30535">
        <w:rPr>
          <w:lang w:val="fr-FR"/>
        </w:rPr>
        <w:br/>
      </w:r>
      <w:r>
        <w:rPr>
          <w:lang w:val="fr-FR"/>
        </w:rPr>
        <w:t>et de la signalisation lumineuse</w:t>
      </w:r>
      <w:r w:rsidR="00A30535" w:rsidRPr="00A30535">
        <w:rPr>
          <w:rStyle w:val="Appelnotedebasdep"/>
          <w:b w:val="0"/>
          <w:bCs/>
          <w:sz w:val="20"/>
          <w:vertAlign w:val="baseline"/>
        </w:rPr>
        <w:footnoteReference w:customMarkFollows="1" w:id="2"/>
        <w:t>*</w:t>
      </w:r>
    </w:p>
    <w:p w14:paraId="129421ED" w14:textId="365E7910" w:rsidR="007C537B" w:rsidRDefault="00A30535" w:rsidP="007C537B">
      <w:pPr>
        <w:pStyle w:val="SingleTxtG"/>
        <w:ind w:firstLine="567"/>
        <w:rPr>
          <w:sz w:val="24"/>
          <w:szCs w:val="24"/>
          <w:lang w:val="fr-FR"/>
        </w:rPr>
      </w:pPr>
      <w:r>
        <w:rPr>
          <w:lang w:val="fr-FR"/>
        </w:rPr>
        <w:t xml:space="preserve">Le </w:t>
      </w:r>
      <w:r w:rsidR="007C537B">
        <w:rPr>
          <w:lang w:val="fr-FR"/>
        </w:rPr>
        <w:t>texte ci-après, adopté par le Groupe de travail de l’éclairage et de la signalisation lumineuse (GRE) à sa quatre-vingt-huitième session (ECE/TRANS/WP.29/GRE/88, par.</w:t>
      </w:r>
      <w:r w:rsidR="00C04CBF">
        <w:rPr>
          <w:lang w:val="fr-FR"/>
        </w:rPr>
        <w:t> </w:t>
      </w:r>
      <w:r w:rsidR="007C537B">
        <w:rPr>
          <w:lang w:val="fr-FR"/>
        </w:rPr>
        <w:t xml:space="preserve">10), est fondé sur le document ECE/TRANS/WP.29/GRE/2023/4. Il est soumis au Forum mondial de l’harmonisation des Règlements concernant les véhicules (WP.29) et au Comité d’administration </w:t>
      </w:r>
      <w:r w:rsidR="007768B3" w:rsidRPr="005C4F05">
        <w:rPr>
          <w:lang w:val="fr-FR"/>
        </w:rPr>
        <w:t>de 1958</w:t>
      </w:r>
      <w:r w:rsidR="007768B3">
        <w:rPr>
          <w:lang w:val="fr-FR"/>
        </w:rPr>
        <w:t xml:space="preserve"> </w:t>
      </w:r>
      <w:r w:rsidR="007C537B">
        <w:rPr>
          <w:lang w:val="fr-FR"/>
        </w:rPr>
        <w:t>(AC.1) pour examen à leurs sessions de novembre 2023.</w:t>
      </w:r>
    </w:p>
    <w:p w14:paraId="57E62F2D" w14:textId="77777777" w:rsidR="007C537B" w:rsidRPr="00DB29E3" w:rsidRDefault="007C537B" w:rsidP="007C537B">
      <w:pPr>
        <w:suppressAutoHyphens w:val="0"/>
        <w:spacing w:line="240" w:lineRule="auto"/>
        <w:rPr>
          <w:lang w:val="fr-FR"/>
        </w:rPr>
      </w:pPr>
      <w:r w:rsidRPr="00DB29E3">
        <w:rPr>
          <w:lang w:val="fr-FR"/>
        </w:rPr>
        <w:br w:type="page"/>
      </w:r>
    </w:p>
    <w:p w14:paraId="34ACC663" w14:textId="77777777" w:rsidR="007C537B" w:rsidRPr="00DB29E3" w:rsidRDefault="007C537B" w:rsidP="00C92018">
      <w:pPr>
        <w:pStyle w:val="SingleTxtG"/>
        <w:keepNext/>
        <w:rPr>
          <w:bCs/>
          <w:lang w:val="fr-FR"/>
        </w:rPr>
      </w:pPr>
      <w:r w:rsidRPr="00C92018">
        <w:rPr>
          <w:i/>
          <w:iCs/>
          <w:lang w:val="fr-FR"/>
        </w:rPr>
        <w:lastRenderedPageBreak/>
        <w:t>Paragraphe 6.1.1.1</w:t>
      </w:r>
      <w:r>
        <w:rPr>
          <w:lang w:val="fr-FR"/>
        </w:rPr>
        <w:t>, lire :</w:t>
      </w:r>
    </w:p>
    <w:p w14:paraId="6343932A" w14:textId="2B8B356F" w:rsidR="007C537B" w:rsidRPr="00DB29E3" w:rsidRDefault="007C537B" w:rsidP="00B2295B">
      <w:pPr>
        <w:pStyle w:val="SingleTxtG"/>
        <w:ind w:left="2268" w:hanging="1134"/>
        <w:jc w:val="left"/>
        <w:rPr>
          <w:color w:val="000000"/>
          <w:u w:color="000000"/>
          <w:lang w:val="fr-FR"/>
        </w:rPr>
      </w:pPr>
      <w:r>
        <w:rPr>
          <w:lang w:val="fr-FR"/>
        </w:rPr>
        <w:t>« 6.1.1.1</w:t>
      </w:r>
      <w:r>
        <w:rPr>
          <w:lang w:val="fr-FR"/>
        </w:rPr>
        <w:tab/>
        <w:t>Pour les motocycles d’une cylindrée ≤125 cm</w:t>
      </w:r>
      <w:r w:rsidRPr="00B00BAD">
        <w:rPr>
          <w:vertAlign w:val="superscript"/>
          <w:lang w:val="fr-FR"/>
        </w:rPr>
        <w:t>3</w:t>
      </w:r>
      <w:r>
        <w:rPr>
          <w:lang w:val="fr-FR"/>
        </w:rPr>
        <w:t xml:space="preserve"> et d’une puissance maximale ≤</w:t>
      </w:r>
      <w:r w:rsidR="00B2295B">
        <w:rPr>
          <w:lang w:val="fr-FR"/>
        </w:rPr>
        <w:t> </w:t>
      </w:r>
      <w:r>
        <w:rPr>
          <w:lang w:val="fr-FR"/>
        </w:rPr>
        <w:t>11</w:t>
      </w:r>
      <w:r w:rsidR="00C92018">
        <w:rPr>
          <w:lang w:val="fr-FR"/>
        </w:rPr>
        <w:t> </w:t>
      </w:r>
      <w:r>
        <w:rPr>
          <w:lang w:val="fr-FR"/>
        </w:rPr>
        <w:t>kW</w:t>
      </w:r>
      <w:r w:rsidRPr="00B2295B">
        <w:rPr>
          <w:vertAlign w:val="superscript"/>
          <w:lang w:val="fr-FR"/>
        </w:rPr>
        <w:t>(</w:t>
      </w:r>
      <w:r>
        <w:rPr>
          <w:lang w:val="fr-FR"/>
        </w:rPr>
        <w:t>*</w:t>
      </w:r>
      <w:r w:rsidRPr="00B2295B">
        <w:rPr>
          <w:vertAlign w:val="superscript"/>
          <w:lang w:val="fr-FR"/>
        </w:rPr>
        <w:t>)</w:t>
      </w:r>
    </w:p>
    <w:p w14:paraId="32718BE0" w14:textId="56962651" w:rsidR="007C537B" w:rsidRPr="00DB29E3" w:rsidRDefault="007C537B" w:rsidP="007C537B">
      <w:pPr>
        <w:pStyle w:val="SingleTxtG"/>
        <w:ind w:left="2268"/>
        <w:rPr>
          <w:lang w:val="fr-FR"/>
        </w:rPr>
      </w:pPr>
      <w:r>
        <w:rPr>
          <w:lang w:val="fr-FR"/>
        </w:rPr>
        <w:t>Un ou deux, homologués selon la classe A, B, CS ou DS de la série 01 ou d’une série ultérieure d’amendements au Règlement ONU n</w:t>
      </w:r>
      <w:r w:rsidRPr="009C1700">
        <w:rPr>
          <w:vertAlign w:val="superscript"/>
          <w:lang w:val="fr-FR"/>
        </w:rPr>
        <w:t>o</w:t>
      </w:r>
      <w:r w:rsidR="00B2295B">
        <w:rPr>
          <w:lang w:val="fr-FR"/>
        </w:rPr>
        <w:t> </w:t>
      </w:r>
      <w:r>
        <w:rPr>
          <w:lang w:val="fr-FR"/>
        </w:rPr>
        <w:t>149. ».</w:t>
      </w:r>
    </w:p>
    <w:p w14:paraId="490FCD24" w14:textId="77777777" w:rsidR="007C537B" w:rsidRPr="00DB29E3" w:rsidRDefault="007C537B" w:rsidP="00C92018">
      <w:pPr>
        <w:pStyle w:val="SingleTxtG"/>
        <w:keepNext/>
        <w:rPr>
          <w:bCs/>
          <w:lang w:val="fr-FR"/>
        </w:rPr>
      </w:pPr>
      <w:r>
        <w:rPr>
          <w:i/>
          <w:iCs/>
          <w:lang w:val="fr-FR"/>
        </w:rPr>
        <w:t>Paragraphe 6.1.1.2</w:t>
      </w:r>
      <w:r>
        <w:rPr>
          <w:lang w:val="fr-FR"/>
        </w:rPr>
        <w:t>, lire :</w:t>
      </w:r>
    </w:p>
    <w:p w14:paraId="7E3DC3D4" w14:textId="27C2319A" w:rsidR="007C537B" w:rsidRPr="00DB29E3" w:rsidRDefault="007C537B" w:rsidP="00C92018">
      <w:pPr>
        <w:pStyle w:val="SingleTxtG"/>
        <w:ind w:left="2268" w:hanging="1134"/>
        <w:rPr>
          <w:bCs/>
          <w:lang w:val="fr-FR"/>
        </w:rPr>
      </w:pPr>
      <w:r>
        <w:rPr>
          <w:lang w:val="fr-FR"/>
        </w:rPr>
        <w:t xml:space="preserve">« 6.1.1.2 </w:t>
      </w:r>
      <w:r>
        <w:rPr>
          <w:lang w:val="fr-FR"/>
        </w:rPr>
        <w:tab/>
        <w:t>Pour les motocycles d’une cylindrée &gt;125 cm</w:t>
      </w:r>
      <w:r w:rsidRPr="00B00BAD">
        <w:rPr>
          <w:vertAlign w:val="superscript"/>
          <w:lang w:val="fr-FR"/>
        </w:rPr>
        <w:t>3</w:t>
      </w:r>
      <w:r>
        <w:rPr>
          <w:lang w:val="fr-FR"/>
        </w:rPr>
        <w:t xml:space="preserve"> ou d’une puissance maximale &gt;11 kW</w:t>
      </w:r>
      <w:r w:rsidRPr="00B2295B">
        <w:rPr>
          <w:vertAlign w:val="superscript"/>
          <w:lang w:val="fr-FR"/>
        </w:rPr>
        <w:t>(</w:t>
      </w:r>
      <w:r>
        <w:rPr>
          <w:lang w:val="fr-FR"/>
        </w:rPr>
        <w:t>*</w:t>
      </w:r>
      <w:r w:rsidRPr="00B2295B">
        <w:rPr>
          <w:vertAlign w:val="superscript"/>
          <w:lang w:val="fr-FR"/>
        </w:rPr>
        <w:t>)</w:t>
      </w:r>
    </w:p>
    <w:p w14:paraId="228E8F7B" w14:textId="5A73CCD0" w:rsidR="007C537B" w:rsidRPr="00DB29E3" w:rsidRDefault="007C537B" w:rsidP="007C537B">
      <w:pPr>
        <w:pStyle w:val="SingleTxtG"/>
        <w:ind w:left="2268"/>
        <w:rPr>
          <w:bCs/>
          <w:strike/>
          <w:lang w:val="fr-FR"/>
        </w:rPr>
      </w:pPr>
      <w:r>
        <w:rPr>
          <w:lang w:val="fr-FR"/>
        </w:rPr>
        <w:t>Un ou deux, homologués selon la classe A, B ou DS de la série 01 ou d’une série ultérieure d’amendements au Règlement ONU n</w:t>
      </w:r>
      <w:r w:rsidRPr="009C1700">
        <w:rPr>
          <w:vertAlign w:val="superscript"/>
          <w:lang w:val="fr-FR"/>
        </w:rPr>
        <w:t>o</w:t>
      </w:r>
      <w:r w:rsidR="00B2295B">
        <w:rPr>
          <w:lang w:val="fr-FR"/>
        </w:rPr>
        <w:t> </w:t>
      </w:r>
      <w:r>
        <w:rPr>
          <w:lang w:val="fr-FR"/>
        </w:rPr>
        <w:t>149. </w:t>
      </w:r>
    </w:p>
    <w:p w14:paraId="52233813" w14:textId="655B8C94" w:rsidR="007C537B" w:rsidRPr="00DB29E3" w:rsidRDefault="007C537B" w:rsidP="007C537B">
      <w:pPr>
        <w:pStyle w:val="SingleTxtG"/>
        <w:ind w:left="2268"/>
        <w:rPr>
          <w:bCs/>
          <w:strike/>
          <w:lang w:val="fr-FR"/>
        </w:rPr>
      </w:pPr>
      <w:r>
        <w:rPr>
          <w:lang w:val="fr-FR"/>
        </w:rPr>
        <w:t>Deux, homologués selon la classe la classe CS de la série 01 ou d’une série ultérieure d’amendements au Règlement ONU n</w:t>
      </w:r>
      <w:r w:rsidRPr="009C1700">
        <w:rPr>
          <w:vertAlign w:val="superscript"/>
          <w:lang w:val="fr-FR"/>
        </w:rPr>
        <w:t>o</w:t>
      </w:r>
      <w:r w:rsidR="005C4F05">
        <w:rPr>
          <w:lang w:val="fr-FR"/>
        </w:rPr>
        <w:t> </w:t>
      </w:r>
      <w:r>
        <w:rPr>
          <w:lang w:val="fr-FR"/>
        </w:rPr>
        <w:t>149. </w:t>
      </w:r>
      <w:r w:rsidRPr="00991B04">
        <w:rPr>
          <w:rStyle w:val="Marquedecommentaire"/>
          <w:lang w:val="fr-FR"/>
        </w:rPr>
        <w:t xml:space="preserve"> </w:t>
      </w:r>
    </w:p>
    <w:p w14:paraId="2C2B1B4D" w14:textId="77777777" w:rsidR="007C537B" w:rsidRPr="00DB29E3" w:rsidRDefault="007C537B" w:rsidP="007C537B">
      <w:pPr>
        <w:tabs>
          <w:tab w:val="right" w:pos="2155"/>
        </w:tabs>
        <w:spacing w:after="80"/>
        <w:ind w:left="709"/>
        <w:rPr>
          <w:bCs/>
          <w:u w:val="single"/>
          <w:lang w:val="fr-FR"/>
        </w:rPr>
      </w:pPr>
      <w:r w:rsidRPr="00DB29E3">
        <w:rPr>
          <w:bCs/>
          <w:u w:val="single"/>
          <w:lang w:val="fr-FR"/>
        </w:rPr>
        <w:tab/>
      </w:r>
      <w:r w:rsidRPr="00DB29E3">
        <w:rPr>
          <w:bCs/>
          <w:u w:val="single"/>
          <w:lang w:val="fr-FR"/>
        </w:rPr>
        <w:tab/>
      </w:r>
      <w:r w:rsidRPr="00DB29E3">
        <w:rPr>
          <w:bCs/>
          <w:u w:val="single"/>
          <w:lang w:val="fr-FR"/>
        </w:rPr>
        <w:tab/>
      </w:r>
    </w:p>
    <w:p w14:paraId="0CC3301E" w14:textId="46DEB664" w:rsidR="007C537B" w:rsidRPr="00DB29E3" w:rsidRDefault="007C537B" w:rsidP="00006158">
      <w:pPr>
        <w:pStyle w:val="Notedebasdepage"/>
        <w:spacing w:after="240"/>
        <w:rPr>
          <w:bCs/>
          <w:lang w:val="fr-FR"/>
        </w:rPr>
      </w:pPr>
      <w:r>
        <w:rPr>
          <w:lang w:val="fr-FR"/>
        </w:rPr>
        <w:tab/>
        <w:t>*</w:t>
      </w:r>
      <w:r>
        <w:rPr>
          <w:lang w:val="fr-FR"/>
        </w:rPr>
        <w:tab/>
        <w:t xml:space="preserve">Les limites de </w:t>
      </w:r>
      <w:r w:rsidR="00006158">
        <w:rPr>
          <w:lang w:val="fr-FR"/>
        </w:rPr>
        <w:t xml:space="preserve"> </w:t>
      </w:r>
      <w:r>
        <w:rPr>
          <w:lang w:val="fr-FR"/>
        </w:rPr>
        <w:t>puissance reposent sur la puissance nominale continue maximale pour les véhicules à propulsion électrique et sur la puissance maximale nette pour les véhicules à propulsion par moteur à combustion. ».</w:t>
      </w:r>
    </w:p>
    <w:p w14:paraId="3719ABE4" w14:textId="3944DB82" w:rsidR="007C537B" w:rsidRPr="00DB29E3" w:rsidRDefault="007C537B" w:rsidP="00A67A59">
      <w:pPr>
        <w:pStyle w:val="SingleTxtG"/>
        <w:keepNext/>
        <w:spacing w:after="100"/>
        <w:rPr>
          <w:bCs/>
          <w:lang w:val="fr-FR"/>
        </w:rPr>
      </w:pPr>
      <w:r>
        <w:rPr>
          <w:i/>
          <w:iCs/>
          <w:lang w:val="fr-FR"/>
        </w:rPr>
        <w:t>Paragraphe 6.1.6.1,</w:t>
      </w:r>
      <w:r>
        <w:rPr>
          <w:lang w:val="fr-FR"/>
        </w:rPr>
        <w:t xml:space="preserve"> lire</w:t>
      </w:r>
      <w:r w:rsidR="005C4F05">
        <w:rPr>
          <w:lang w:val="fr-FR"/>
        </w:rPr>
        <w:t> :</w:t>
      </w:r>
    </w:p>
    <w:p w14:paraId="6EE41E1F" w14:textId="77777777" w:rsidR="007C537B" w:rsidRPr="00DB29E3" w:rsidRDefault="007C537B" w:rsidP="00A67A59">
      <w:pPr>
        <w:pStyle w:val="SingleTxtG"/>
        <w:spacing w:after="100"/>
        <w:ind w:left="2268" w:hanging="1134"/>
        <w:rPr>
          <w:lang w:val="fr-FR"/>
        </w:rPr>
      </w:pPr>
      <w:r>
        <w:rPr>
          <w:lang w:val="fr-FR"/>
        </w:rPr>
        <w:t>« 6.1.6.1</w:t>
      </w:r>
      <w:r>
        <w:rPr>
          <w:lang w:val="fr-FR"/>
        </w:rPr>
        <w:tab/>
        <w:t>Le ou les feux de croisement peuvent rester allumés en même temps que le ou les feux de route.</w:t>
      </w:r>
    </w:p>
    <w:p w14:paraId="4064725D" w14:textId="03B5B70D" w:rsidR="007C537B" w:rsidRPr="00DB29E3" w:rsidRDefault="007C537B" w:rsidP="00A67A59">
      <w:pPr>
        <w:pStyle w:val="SingleTxtG"/>
        <w:spacing w:after="100"/>
        <w:ind w:left="2268"/>
        <w:rPr>
          <w:lang w:val="fr-FR"/>
        </w:rPr>
      </w:pPr>
      <w:r>
        <w:rPr>
          <w:lang w:val="fr-FR"/>
        </w:rPr>
        <w:t>Toutefois, lorsque le véhicule est équipé d’un ou de plusieurs feux de route secondaires homologués conformément au Règlement ONU n</w:t>
      </w:r>
      <w:r w:rsidRPr="009C1700">
        <w:rPr>
          <w:vertAlign w:val="superscript"/>
          <w:lang w:val="fr-FR"/>
        </w:rPr>
        <w:t>o</w:t>
      </w:r>
      <w:r w:rsidR="00006158">
        <w:rPr>
          <w:lang w:val="fr-FR"/>
        </w:rPr>
        <w:t> </w:t>
      </w:r>
      <w:r>
        <w:rPr>
          <w:lang w:val="fr-FR"/>
        </w:rPr>
        <w:t>149, au moins un des feux suivants doit rester allumé avec le ou les feux de route secondaires</w:t>
      </w:r>
      <w:r w:rsidR="00006158">
        <w:rPr>
          <w:lang w:val="fr-FR"/>
        </w:rPr>
        <w:t> </w:t>
      </w:r>
      <w:r>
        <w:rPr>
          <w:lang w:val="fr-FR"/>
        </w:rPr>
        <w:t>:</w:t>
      </w:r>
    </w:p>
    <w:p w14:paraId="68843139" w14:textId="03FEAB7E" w:rsidR="007C537B" w:rsidRPr="00DB29E3" w:rsidRDefault="007C537B" w:rsidP="00A67A59">
      <w:pPr>
        <w:pStyle w:val="SingleTxtG"/>
        <w:spacing w:after="100"/>
        <w:ind w:left="2835" w:hanging="567"/>
        <w:rPr>
          <w:iCs/>
          <w:lang w:val="fr-FR"/>
        </w:rPr>
      </w:pPr>
      <w:r>
        <w:rPr>
          <w:lang w:val="fr-FR"/>
        </w:rPr>
        <w:t>a)</w:t>
      </w:r>
      <w:r>
        <w:rPr>
          <w:lang w:val="fr-FR"/>
        </w:rPr>
        <w:tab/>
        <w:t>Feu(x) de croisement</w:t>
      </w:r>
      <w:r w:rsidR="00006158">
        <w:rPr>
          <w:lang w:val="fr-FR"/>
        </w:rPr>
        <w:t> ;</w:t>
      </w:r>
    </w:p>
    <w:p w14:paraId="326156F0" w14:textId="1B7B8275" w:rsidR="007C537B" w:rsidRPr="00DB29E3" w:rsidRDefault="007C537B" w:rsidP="00A67A59">
      <w:pPr>
        <w:pStyle w:val="SingleTxtG"/>
        <w:spacing w:after="100"/>
        <w:ind w:left="2835" w:hanging="567"/>
        <w:rPr>
          <w:iCs/>
          <w:lang w:val="fr-FR"/>
        </w:rPr>
      </w:pPr>
      <w:r>
        <w:rPr>
          <w:lang w:val="fr-FR"/>
        </w:rPr>
        <w:t>b)</w:t>
      </w:r>
      <w:r>
        <w:rPr>
          <w:lang w:val="fr-FR"/>
        </w:rPr>
        <w:tab/>
        <w:t>Feu de route de classe A ou B homologué conformément à la série</w:t>
      </w:r>
      <w:r w:rsidR="00BE13B8">
        <w:rPr>
          <w:lang w:val="fr-FR"/>
        </w:rPr>
        <w:t> </w:t>
      </w:r>
      <w:r>
        <w:rPr>
          <w:lang w:val="fr-FR"/>
        </w:rPr>
        <w:t>01 ou à une série ultérieure d’amendements au Règlement ONU n</w:t>
      </w:r>
      <w:r w:rsidRPr="009C1700">
        <w:rPr>
          <w:vertAlign w:val="superscript"/>
          <w:lang w:val="fr-FR"/>
        </w:rPr>
        <w:t>o</w:t>
      </w:r>
      <w:r w:rsidR="00006158">
        <w:rPr>
          <w:lang w:val="fr-FR"/>
        </w:rPr>
        <w:t> </w:t>
      </w:r>
      <w:r>
        <w:rPr>
          <w:lang w:val="fr-FR"/>
        </w:rPr>
        <w:t>149. ».</w:t>
      </w:r>
    </w:p>
    <w:p w14:paraId="5B50F8FF" w14:textId="77777777" w:rsidR="007C537B" w:rsidRPr="00DB29E3" w:rsidRDefault="007C537B" w:rsidP="00A67A59">
      <w:pPr>
        <w:pStyle w:val="SingleTxtG"/>
        <w:keepNext/>
        <w:spacing w:after="100"/>
        <w:rPr>
          <w:bCs/>
          <w:lang w:val="fr-FR"/>
        </w:rPr>
      </w:pPr>
      <w:r>
        <w:rPr>
          <w:i/>
          <w:iCs/>
          <w:lang w:val="fr-FR"/>
        </w:rPr>
        <w:t>Paragraphe 6.2.1.1</w:t>
      </w:r>
      <w:r>
        <w:rPr>
          <w:lang w:val="fr-FR"/>
        </w:rPr>
        <w:t>, lire :</w:t>
      </w:r>
    </w:p>
    <w:p w14:paraId="4C6D373C" w14:textId="2683B9E0" w:rsidR="007C537B" w:rsidRPr="00DB29E3" w:rsidRDefault="007C537B" w:rsidP="00B83827">
      <w:pPr>
        <w:pStyle w:val="SingleTxtG"/>
        <w:keepNext/>
        <w:spacing w:after="100"/>
        <w:ind w:left="2268" w:hanging="1134"/>
        <w:rPr>
          <w:bCs/>
          <w:lang w:val="fr-FR"/>
        </w:rPr>
      </w:pPr>
      <w:r>
        <w:rPr>
          <w:lang w:val="fr-FR"/>
        </w:rPr>
        <w:t>« 6.2.1.1</w:t>
      </w:r>
      <w:r>
        <w:rPr>
          <w:lang w:val="fr-FR"/>
        </w:rPr>
        <w:tab/>
        <w:t>Pour les motocycles d’une cylindrée ≤125 cm</w:t>
      </w:r>
      <w:r w:rsidRPr="00B00BAD">
        <w:rPr>
          <w:vertAlign w:val="superscript"/>
          <w:lang w:val="fr-FR"/>
        </w:rPr>
        <w:t>3</w:t>
      </w:r>
      <w:r>
        <w:rPr>
          <w:lang w:val="fr-FR"/>
        </w:rPr>
        <w:t xml:space="preserve"> et d’une puissance maximale ≤11</w:t>
      </w:r>
      <w:r w:rsidR="00BE13B8">
        <w:rPr>
          <w:lang w:val="fr-FR"/>
        </w:rPr>
        <w:t> </w:t>
      </w:r>
      <w:r>
        <w:rPr>
          <w:lang w:val="fr-FR"/>
        </w:rPr>
        <w:t>kW</w:t>
      </w:r>
      <w:r w:rsidRPr="00BE13B8">
        <w:rPr>
          <w:vertAlign w:val="superscript"/>
          <w:lang w:val="fr-FR"/>
        </w:rPr>
        <w:t>(</w:t>
      </w:r>
      <w:r>
        <w:rPr>
          <w:lang w:val="fr-FR"/>
        </w:rPr>
        <w:t>*</w:t>
      </w:r>
      <w:r w:rsidRPr="00BE13B8">
        <w:rPr>
          <w:vertAlign w:val="superscript"/>
          <w:lang w:val="fr-FR"/>
        </w:rPr>
        <w:t>)</w:t>
      </w:r>
    </w:p>
    <w:p w14:paraId="14ECE885" w14:textId="77777777" w:rsidR="007C537B" w:rsidRPr="00DB29E3" w:rsidRDefault="007C537B" w:rsidP="00A67A59">
      <w:pPr>
        <w:pStyle w:val="SingleTxtG"/>
        <w:spacing w:after="100"/>
        <w:ind w:left="2268" w:rightChars="567"/>
        <w:rPr>
          <w:bCs/>
          <w:iCs/>
          <w:strike/>
          <w:lang w:val="fr-FR"/>
        </w:rPr>
      </w:pPr>
      <w:r>
        <w:rPr>
          <w:lang w:val="fr-FR"/>
        </w:rPr>
        <w:t>Un ou deux, homologués selon la classe C, CS ou DS de la série 01 ou d’une série ultérieure d’amendements au Règlement ONU n</w:t>
      </w:r>
      <w:r w:rsidRPr="009C1700">
        <w:rPr>
          <w:vertAlign w:val="superscript"/>
          <w:lang w:val="fr-FR"/>
        </w:rPr>
        <w:t>o</w:t>
      </w:r>
      <w:r>
        <w:rPr>
          <w:lang w:val="fr-FR"/>
        </w:rPr>
        <w:t xml:space="preserve"> 149. ».</w:t>
      </w:r>
    </w:p>
    <w:p w14:paraId="5FA0E31F" w14:textId="77777777" w:rsidR="007C537B" w:rsidRPr="00DB29E3" w:rsidRDefault="007C537B" w:rsidP="00A67A59">
      <w:pPr>
        <w:pStyle w:val="SingleTxtG"/>
        <w:keepNext/>
        <w:spacing w:after="100"/>
        <w:rPr>
          <w:bCs/>
          <w:lang w:val="fr-FR"/>
        </w:rPr>
      </w:pPr>
      <w:r>
        <w:rPr>
          <w:i/>
          <w:iCs/>
          <w:lang w:val="fr-FR"/>
        </w:rPr>
        <w:t>Paragraphe 6.2.1.2</w:t>
      </w:r>
      <w:r>
        <w:rPr>
          <w:lang w:val="fr-FR"/>
        </w:rPr>
        <w:t>, lire :</w:t>
      </w:r>
    </w:p>
    <w:p w14:paraId="3A360DEE" w14:textId="2EFE08D1" w:rsidR="007C537B" w:rsidRPr="00DB29E3" w:rsidRDefault="007C537B" w:rsidP="00A67A59">
      <w:pPr>
        <w:pStyle w:val="SingleTxtG"/>
        <w:keepNext/>
        <w:spacing w:after="100"/>
        <w:ind w:left="2268" w:hanging="1134"/>
        <w:jc w:val="left"/>
        <w:rPr>
          <w:rFonts w:cs="Courier New"/>
          <w:bCs/>
          <w:lang w:val="fr-FR"/>
        </w:rPr>
      </w:pPr>
      <w:r>
        <w:rPr>
          <w:lang w:val="fr-FR"/>
        </w:rPr>
        <w:t>« 6.2.1.2</w:t>
      </w:r>
      <w:r>
        <w:rPr>
          <w:lang w:val="fr-FR"/>
        </w:rPr>
        <w:tab/>
        <w:t>Pour les motocycles d’une cylindrée &gt; 125 cm</w:t>
      </w:r>
      <w:r w:rsidRPr="00B00BAD">
        <w:rPr>
          <w:vertAlign w:val="superscript"/>
          <w:lang w:val="fr-FR"/>
        </w:rPr>
        <w:t>3</w:t>
      </w:r>
      <w:r>
        <w:rPr>
          <w:lang w:val="fr-FR"/>
        </w:rPr>
        <w:t xml:space="preserve"> ou d’une puissance maximale &gt;</w:t>
      </w:r>
      <w:r w:rsidR="005A448F">
        <w:rPr>
          <w:lang w:val="fr-FR"/>
        </w:rPr>
        <w:t> </w:t>
      </w:r>
      <w:r>
        <w:rPr>
          <w:lang w:val="fr-FR"/>
        </w:rPr>
        <w:t>11 kW</w:t>
      </w:r>
      <w:r w:rsidRPr="00BE13B8">
        <w:rPr>
          <w:vertAlign w:val="superscript"/>
          <w:lang w:val="fr-FR"/>
        </w:rPr>
        <w:t>(</w:t>
      </w:r>
      <w:r>
        <w:rPr>
          <w:lang w:val="fr-FR"/>
        </w:rPr>
        <w:t>*</w:t>
      </w:r>
      <w:r w:rsidRPr="00BE13B8">
        <w:rPr>
          <w:vertAlign w:val="superscript"/>
          <w:lang w:val="fr-FR"/>
        </w:rPr>
        <w:t>)</w:t>
      </w:r>
    </w:p>
    <w:p w14:paraId="46C12BFE" w14:textId="70CEE510" w:rsidR="007C537B" w:rsidRPr="00DB29E3" w:rsidRDefault="007C537B" w:rsidP="00A67A59">
      <w:pPr>
        <w:pStyle w:val="SingleTxtG"/>
        <w:spacing w:after="100"/>
        <w:ind w:left="2268" w:rightChars="567"/>
        <w:rPr>
          <w:strike/>
          <w:lang w:val="fr-FR"/>
        </w:rPr>
      </w:pPr>
      <w:r>
        <w:rPr>
          <w:lang w:val="fr-FR"/>
        </w:rPr>
        <w:t>Un ou deux, homologués selon la classe C ou DS de la série 01 ou d’une série ultérieure d’amendements au Règlement ONU n</w:t>
      </w:r>
      <w:r w:rsidRPr="009C1700">
        <w:rPr>
          <w:vertAlign w:val="superscript"/>
          <w:lang w:val="fr-FR"/>
        </w:rPr>
        <w:t>o</w:t>
      </w:r>
      <w:r w:rsidR="005A448F">
        <w:rPr>
          <w:lang w:val="fr-FR"/>
        </w:rPr>
        <w:t> </w:t>
      </w:r>
      <w:r>
        <w:rPr>
          <w:lang w:val="fr-FR"/>
        </w:rPr>
        <w:t xml:space="preserve">149. </w:t>
      </w:r>
    </w:p>
    <w:p w14:paraId="7BC18284" w14:textId="053474A8" w:rsidR="007C537B" w:rsidRPr="00DB29E3" w:rsidRDefault="007C537B" w:rsidP="00A67A59">
      <w:pPr>
        <w:tabs>
          <w:tab w:val="left" w:pos="2268"/>
        </w:tabs>
        <w:spacing w:after="100"/>
        <w:ind w:left="2268" w:rightChars="567" w:right="1134"/>
        <w:jc w:val="both"/>
        <w:rPr>
          <w:lang w:val="fr-FR"/>
        </w:rPr>
      </w:pPr>
      <w:r>
        <w:rPr>
          <w:lang w:val="fr-FR"/>
        </w:rPr>
        <w:t>Deux, homologués selon la classe CS de la série 01 ou d’une série ultérieure d’amendements au Règlement ONU n</w:t>
      </w:r>
      <w:r w:rsidRPr="009C1700">
        <w:rPr>
          <w:vertAlign w:val="superscript"/>
          <w:lang w:val="fr-FR"/>
        </w:rPr>
        <w:t>o</w:t>
      </w:r>
      <w:r w:rsidR="005A448F">
        <w:rPr>
          <w:lang w:val="fr-FR"/>
        </w:rPr>
        <w:t> </w:t>
      </w:r>
      <w:r>
        <w:rPr>
          <w:lang w:val="fr-FR"/>
        </w:rPr>
        <w:t>149. ».</w:t>
      </w:r>
    </w:p>
    <w:p w14:paraId="49B8FA96" w14:textId="746B7015" w:rsidR="007C537B" w:rsidRPr="00DB29E3" w:rsidRDefault="007C537B" w:rsidP="00A67A59">
      <w:pPr>
        <w:tabs>
          <w:tab w:val="left" w:pos="2268"/>
        </w:tabs>
        <w:spacing w:after="100"/>
        <w:ind w:left="1134" w:rightChars="540" w:right="1080"/>
        <w:jc w:val="both"/>
        <w:rPr>
          <w:bCs/>
          <w:lang w:val="fr-FR"/>
        </w:rPr>
      </w:pPr>
      <w:r>
        <w:rPr>
          <w:i/>
          <w:iCs/>
          <w:lang w:val="fr-FR"/>
        </w:rPr>
        <w:t>Paragraphes 6.2.3.1.4, 6.2.5.7, 6.2.5.8</w:t>
      </w:r>
      <w:r>
        <w:rPr>
          <w:lang w:val="fr-FR"/>
        </w:rPr>
        <w:t xml:space="preserve"> (deux occurrences) et </w:t>
      </w:r>
      <w:r w:rsidRPr="005A448F">
        <w:rPr>
          <w:i/>
          <w:iCs/>
          <w:lang w:val="fr-FR"/>
        </w:rPr>
        <w:t>6.2.6.1</w:t>
      </w:r>
      <w:r>
        <w:rPr>
          <w:lang w:val="fr-FR"/>
        </w:rPr>
        <w:t xml:space="preserve"> (deux occurrences), remplacer « au Règlement ONU n</w:t>
      </w:r>
      <w:r w:rsidRPr="009C1700">
        <w:rPr>
          <w:vertAlign w:val="superscript"/>
          <w:lang w:val="fr-FR"/>
        </w:rPr>
        <w:t>o</w:t>
      </w:r>
      <w:r w:rsidR="00A67A59">
        <w:rPr>
          <w:lang w:val="fr-FR"/>
        </w:rPr>
        <w:t> </w:t>
      </w:r>
      <w:r>
        <w:rPr>
          <w:lang w:val="fr-FR"/>
        </w:rPr>
        <w:t>113 ou au Règlement ONU n</w:t>
      </w:r>
      <w:r w:rsidRPr="009C1700">
        <w:rPr>
          <w:vertAlign w:val="superscript"/>
          <w:lang w:val="fr-FR"/>
        </w:rPr>
        <w:t>o</w:t>
      </w:r>
      <w:r w:rsidR="005A448F">
        <w:rPr>
          <w:lang w:val="fr-FR"/>
        </w:rPr>
        <w:t> </w:t>
      </w:r>
      <w:r>
        <w:rPr>
          <w:lang w:val="fr-FR"/>
        </w:rPr>
        <w:t>149 » par « au Règlement ONU n</w:t>
      </w:r>
      <w:r w:rsidRPr="009C1700">
        <w:rPr>
          <w:vertAlign w:val="superscript"/>
          <w:lang w:val="fr-FR"/>
        </w:rPr>
        <w:t>o</w:t>
      </w:r>
      <w:r w:rsidR="005A448F">
        <w:rPr>
          <w:lang w:val="fr-FR"/>
        </w:rPr>
        <w:t> </w:t>
      </w:r>
      <w:r>
        <w:rPr>
          <w:lang w:val="fr-FR"/>
        </w:rPr>
        <w:t>149 ».</w:t>
      </w:r>
    </w:p>
    <w:p w14:paraId="5872376A" w14:textId="77777777" w:rsidR="007C537B" w:rsidRPr="00DB29E3" w:rsidRDefault="007C537B" w:rsidP="00A67A59">
      <w:pPr>
        <w:pStyle w:val="SingleTxtG"/>
        <w:keepNext/>
        <w:spacing w:after="100"/>
        <w:rPr>
          <w:bCs/>
          <w:lang w:val="fr-FR"/>
        </w:rPr>
      </w:pPr>
      <w:r>
        <w:rPr>
          <w:i/>
          <w:iCs/>
          <w:lang w:val="fr-FR"/>
        </w:rPr>
        <w:t>Paragraphe 6.3.2</w:t>
      </w:r>
      <w:r>
        <w:rPr>
          <w:lang w:val="fr-FR"/>
        </w:rPr>
        <w:t>, lire :</w:t>
      </w:r>
    </w:p>
    <w:p w14:paraId="30C4BF11" w14:textId="48CEFF38" w:rsidR="007C537B" w:rsidRPr="00DB29E3" w:rsidRDefault="007C537B" w:rsidP="00A67A59">
      <w:pPr>
        <w:pStyle w:val="SingleTxtG"/>
        <w:keepNext/>
        <w:spacing w:after="100"/>
        <w:ind w:left="2268" w:hanging="1134"/>
        <w:jc w:val="left"/>
        <w:rPr>
          <w:lang w:val="fr-FR"/>
        </w:rPr>
      </w:pPr>
      <w:r>
        <w:rPr>
          <w:lang w:val="fr-FR"/>
        </w:rPr>
        <w:t>« 6.3.2</w:t>
      </w:r>
      <w:r>
        <w:rPr>
          <w:lang w:val="fr-FR"/>
        </w:rPr>
        <w:tab/>
        <w:t>Schéma d’installation</w:t>
      </w:r>
    </w:p>
    <w:p w14:paraId="06E2B5B0" w14:textId="43BAF2C9" w:rsidR="007C537B" w:rsidRPr="00DB29E3" w:rsidRDefault="007C537B" w:rsidP="00A67A59">
      <w:pPr>
        <w:pStyle w:val="SingleTxtG"/>
        <w:spacing w:after="100"/>
        <w:ind w:left="2268" w:rightChars="567"/>
        <w:rPr>
          <w:strike/>
          <w:lang w:val="fr-FR"/>
        </w:rPr>
      </w:pPr>
      <w:r>
        <w:rPr>
          <w:lang w:val="fr-FR"/>
        </w:rPr>
        <w:t>Deux indicateurs avant, homologués en tant que dispositifs de la catégorie</w:t>
      </w:r>
      <w:r w:rsidR="005A448F">
        <w:rPr>
          <w:lang w:val="fr-FR"/>
        </w:rPr>
        <w:t> </w:t>
      </w:r>
      <w:r>
        <w:rPr>
          <w:lang w:val="fr-FR"/>
        </w:rPr>
        <w:t>1, 1a ou 1b conformément à la série 01 ou à une série ultérieure d’amendements au Règlement ONU n</w:t>
      </w:r>
      <w:r w:rsidRPr="009C1700">
        <w:rPr>
          <w:vertAlign w:val="superscript"/>
          <w:lang w:val="fr-FR"/>
        </w:rPr>
        <w:t>o</w:t>
      </w:r>
      <w:r w:rsidR="005A448F">
        <w:rPr>
          <w:lang w:val="fr-FR"/>
        </w:rPr>
        <w:t> </w:t>
      </w:r>
      <w:r>
        <w:rPr>
          <w:lang w:val="fr-FR"/>
        </w:rPr>
        <w:t>6 ou à la série originale ou à une série ultérieure d’amendements au Règlement ONU n</w:t>
      </w:r>
      <w:r w:rsidRPr="009C1700">
        <w:rPr>
          <w:vertAlign w:val="superscript"/>
          <w:lang w:val="fr-FR"/>
        </w:rPr>
        <w:t>o</w:t>
      </w:r>
      <w:r w:rsidR="005A448F">
        <w:rPr>
          <w:lang w:val="fr-FR"/>
        </w:rPr>
        <w:t> </w:t>
      </w:r>
      <w:r>
        <w:rPr>
          <w:lang w:val="fr-FR"/>
        </w:rPr>
        <w:t>148 , ou de la catégorie 11, 11a, 11b ou 11c conformément à la série originale ou à une série ultérieure d’amendements au Règlement ONU n</w:t>
      </w:r>
      <w:r w:rsidRPr="009C1700">
        <w:rPr>
          <w:vertAlign w:val="superscript"/>
          <w:lang w:val="fr-FR"/>
        </w:rPr>
        <w:t>o</w:t>
      </w:r>
      <w:r w:rsidR="005A448F">
        <w:rPr>
          <w:lang w:val="fr-FR"/>
        </w:rPr>
        <w:t> </w:t>
      </w:r>
      <w:r>
        <w:rPr>
          <w:lang w:val="fr-FR"/>
        </w:rPr>
        <w:t>50 ou au Règlement ONU n</w:t>
      </w:r>
      <w:r w:rsidRPr="009C1700">
        <w:rPr>
          <w:vertAlign w:val="superscript"/>
          <w:lang w:val="fr-FR"/>
        </w:rPr>
        <w:t>o</w:t>
      </w:r>
      <w:r w:rsidR="005A448F">
        <w:rPr>
          <w:lang w:val="fr-FR"/>
        </w:rPr>
        <w:t> </w:t>
      </w:r>
      <w:r>
        <w:rPr>
          <w:lang w:val="fr-FR"/>
        </w:rPr>
        <w:t>148.</w:t>
      </w:r>
    </w:p>
    <w:p w14:paraId="4260D17E" w14:textId="12EFC2B5" w:rsidR="007C537B" w:rsidRPr="00DB29E3" w:rsidRDefault="007C537B" w:rsidP="005A448F">
      <w:pPr>
        <w:pStyle w:val="SingleTxtG"/>
        <w:ind w:left="2268" w:rightChars="567"/>
        <w:rPr>
          <w:strike/>
          <w:lang w:val="fr-FR"/>
        </w:rPr>
      </w:pPr>
      <w:r>
        <w:rPr>
          <w:lang w:val="fr-FR"/>
        </w:rPr>
        <w:lastRenderedPageBreak/>
        <w:t>Deux indicateurs arrière, homologués en tant que dispositifs de la catégorie</w:t>
      </w:r>
      <w:r w:rsidR="005A448F">
        <w:rPr>
          <w:lang w:val="fr-FR"/>
        </w:rPr>
        <w:t> </w:t>
      </w:r>
      <w:r>
        <w:rPr>
          <w:lang w:val="fr-FR"/>
        </w:rPr>
        <w:t>2 conformément à la série 01 ou à une série ultérieure d’amendements au Règlement ONU n</w:t>
      </w:r>
      <w:r w:rsidRPr="009C1700">
        <w:rPr>
          <w:vertAlign w:val="superscript"/>
          <w:lang w:val="fr-FR"/>
        </w:rPr>
        <w:t>o</w:t>
      </w:r>
      <w:r w:rsidR="005A448F">
        <w:rPr>
          <w:lang w:val="fr-FR"/>
        </w:rPr>
        <w:t> </w:t>
      </w:r>
      <w:r>
        <w:rPr>
          <w:lang w:val="fr-FR"/>
        </w:rPr>
        <w:t>6 ou à la série originale ou à une série ultérieure d’amendements au Règlement ONU n</w:t>
      </w:r>
      <w:r w:rsidRPr="009C1700">
        <w:rPr>
          <w:vertAlign w:val="superscript"/>
          <w:lang w:val="fr-FR"/>
        </w:rPr>
        <w:t>o</w:t>
      </w:r>
      <w:r w:rsidR="005A448F">
        <w:rPr>
          <w:lang w:val="fr-FR"/>
        </w:rPr>
        <w:t> </w:t>
      </w:r>
      <w:r>
        <w:rPr>
          <w:lang w:val="fr-FR"/>
        </w:rPr>
        <w:t>148, ou de la catégorie</w:t>
      </w:r>
      <w:r w:rsidR="005A448F">
        <w:rPr>
          <w:lang w:val="fr-FR"/>
        </w:rPr>
        <w:t> </w:t>
      </w:r>
      <w:r>
        <w:rPr>
          <w:lang w:val="fr-FR"/>
        </w:rPr>
        <w:t>12 conformément à la série originale ou à une série ultérieure d’amendements au Règlement ONU n</w:t>
      </w:r>
      <w:r w:rsidRPr="009C1700">
        <w:rPr>
          <w:vertAlign w:val="superscript"/>
          <w:lang w:val="fr-FR"/>
        </w:rPr>
        <w:t>o</w:t>
      </w:r>
      <w:r w:rsidR="005A448F">
        <w:rPr>
          <w:lang w:val="fr-FR"/>
        </w:rPr>
        <w:t> </w:t>
      </w:r>
      <w:r>
        <w:rPr>
          <w:lang w:val="fr-FR"/>
        </w:rPr>
        <w:t>50 ou au Règlement ONU n</w:t>
      </w:r>
      <w:r w:rsidRPr="009C1700">
        <w:rPr>
          <w:vertAlign w:val="superscript"/>
          <w:lang w:val="fr-FR"/>
        </w:rPr>
        <w:t>o</w:t>
      </w:r>
      <w:r w:rsidR="005A448F">
        <w:rPr>
          <w:lang w:val="fr-FR"/>
        </w:rPr>
        <w:t> </w:t>
      </w:r>
      <w:r>
        <w:rPr>
          <w:lang w:val="fr-FR"/>
        </w:rPr>
        <w:t>148. ».</w:t>
      </w:r>
    </w:p>
    <w:p w14:paraId="17519D3A" w14:textId="77777777" w:rsidR="007C537B" w:rsidRPr="00DB29E3" w:rsidRDefault="007C537B" w:rsidP="00C92018">
      <w:pPr>
        <w:pStyle w:val="SingleTxtG"/>
        <w:keepNext/>
        <w:rPr>
          <w:bCs/>
          <w:lang w:val="fr-FR"/>
        </w:rPr>
      </w:pPr>
      <w:r>
        <w:rPr>
          <w:i/>
          <w:iCs/>
          <w:lang w:val="fr-FR"/>
        </w:rPr>
        <w:t>Paragraphe 6.4.1</w:t>
      </w:r>
      <w:r>
        <w:rPr>
          <w:lang w:val="fr-FR"/>
        </w:rPr>
        <w:t>, lire :</w:t>
      </w:r>
    </w:p>
    <w:p w14:paraId="3109745E" w14:textId="77777777" w:rsidR="007C537B" w:rsidRPr="00DB29E3" w:rsidRDefault="007C537B" w:rsidP="00F55A04">
      <w:pPr>
        <w:pStyle w:val="SingleTxtG"/>
        <w:keepNext/>
        <w:ind w:left="2268" w:hanging="1134"/>
        <w:jc w:val="left"/>
        <w:rPr>
          <w:lang w:val="fr-FR"/>
        </w:rPr>
      </w:pPr>
      <w:r>
        <w:rPr>
          <w:lang w:val="fr-FR"/>
        </w:rPr>
        <w:t xml:space="preserve">« 6.4.1 </w:t>
      </w:r>
      <w:r>
        <w:rPr>
          <w:lang w:val="fr-FR"/>
        </w:rPr>
        <w:tab/>
        <w:t>Nombre</w:t>
      </w:r>
    </w:p>
    <w:p w14:paraId="52C1F9C3" w14:textId="50B2F9A4" w:rsidR="007C537B" w:rsidRPr="00DB29E3" w:rsidRDefault="007C537B" w:rsidP="005A448F">
      <w:pPr>
        <w:pStyle w:val="SingleTxtG"/>
        <w:ind w:left="2268" w:rightChars="567"/>
        <w:rPr>
          <w:lang w:val="fr-FR"/>
        </w:rPr>
      </w:pPr>
      <w:r>
        <w:rPr>
          <w:lang w:val="fr-FR"/>
        </w:rPr>
        <w:t>Un ou deux, homologués en tant que dispositifs de la catégorie S1 conformément à la série 02 ou à une série ultérieure d’amendements au Règlement ONU n</w:t>
      </w:r>
      <w:r w:rsidRPr="009C1700">
        <w:rPr>
          <w:vertAlign w:val="superscript"/>
          <w:lang w:val="fr-FR"/>
        </w:rPr>
        <w:t>o</w:t>
      </w:r>
      <w:r w:rsidR="005A448F">
        <w:rPr>
          <w:lang w:val="fr-FR"/>
        </w:rPr>
        <w:t> </w:t>
      </w:r>
      <w:r>
        <w:rPr>
          <w:lang w:val="fr-FR"/>
        </w:rPr>
        <w:t>7, ou à la série originale ou à une série ultérieure d’amendements au Règlement ONU n</w:t>
      </w:r>
      <w:r w:rsidRPr="009C1700">
        <w:rPr>
          <w:vertAlign w:val="superscript"/>
          <w:lang w:val="fr-FR"/>
        </w:rPr>
        <w:t>o</w:t>
      </w:r>
      <w:r w:rsidR="00F55A04">
        <w:rPr>
          <w:lang w:val="fr-FR"/>
        </w:rPr>
        <w:t> </w:t>
      </w:r>
      <w:r>
        <w:rPr>
          <w:lang w:val="fr-FR"/>
        </w:rPr>
        <w:t>148, ou en tant que feux-stop pour véhicules de la catégorie L conformément à la série originale ou à une série ultérieure d’amendements au Règlement ONU n</w:t>
      </w:r>
      <w:r w:rsidRPr="009C1700">
        <w:rPr>
          <w:vertAlign w:val="superscript"/>
          <w:lang w:val="fr-FR"/>
        </w:rPr>
        <w:t>o</w:t>
      </w:r>
      <w:r w:rsidR="0034482F">
        <w:rPr>
          <w:lang w:val="fr-FR"/>
        </w:rPr>
        <w:t> </w:t>
      </w:r>
      <w:r>
        <w:rPr>
          <w:lang w:val="fr-FR"/>
        </w:rPr>
        <w:t>50 ou au Règlement ONU n</w:t>
      </w:r>
      <w:r w:rsidRPr="009C1700">
        <w:rPr>
          <w:vertAlign w:val="superscript"/>
          <w:lang w:val="fr-FR"/>
        </w:rPr>
        <w:t>o</w:t>
      </w:r>
      <w:r w:rsidR="005A448F">
        <w:rPr>
          <w:lang w:val="fr-FR"/>
        </w:rPr>
        <w:t> </w:t>
      </w:r>
      <w:r>
        <w:rPr>
          <w:lang w:val="fr-FR"/>
        </w:rPr>
        <w:t>148.</w:t>
      </w:r>
    </w:p>
    <w:p w14:paraId="76978FD8" w14:textId="483E4018" w:rsidR="007C537B" w:rsidRPr="00C94ED2" w:rsidRDefault="007C537B" w:rsidP="005A448F">
      <w:pPr>
        <w:pStyle w:val="SingleTxtG"/>
        <w:ind w:left="2268" w:rightChars="567"/>
        <w:rPr>
          <w:strike/>
        </w:rPr>
      </w:pPr>
      <w:r>
        <w:t>À titre facultatif, un</w:t>
      </w:r>
      <w:r w:rsidR="00B83827">
        <w:t>,</w:t>
      </w:r>
      <w:r>
        <w:t xml:space="preserve"> homologué en tant que dispositif de la catégorie S3 conformément à la série 02 ou à une série ultérieure d’amendements au Règlement ONU n</w:t>
      </w:r>
      <w:r w:rsidRPr="009C1700">
        <w:rPr>
          <w:vertAlign w:val="superscript"/>
        </w:rPr>
        <w:t>o</w:t>
      </w:r>
      <w:r>
        <w:t> 7, ou à la série originale ou à une série ultérieure d’amendements au Règlement ONU n</w:t>
      </w:r>
      <w:r w:rsidRPr="009C1700">
        <w:rPr>
          <w:vertAlign w:val="superscript"/>
        </w:rPr>
        <w:t>o</w:t>
      </w:r>
      <w:r>
        <w:t> 148. ».</w:t>
      </w:r>
    </w:p>
    <w:p w14:paraId="2F7641CA" w14:textId="18387070" w:rsidR="007C537B" w:rsidRPr="00DB29E3" w:rsidRDefault="007C537B" w:rsidP="00C92018">
      <w:pPr>
        <w:pStyle w:val="SingleTxtG"/>
        <w:keepNext/>
        <w:rPr>
          <w:bCs/>
          <w:lang w:val="fr-FR"/>
        </w:rPr>
      </w:pPr>
      <w:r>
        <w:rPr>
          <w:i/>
          <w:iCs/>
          <w:lang w:val="fr-FR"/>
        </w:rPr>
        <w:t>Paragraphe 6.5.1</w:t>
      </w:r>
      <w:r>
        <w:rPr>
          <w:lang w:val="fr-FR"/>
        </w:rPr>
        <w:t>, lire</w:t>
      </w:r>
      <w:r w:rsidR="00B83827">
        <w:rPr>
          <w:lang w:val="fr-FR"/>
        </w:rPr>
        <w:t> :</w:t>
      </w:r>
    </w:p>
    <w:p w14:paraId="66C6A0A5" w14:textId="77777777" w:rsidR="007C537B" w:rsidRPr="00DB29E3" w:rsidRDefault="007C537B" w:rsidP="00F55A04">
      <w:pPr>
        <w:pStyle w:val="SingleTxtG"/>
        <w:keepNext/>
        <w:ind w:left="2268" w:hanging="1134"/>
        <w:jc w:val="left"/>
        <w:rPr>
          <w:lang w:val="fr-FR"/>
        </w:rPr>
      </w:pPr>
      <w:r>
        <w:rPr>
          <w:lang w:val="fr-FR"/>
        </w:rPr>
        <w:t xml:space="preserve">« 6.5.1 </w:t>
      </w:r>
      <w:r>
        <w:rPr>
          <w:lang w:val="fr-FR"/>
        </w:rPr>
        <w:tab/>
        <w:t>Nombre</w:t>
      </w:r>
    </w:p>
    <w:p w14:paraId="6D0DD7F8" w14:textId="77777777" w:rsidR="007C537B" w:rsidRPr="00DB29E3" w:rsidRDefault="007C537B" w:rsidP="00F55A04">
      <w:pPr>
        <w:pStyle w:val="SingleTxtG"/>
        <w:ind w:left="2268" w:rightChars="567"/>
        <w:rPr>
          <w:strike/>
          <w:lang w:val="fr-FR"/>
        </w:rPr>
      </w:pPr>
      <w:r>
        <w:rPr>
          <w:lang w:val="fr-FR"/>
        </w:rPr>
        <w:tab/>
        <w:t>Un, homologué en tant que dispositif de la catégorie 2 conformément à la série originale ou à une série ultérieure d’amendements au Règlement ONU n</w:t>
      </w:r>
      <w:r w:rsidRPr="009C1700">
        <w:rPr>
          <w:vertAlign w:val="superscript"/>
          <w:lang w:val="fr-FR"/>
        </w:rPr>
        <w:t>o</w:t>
      </w:r>
      <w:r>
        <w:rPr>
          <w:lang w:val="fr-FR"/>
        </w:rPr>
        <w:t xml:space="preserve"> 50 ou au Règlement </w:t>
      </w:r>
      <w:r w:rsidRPr="009C1700">
        <w:rPr>
          <w:lang w:val="fr-FR"/>
        </w:rPr>
        <w:t>ONU n</w:t>
      </w:r>
      <w:r w:rsidRPr="009C1700">
        <w:rPr>
          <w:vertAlign w:val="superscript"/>
          <w:lang w:val="fr-FR"/>
        </w:rPr>
        <w:t>o</w:t>
      </w:r>
      <w:r>
        <w:rPr>
          <w:lang w:val="fr-FR"/>
        </w:rPr>
        <w:t xml:space="preserve"> 148. </w:t>
      </w:r>
    </w:p>
    <w:p w14:paraId="472332DD" w14:textId="77777777" w:rsidR="007C537B" w:rsidRPr="00DB29E3" w:rsidRDefault="007C537B" w:rsidP="00F55A04">
      <w:pPr>
        <w:pStyle w:val="SingleTxtG"/>
        <w:ind w:left="2268" w:rightChars="567"/>
        <w:rPr>
          <w:iCs/>
          <w:lang w:val="fr-FR"/>
        </w:rPr>
      </w:pPr>
      <w:r>
        <w:rPr>
          <w:lang w:val="fr-FR"/>
        </w:rPr>
        <w:t>Le dispositif peut être composé de différents éléments optiques destinés à éclairer l’emplacement de la plaque. ».</w:t>
      </w:r>
    </w:p>
    <w:p w14:paraId="2C63262C" w14:textId="77777777" w:rsidR="007C537B" w:rsidRPr="00DB29E3" w:rsidRDefault="007C537B" w:rsidP="00C92018">
      <w:pPr>
        <w:pStyle w:val="SingleTxtG"/>
        <w:keepNext/>
        <w:rPr>
          <w:bCs/>
          <w:lang w:val="fr-FR"/>
        </w:rPr>
      </w:pPr>
      <w:r>
        <w:rPr>
          <w:i/>
          <w:iCs/>
          <w:lang w:val="fr-FR"/>
        </w:rPr>
        <w:t>Paragraphe 6.6.1</w:t>
      </w:r>
      <w:r>
        <w:rPr>
          <w:lang w:val="fr-FR"/>
        </w:rPr>
        <w:t>, lire :</w:t>
      </w:r>
    </w:p>
    <w:p w14:paraId="72BC304F" w14:textId="77777777" w:rsidR="007C537B" w:rsidRPr="00DB29E3" w:rsidRDefault="007C537B" w:rsidP="00F55A04">
      <w:pPr>
        <w:pStyle w:val="SingleTxtG"/>
        <w:keepNext/>
        <w:ind w:left="2268" w:hanging="1134"/>
        <w:jc w:val="left"/>
        <w:rPr>
          <w:lang w:val="fr-FR"/>
        </w:rPr>
      </w:pPr>
      <w:r>
        <w:rPr>
          <w:lang w:val="fr-FR"/>
        </w:rPr>
        <w:t>« 6.6.1</w:t>
      </w:r>
      <w:r>
        <w:rPr>
          <w:lang w:val="fr-FR"/>
        </w:rPr>
        <w:tab/>
        <w:t>Nombre</w:t>
      </w:r>
    </w:p>
    <w:p w14:paraId="38964E18" w14:textId="496C7722" w:rsidR="007C537B" w:rsidRPr="00DB29E3" w:rsidRDefault="007C537B" w:rsidP="0037520A">
      <w:pPr>
        <w:tabs>
          <w:tab w:val="left" w:pos="4678"/>
        </w:tabs>
        <w:spacing w:after="120"/>
        <w:ind w:left="2268" w:rightChars="540" w:right="1080"/>
        <w:jc w:val="both"/>
        <w:rPr>
          <w:lang w:val="fr-FR"/>
        </w:rPr>
      </w:pPr>
      <w:r>
        <w:rPr>
          <w:lang w:val="fr-FR"/>
        </w:rPr>
        <w:t>Un ou deux</w:t>
      </w:r>
      <w:r w:rsidR="0037520A">
        <w:rPr>
          <w:lang w:val="fr-FR"/>
        </w:rPr>
        <w:tab/>
      </w:r>
      <w:r>
        <w:rPr>
          <w:lang w:val="fr-FR"/>
        </w:rPr>
        <w:t>si la couleur est blanc</w:t>
      </w:r>
      <w:r w:rsidR="00791F87">
        <w:rPr>
          <w:lang w:val="fr-FR"/>
        </w:rPr>
        <w:t> ;</w:t>
      </w:r>
    </w:p>
    <w:p w14:paraId="793ED13F" w14:textId="77777777" w:rsidR="007C537B" w:rsidRPr="00DB29E3" w:rsidRDefault="007C537B" w:rsidP="00F55A04">
      <w:pPr>
        <w:spacing w:after="120"/>
        <w:ind w:left="2268" w:rightChars="540" w:right="1080"/>
        <w:jc w:val="both"/>
        <w:rPr>
          <w:lang w:val="fr-FR"/>
        </w:rPr>
      </w:pPr>
      <w:r>
        <w:rPr>
          <w:lang w:val="fr-FR"/>
        </w:rPr>
        <w:t xml:space="preserve">ou </w:t>
      </w:r>
    </w:p>
    <w:p w14:paraId="79EE589E" w14:textId="77777777" w:rsidR="007C537B" w:rsidRPr="00DB29E3" w:rsidRDefault="007C537B" w:rsidP="0037520A">
      <w:pPr>
        <w:tabs>
          <w:tab w:val="left" w:pos="4678"/>
        </w:tabs>
        <w:spacing w:after="120"/>
        <w:ind w:left="2268" w:rightChars="540" w:right="1080"/>
        <w:jc w:val="both"/>
        <w:rPr>
          <w:lang w:val="fr-FR"/>
        </w:rPr>
      </w:pPr>
      <w:r>
        <w:rPr>
          <w:lang w:val="fr-FR"/>
        </w:rPr>
        <w:t>Deux (un de chaque côté)</w:t>
      </w:r>
      <w:r>
        <w:rPr>
          <w:lang w:val="fr-FR"/>
        </w:rPr>
        <w:tab/>
        <w:t>si la couleur est jaune-auto.</w:t>
      </w:r>
    </w:p>
    <w:p w14:paraId="47CA939E" w14:textId="6EC95D15" w:rsidR="007C537B" w:rsidRPr="00DB29E3" w:rsidRDefault="007C537B" w:rsidP="00F55A04">
      <w:pPr>
        <w:pStyle w:val="SingleTxtG"/>
        <w:ind w:left="2268" w:rightChars="567"/>
        <w:rPr>
          <w:lang w:val="fr-FR"/>
        </w:rPr>
      </w:pPr>
      <w:r>
        <w:rPr>
          <w:lang w:val="fr-FR"/>
        </w:rPr>
        <w:t>Le ou les dispositifs doivent être homologués conformément à la série 02 ou à une série ultérieure d’amendements au Règlement ONU n</w:t>
      </w:r>
      <w:r w:rsidRPr="009C1700">
        <w:rPr>
          <w:vertAlign w:val="superscript"/>
          <w:lang w:val="fr-FR"/>
        </w:rPr>
        <w:t>o</w:t>
      </w:r>
      <w:r w:rsidR="00F55A04">
        <w:rPr>
          <w:lang w:val="fr-FR"/>
        </w:rPr>
        <w:t> </w:t>
      </w:r>
      <w:r>
        <w:rPr>
          <w:lang w:val="fr-FR"/>
        </w:rPr>
        <w:t>7, ou à la série originale ou à une série ultérieure d’amendements au Règlement ONU n</w:t>
      </w:r>
      <w:r w:rsidRPr="009C1700">
        <w:rPr>
          <w:vertAlign w:val="superscript"/>
          <w:lang w:val="fr-FR"/>
        </w:rPr>
        <w:t>o</w:t>
      </w:r>
      <w:r w:rsidR="00F55A04">
        <w:rPr>
          <w:lang w:val="fr-FR"/>
        </w:rPr>
        <w:t> </w:t>
      </w:r>
      <w:r>
        <w:rPr>
          <w:lang w:val="fr-FR"/>
        </w:rPr>
        <w:t>50 ou au Règlement ONU n</w:t>
      </w:r>
      <w:r w:rsidRPr="009C1700">
        <w:rPr>
          <w:vertAlign w:val="superscript"/>
          <w:lang w:val="fr-FR"/>
        </w:rPr>
        <w:t>o</w:t>
      </w:r>
      <w:r w:rsidR="00F55A04">
        <w:rPr>
          <w:lang w:val="fr-FR"/>
        </w:rPr>
        <w:t> </w:t>
      </w:r>
      <w:r>
        <w:rPr>
          <w:lang w:val="fr-FR"/>
        </w:rPr>
        <w:t>148. ».</w:t>
      </w:r>
    </w:p>
    <w:p w14:paraId="418DF5BB" w14:textId="09DCDA35" w:rsidR="007C537B" w:rsidRPr="00DB29E3" w:rsidRDefault="007C537B" w:rsidP="00C92018">
      <w:pPr>
        <w:pStyle w:val="SingleTxtG"/>
        <w:keepNext/>
        <w:rPr>
          <w:bCs/>
          <w:lang w:val="fr-FR"/>
        </w:rPr>
      </w:pPr>
      <w:r>
        <w:rPr>
          <w:i/>
          <w:iCs/>
          <w:lang w:val="fr-FR"/>
        </w:rPr>
        <w:t>Paragraphe 6.7.1</w:t>
      </w:r>
      <w:r>
        <w:rPr>
          <w:lang w:val="fr-FR"/>
        </w:rPr>
        <w:t>, lire</w:t>
      </w:r>
      <w:r w:rsidR="00791F87">
        <w:rPr>
          <w:lang w:val="fr-FR"/>
        </w:rPr>
        <w:t> :</w:t>
      </w:r>
    </w:p>
    <w:p w14:paraId="7E18DEE5" w14:textId="77777777" w:rsidR="007C537B" w:rsidRPr="00DB29E3" w:rsidRDefault="007C537B" w:rsidP="00F55A04">
      <w:pPr>
        <w:pStyle w:val="SingleTxtG"/>
        <w:keepNext/>
        <w:ind w:left="2268" w:hanging="1134"/>
        <w:jc w:val="left"/>
        <w:rPr>
          <w:bCs/>
          <w:lang w:val="fr-FR"/>
        </w:rPr>
      </w:pPr>
      <w:r>
        <w:rPr>
          <w:lang w:val="fr-FR"/>
        </w:rPr>
        <w:t xml:space="preserve">« 6.7.1 </w:t>
      </w:r>
      <w:r>
        <w:rPr>
          <w:lang w:val="fr-FR"/>
        </w:rPr>
        <w:tab/>
        <w:t>Nombre</w:t>
      </w:r>
    </w:p>
    <w:p w14:paraId="1B2C00D6" w14:textId="2CBAD07D" w:rsidR="007C537B" w:rsidRPr="00DB29E3" w:rsidRDefault="007C537B" w:rsidP="00F55A04">
      <w:pPr>
        <w:pStyle w:val="SingleTxtG"/>
        <w:ind w:left="2268" w:rightChars="567"/>
        <w:rPr>
          <w:bCs/>
          <w:lang w:val="fr-FR"/>
        </w:rPr>
      </w:pPr>
      <w:r>
        <w:rPr>
          <w:lang w:val="fr-FR"/>
        </w:rPr>
        <w:t>Un ou deux, homologués conformément à la série 02 ou à une série ultérieure d’amendements au Règlement ONU n</w:t>
      </w:r>
      <w:r w:rsidRPr="009C1700">
        <w:rPr>
          <w:vertAlign w:val="superscript"/>
          <w:lang w:val="fr-FR"/>
        </w:rPr>
        <w:t>o</w:t>
      </w:r>
      <w:r w:rsidR="00F55A04">
        <w:rPr>
          <w:lang w:val="fr-FR"/>
        </w:rPr>
        <w:t> </w:t>
      </w:r>
      <w:r>
        <w:rPr>
          <w:lang w:val="fr-FR"/>
        </w:rPr>
        <w:t>7, ou à la série originale ou à une série ultérieure d’amendements au Règlement ONU n</w:t>
      </w:r>
      <w:r w:rsidRPr="009C1700">
        <w:rPr>
          <w:vertAlign w:val="superscript"/>
          <w:lang w:val="fr-FR"/>
        </w:rPr>
        <w:t>o</w:t>
      </w:r>
      <w:r w:rsidR="00F55A04">
        <w:rPr>
          <w:lang w:val="fr-FR"/>
        </w:rPr>
        <w:t> </w:t>
      </w:r>
      <w:r>
        <w:rPr>
          <w:lang w:val="fr-FR"/>
        </w:rPr>
        <w:t>50 ou au Règlement ONU n</w:t>
      </w:r>
      <w:r w:rsidRPr="009C1700">
        <w:rPr>
          <w:vertAlign w:val="superscript"/>
          <w:lang w:val="fr-FR"/>
        </w:rPr>
        <w:t>o</w:t>
      </w:r>
      <w:r>
        <w:rPr>
          <w:lang w:val="fr-FR"/>
        </w:rPr>
        <w:t> 148. ».</w:t>
      </w:r>
    </w:p>
    <w:p w14:paraId="0228DF26" w14:textId="32DCED8D" w:rsidR="007C537B" w:rsidRPr="00DB29E3" w:rsidRDefault="007C537B" w:rsidP="00C92018">
      <w:pPr>
        <w:pStyle w:val="SingleTxtG"/>
        <w:keepNext/>
        <w:rPr>
          <w:bCs/>
          <w:lang w:val="fr-FR"/>
        </w:rPr>
      </w:pPr>
      <w:r>
        <w:rPr>
          <w:i/>
          <w:iCs/>
          <w:lang w:val="fr-FR"/>
        </w:rPr>
        <w:t>Paragraphe 6.8.1</w:t>
      </w:r>
      <w:r>
        <w:rPr>
          <w:lang w:val="fr-FR"/>
        </w:rPr>
        <w:t>, lire</w:t>
      </w:r>
      <w:r w:rsidR="00791F87">
        <w:rPr>
          <w:lang w:val="fr-FR"/>
        </w:rPr>
        <w:t> :</w:t>
      </w:r>
    </w:p>
    <w:p w14:paraId="75055A44" w14:textId="77777777" w:rsidR="007C537B" w:rsidRPr="00DB29E3" w:rsidRDefault="007C537B" w:rsidP="00F55A04">
      <w:pPr>
        <w:pStyle w:val="SingleTxtG"/>
        <w:keepNext/>
        <w:ind w:left="2268" w:hanging="1134"/>
        <w:jc w:val="left"/>
        <w:rPr>
          <w:bCs/>
          <w:lang w:val="fr-FR"/>
        </w:rPr>
      </w:pPr>
      <w:r>
        <w:rPr>
          <w:lang w:val="fr-FR"/>
        </w:rPr>
        <w:t xml:space="preserve">« 6.8.1 </w:t>
      </w:r>
      <w:r>
        <w:rPr>
          <w:lang w:val="fr-FR"/>
        </w:rPr>
        <w:tab/>
        <w:t>Nombre</w:t>
      </w:r>
    </w:p>
    <w:p w14:paraId="6964DC03" w14:textId="16467B6D" w:rsidR="007C537B" w:rsidRPr="00DB29E3" w:rsidRDefault="007C537B" w:rsidP="00F55A04">
      <w:pPr>
        <w:pStyle w:val="SingleTxtG"/>
        <w:ind w:left="2268" w:rightChars="567"/>
        <w:rPr>
          <w:bCs/>
          <w:lang w:val="fr-FR"/>
        </w:rPr>
      </w:pPr>
      <w:r>
        <w:rPr>
          <w:lang w:val="fr-FR"/>
        </w:rPr>
        <w:t>Un ou deux, homologués en tant que dispositifs de la classe IA ou IB conformément à la série 02 ou à une série ultérieure d’amendements au Règlement ONU n</w:t>
      </w:r>
      <w:r w:rsidRPr="009C1700">
        <w:rPr>
          <w:vertAlign w:val="superscript"/>
          <w:lang w:val="fr-FR"/>
        </w:rPr>
        <w:t>o</w:t>
      </w:r>
      <w:r w:rsidR="00F55A04">
        <w:rPr>
          <w:lang w:val="fr-FR"/>
        </w:rPr>
        <w:t> </w:t>
      </w:r>
      <w:r>
        <w:rPr>
          <w:lang w:val="fr-FR"/>
        </w:rPr>
        <w:t>3, ou à la série originale ou à une série ultérieure d’amendements au Règlement ONU n</w:t>
      </w:r>
      <w:r w:rsidRPr="009C1700">
        <w:rPr>
          <w:vertAlign w:val="superscript"/>
          <w:lang w:val="fr-FR"/>
        </w:rPr>
        <w:t>o</w:t>
      </w:r>
      <w:r>
        <w:rPr>
          <w:lang w:val="fr-FR"/>
        </w:rPr>
        <w:t xml:space="preserve"> 150. »</w:t>
      </w:r>
    </w:p>
    <w:p w14:paraId="5D5952DA" w14:textId="78233F3D" w:rsidR="007C537B" w:rsidRPr="00DB29E3" w:rsidRDefault="007C537B" w:rsidP="00C92018">
      <w:pPr>
        <w:pStyle w:val="SingleTxtG"/>
        <w:keepNext/>
        <w:rPr>
          <w:bCs/>
          <w:lang w:val="fr-FR"/>
        </w:rPr>
      </w:pPr>
      <w:r w:rsidRPr="00B00BAD">
        <w:rPr>
          <w:i/>
          <w:iCs/>
          <w:lang w:val="fr-FR"/>
        </w:rPr>
        <w:lastRenderedPageBreak/>
        <w:t>Paragraphe 6.10.1</w:t>
      </w:r>
      <w:r>
        <w:rPr>
          <w:lang w:val="fr-FR"/>
        </w:rPr>
        <w:t>, lire</w:t>
      </w:r>
      <w:r w:rsidR="00965924">
        <w:rPr>
          <w:lang w:val="fr-FR"/>
        </w:rPr>
        <w:t> :</w:t>
      </w:r>
    </w:p>
    <w:p w14:paraId="46CC6763" w14:textId="77777777" w:rsidR="007C537B" w:rsidRPr="00DB29E3" w:rsidRDefault="007C537B" w:rsidP="00C92018">
      <w:pPr>
        <w:pStyle w:val="SingleTxtG"/>
        <w:ind w:left="2268" w:hanging="1134"/>
        <w:rPr>
          <w:lang w:val="fr-FR"/>
        </w:rPr>
      </w:pPr>
      <w:r>
        <w:rPr>
          <w:lang w:val="fr-FR"/>
        </w:rPr>
        <w:t>« 6.10.1</w:t>
      </w:r>
      <w:r>
        <w:rPr>
          <w:lang w:val="fr-FR"/>
        </w:rPr>
        <w:tab/>
        <w:t>Nombre</w:t>
      </w:r>
    </w:p>
    <w:p w14:paraId="2AA713E9" w14:textId="37B8E96E" w:rsidR="007C537B" w:rsidRPr="00DB29E3" w:rsidRDefault="007C537B" w:rsidP="00F55A04">
      <w:pPr>
        <w:pStyle w:val="SingleTxtG"/>
        <w:ind w:left="2268" w:rightChars="567"/>
        <w:rPr>
          <w:iCs/>
          <w:lang w:val="fr-FR"/>
        </w:rPr>
      </w:pPr>
      <w:r>
        <w:rPr>
          <w:lang w:val="fr-FR"/>
        </w:rPr>
        <w:t>Un ou deux, homologués en tant que dispositifs de la classe F3 conformément à la série</w:t>
      </w:r>
      <w:r w:rsidR="00312F03">
        <w:rPr>
          <w:lang w:val="fr-FR"/>
        </w:rPr>
        <w:t> </w:t>
      </w:r>
      <w:r>
        <w:rPr>
          <w:lang w:val="fr-FR"/>
        </w:rPr>
        <w:t>03 ou à une série ultérieure d’amendements au Règlement ONU n</w:t>
      </w:r>
      <w:r w:rsidRPr="009C1700">
        <w:rPr>
          <w:vertAlign w:val="superscript"/>
          <w:lang w:val="fr-FR"/>
        </w:rPr>
        <w:t>o</w:t>
      </w:r>
      <w:r w:rsidR="00312F03">
        <w:rPr>
          <w:lang w:val="fr-FR"/>
        </w:rPr>
        <w:t> </w:t>
      </w:r>
      <w:r>
        <w:rPr>
          <w:lang w:val="fr-FR"/>
        </w:rPr>
        <w:t>19, ou à la série originale ou à une série ultérieure d’amendements au Règlement ONU n</w:t>
      </w:r>
      <w:r w:rsidRPr="009C1700">
        <w:rPr>
          <w:vertAlign w:val="superscript"/>
          <w:lang w:val="fr-FR"/>
        </w:rPr>
        <w:t>o</w:t>
      </w:r>
      <w:r w:rsidR="00312F03">
        <w:rPr>
          <w:lang w:val="fr-FR"/>
        </w:rPr>
        <w:t> </w:t>
      </w:r>
      <w:r>
        <w:rPr>
          <w:lang w:val="fr-FR"/>
        </w:rPr>
        <w:t>149. ».</w:t>
      </w:r>
    </w:p>
    <w:p w14:paraId="66B3AE67" w14:textId="77777777" w:rsidR="007C537B" w:rsidRPr="00DB29E3" w:rsidRDefault="007C537B" w:rsidP="00C92018">
      <w:pPr>
        <w:pStyle w:val="SingleTxtG"/>
        <w:keepNext/>
        <w:rPr>
          <w:lang w:val="fr-FR"/>
        </w:rPr>
      </w:pPr>
      <w:r>
        <w:rPr>
          <w:i/>
          <w:iCs/>
          <w:lang w:val="fr-FR"/>
        </w:rPr>
        <w:t>Paragraphe 6.11.1</w:t>
      </w:r>
      <w:r>
        <w:rPr>
          <w:lang w:val="fr-FR"/>
        </w:rPr>
        <w:t>, lire :</w:t>
      </w:r>
    </w:p>
    <w:p w14:paraId="1636A0AE" w14:textId="77777777" w:rsidR="007C537B" w:rsidRPr="00406D84" w:rsidRDefault="007C537B" w:rsidP="00C92018">
      <w:pPr>
        <w:pStyle w:val="SingleTxtG"/>
        <w:ind w:left="2268" w:hanging="1134"/>
      </w:pPr>
      <w:r>
        <w:t>« 6.11.1</w:t>
      </w:r>
      <w:r>
        <w:tab/>
        <w:t>Nombre</w:t>
      </w:r>
    </w:p>
    <w:p w14:paraId="48BEDEF8" w14:textId="322F32B5" w:rsidR="007C537B" w:rsidRPr="00DB29E3" w:rsidRDefault="007C537B" w:rsidP="00F55A04">
      <w:pPr>
        <w:pStyle w:val="SingleTxtG"/>
        <w:ind w:left="2268" w:rightChars="567"/>
        <w:rPr>
          <w:lang w:val="fr-FR"/>
        </w:rPr>
      </w:pPr>
      <w:r>
        <w:rPr>
          <w:lang w:val="fr-FR"/>
        </w:rPr>
        <w:t>Un ou deux, homologués conformément à la série originale ou à une série ultérieure d’amendements au Règlement ONU n</w:t>
      </w:r>
      <w:r w:rsidRPr="009C1700">
        <w:rPr>
          <w:vertAlign w:val="superscript"/>
          <w:lang w:val="fr-FR"/>
        </w:rPr>
        <w:t>o</w:t>
      </w:r>
      <w:r w:rsidR="00312F03">
        <w:rPr>
          <w:lang w:val="fr-FR"/>
        </w:rPr>
        <w:t> </w:t>
      </w:r>
      <w:r>
        <w:rPr>
          <w:lang w:val="fr-FR"/>
        </w:rPr>
        <w:t>38 ou au Règlement ONU n</w:t>
      </w:r>
      <w:r w:rsidRPr="009C1700">
        <w:rPr>
          <w:vertAlign w:val="superscript"/>
          <w:lang w:val="fr-FR"/>
        </w:rPr>
        <w:t>o</w:t>
      </w:r>
      <w:r w:rsidR="00312F03">
        <w:rPr>
          <w:lang w:val="fr-FR"/>
        </w:rPr>
        <w:t> </w:t>
      </w:r>
      <w:r>
        <w:rPr>
          <w:lang w:val="fr-FR"/>
        </w:rPr>
        <w:t>148. ».</w:t>
      </w:r>
    </w:p>
    <w:p w14:paraId="5D7CACEE" w14:textId="1400DA4B" w:rsidR="007C537B" w:rsidRPr="00DB29E3" w:rsidRDefault="007C537B" w:rsidP="00C92018">
      <w:pPr>
        <w:pStyle w:val="SingleTxtG"/>
        <w:keepNext/>
        <w:rPr>
          <w:lang w:val="fr-FR"/>
        </w:rPr>
      </w:pPr>
      <w:r>
        <w:rPr>
          <w:i/>
          <w:iCs/>
          <w:lang w:val="fr-FR"/>
        </w:rPr>
        <w:t>Paragraphe 6.12.1</w:t>
      </w:r>
      <w:r>
        <w:rPr>
          <w:lang w:val="fr-FR"/>
        </w:rPr>
        <w:t>, lire</w:t>
      </w:r>
      <w:r w:rsidR="00965924">
        <w:rPr>
          <w:lang w:val="fr-FR"/>
        </w:rPr>
        <w:t> :</w:t>
      </w:r>
    </w:p>
    <w:p w14:paraId="13030253" w14:textId="77777777" w:rsidR="007C537B" w:rsidRPr="00DB29E3" w:rsidRDefault="007C537B" w:rsidP="00C92018">
      <w:pPr>
        <w:pStyle w:val="SingleTxtG"/>
        <w:ind w:left="2268" w:hanging="1134"/>
        <w:rPr>
          <w:lang w:val="fr-FR"/>
        </w:rPr>
      </w:pPr>
      <w:r>
        <w:rPr>
          <w:lang w:val="fr-FR"/>
        </w:rPr>
        <w:t>« 6.12.1</w:t>
      </w:r>
      <w:r>
        <w:rPr>
          <w:lang w:val="fr-FR"/>
        </w:rPr>
        <w:tab/>
        <w:t>Nombre par côté</w:t>
      </w:r>
    </w:p>
    <w:p w14:paraId="757CF826" w14:textId="1D954002" w:rsidR="007C537B" w:rsidRPr="00DB29E3" w:rsidRDefault="007C537B" w:rsidP="00F55A04">
      <w:pPr>
        <w:pStyle w:val="SingleTxtG"/>
        <w:ind w:left="2268" w:rightChars="567"/>
        <w:rPr>
          <w:lang w:val="fr-FR"/>
        </w:rPr>
      </w:pPr>
      <w:r>
        <w:rPr>
          <w:lang w:val="fr-FR"/>
        </w:rPr>
        <w:t>Un ou deux, homologués en tant que dispositifs de la classe IA ou IB conformément à la série 02 ou à une série ultérieure d’amendements au Règlement ONU n</w:t>
      </w:r>
      <w:r w:rsidRPr="009C1700">
        <w:rPr>
          <w:vertAlign w:val="superscript"/>
          <w:lang w:val="fr-FR"/>
        </w:rPr>
        <w:t>o</w:t>
      </w:r>
      <w:r w:rsidR="00312F03">
        <w:rPr>
          <w:lang w:val="fr-FR"/>
        </w:rPr>
        <w:t> </w:t>
      </w:r>
      <w:r>
        <w:rPr>
          <w:lang w:val="fr-FR"/>
        </w:rPr>
        <w:t>3, ou à la série originale ou à une série ultérieure d’amendements au Règlement ONU n</w:t>
      </w:r>
      <w:r w:rsidRPr="009C1700">
        <w:rPr>
          <w:vertAlign w:val="superscript"/>
          <w:lang w:val="fr-FR"/>
        </w:rPr>
        <w:t>o</w:t>
      </w:r>
      <w:r w:rsidR="00312F03">
        <w:rPr>
          <w:lang w:val="fr-FR"/>
        </w:rPr>
        <w:t> </w:t>
      </w:r>
      <w:r>
        <w:rPr>
          <w:lang w:val="fr-FR"/>
        </w:rPr>
        <w:t>150. ».</w:t>
      </w:r>
    </w:p>
    <w:p w14:paraId="5648CD61" w14:textId="3258E33E" w:rsidR="007C537B" w:rsidRPr="00DB29E3" w:rsidRDefault="007C537B" w:rsidP="00C92018">
      <w:pPr>
        <w:pStyle w:val="SingleTxtG"/>
        <w:keepNext/>
        <w:rPr>
          <w:lang w:val="fr-FR"/>
        </w:rPr>
      </w:pPr>
      <w:r>
        <w:rPr>
          <w:i/>
          <w:iCs/>
          <w:lang w:val="fr-FR"/>
        </w:rPr>
        <w:t>Paragraphe 6.13.2</w:t>
      </w:r>
      <w:r>
        <w:rPr>
          <w:lang w:val="fr-FR"/>
        </w:rPr>
        <w:t>, lire</w:t>
      </w:r>
      <w:r w:rsidR="00965924">
        <w:rPr>
          <w:lang w:val="fr-FR"/>
        </w:rPr>
        <w:t> :</w:t>
      </w:r>
    </w:p>
    <w:p w14:paraId="41FBDA94" w14:textId="77777777" w:rsidR="007C537B" w:rsidRPr="00DB29E3" w:rsidRDefault="007C537B" w:rsidP="00C92018">
      <w:pPr>
        <w:pStyle w:val="SingleTxtG"/>
        <w:ind w:left="2268" w:hanging="1134"/>
        <w:rPr>
          <w:lang w:val="fr-FR"/>
        </w:rPr>
      </w:pPr>
      <w:r>
        <w:rPr>
          <w:lang w:val="fr-FR"/>
        </w:rPr>
        <w:t>« 6.13.2</w:t>
      </w:r>
      <w:r>
        <w:rPr>
          <w:lang w:val="fr-FR"/>
        </w:rPr>
        <w:tab/>
        <w:t>Nombre</w:t>
      </w:r>
    </w:p>
    <w:p w14:paraId="75FD3F85" w14:textId="48FEB546" w:rsidR="007C537B" w:rsidRPr="00DB29E3" w:rsidRDefault="007C537B" w:rsidP="00F55A04">
      <w:pPr>
        <w:pStyle w:val="SingleTxtG"/>
        <w:ind w:left="2268" w:rightChars="567"/>
        <w:rPr>
          <w:lang w:val="fr-FR"/>
        </w:rPr>
      </w:pPr>
      <w:r>
        <w:rPr>
          <w:lang w:val="fr-FR"/>
        </w:rPr>
        <w:t>Un ou deux, homologués conformément à la série originale ou à une série ultérieure d’amendements au Règlement ONU n</w:t>
      </w:r>
      <w:r w:rsidRPr="009C1700">
        <w:rPr>
          <w:vertAlign w:val="superscript"/>
          <w:lang w:val="fr-FR"/>
        </w:rPr>
        <w:t>o</w:t>
      </w:r>
      <w:r w:rsidR="00312F03">
        <w:rPr>
          <w:lang w:val="fr-FR"/>
        </w:rPr>
        <w:t> </w:t>
      </w:r>
      <w:r>
        <w:rPr>
          <w:lang w:val="fr-FR"/>
        </w:rPr>
        <w:t>87 ou au Règlement ONU n</w:t>
      </w:r>
      <w:r w:rsidRPr="009C1700">
        <w:rPr>
          <w:vertAlign w:val="superscript"/>
          <w:lang w:val="fr-FR"/>
        </w:rPr>
        <w:t>o</w:t>
      </w:r>
      <w:r w:rsidR="00312F03">
        <w:rPr>
          <w:lang w:val="fr-FR"/>
        </w:rPr>
        <w:t> </w:t>
      </w:r>
      <w:r>
        <w:rPr>
          <w:lang w:val="fr-FR"/>
        </w:rPr>
        <w:t>148. ».</w:t>
      </w:r>
    </w:p>
    <w:p w14:paraId="0F7AD6C4" w14:textId="06E043FF" w:rsidR="007C537B" w:rsidRPr="00DB29E3" w:rsidRDefault="007C537B" w:rsidP="00C92018">
      <w:pPr>
        <w:pStyle w:val="SingleTxtG"/>
        <w:keepNext/>
        <w:rPr>
          <w:lang w:val="fr-FR"/>
        </w:rPr>
      </w:pPr>
      <w:r>
        <w:rPr>
          <w:i/>
          <w:iCs/>
          <w:lang w:val="fr-FR"/>
        </w:rPr>
        <w:t>Paragraphe 6.16.1.1</w:t>
      </w:r>
      <w:r>
        <w:rPr>
          <w:lang w:val="fr-FR"/>
        </w:rPr>
        <w:t>, lire</w:t>
      </w:r>
      <w:r w:rsidR="002969A5">
        <w:rPr>
          <w:lang w:val="fr-FR"/>
        </w:rPr>
        <w:t> :</w:t>
      </w:r>
    </w:p>
    <w:p w14:paraId="768DE402" w14:textId="69855B2B" w:rsidR="007C537B" w:rsidRPr="00DB29E3" w:rsidRDefault="007C537B" w:rsidP="00C92018">
      <w:pPr>
        <w:pStyle w:val="SingleTxtG"/>
        <w:ind w:left="2268" w:hanging="1134"/>
        <w:rPr>
          <w:lang w:val="fr-FR"/>
        </w:rPr>
      </w:pPr>
      <w:r>
        <w:rPr>
          <w:lang w:val="fr-FR"/>
        </w:rPr>
        <w:t xml:space="preserve">« 6.16.1.1 </w:t>
      </w:r>
      <w:r>
        <w:rPr>
          <w:lang w:val="fr-FR"/>
        </w:rPr>
        <w:tab/>
        <w:t>Un, homologué en tant que faisceau de route adaptatif pour véhicules de la catégorie L</w:t>
      </w:r>
      <w:r w:rsidRPr="00B00BAD">
        <w:rPr>
          <w:vertAlign w:val="subscript"/>
          <w:lang w:val="fr-FR"/>
        </w:rPr>
        <w:t>3</w:t>
      </w:r>
      <w:r>
        <w:rPr>
          <w:lang w:val="fr-FR"/>
        </w:rPr>
        <w:t xml:space="preserve"> conformément à la série 01 ou à une série ultérieure d’amendements au Règlement ONU n</w:t>
      </w:r>
      <w:r w:rsidRPr="009C1700">
        <w:rPr>
          <w:vertAlign w:val="superscript"/>
          <w:lang w:val="fr-FR"/>
        </w:rPr>
        <w:t>o</w:t>
      </w:r>
      <w:r w:rsidR="00312F03">
        <w:rPr>
          <w:lang w:val="fr-FR"/>
        </w:rPr>
        <w:t> </w:t>
      </w:r>
      <w:r>
        <w:rPr>
          <w:lang w:val="fr-FR"/>
        </w:rPr>
        <w:t>149. ».</w:t>
      </w:r>
    </w:p>
    <w:p w14:paraId="3C711384" w14:textId="77777777" w:rsidR="007C537B" w:rsidRPr="00DB29E3" w:rsidRDefault="007C537B" w:rsidP="00C92018">
      <w:pPr>
        <w:pStyle w:val="SingleTxtG"/>
        <w:keepNext/>
        <w:rPr>
          <w:lang w:val="fr-FR"/>
        </w:rPr>
      </w:pPr>
      <w:r w:rsidRPr="00B00BAD">
        <w:rPr>
          <w:i/>
          <w:iCs/>
          <w:lang w:val="fr-FR"/>
        </w:rPr>
        <w:t>Ajouter le nouveau paragraphe 11.12</w:t>
      </w:r>
      <w:r>
        <w:rPr>
          <w:lang w:val="fr-FR"/>
        </w:rPr>
        <w:t xml:space="preserve">, libellé comme suit : </w:t>
      </w:r>
    </w:p>
    <w:p w14:paraId="59069348" w14:textId="77777777" w:rsidR="007C537B" w:rsidRPr="00DB29E3" w:rsidRDefault="007C537B" w:rsidP="002969A5">
      <w:pPr>
        <w:pStyle w:val="SingleTxtG"/>
        <w:keepNext/>
        <w:ind w:left="2268" w:hanging="1134"/>
        <w:jc w:val="left"/>
        <w:rPr>
          <w:bCs/>
          <w:lang w:val="fr-FR"/>
        </w:rPr>
      </w:pPr>
      <w:r>
        <w:rPr>
          <w:lang w:val="fr-FR"/>
        </w:rPr>
        <w:t>« 11.12</w:t>
      </w:r>
      <w:r>
        <w:rPr>
          <w:lang w:val="fr-FR"/>
        </w:rPr>
        <w:tab/>
        <w:t>Dispositions transitoires applicables à la série 04 d’amendements</w:t>
      </w:r>
    </w:p>
    <w:p w14:paraId="6C4D134F" w14:textId="0A4D4958" w:rsidR="007C537B" w:rsidRPr="00DB29E3" w:rsidRDefault="007C537B" w:rsidP="00C92018">
      <w:pPr>
        <w:pStyle w:val="SingleTxtG"/>
        <w:ind w:left="2268" w:hanging="1134"/>
        <w:rPr>
          <w:bCs/>
          <w:lang w:val="fr-FR"/>
        </w:rPr>
      </w:pPr>
      <w:r>
        <w:rPr>
          <w:lang w:val="fr-FR"/>
        </w:rPr>
        <w:t>11.12.1</w:t>
      </w:r>
      <w:r>
        <w:rPr>
          <w:lang w:val="fr-FR"/>
        </w:rPr>
        <w:tab/>
        <w:t>À compter de la date officielle d’entrée en vigueur de la série</w:t>
      </w:r>
      <w:r w:rsidR="00312F03">
        <w:rPr>
          <w:lang w:val="fr-FR"/>
        </w:rPr>
        <w:t> </w:t>
      </w:r>
      <w:r>
        <w:rPr>
          <w:lang w:val="fr-FR"/>
        </w:rPr>
        <w:t>04 d’amendements, aucune Partie contractante appliquant le présent Règlement ne pourra refuser d’accorder ou d’accepter une homologation de type délivrée en vertu dudit Règlement tel que modifié par la série 04 d’amendements.</w:t>
      </w:r>
    </w:p>
    <w:p w14:paraId="63EABBF4" w14:textId="7FDAA713" w:rsidR="007C537B" w:rsidRPr="00DB29E3" w:rsidRDefault="007C537B" w:rsidP="00C92018">
      <w:pPr>
        <w:pStyle w:val="SingleTxtG"/>
        <w:ind w:left="2268" w:hanging="1134"/>
        <w:rPr>
          <w:bCs/>
          <w:lang w:val="fr-FR"/>
        </w:rPr>
      </w:pPr>
      <w:r>
        <w:rPr>
          <w:lang w:val="fr-FR"/>
        </w:rPr>
        <w:t>11.12.2</w:t>
      </w:r>
      <w:r>
        <w:rPr>
          <w:lang w:val="fr-FR"/>
        </w:rPr>
        <w:tab/>
        <w:t>À compter du 1</w:t>
      </w:r>
      <w:r w:rsidRPr="00B00BAD">
        <w:rPr>
          <w:vertAlign w:val="superscript"/>
          <w:lang w:val="fr-FR"/>
        </w:rPr>
        <w:t>er</w:t>
      </w:r>
      <w:r w:rsidR="00312F03">
        <w:rPr>
          <w:lang w:val="fr-FR"/>
        </w:rPr>
        <w:t> </w:t>
      </w:r>
      <w:r>
        <w:rPr>
          <w:lang w:val="fr-FR"/>
        </w:rPr>
        <w:t>septembre 2028, les Parties contractantes appliquant le présent Règlement ne seront plus tenues d’accepter les homologations de type établies conformément aux précédentes séries d’amendements, délivrées pour la première fois après le 1</w:t>
      </w:r>
      <w:r w:rsidRPr="00B00BAD">
        <w:rPr>
          <w:vertAlign w:val="superscript"/>
          <w:lang w:val="fr-FR"/>
        </w:rPr>
        <w:t>er</w:t>
      </w:r>
      <w:r w:rsidR="002969A5">
        <w:rPr>
          <w:lang w:val="fr-FR"/>
        </w:rPr>
        <w:t> </w:t>
      </w:r>
      <w:r>
        <w:rPr>
          <w:lang w:val="fr-FR"/>
        </w:rPr>
        <w:t>septembre 2028.</w:t>
      </w:r>
    </w:p>
    <w:p w14:paraId="3F395C07" w14:textId="48379E23" w:rsidR="007C537B" w:rsidRPr="00DB29E3" w:rsidRDefault="007C537B" w:rsidP="00C92018">
      <w:pPr>
        <w:pStyle w:val="SingleTxtG"/>
        <w:ind w:left="2268" w:hanging="1134"/>
        <w:rPr>
          <w:bCs/>
          <w:lang w:val="fr-FR"/>
        </w:rPr>
      </w:pPr>
      <w:r>
        <w:rPr>
          <w:lang w:val="fr-FR"/>
        </w:rPr>
        <w:t>11.12.3</w:t>
      </w:r>
      <w:r>
        <w:rPr>
          <w:lang w:val="fr-FR"/>
        </w:rPr>
        <w:tab/>
        <w:t>Jusqu’au 1</w:t>
      </w:r>
      <w:r w:rsidRPr="00B00BAD">
        <w:rPr>
          <w:vertAlign w:val="superscript"/>
          <w:lang w:val="fr-FR"/>
        </w:rPr>
        <w:t>er</w:t>
      </w:r>
      <w:r w:rsidR="00312F03">
        <w:rPr>
          <w:lang w:val="fr-FR"/>
        </w:rPr>
        <w:t> </w:t>
      </w:r>
      <w:r>
        <w:rPr>
          <w:lang w:val="fr-FR"/>
        </w:rPr>
        <w:t>septembre 2030, les Parties contractantes appliquant le présent Règlement seront tenues d’accepter les homologations de type établies conformément aux précédentes séries d’amendements, délivrées pour la première fois avant le 1</w:t>
      </w:r>
      <w:r w:rsidRPr="00B00BAD">
        <w:rPr>
          <w:vertAlign w:val="superscript"/>
          <w:lang w:val="fr-FR"/>
        </w:rPr>
        <w:t>er</w:t>
      </w:r>
      <w:r w:rsidR="00312F03">
        <w:rPr>
          <w:lang w:val="fr-FR"/>
        </w:rPr>
        <w:t> </w:t>
      </w:r>
      <w:r>
        <w:rPr>
          <w:lang w:val="fr-FR"/>
        </w:rPr>
        <w:t>septembre 2028.</w:t>
      </w:r>
    </w:p>
    <w:p w14:paraId="168C50F6" w14:textId="03B5950F" w:rsidR="007C537B" w:rsidRPr="00DB29E3" w:rsidRDefault="007C537B" w:rsidP="00C92018">
      <w:pPr>
        <w:pStyle w:val="SingleTxtG"/>
        <w:ind w:left="2268" w:hanging="1134"/>
        <w:rPr>
          <w:bCs/>
          <w:lang w:val="fr-FR"/>
        </w:rPr>
      </w:pPr>
      <w:r>
        <w:rPr>
          <w:lang w:val="fr-FR"/>
        </w:rPr>
        <w:t>11.12.4</w:t>
      </w:r>
      <w:r>
        <w:rPr>
          <w:lang w:val="fr-FR"/>
        </w:rPr>
        <w:tab/>
        <w:t>À compter du 1</w:t>
      </w:r>
      <w:r w:rsidRPr="00B00BAD">
        <w:rPr>
          <w:vertAlign w:val="superscript"/>
          <w:lang w:val="fr-FR"/>
        </w:rPr>
        <w:t>er</w:t>
      </w:r>
      <w:r w:rsidR="00312F03">
        <w:rPr>
          <w:lang w:val="fr-FR"/>
        </w:rPr>
        <w:t> </w:t>
      </w:r>
      <w:r>
        <w:rPr>
          <w:lang w:val="fr-FR"/>
        </w:rPr>
        <w:t>septembre 2030, les Parties contractantes appliquant le présent Règlement ne seront plus tenues d’accepter les homologations de type délivrées en vertu des précédentes séries d’amendements audit Règlement ainsi que les extensions de ces homologations.</w:t>
      </w:r>
    </w:p>
    <w:p w14:paraId="200AADBC" w14:textId="77777777" w:rsidR="007C537B" w:rsidRPr="00DB29E3" w:rsidRDefault="007C537B" w:rsidP="00C92018">
      <w:pPr>
        <w:pStyle w:val="SingleTxtG"/>
        <w:ind w:left="2268" w:hanging="1134"/>
        <w:rPr>
          <w:bCs/>
          <w:lang w:val="fr-FR"/>
        </w:rPr>
      </w:pPr>
      <w:r>
        <w:rPr>
          <w:lang w:val="fr-FR"/>
        </w:rPr>
        <w:t xml:space="preserve">11.12.5 </w:t>
      </w:r>
      <w:r>
        <w:rPr>
          <w:lang w:val="fr-FR"/>
        </w:rPr>
        <w:tab/>
        <w:t>Nonobstant les dispositions transitoires ci-dessus, les Parties contractantes qui commencent à appliquer le présent Règlement après la date d’entrée en vigueur de la série d’amendements la plus récente ne sont pas tenues d’accepter les homologations de type délivrées en vertu de l’une quelconque des précédentes séries d’amendements audit Règlement.</w:t>
      </w:r>
    </w:p>
    <w:p w14:paraId="54B7B9E5" w14:textId="3744976D" w:rsidR="007C537B" w:rsidRPr="00DB29E3" w:rsidRDefault="007C537B" w:rsidP="00C92018">
      <w:pPr>
        <w:pStyle w:val="SingleTxtG"/>
        <w:ind w:left="2268" w:hanging="1134"/>
        <w:rPr>
          <w:bCs/>
          <w:lang w:val="fr-FR"/>
        </w:rPr>
      </w:pPr>
      <w:r>
        <w:rPr>
          <w:lang w:val="fr-FR"/>
        </w:rPr>
        <w:lastRenderedPageBreak/>
        <w:t>11.12.6</w:t>
      </w:r>
      <w:r>
        <w:rPr>
          <w:lang w:val="fr-FR"/>
        </w:rPr>
        <w:tab/>
        <w:t>Nonobstant les dispositions du paragraphe 11.12.4, les Parties contractantes appliquant le présent Règlement continueront de reconnaître les homologations de type délivrées en vertu des précédentes séries d’amendements audit Règlement ainsi que les extensions de ces homologations pour les véhicules non concernés par les modifications apportées par la série 04 d’amendements.</w:t>
      </w:r>
    </w:p>
    <w:p w14:paraId="276373AA" w14:textId="5D720E68" w:rsidR="007C537B" w:rsidRPr="00DB29E3" w:rsidRDefault="007C537B" w:rsidP="00C92018">
      <w:pPr>
        <w:pStyle w:val="SingleTxtG"/>
        <w:ind w:left="2268" w:hanging="1134"/>
        <w:rPr>
          <w:bCs/>
          <w:lang w:val="fr-FR"/>
        </w:rPr>
      </w:pPr>
      <w:r>
        <w:rPr>
          <w:lang w:val="fr-FR"/>
        </w:rPr>
        <w:t>11.12.7</w:t>
      </w:r>
      <w:r>
        <w:rPr>
          <w:lang w:val="fr-FR"/>
        </w:rPr>
        <w:tab/>
        <w:t xml:space="preserve">Les Parties contractantes appliquant le présent Règlement pourront accorder des homologations de type en vertu de l’une quelconque des précédentes séries d’amendements audit Règlement. </w:t>
      </w:r>
    </w:p>
    <w:p w14:paraId="2D5902B2" w14:textId="7B9F9580" w:rsidR="007C537B" w:rsidRPr="007A6B58" w:rsidRDefault="007C537B" w:rsidP="00C92018">
      <w:pPr>
        <w:pStyle w:val="SingleTxtG"/>
        <w:ind w:left="2268" w:hanging="1134"/>
        <w:rPr>
          <w:u w:val="single"/>
        </w:rPr>
      </w:pPr>
      <w:r>
        <w:t>11.12.8</w:t>
      </w:r>
      <w:r>
        <w:tab/>
        <w:t>Les Parties contractantes appliquant le présent Règlement continueront d’accorder des extensions aux homologations délivrées en vertu de l’une quelconque des précédentes séries d’amendements audit Règlement. ».</w:t>
      </w:r>
    </w:p>
    <w:p w14:paraId="3FE11FF8" w14:textId="2B0DA746" w:rsidR="00F9573C" w:rsidRPr="007C537B" w:rsidRDefault="007C537B" w:rsidP="007C537B">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7C537B" w:rsidSect="007C537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CBEC" w14:textId="77777777" w:rsidR="009201FF" w:rsidRDefault="009201FF" w:rsidP="00F95C08">
      <w:pPr>
        <w:spacing w:line="240" w:lineRule="auto"/>
      </w:pPr>
    </w:p>
  </w:endnote>
  <w:endnote w:type="continuationSeparator" w:id="0">
    <w:p w14:paraId="3B4DCC3A" w14:textId="77777777" w:rsidR="009201FF" w:rsidRPr="00AC3823" w:rsidRDefault="009201FF" w:rsidP="00AC3823">
      <w:pPr>
        <w:pStyle w:val="Pieddepage"/>
      </w:pPr>
    </w:p>
  </w:endnote>
  <w:endnote w:type="continuationNotice" w:id="1">
    <w:p w14:paraId="58FC2122" w14:textId="77777777" w:rsidR="009201FF" w:rsidRDefault="009201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925B" w14:textId="26979DB4" w:rsidR="007C537B" w:rsidRPr="007C537B" w:rsidRDefault="007C537B" w:rsidP="007C537B">
    <w:pPr>
      <w:pStyle w:val="Pieddepage"/>
      <w:tabs>
        <w:tab w:val="right" w:pos="9638"/>
      </w:tabs>
    </w:pPr>
    <w:r w:rsidRPr="007C537B">
      <w:rPr>
        <w:b/>
        <w:sz w:val="18"/>
      </w:rPr>
      <w:fldChar w:fldCharType="begin"/>
    </w:r>
    <w:r w:rsidRPr="007C537B">
      <w:rPr>
        <w:b/>
        <w:sz w:val="18"/>
      </w:rPr>
      <w:instrText xml:space="preserve"> PAGE  \* MERGEFORMAT </w:instrText>
    </w:r>
    <w:r w:rsidRPr="007C537B">
      <w:rPr>
        <w:b/>
        <w:sz w:val="18"/>
      </w:rPr>
      <w:fldChar w:fldCharType="separate"/>
    </w:r>
    <w:r w:rsidRPr="007C537B">
      <w:rPr>
        <w:b/>
        <w:noProof/>
        <w:sz w:val="18"/>
      </w:rPr>
      <w:t>2</w:t>
    </w:r>
    <w:r w:rsidRPr="007C537B">
      <w:rPr>
        <w:b/>
        <w:sz w:val="18"/>
      </w:rPr>
      <w:fldChar w:fldCharType="end"/>
    </w:r>
    <w:r>
      <w:rPr>
        <w:b/>
        <w:sz w:val="18"/>
      </w:rPr>
      <w:tab/>
    </w:r>
    <w:r>
      <w:t>GE.23-16102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BAC8" w14:textId="39C1C6EC" w:rsidR="007C537B" w:rsidRPr="007C537B" w:rsidRDefault="007C537B" w:rsidP="007C537B">
    <w:pPr>
      <w:pStyle w:val="Pieddepage"/>
      <w:tabs>
        <w:tab w:val="right" w:pos="9638"/>
      </w:tabs>
      <w:rPr>
        <w:b/>
        <w:sz w:val="18"/>
      </w:rPr>
    </w:pPr>
    <w:r>
      <w:t>GE.23-16102</w:t>
    </w:r>
    <w:r>
      <w:tab/>
    </w:r>
    <w:r w:rsidRPr="007C537B">
      <w:rPr>
        <w:b/>
        <w:sz w:val="18"/>
      </w:rPr>
      <w:fldChar w:fldCharType="begin"/>
    </w:r>
    <w:r w:rsidRPr="007C537B">
      <w:rPr>
        <w:b/>
        <w:sz w:val="18"/>
      </w:rPr>
      <w:instrText xml:space="preserve"> PAGE  \* MERGEFORMAT </w:instrText>
    </w:r>
    <w:r w:rsidRPr="007C537B">
      <w:rPr>
        <w:b/>
        <w:sz w:val="18"/>
      </w:rPr>
      <w:fldChar w:fldCharType="separate"/>
    </w:r>
    <w:r w:rsidRPr="007C537B">
      <w:rPr>
        <w:b/>
        <w:noProof/>
        <w:sz w:val="18"/>
      </w:rPr>
      <w:t>3</w:t>
    </w:r>
    <w:r w:rsidRPr="007C53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48C" w14:textId="572AE6BF" w:rsidR="007F20FA" w:rsidRPr="007C537B" w:rsidRDefault="007C537B" w:rsidP="007C537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AEEEFF8" wp14:editId="5BF3239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23-16102  (F)</w:t>
    </w:r>
    <w:r>
      <w:rPr>
        <w:noProof/>
        <w:sz w:val="20"/>
      </w:rPr>
      <w:drawing>
        <wp:anchor distT="0" distB="0" distL="114300" distR="114300" simplePos="0" relativeHeight="251660288" behindDoc="0" locked="0" layoutInCell="1" allowOverlap="1" wp14:anchorId="6AEF73AE" wp14:editId="04B4FE8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210923    2</w:t>
    </w:r>
    <w:r w:rsidR="00DD40E7">
      <w:rPr>
        <w:sz w:val="20"/>
      </w:rPr>
      <w:t>6</w:t>
    </w:r>
    <w:r>
      <w:rPr>
        <w:sz w:val="20"/>
      </w:rPr>
      <w:t>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2ECE" w14:textId="77777777" w:rsidR="009201FF" w:rsidRPr="00AC3823" w:rsidRDefault="009201FF" w:rsidP="00AC3823">
      <w:pPr>
        <w:pStyle w:val="Pieddepage"/>
        <w:tabs>
          <w:tab w:val="right" w:pos="2155"/>
        </w:tabs>
        <w:spacing w:after="80" w:line="240" w:lineRule="atLeast"/>
        <w:ind w:left="680"/>
        <w:rPr>
          <w:u w:val="single"/>
        </w:rPr>
      </w:pPr>
      <w:r>
        <w:rPr>
          <w:u w:val="single"/>
        </w:rPr>
        <w:tab/>
      </w:r>
    </w:p>
  </w:footnote>
  <w:footnote w:type="continuationSeparator" w:id="0">
    <w:p w14:paraId="43D78A12" w14:textId="77777777" w:rsidR="009201FF" w:rsidRPr="00AC3823" w:rsidRDefault="009201FF" w:rsidP="00AC3823">
      <w:pPr>
        <w:pStyle w:val="Pieddepage"/>
        <w:tabs>
          <w:tab w:val="right" w:pos="2155"/>
        </w:tabs>
        <w:spacing w:after="80" w:line="240" w:lineRule="atLeast"/>
        <w:ind w:left="680"/>
        <w:rPr>
          <w:u w:val="single"/>
        </w:rPr>
      </w:pPr>
      <w:r>
        <w:rPr>
          <w:u w:val="single"/>
        </w:rPr>
        <w:tab/>
      </w:r>
    </w:p>
  </w:footnote>
  <w:footnote w:type="continuationNotice" w:id="1">
    <w:p w14:paraId="1A8F6670" w14:textId="77777777" w:rsidR="009201FF" w:rsidRPr="00AC3823" w:rsidRDefault="009201FF">
      <w:pPr>
        <w:spacing w:line="240" w:lineRule="auto"/>
        <w:rPr>
          <w:sz w:val="2"/>
          <w:szCs w:val="2"/>
        </w:rPr>
      </w:pPr>
    </w:p>
  </w:footnote>
  <w:footnote w:id="2">
    <w:p w14:paraId="4BC42784" w14:textId="73E6281B" w:rsidR="00A30535" w:rsidRDefault="00A30535">
      <w:pPr>
        <w:pStyle w:val="Notedebasdepage"/>
        <w:rPr>
          <w:lang w:val="fr-FR"/>
        </w:rPr>
      </w:pPr>
      <w:r>
        <w:rPr>
          <w:rStyle w:val="Appelnotedebasdep"/>
        </w:rPr>
        <w:tab/>
      </w:r>
      <w:r w:rsidRPr="00A30535">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5F9D8639" w14:textId="77777777" w:rsidR="003E7CE3" w:rsidRPr="00A30535" w:rsidRDefault="003E7CE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F9C5" w14:textId="24724A2D" w:rsidR="007C537B" w:rsidRPr="007C537B" w:rsidRDefault="00DD40E7">
    <w:pPr>
      <w:pStyle w:val="En-tte"/>
    </w:pPr>
    <w:r>
      <w:fldChar w:fldCharType="begin"/>
    </w:r>
    <w:r>
      <w:instrText xml:space="preserve"> TITLE  \* MERGEFORMAT </w:instrText>
    </w:r>
    <w:r>
      <w:fldChar w:fldCharType="separate"/>
    </w:r>
    <w:r w:rsidR="007C537B">
      <w:t>ECE/TRANS/WP.29/2023/91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4FB8" w14:textId="38263D64" w:rsidR="007C537B" w:rsidRPr="007C537B" w:rsidRDefault="00DD40E7" w:rsidP="007C537B">
    <w:pPr>
      <w:pStyle w:val="En-tte"/>
      <w:jc w:val="right"/>
    </w:pPr>
    <w:r>
      <w:fldChar w:fldCharType="begin"/>
    </w:r>
    <w:r>
      <w:instrText xml:space="preserve"> TITLE  \* MERGEFORMAT </w:instrText>
    </w:r>
    <w:r>
      <w:fldChar w:fldCharType="separate"/>
    </w:r>
    <w:r w:rsidR="007C537B">
      <w:t>ECE/TRANS/WP.29/2023/91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77939675">
    <w:abstractNumId w:val="12"/>
  </w:num>
  <w:num w:numId="2" w16cid:durableId="690179266">
    <w:abstractNumId w:val="11"/>
  </w:num>
  <w:num w:numId="3" w16cid:durableId="1481269399">
    <w:abstractNumId w:val="10"/>
  </w:num>
  <w:num w:numId="4" w16cid:durableId="1123037603">
    <w:abstractNumId w:val="8"/>
  </w:num>
  <w:num w:numId="5" w16cid:durableId="295575398">
    <w:abstractNumId w:val="3"/>
  </w:num>
  <w:num w:numId="6" w16cid:durableId="512577612">
    <w:abstractNumId w:val="2"/>
  </w:num>
  <w:num w:numId="7" w16cid:durableId="1127772071">
    <w:abstractNumId w:val="1"/>
  </w:num>
  <w:num w:numId="8" w16cid:durableId="442304172">
    <w:abstractNumId w:val="0"/>
  </w:num>
  <w:num w:numId="9" w16cid:durableId="1090079456">
    <w:abstractNumId w:val="9"/>
  </w:num>
  <w:num w:numId="10" w16cid:durableId="1173571558">
    <w:abstractNumId w:val="7"/>
  </w:num>
  <w:num w:numId="11" w16cid:durableId="535578658">
    <w:abstractNumId w:val="6"/>
  </w:num>
  <w:num w:numId="12" w16cid:durableId="1278485547">
    <w:abstractNumId w:val="5"/>
  </w:num>
  <w:num w:numId="13" w16cid:durableId="941063160">
    <w:abstractNumId w:val="4"/>
  </w:num>
  <w:num w:numId="14" w16cid:durableId="1925065111">
    <w:abstractNumId w:val="12"/>
  </w:num>
  <w:num w:numId="15" w16cid:durableId="735589970">
    <w:abstractNumId w:val="11"/>
  </w:num>
  <w:num w:numId="16" w16cid:durableId="125439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F"/>
    <w:rsid w:val="00006158"/>
    <w:rsid w:val="00017F94"/>
    <w:rsid w:val="00023842"/>
    <w:rsid w:val="000334F9"/>
    <w:rsid w:val="00045FEB"/>
    <w:rsid w:val="0007796D"/>
    <w:rsid w:val="000B7790"/>
    <w:rsid w:val="00111F2F"/>
    <w:rsid w:val="00113F8B"/>
    <w:rsid w:val="0014365E"/>
    <w:rsid w:val="00143C66"/>
    <w:rsid w:val="00176178"/>
    <w:rsid w:val="001F525A"/>
    <w:rsid w:val="00201148"/>
    <w:rsid w:val="00223272"/>
    <w:rsid w:val="0024779E"/>
    <w:rsid w:val="00257168"/>
    <w:rsid w:val="002744B8"/>
    <w:rsid w:val="002832AC"/>
    <w:rsid w:val="002969A5"/>
    <w:rsid w:val="002D7C93"/>
    <w:rsid w:val="00305801"/>
    <w:rsid w:val="00312F03"/>
    <w:rsid w:val="0034482F"/>
    <w:rsid w:val="0037520A"/>
    <w:rsid w:val="003916DE"/>
    <w:rsid w:val="003E7CE3"/>
    <w:rsid w:val="00421996"/>
    <w:rsid w:val="00441C3B"/>
    <w:rsid w:val="00446FE5"/>
    <w:rsid w:val="00452396"/>
    <w:rsid w:val="00477EB2"/>
    <w:rsid w:val="004837D8"/>
    <w:rsid w:val="004E2EED"/>
    <w:rsid w:val="004E468C"/>
    <w:rsid w:val="005505B7"/>
    <w:rsid w:val="00573BE5"/>
    <w:rsid w:val="00586ED3"/>
    <w:rsid w:val="00596AA9"/>
    <w:rsid w:val="005A448F"/>
    <w:rsid w:val="005C4F05"/>
    <w:rsid w:val="00603608"/>
    <w:rsid w:val="0071601D"/>
    <w:rsid w:val="007768B3"/>
    <w:rsid w:val="00791F87"/>
    <w:rsid w:val="007A62E6"/>
    <w:rsid w:val="007C537B"/>
    <w:rsid w:val="007F20FA"/>
    <w:rsid w:val="0080684C"/>
    <w:rsid w:val="00871C75"/>
    <w:rsid w:val="008776DC"/>
    <w:rsid w:val="008D5EF9"/>
    <w:rsid w:val="009201FF"/>
    <w:rsid w:val="009446C0"/>
    <w:rsid w:val="00965924"/>
    <w:rsid w:val="009705C8"/>
    <w:rsid w:val="009C1CF4"/>
    <w:rsid w:val="009F6B74"/>
    <w:rsid w:val="00A3029F"/>
    <w:rsid w:val="00A30353"/>
    <w:rsid w:val="00A30535"/>
    <w:rsid w:val="00A57241"/>
    <w:rsid w:val="00A67A59"/>
    <w:rsid w:val="00AC3823"/>
    <w:rsid w:val="00AE323C"/>
    <w:rsid w:val="00AF0CB5"/>
    <w:rsid w:val="00B00181"/>
    <w:rsid w:val="00B00B0D"/>
    <w:rsid w:val="00B2295B"/>
    <w:rsid w:val="00B45F2E"/>
    <w:rsid w:val="00B765F7"/>
    <w:rsid w:val="00B77993"/>
    <w:rsid w:val="00B83827"/>
    <w:rsid w:val="00BA0CA9"/>
    <w:rsid w:val="00BE13B8"/>
    <w:rsid w:val="00C02897"/>
    <w:rsid w:val="00C04CBF"/>
    <w:rsid w:val="00C92018"/>
    <w:rsid w:val="00C97039"/>
    <w:rsid w:val="00D3066A"/>
    <w:rsid w:val="00D3439C"/>
    <w:rsid w:val="00D7622E"/>
    <w:rsid w:val="00DB1831"/>
    <w:rsid w:val="00DD3BFD"/>
    <w:rsid w:val="00DD40E7"/>
    <w:rsid w:val="00DF6678"/>
    <w:rsid w:val="00E0299A"/>
    <w:rsid w:val="00E32363"/>
    <w:rsid w:val="00E85C74"/>
    <w:rsid w:val="00EA6547"/>
    <w:rsid w:val="00ED7237"/>
    <w:rsid w:val="00EF2E22"/>
    <w:rsid w:val="00F35BAF"/>
    <w:rsid w:val="00F55A04"/>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2E232"/>
  <w15:docId w15:val="{73366C86-E55C-4D8B-BCA0-E86BB237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113F8B"/>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113F8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13F8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C537B"/>
    <w:rPr>
      <w:rFonts w:ascii="Times New Roman" w:eastAsiaTheme="minorHAnsi" w:hAnsi="Times New Roman" w:cs="Times New Roman"/>
      <w:sz w:val="20"/>
      <w:szCs w:val="20"/>
      <w:lang w:eastAsia="en-US"/>
    </w:rPr>
  </w:style>
  <w:style w:type="character" w:customStyle="1" w:styleId="HChGChar">
    <w:name w:val="_ H _Ch_G Char"/>
    <w:link w:val="HChG"/>
    <w:locked/>
    <w:rsid w:val="007C537B"/>
    <w:rPr>
      <w:rFonts w:ascii="Times New Roman" w:eastAsiaTheme="minorHAnsi" w:hAnsi="Times New Roman" w:cs="Times New Roman"/>
      <w:b/>
      <w:sz w:val="28"/>
      <w:szCs w:val="20"/>
      <w:lang w:eastAsia="en-US"/>
    </w:rPr>
  </w:style>
  <w:style w:type="character" w:customStyle="1" w:styleId="H1GChar">
    <w:name w:val="_ H_1_G Char"/>
    <w:link w:val="H1G"/>
    <w:locked/>
    <w:rsid w:val="007C537B"/>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7C537B"/>
    <w:pPr>
      <w:suppressAutoHyphens w:val="0"/>
      <w:spacing w:after="120"/>
      <w:ind w:left="2268" w:right="1134" w:hanging="1134"/>
      <w:jc w:val="both"/>
    </w:pPr>
    <w:rPr>
      <w:rFonts w:eastAsia="Yu Mincho"/>
      <w:snapToGrid w:val="0"/>
      <w:lang w:val="fr-FR"/>
    </w:rPr>
  </w:style>
  <w:style w:type="character" w:customStyle="1" w:styleId="paraChar">
    <w:name w:val="para Char"/>
    <w:link w:val="para"/>
    <w:rsid w:val="007C537B"/>
    <w:rPr>
      <w:rFonts w:ascii="Times New Roman" w:eastAsia="Yu Mincho" w:hAnsi="Times New Roman" w:cs="Times New Roman"/>
      <w:snapToGrid w:val="0"/>
      <w:sz w:val="20"/>
      <w:szCs w:val="20"/>
      <w:lang w:val="fr-FR" w:eastAsia="en-US"/>
    </w:rPr>
  </w:style>
  <w:style w:type="character" w:styleId="Marquedecommentaire">
    <w:name w:val="annotation reference"/>
    <w:basedOn w:val="Policepardfaut"/>
    <w:semiHidden/>
    <w:unhideWhenUsed/>
    <w:rsid w:val="007C53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71E78-393E-4B6B-ABBA-9C0CBF8A826C}"/>
</file>

<file path=customXml/itemProps2.xml><?xml version="1.0" encoding="utf-8"?>
<ds:datastoreItem xmlns:ds="http://schemas.openxmlformats.org/officeDocument/2006/customXml" ds:itemID="{34D22550-9B85-4701-A01D-6EF56F7EA55B}"/>
</file>

<file path=docProps/app.xml><?xml version="1.0" encoding="utf-8"?>
<Properties xmlns="http://schemas.openxmlformats.org/officeDocument/2006/extended-properties" xmlns:vt="http://schemas.openxmlformats.org/officeDocument/2006/docPropsVTypes">
  <Template>ECE_TRANS.dotm</Template>
  <TotalTime>0</TotalTime>
  <Pages>5</Pages>
  <Words>1232</Words>
  <Characters>8630</Characters>
  <Application>Microsoft Office Word</Application>
  <DocSecurity>0</DocSecurity>
  <Lines>719</Lines>
  <Paragraphs>394</Paragraphs>
  <ScaleCrop>false</ScaleCrop>
  <HeadingPairs>
    <vt:vector size="2" baseType="variant">
      <vt:variant>
        <vt:lpstr>Titre</vt:lpstr>
      </vt:variant>
      <vt:variant>
        <vt:i4>1</vt:i4>
      </vt:variant>
    </vt:vector>
  </HeadingPairs>
  <TitlesOfParts>
    <vt:vector size="1" baseType="lpstr">
      <vt:lpstr>ECE/TRANS/WP.29/2023/91</vt:lpstr>
    </vt:vector>
  </TitlesOfParts>
  <Company>DCM</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ECE/TRANS/WP.29/2023/91</dc:title>
  <dc:subject/>
  <dc:creator>Nathalie VITTOZ</dc:creator>
  <cp:keywords/>
  <cp:lastModifiedBy>Nathalie Vittoz</cp:lastModifiedBy>
  <cp:revision>3</cp:revision>
  <cp:lastPrinted>2014-05-14T10:59:00Z</cp:lastPrinted>
  <dcterms:created xsi:type="dcterms:W3CDTF">2023-09-25T13:37:00Z</dcterms:created>
  <dcterms:modified xsi:type="dcterms:W3CDTF">2023-09-26T13:05:00Z</dcterms:modified>
</cp:coreProperties>
</file>