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4A8CD778" w:rsidR="009E6CB7" w:rsidRPr="00D47EEA" w:rsidRDefault="00B52F3B" w:rsidP="00B52F3B">
            <w:pPr>
              <w:jc w:val="right"/>
            </w:pPr>
            <w:r w:rsidRPr="00B52F3B">
              <w:rPr>
                <w:sz w:val="40"/>
              </w:rPr>
              <w:t>ECE</w:t>
            </w:r>
            <w:r>
              <w:t>/TRANS/WP.29/2023/</w:t>
            </w:r>
            <w:r w:rsidR="00F67474">
              <w:t>9</w:t>
            </w:r>
            <w:r w:rsidR="00D74429">
              <w:t>1</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4EE5DC96" w:rsidR="00B52F3B" w:rsidRDefault="00C71778" w:rsidP="00B52F3B">
            <w:pPr>
              <w:spacing w:line="240" w:lineRule="exact"/>
            </w:pPr>
            <w:r>
              <w:t>2</w:t>
            </w:r>
            <w:r w:rsidR="001179FB">
              <w:t>2</w:t>
            </w:r>
            <w:r w:rsidR="00B52F3B">
              <w:t xml:space="preserve"> </w:t>
            </w:r>
            <w:r w:rsidR="00F67474">
              <w:t xml:space="preserve">August </w:t>
            </w:r>
            <w:r w:rsidR="00B52F3B">
              <w:t>2023</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77777777" w:rsidR="00B52F3B" w:rsidRPr="006D33D9" w:rsidRDefault="00B52F3B" w:rsidP="00B52F3B">
      <w:pPr>
        <w:spacing w:before="120"/>
        <w:rPr>
          <w:b/>
          <w:lang w:val="en-US"/>
        </w:rPr>
      </w:pPr>
      <w:r>
        <w:rPr>
          <w:b/>
          <w:lang w:val="en-US"/>
        </w:rPr>
        <w:t xml:space="preserve">191st </w:t>
      </w:r>
      <w:r w:rsidRPr="006D33D9">
        <w:rPr>
          <w:b/>
          <w:lang w:val="en-US"/>
        </w:rPr>
        <w:t>session</w:t>
      </w:r>
    </w:p>
    <w:p w14:paraId="296C6DD6" w14:textId="148C163C" w:rsidR="00B52F3B" w:rsidRPr="00C64574" w:rsidRDefault="00B52F3B" w:rsidP="00B52F3B">
      <w:r w:rsidRPr="00C64574">
        <w:t xml:space="preserve">Geneva, </w:t>
      </w:r>
      <w:r>
        <w:t>14</w:t>
      </w:r>
      <w:r w:rsidRPr="002A5241">
        <w:t>–</w:t>
      </w:r>
      <w:r>
        <w:t>1</w:t>
      </w:r>
      <w:r w:rsidR="00023761">
        <w:t>6</w:t>
      </w:r>
      <w:r>
        <w:t xml:space="preserve"> November</w:t>
      </w:r>
      <w:r w:rsidRPr="00C64574">
        <w:t xml:space="preserve"> 20</w:t>
      </w:r>
      <w:r>
        <w:t>23</w:t>
      </w:r>
    </w:p>
    <w:p w14:paraId="3FBE7B71" w14:textId="5D4F7D37" w:rsidR="00B52F3B" w:rsidRDefault="00B52F3B" w:rsidP="00B52F3B">
      <w:r>
        <w:t>Item 4.</w:t>
      </w:r>
      <w:r w:rsidR="008E1E3B">
        <w:t>6</w:t>
      </w:r>
      <w:r>
        <w:t>.</w:t>
      </w:r>
      <w:r w:rsidR="00D74429">
        <w:t>1</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7D843D12" w:rsidR="00B52F3B" w:rsidRDefault="00B52F3B" w:rsidP="00B52F3B">
      <w:pPr>
        <w:rPr>
          <w:b/>
          <w:bCs/>
        </w:rPr>
      </w:pPr>
      <w:r>
        <w:rPr>
          <w:b/>
        </w:rPr>
        <w:t>UN Regulations submitted by GR</w:t>
      </w:r>
      <w:r w:rsidR="008E1E3B">
        <w:rPr>
          <w:b/>
        </w:rPr>
        <w:t>E</w:t>
      </w:r>
    </w:p>
    <w:p w14:paraId="7EAFDC52" w14:textId="6216E3F2" w:rsidR="00B52F3B" w:rsidRDefault="00923B83" w:rsidP="00923B83">
      <w:pPr>
        <w:pStyle w:val="HChG"/>
        <w:ind w:left="1124" w:right="1138" w:firstLine="0"/>
      </w:pPr>
      <w:r w:rsidRPr="00923B83">
        <w:t>Proposal for the 04 series of amendments to UN Regulation No. 53 "Installation of lighting and light-signalling devices for L</w:t>
      </w:r>
      <w:r w:rsidRPr="00923B83">
        <w:rPr>
          <w:vertAlign w:val="subscript"/>
        </w:rPr>
        <w:t>3</w:t>
      </w:r>
      <w:r w:rsidRPr="00923B83">
        <w:t xml:space="preserve"> vehicles"</w:t>
      </w:r>
      <w:r>
        <w:t xml:space="preserve"> </w:t>
      </w:r>
    </w:p>
    <w:p w14:paraId="3BA43C5C" w14:textId="4EC74A3D" w:rsidR="00B52F3B" w:rsidRDefault="00B52F3B" w:rsidP="00B52F3B">
      <w:pPr>
        <w:pStyle w:val="H1G"/>
        <w:rPr>
          <w:szCs w:val="24"/>
        </w:rPr>
      </w:pPr>
      <w:r>
        <w:tab/>
      </w:r>
      <w:r>
        <w:tab/>
      </w:r>
      <w:r>
        <w:rPr>
          <w:szCs w:val="24"/>
        </w:rPr>
        <w:t xml:space="preserve">Submitted by the Working Party on </w:t>
      </w:r>
      <w:r w:rsidR="00EA3480">
        <w:rPr>
          <w:szCs w:val="24"/>
        </w:rPr>
        <w:t>Lighting and Light-Signalling</w:t>
      </w:r>
      <w:r w:rsidRPr="00CB6F40">
        <w:footnoteReference w:customMarkFollows="1" w:id="2"/>
        <w:t>*</w:t>
      </w:r>
    </w:p>
    <w:p w14:paraId="26AC77F4" w14:textId="05D071B4"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EA3480">
        <w:rPr>
          <w:lang w:val="en-US"/>
        </w:rPr>
        <w:t>Lighting and Light-</w:t>
      </w:r>
      <w:proofErr w:type="spellStart"/>
      <w:r w:rsidR="00EA3480">
        <w:rPr>
          <w:lang w:val="en-US"/>
        </w:rPr>
        <w:t>Signalling</w:t>
      </w:r>
      <w:proofErr w:type="spellEnd"/>
      <w:r w:rsidR="00EA3480">
        <w:rPr>
          <w:lang w:val="en-US"/>
        </w:rPr>
        <w:t xml:space="preserve"> </w:t>
      </w:r>
      <w:r>
        <w:rPr>
          <w:lang w:val="en-US"/>
        </w:rPr>
        <w:t>(GR</w:t>
      </w:r>
      <w:r w:rsidR="00B7701A">
        <w:rPr>
          <w:lang w:val="en-US"/>
        </w:rPr>
        <w:t>E</w:t>
      </w:r>
      <w:r>
        <w:rPr>
          <w:lang w:val="en-US"/>
        </w:rPr>
        <w:t xml:space="preserve">) at its </w:t>
      </w:r>
      <w:r w:rsidR="00D6385D">
        <w:rPr>
          <w:lang w:val="en-US"/>
        </w:rPr>
        <w:t>eight</w:t>
      </w:r>
      <w:r w:rsidR="00BC7E30">
        <w:rPr>
          <w:lang w:val="en-US"/>
        </w:rPr>
        <w:t>y</w:t>
      </w:r>
      <w:r w:rsidR="00D6385D">
        <w:rPr>
          <w:lang w:val="en-US"/>
        </w:rPr>
        <w:t xml:space="preserve">-eighth </w:t>
      </w:r>
      <w:r>
        <w:rPr>
          <w:lang w:val="en-US"/>
        </w:rPr>
        <w:t>session (</w:t>
      </w:r>
      <w:r w:rsidR="00D6385D">
        <w:rPr>
          <w:lang w:val="en-US"/>
        </w:rPr>
        <w:t>EC</w:t>
      </w:r>
      <w:r w:rsidR="00D6385D" w:rsidRPr="00D6385D">
        <w:rPr>
          <w:lang w:val="en-US"/>
        </w:rPr>
        <w:t>E/TRANS/WP.29/GRE/88, para.</w:t>
      </w:r>
      <w:r w:rsidR="009C1B21" w:rsidRPr="009C1B21">
        <w:rPr>
          <w:lang w:val="en-US"/>
        </w:rPr>
        <w:t xml:space="preserve"> </w:t>
      </w:r>
      <w:r w:rsidR="00923B83">
        <w:rPr>
          <w:lang w:val="en-US"/>
        </w:rPr>
        <w:t>10</w:t>
      </w:r>
      <w:r w:rsidR="009C1B21">
        <w:rPr>
          <w:lang w:val="en-US"/>
        </w:rPr>
        <w:t xml:space="preserve">). It is based on </w:t>
      </w:r>
      <w:r w:rsidR="00931E92" w:rsidRPr="00931E92">
        <w:rPr>
          <w:lang w:val="en-US"/>
        </w:rPr>
        <w:t>ECE/TRANS/WP.29/GRE/2023/4</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5D8C7D0D" w14:textId="77777777" w:rsidR="0028206E" w:rsidRPr="00A628C6" w:rsidRDefault="0028206E" w:rsidP="0028206E">
      <w:pPr>
        <w:tabs>
          <w:tab w:val="left" w:pos="2268"/>
        </w:tabs>
        <w:spacing w:after="120"/>
        <w:ind w:left="1134" w:rightChars="540" w:right="1080"/>
        <w:jc w:val="both"/>
        <w:rPr>
          <w:bCs/>
        </w:rPr>
      </w:pPr>
      <w:r w:rsidRPr="00A628C6">
        <w:rPr>
          <w:bCs/>
          <w:i/>
        </w:rPr>
        <w:lastRenderedPageBreak/>
        <w:t>Paragraph 6.</w:t>
      </w:r>
      <w:r w:rsidRPr="00A628C6">
        <w:rPr>
          <w:bCs/>
          <w:i/>
          <w:lang w:eastAsia="ja-JP"/>
        </w:rPr>
        <w:t>1</w:t>
      </w:r>
      <w:r w:rsidRPr="00A628C6">
        <w:rPr>
          <w:bCs/>
          <w:i/>
        </w:rPr>
        <w:t xml:space="preserve">.1.1., </w:t>
      </w:r>
      <w:r w:rsidRPr="00A628C6">
        <w:rPr>
          <w:bCs/>
        </w:rPr>
        <w:t>amend to read:</w:t>
      </w:r>
    </w:p>
    <w:p w14:paraId="71A65315" w14:textId="77777777" w:rsidR="0028206E" w:rsidRPr="007255FB" w:rsidRDefault="0028206E" w:rsidP="0028206E">
      <w:pPr>
        <w:pStyle w:val="SingleTxtG"/>
        <w:ind w:left="2268" w:hanging="1134"/>
        <w:rPr>
          <w:color w:val="000000"/>
          <w:u w:color="000000"/>
        </w:rPr>
      </w:pPr>
      <w:r w:rsidRPr="007255FB">
        <w:t>“</w:t>
      </w:r>
      <w:r w:rsidRPr="007255FB">
        <w:rPr>
          <w:color w:val="000000"/>
          <w:u w:color="000000"/>
        </w:rPr>
        <w:t>6.1.1.1.</w:t>
      </w:r>
      <w:r w:rsidRPr="007255FB">
        <w:rPr>
          <w:color w:val="000000"/>
          <w:u w:color="000000"/>
        </w:rPr>
        <w:tab/>
        <w:t>For motorcycles having a cylinder capacity ≤ 125 cm</w:t>
      </w:r>
      <w:r w:rsidRPr="007255FB">
        <w:rPr>
          <w:color w:val="000000"/>
          <w:u w:color="000000"/>
          <w:vertAlign w:val="superscript"/>
        </w:rPr>
        <w:t>3</w:t>
      </w:r>
      <w:r w:rsidRPr="007255FB">
        <w:rPr>
          <w:color w:val="000000"/>
          <w:u w:color="000000"/>
        </w:rPr>
        <w:t xml:space="preserve"> </w:t>
      </w:r>
      <w:r w:rsidRPr="007255FB">
        <w:rPr>
          <w:lang w:eastAsia="zh-CN"/>
        </w:rPr>
        <w:t xml:space="preserve">and a maximum power ≤ 11 kW </w:t>
      </w:r>
      <w:r w:rsidRPr="007255FB">
        <w:rPr>
          <w:vertAlign w:val="superscript"/>
          <w:lang w:eastAsia="zh-CN"/>
        </w:rPr>
        <w:t>(*)</w:t>
      </w:r>
    </w:p>
    <w:p w14:paraId="512DEF51" w14:textId="1A9A56E0" w:rsidR="0028206E" w:rsidRPr="007255FB" w:rsidRDefault="0028206E" w:rsidP="007255FB">
      <w:pPr>
        <w:pStyle w:val="SingleTxtG"/>
        <w:ind w:left="2268"/>
      </w:pPr>
      <w:r w:rsidRPr="007255FB">
        <w:rPr>
          <w:u w:color="000000"/>
        </w:rPr>
        <w:t>One or two, type-approved according to</w:t>
      </w:r>
      <w:r w:rsidR="007255FB" w:rsidRPr="007255FB">
        <w:rPr>
          <w:u w:color="000000"/>
        </w:rPr>
        <w:t xml:space="preserve"> </w:t>
      </w:r>
      <w:r w:rsidRPr="007255FB">
        <w:rPr>
          <w:iCs/>
          <w:kern w:val="2"/>
          <w:lang w:eastAsia="ja-JP"/>
        </w:rPr>
        <w:t>Class A, B, CS or DS</w:t>
      </w:r>
      <w:r w:rsidR="00BF66FB">
        <w:rPr>
          <w:iCs/>
          <w:kern w:val="2"/>
          <w:lang w:eastAsia="ja-JP"/>
        </w:rPr>
        <w:t xml:space="preserve"> </w:t>
      </w:r>
      <w:r w:rsidRPr="007255FB">
        <w:rPr>
          <w:iCs/>
          <w:kern w:val="2"/>
          <w:lang w:eastAsia="ja-JP"/>
        </w:rPr>
        <w:t xml:space="preserve">of </w:t>
      </w:r>
      <w:r w:rsidRPr="007255FB">
        <w:t xml:space="preserve">the 01 or subsequent series of amendments to </w:t>
      </w:r>
      <w:r w:rsidRPr="007255FB">
        <w:rPr>
          <w:iCs/>
          <w:kern w:val="2"/>
          <w:lang w:eastAsia="ja-JP"/>
        </w:rPr>
        <w:t>UN Regulation No. 149.</w:t>
      </w:r>
      <w:r w:rsidRPr="007255FB">
        <w:t>”</w:t>
      </w:r>
    </w:p>
    <w:p w14:paraId="6A42E82A" w14:textId="77777777" w:rsidR="0028206E" w:rsidRPr="00DB3421" w:rsidRDefault="0028206E" w:rsidP="0028206E">
      <w:pPr>
        <w:tabs>
          <w:tab w:val="left" w:pos="2268"/>
        </w:tabs>
        <w:spacing w:after="120"/>
        <w:ind w:left="1134" w:rightChars="540" w:right="1080"/>
        <w:jc w:val="both"/>
        <w:rPr>
          <w:bCs/>
        </w:rPr>
      </w:pPr>
      <w:r w:rsidRPr="00DB3421">
        <w:rPr>
          <w:bCs/>
          <w:i/>
        </w:rPr>
        <w:t>Paragraph 6.</w:t>
      </w:r>
      <w:r w:rsidRPr="00DB3421">
        <w:rPr>
          <w:bCs/>
          <w:i/>
          <w:lang w:eastAsia="ja-JP"/>
        </w:rPr>
        <w:t>1</w:t>
      </w:r>
      <w:r w:rsidRPr="00DB3421">
        <w:rPr>
          <w:bCs/>
          <w:i/>
        </w:rPr>
        <w:t xml:space="preserve">.1.2., </w:t>
      </w:r>
      <w:r w:rsidRPr="00DB3421">
        <w:rPr>
          <w:bCs/>
        </w:rPr>
        <w:t>amend to read:</w:t>
      </w:r>
    </w:p>
    <w:p w14:paraId="23D1891F" w14:textId="77777777" w:rsidR="0028206E" w:rsidRPr="00DB3421" w:rsidRDefault="0028206E" w:rsidP="0028206E">
      <w:pPr>
        <w:pStyle w:val="SingleTxtG"/>
        <w:ind w:left="2268" w:hanging="1134"/>
        <w:jc w:val="left"/>
        <w:rPr>
          <w:bCs/>
        </w:rPr>
      </w:pPr>
      <w:r w:rsidRPr="00DB3421">
        <w:rPr>
          <w:bCs/>
        </w:rPr>
        <w:t xml:space="preserve">“6.1.1.2. </w:t>
      </w:r>
      <w:r w:rsidRPr="00DB3421">
        <w:rPr>
          <w:bCs/>
        </w:rPr>
        <w:tab/>
        <w:t>For motorcycles having a cylinder capacity &gt; 125 cm</w:t>
      </w:r>
      <w:r w:rsidRPr="00DB3421">
        <w:rPr>
          <w:bCs/>
          <w:vertAlign w:val="superscript"/>
        </w:rPr>
        <w:t>3</w:t>
      </w:r>
      <w:r w:rsidRPr="00DB3421">
        <w:rPr>
          <w:bCs/>
        </w:rPr>
        <w:t xml:space="preserve"> </w:t>
      </w:r>
      <w:r w:rsidRPr="00DB3421">
        <w:rPr>
          <w:bCs/>
          <w:lang w:eastAsia="zh-CN"/>
        </w:rPr>
        <w:t xml:space="preserve">or a maximum power &gt; 11 kW </w:t>
      </w:r>
      <w:r w:rsidRPr="00DB3421">
        <w:rPr>
          <w:bCs/>
          <w:vertAlign w:val="superscript"/>
          <w:lang w:eastAsia="zh-CN"/>
        </w:rPr>
        <w:t>(*)</w:t>
      </w:r>
    </w:p>
    <w:p w14:paraId="7B172BAF" w14:textId="561E16BA" w:rsidR="0028206E" w:rsidRPr="00DB3421" w:rsidRDefault="0028206E" w:rsidP="00BF66FB">
      <w:pPr>
        <w:pStyle w:val="SingleTxtG"/>
        <w:ind w:left="2268"/>
        <w:rPr>
          <w:bCs/>
          <w:strike/>
        </w:rPr>
      </w:pPr>
      <w:r w:rsidRPr="00DB3421">
        <w:rPr>
          <w:bCs/>
        </w:rPr>
        <w:t xml:space="preserve">One or two, </w:t>
      </w:r>
      <w:r w:rsidRPr="00DB3421">
        <w:rPr>
          <w:bCs/>
          <w:u w:color="000000"/>
        </w:rPr>
        <w:t xml:space="preserve">type-approved </w:t>
      </w:r>
      <w:r w:rsidRPr="00DB3421">
        <w:rPr>
          <w:bCs/>
        </w:rPr>
        <w:t>according to</w:t>
      </w:r>
      <w:r w:rsidR="007255FB" w:rsidRPr="00DB3421">
        <w:rPr>
          <w:bCs/>
        </w:rPr>
        <w:t xml:space="preserve"> </w:t>
      </w:r>
      <w:r w:rsidRPr="00DB3421">
        <w:rPr>
          <w:bCs/>
        </w:rPr>
        <w:t>Class A, B,</w:t>
      </w:r>
      <w:r w:rsidR="007255FB" w:rsidRPr="00DB3421">
        <w:rPr>
          <w:bCs/>
        </w:rPr>
        <w:t xml:space="preserve"> </w:t>
      </w:r>
      <w:r w:rsidRPr="00DB3421">
        <w:rPr>
          <w:bCs/>
        </w:rPr>
        <w:t>or DS of the 01 or subsequent series of amendments to UN Regulation No. 149</w:t>
      </w:r>
      <w:r w:rsidR="00BF66FB" w:rsidRPr="00DB3421">
        <w:rPr>
          <w:bCs/>
        </w:rPr>
        <w:t>.</w:t>
      </w:r>
    </w:p>
    <w:p w14:paraId="1F47BA8F" w14:textId="427333D5" w:rsidR="0028206E" w:rsidRPr="00DB3421" w:rsidRDefault="0028206E" w:rsidP="00447F06">
      <w:pPr>
        <w:pStyle w:val="SingleTxtG"/>
        <w:ind w:left="2268"/>
        <w:rPr>
          <w:bCs/>
          <w:strike/>
        </w:rPr>
      </w:pPr>
      <w:r w:rsidRPr="00DB3421">
        <w:rPr>
          <w:bCs/>
        </w:rPr>
        <w:t xml:space="preserve">Two, </w:t>
      </w:r>
      <w:r w:rsidRPr="00DB3421">
        <w:rPr>
          <w:bCs/>
          <w:u w:color="000000"/>
        </w:rPr>
        <w:t xml:space="preserve">type-approved </w:t>
      </w:r>
      <w:r w:rsidRPr="00DB3421">
        <w:rPr>
          <w:bCs/>
        </w:rPr>
        <w:t>according to</w:t>
      </w:r>
      <w:r w:rsidR="00BF66FB" w:rsidRPr="00DB3421">
        <w:rPr>
          <w:bCs/>
        </w:rPr>
        <w:t xml:space="preserve"> </w:t>
      </w:r>
      <w:r w:rsidRPr="00DB3421">
        <w:rPr>
          <w:bCs/>
        </w:rPr>
        <w:t>Class CS of the 01 or subsequent series of amendments to UN Regulation No. 149.</w:t>
      </w:r>
    </w:p>
    <w:p w14:paraId="1DCCCA48" w14:textId="77777777" w:rsidR="0028206E" w:rsidRPr="00B81668" w:rsidRDefault="0028206E" w:rsidP="0028206E">
      <w:pPr>
        <w:tabs>
          <w:tab w:val="right" w:pos="2155"/>
        </w:tabs>
        <w:spacing w:after="80"/>
        <w:ind w:left="709"/>
        <w:rPr>
          <w:bCs/>
          <w:u w:val="single"/>
        </w:rPr>
      </w:pPr>
      <w:r w:rsidRPr="00B81668">
        <w:rPr>
          <w:bCs/>
          <w:u w:val="single"/>
        </w:rPr>
        <w:tab/>
      </w:r>
      <w:r w:rsidRPr="00B81668">
        <w:rPr>
          <w:bCs/>
          <w:u w:val="single"/>
        </w:rPr>
        <w:tab/>
      </w:r>
      <w:r w:rsidRPr="00B81668">
        <w:rPr>
          <w:bCs/>
          <w:u w:val="single"/>
        </w:rPr>
        <w:tab/>
      </w:r>
    </w:p>
    <w:p w14:paraId="7555EE9F" w14:textId="77777777" w:rsidR="00056723" w:rsidRDefault="0028206E" w:rsidP="00056723">
      <w:pPr>
        <w:pStyle w:val="FootnoteText"/>
        <w:spacing w:after="120"/>
        <w:ind w:right="0"/>
        <w:rPr>
          <w:bCs/>
        </w:rPr>
      </w:pPr>
      <w:r w:rsidRPr="00B81668">
        <w:rPr>
          <w:bCs/>
        </w:rPr>
        <w:tab/>
        <w:t>*</w:t>
      </w:r>
      <w:r w:rsidRPr="00B81668">
        <w:rPr>
          <w:bCs/>
        </w:rPr>
        <w:tab/>
      </w:r>
      <w:r w:rsidRPr="00B81668">
        <w:rPr>
          <w:rFonts w:eastAsia="Calibri"/>
          <w:bCs/>
          <w:szCs w:val="18"/>
        </w:rPr>
        <w:t>The power limits are based on maximum continuous rated power for electric propelled vehicles and maximum net power for vehicles propelled with a combustion engine.</w:t>
      </w:r>
      <w:r>
        <w:rPr>
          <w:bCs/>
        </w:rPr>
        <w:t>”</w:t>
      </w:r>
    </w:p>
    <w:p w14:paraId="441C7293" w14:textId="68C1FEB9" w:rsidR="0028206E" w:rsidRPr="00056723" w:rsidRDefault="0028206E" w:rsidP="00056723">
      <w:pPr>
        <w:pStyle w:val="FootnoteText"/>
        <w:spacing w:after="120"/>
        <w:ind w:right="0" w:firstLine="0"/>
        <w:rPr>
          <w:bCs/>
          <w:sz w:val="20"/>
        </w:rPr>
      </w:pPr>
      <w:r w:rsidRPr="00056723">
        <w:rPr>
          <w:bCs/>
          <w:i/>
          <w:sz w:val="20"/>
        </w:rPr>
        <w:t xml:space="preserve">Paragraph 6.1.6.1., </w:t>
      </w:r>
      <w:r w:rsidRPr="00056723">
        <w:rPr>
          <w:bCs/>
          <w:sz w:val="20"/>
        </w:rPr>
        <w:t>amend to read:</w:t>
      </w:r>
    </w:p>
    <w:p w14:paraId="12643D3C" w14:textId="77777777" w:rsidR="0028206E" w:rsidRPr="00A628C6" w:rsidRDefault="0028206E" w:rsidP="0028206E">
      <w:pPr>
        <w:spacing w:after="120"/>
        <w:ind w:left="2268" w:right="1134" w:hanging="1134"/>
        <w:jc w:val="both"/>
      </w:pPr>
      <w:r>
        <w:rPr>
          <w:bCs/>
        </w:rPr>
        <w:t>“</w:t>
      </w:r>
      <w:r w:rsidRPr="00A628C6">
        <w:rPr>
          <w:rFonts w:eastAsiaTheme="minorHAnsi" w:cstheme="minorBidi"/>
          <w:bCs/>
        </w:rPr>
        <w:t>6.1.6.1.</w:t>
      </w:r>
      <w:r w:rsidRPr="00A628C6">
        <w:rPr>
          <w:rFonts w:eastAsiaTheme="minorHAnsi" w:cstheme="minorBidi"/>
          <w:bCs/>
        </w:rPr>
        <w:tab/>
      </w:r>
      <w:r w:rsidRPr="00A628C6">
        <w:t>The passing-beam(s) may remain switched ON with the driving-beam(s).</w:t>
      </w:r>
    </w:p>
    <w:p w14:paraId="2A8DD361" w14:textId="764159EF" w:rsidR="0028206E" w:rsidRPr="00A628C6" w:rsidRDefault="0028206E" w:rsidP="0028206E">
      <w:pPr>
        <w:spacing w:after="120"/>
        <w:ind w:left="2268" w:right="1134"/>
        <w:jc w:val="both"/>
      </w:pPr>
      <w:r w:rsidRPr="00A628C6">
        <w:t>However, when the vehicle is fitted with secondary driving-beam(s) approved in accordance with UN Regulation No.</w:t>
      </w:r>
      <w:r w:rsidR="003130D3">
        <w:t xml:space="preserve"> </w:t>
      </w:r>
      <w:r w:rsidRPr="00A628C6">
        <w:t>149, at least one of the following lamps shall remain switched ON with the secondary driving</w:t>
      </w:r>
      <w:r w:rsidRPr="00A628C6">
        <w:rPr>
          <w:b/>
          <w:bCs/>
        </w:rPr>
        <w:t>-</w:t>
      </w:r>
      <w:r w:rsidRPr="00A628C6">
        <w:t xml:space="preserve"> beam(s):</w:t>
      </w:r>
    </w:p>
    <w:p w14:paraId="1DF30D00" w14:textId="77777777" w:rsidR="0028206E" w:rsidRPr="00A628C6" w:rsidRDefault="0028206E" w:rsidP="0028206E">
      <w:pPr>
        <w:spacing w:after="120"/>
        <w:ind w:left="2835" w:rightChars="567" w:right="1134" w:hanging="567"/>
        <w:jc w:val="both"/>
        <w:rPr>
          <w:iCs/>
        </w:rPr>
      </w:pPr>
      <w:r w:rsidRPr="00A628C6">
        <w:rPr>
          <w:iCs/>
        </w:rPr>
        <w:t>(a)</w:t>
      </w:r>
      <w:r w:rsidRPr="00A628C6">
        <w:rPr>
          <w:iCs/>
        </w:rPr>
        <w:tab/>
        <w:t>Passing-beam(s);</w:t>
      </w:r>
    </w:p>
    <w:p w14:paraId="7DBE5C4F" w14:textId="0176F6DE" w:rsidR="0028206E" w:rsidRPr="00E76A1A" w:rsidRDefault="0028206E" w:rsidP="0028206E">
      <w:pPr>
        <w:spacing w:after="120"/>
        <w:ind w:left="2835" w:rightChars="567" w:right="1134" w:hanging="567"/>
        <w:jc w:val="both"/>
        <w:rPr>
          <w:iCs/>
        </w:rPr>
      </w:pPr>
      <w:r w:rsidRPr="00E76A1A">
        <w:rPr>
          <w:iCs/>
        </w:rPr>
        <w:t>(b)</w:t>
      </w:r>
      <w:r w:rsidRPr="00E76A1A">
        <w:rPr>
          <w:iCs/>
        </w:rPr>
        <w:tab/>
        <w:t>Driving-beam of Class A or B approved according to the 01 or subsequent series of amendments to UN Regulation No. 149.”</w:t>
      </w:r>
    </w:p>
    <w:p w14:paraId="0AE845E7" w14:textId="77777777" w:rsidR="0028206E" w:rsidRPr="00A628C6" w:rsidRDefault="0028206E" w:rsidP="0028206E">
      <w:pPr>
        <w:tabs>
          <w:tab w:val="left" w:pos="2268"/>
        </w:tabs>
        <w:spacing w:after="120"/>
        <w:ind w:left="1134" w:rightChars="567" w:right="1134"/>
        <w:jc w:val="both"/>
        <w:rPr>
          <w:bCs/>
        </w:rPr>
      </w:pPr>
      <w:r w:rsidRPr="00A628C6">
        <w:rPr>
          <w:bCs/>
          <w:i/>
        </w:rPr>
        <w:t xml:space="preserve">Paragraph 6.2.1.1., </w:t>
      </w:r>
      <w:r w:rsidRPr="00A628C6">
        <w:rPr>
          <w:bCs/>
        </w:rPr>
        <w:t>amend to read:</w:t>
      </w:r>
    </w:p>
    <w:p w14:paraId="0BCE647F" w14:textId="77777777" w:rsidR="0028206E" w:rsidRPr="00E76A1A" w:rsidRDefault="0028206E" w:rsidP="0028206E">
      <w:pPr>
        <w:suppressAutoHyphens w:val="0"/>
        <w:spacing w:after="120" w:line="280" w:lineRule="atLeast"/>
        <w:ind w:left="2268" w:right="1134" w:hanging="1134"/>
        <w:rPr>
          <w:bCs/>
          <w:lang w:eastAsia="zh-CN"/>
        </w:rPr>
      </w:pPr>
      <w:r w:rsidRPr="00E76A1A">
        <w:rPr>
          <w:bCs/>
        </w:rPr>
        <w:t>“6.2.1.1.</w:t>
      </w:r>
      <w:r w:rsidRPr="00E76A1A">
        <w:rPr>
          <w:bCs/>
        </w:rPr>
        <w:tab/>
      </w:r>
      <w:r w:rsidRPr="00E76A1A">
        <w:rPr>
          <w:rFonts w:cs="Courier New"/>
          <w:bCs/>
        </w:rPr>
        <w:t xml:space="preserve">For motorcycles </w:t>
      </w:r>
      <w:r w:rsidRPr="00E76A1A">
        <w:rPr>
          <w:bCs/>
        </w:rPr>
        <w:t>having</w:t>
      </w:r>
      <w:r w:rsidRPr="00E76A1A">
        <w:rPr>
          <w:rFonts w:cs="Courier New"/>
          <w:bCs/>
        </w:rPr>
        <w:t xml:space="preserve"> a cylinder capacity ≤ 125 cm</w:t>
      </w:r>
      <w:r w:rsidRPr="00E76A1A">
        <w:rPr>
          <w:rFonts w:cs="Courier New"/>
          <w:bCs/>
          <w:vertAlign w:val="superscript"/>
        </w:rPr>
        <w:t>3</w:t>
      </w:r>
      <w:r w:rsidRPr="00E76A1A">
        <w:rPr>
          <w:rFonts w:cs="Courier New"/>
          <w:bCs/>
        </w:rPr>
        <w:t xml:space="preserve"> </w:t>
      </w:r>
      <w:r w:rsidRPr="00E76A1A">
        <w:rPr>
          <w:bCs/>
          <w:lang w:eastAsia="zh-CN"/>
        </w:rPr>
        <w:t xml:space="preserve">and a maximum power ≤ 11 kW </w:t>
      </w:r>
      <w:r w:rsidRPr="00E76A1A">
        <w:rPr>
          <w:bCs/>
          <w:vertAlign w:val="superscript"/>
          <w:lang w:eastAsia="zh-CN"/>
        </w:rPr>
        <w:t>(*)</w:t>
      </w:r>
    </w:p>
    <w:p w14:paraId="336722F8" w14:textId="1EF9790F" w:rsidR="0028206E" w:rsidRPr="00E76A1A" w:rsidRDefault="0028206E" w:rsidP="00E76A1A">
      <w:pPr>
        <w:pStyle w:val="SingleTxtG"/>
        <w:ind w:left="2268" w:rightChars="567"/>
        <w:rPr>
          <w:bCs/>
          <w:iCs/>
          <w:strike/>
        </w:rPr>
      </w:pPr>
      <w:r w:rsidRPr="00E76A1A">
        <w:rPr>
          <w:rFonts w:cs="Courier New"/>
          <w:bCs/>
        </w:rPr>
        <w:t xml:space="preserve">One </w:t>
      </w:r>
      <w:r w:rsidRPr="00E76A1A">
        <w:rPr>
          <w:bCs/>
        </w:rPr>
        <w:t>or</w:t>
      </w:r>
      <w:r w:rsidRPr="00E76A1A">
        <w:rPr>
          <w:rFonts w:cs="Courier New"/>
          <w:bCs/>
        </w:rPr>
        <w:t xml:space="preserve"> two, </w:t>
      </w:r>
      <w:r w:rsidRPr="00E76A1A">
        <w:rPr>
          <w:bCs/>
          <w:u w:color="000000"/>
        </w:rPr>
        <w:t xml:space="preserve">type-approved </w:t>
      </w:r>
      <w:r w:rsidRPr="00E76A1A">
        <w:rPr>
          <w:rFonts w:cs="Courier New"/>
          <w:bCs/>
        </w:rPr>
        <w:t>according to</w:t>
      </w:r>
      <w:r w:rsidR="003130D3" w:rsidRPr="00E76A1A">
        <w:rPr>
          <w:rFonts w:cs="Courier New"/>
          <w:bCs/>
        </w:rPr>
        <w:t xml:space="preserve"> </w:t>
      </w:r>
      <w:r w:rsidRPr="00E76A1A">
        <w:rPr>
          <w:bCs/>
        </w:rPr>
        <w:t xml:space="preserve">Class C, CS or DS of </w:t>
      </w:r>
      <w:r w:rsidRPr="00E76A1A">
        <w:rPr>
          <w:bCs/>
          <w:iCs/>
        </w:rPr>
        <w:t xml:space="preserve">the 01 or subsequent series of amendments to </w:t>
      </w:r>
      <w:r w:rsidRPr="00E76A1A">
        <w:rPr>
          <w:bCs/>
        </w:rPr>
        <w:t>UN Regulation No. 149</w:t>
      </w:r>
      <w:r w:rsidRPr="00E76A1A">
        <w:rPr>
          <w:bCs/>
          <w:iCs/>
        </w:rPr>
        <w:t>.”</w:t>
      </w:r>
    </w:p>
    <w:p w14:paraId="16B5535F" w14:textId="77777777" w:rsidR="0028206E" w:rsidRPr="00B81668" w:rsidRDefault="0028206E" w:rsidP="0028206E">
      <w:pPr>
        <w:tabs>
          <w:tab w:val="left" w:pos="2268"/>
        </w:tabs>
        <w:spacing w:after="120"/>
        <w:ind w:left="1134" w:rightChars="567" w:right="1134"/>
        <w:jc w:val="both"/>
        <w:rPr>
          <w:bCs/>
        </w:rPr>
      </w:pPr>
      <w:r w:rsidRPr="00B81668">
        <w:rPr>
          <w:bCs/>
          <w:i/>
        </w:rPr>
        <w:t xml:space="preserve">Paragraph 6.2.1.2., </w:t>
      </w:r>
      <w:r w:rsidRPr="00B81668">
        <w:rPr>
          <w:bCs/>
        </w:rPr>
        <w:t>amend to read:</w:t>
      </w:r>
    </w:p>
    <w:p w14:paraId="454C1DBB" w14:textId="77777777" w:rsidR="0028206E" w:rsidRPr="0088132C" w:rsidRDefault="0028206E" w:rsidP="0028206E">
      <w:pPr>
        <w:suppressAutoHyphens w:val="0"/>
        <w:spacing w:after="120" w:line="280" w:lineRule="atLeast"/>
        <w:ind w:left="2268" w:right="1134" w:hanging="1134"/>
        <w:rPr>
          <w:rFonts w:cs="Courier New"/>
          <w:bCs/>
        </w:rPr>
      </w:pPr>
      <w:r>
        <w:rPr>
          <w:bCs/>
        </w:rPr>
        <w:t>“</w:t>
      </w:r>
      <w:r w:rsidRPr="00B81668">
        <w:rPr>
          <w:bCs/>
        </w:rPr>
        <w:t>6.2.1.2.</w:t>
      </w:r>
      <w:r w:rsidRPr="00B81668">
        <w:rPr>
          <w:bCs/>
        </w:rPr>
        <w:tab/>
      </w:r>
      <w:r w:rsidRPr="00B81668">
        <w:rPr>
          <w:rFonts w:cs="Courier New"/>
        </w:rPr>
        <w:t xml:space="preserve">For </w:t>
      </w:r>
      <w:r w:rsidRPr="00B81668">
        <w:t>motorcycles</w:t>
      </w:r>
      <w:r w:rsidRPr="00B81668">
        <w:rPr>
          <w:rFonts w:cs="Courier New"/>
        </w:rPr>
        <w:t xml:space="preserve"> having a cylinder capacity &gt; 125 cm</w:t>
      </w:r>
      <w:r w:rsidRPr="00B81668">
        <w:rPr>
          <w:rFonts w:cs="Courier New"/>
          <w:vertAlign w:val="superscript"/>
        </w:rPr>
        <w:t>3</w:t>
      </w:r>
      <w:r w:rsidRPr="00B81668">
        <w:rPr>
          <w:rFonts w:cs="Courier New"/>
        </w:rPr>
        <w:t xml:space="preserve"> </w:t>
      </w:r>
      <w:r w:rsidRPr="00B81668">
        <w:rPr>
          <w:bCs/>
          <w:lang w:eastAsia="zh-CN"/>
        </w:rPr>
        <w:t xml:space="preserve">or a maximum power &gt; 11 kW </w:t>
      </w:r>
      <w:r w:rsidRPr="00B81668">
        <w:rPr>
          <w:bCs/>
          <w:vertAlign w:val="superscript"/>
          <w:lang w:eastAsia="zh-CN"/>
        </w:rPr>
        <w:t>(*)</w:t>
      </w:r>
    </w:p>
    <w:p w14:paraId="5CD0A912" w14:textId="44A7C046" w:rsidR="0028206E" w:rsidRPr="00BA1F5C" w:rsidRDefault="0028206E" w:rsidP="00BA1F5C">
      <w:pPr>
        <w:pStyle w:val="SingleTxtG"/>
        <w:ind w:left="2268" w:rightChars="567"/>
        <w:rPr>
          <w:strike/>
        </w:rPr>
      </w:pPr>
      <w:r w:rsidRPr="00BA1F5C">
        <w:rPr>
          <w:rFonts w:cs="Courier New"/>
        </w:rPr>
        <w:t xml:space="preserve">One or two, </w:t>
      </w:r>
      <w:r w:rsidRPr="00BA1F5C">
        <w:rPr>
          <w:u w:color="000000"/>
        </w:rPr>
        <w:t xml:space="preserve">type-approved </w:t>
      </w:r>
      <w:r w:rsidRPr="00BA1F5C">
        <w:rPr>
          <w:rFonts w:cs="Courier New"/>
        </w:rPr>
        <w:t>according to</w:t>
      </w:r>
      <w:r w:rsidR="002216E0" w:rsidRPr="00BA1F5C">
        <w:rPr>
          <w:rFonts w:cs="Courier New"/>
        </w:rPr>
        <w:t xml:space="preserve"> </w:t>
      </w:r>
      <w:r w:rsidRPr="00BA1F5C">
        <w:t xml:space="preserve">Class C or DS of </w:t>
      </w:r>
      <w:r w:rsidRPr="00BA1F5C">
        <w:rPr>
          <w:iCs/>
        </w:rPr>
        <w:t xml:space="preserve">the 01 or subsequent series of amendments to </w:t>
      </w:r>
      <w:r w:rsidRPr="00BA1F5C">
        <w:t>UN Regulation No. 149</w:t>
      </w:r>
      <w:r w:rsidR="00BA1F5C" w:rsidRPr="00BA1F5C">
        <w:t>.</w:t>
      </w:r>
      <w:r w:rsidRPr="00BA1F5C">
        <w:rPr>
          <w:strike/>
        </w:rPr>
        <w:t xml:space="preserve"> </w:t>
      </w:r>
    </w:p>
    <w:p w14:paraId="5A1E2E4A" w14:textId="71E8593A" w:rsidR="0028206E" w:rsidRPr="00BA1F5C" w:rsidRDefault="0028206E" w:rsidP="00BA1F5C">
      <w:pPr>
        <w:tabs>
          <w:tab w:val="left" w:pos="2268"/>
        </w:tabs>
        <w:spacing w:after="120"/>
        <w:ind w:left="2268" w:rightChars="567" w:right="1134"/>
        <w:jc w:val="both"/>
      </w:pPr>
      <w:r w:rsidRPr="00BA1F5C">
        <w:t xml:space="preserve">Two, </w:t>
      </w:r>
      <w:r w:rsidRPr="00BA1F5C">
        <w:rPr>
          <w:u w:color="000000"/>
        </w:rPr>
        <w:t xml:space="preserve">type-approved </w:t>
      </w:r>
      <w:r w:rsidRPr="00BA1F5C">
        <w:t>according to</w:t>
      </w:r>
      <w:r w:rsidR="00BA1F5C" w:rsidRPr="00BA1F5C">
        <w:t xml:space="preserve"> </w:t>
      </w:r>
      <w:r w:rsidRPr="00BA1F5C">
        <w:t>Class CS</w:t>
      </w:r>
      <w:r w:rsidRPr="00BA1F5C">
        <w:rPr>
          <w:iCs/>
        </w:rPr>
        <w:t xml:space="preserve"> of the 01 or subsequent series of amendments to UN Regulation No. 149.</w:t>
      </w:r>
      <w:r w:rsidRPr="00BA1F5C">
        <w:t>”</w:t>
      </w:r>
    </w:p>
    <w:p w14:paraId="52E2A406" w14:textId="4D880529" w:rsidR="0028206E" w:rsidRPr="00A628C6" w:rsidRDefault="0028206E" w:rsidP="0028206E">
      <w:pPr>
        <w:tabs>
          <w:tab w:val="left" w:pos="2268"/>
        </w:tabs>
        <w:spacing w:after="120"/>
        <w:ind w:left="1134" w:rightChars="540" w:right="1080"/>
        <w:jc w:val="both"/>
        <w:rPr>
          <w:bCs/>
        </w:rPr>
      </w:pPr>
      <w:r w:rsidRPr="00A628C6">
        <w:rPr>
          <w:bCs/>
          <w:i/>
        </w:rPr>
        <w:t>Paragraph</w:t>
      </w:r>
      <w:r w:rsidR="0095611B">
        <w:rPr>
          <w:bCs/>
          <w:i/>
        </w:rPr>
        <w:t>s</w:t>
      </w:r>
      <w:r w:rsidRPr="00A628C6">
        <w:rPr>
          <w:bCs/>
          <w:i/>
        </w:rPr>
        <w:t xml:space="preserve"> 6.2.3.1.4.,</w:t>
      </w:r>
      <w:r w:rsidR="00910BFA" w:rsidRPr="00A628C6">
        <w:rPr>
          <w:bCs/>
          <w:i/>
        </w:rPr>
        <w:t xml:space="preserve"> 6.2.5.7.</w:t>
      </w:r>
      <w:r w:rsidR="006268E8">
        <w:rPr>
          <w:bCs/>
          <w:i/>
        </w:rPr>
        <w:t xml:space="preserve">, </w:t>
      </w:r>
      <w:r w:rsidR="00910BFA" w:rsidRPr="00A628C6">
        <w:rPr>
          <w:bCs/>
          <w:i/>
        </w:rPr>
        <w:t>6.2.5.8</w:t>
      </w:r>
      <w:r w:rsidR="006268E8">
        <w:rPr>
          <w:bCs/>
          <w:i/>
        </w:rPr>
        <w:t>.</w:t>
      </w:r>
      <w:r w:rsidR="003B021A">
        <w:rPr>
          <w:bCs/>
          <w:i/>
        </w:rPr>
        <w:t xml:space="preserve"> (twice)</w:t>
      </w:r>
      <w:r w:rsidR="006268E8">
        <w:rPr>
          <w:bCs/>
          <w:i/>
        </w:rPr>
        <w:t xml:space="preserve"> and </w:t>
      </w:r>
      <w:r w:rsidR="00910BFA" w:rsidRPr="00910BFA">
        <w:rPr>
          <w:bCs/>
          <w:i/>
        </w:rPr>
        <w:t>6.2.6.1</w:t>
      </w:r>
      <w:r w:rsidR="006268E8">
        <w:rPr>
          <w:bCs/>
          <w:i/>
        </w:rPr>
        <w:t>.</w:t>
      </w:r>
      <w:r w:rsidR="003B021A">
        <w:rPr>
          <w:bCs/>
          <w:i/>
        </w:rPr>
        <w:t>(twice)</w:t>
      </w:r>
      <w:r w:rsidR="00B90264">
        <w:rPr>
          <w:bCs/>
          <w:i/>
        </w:rPr>
        <w:t xml:space="preserve">, </w:t>
      </w:r>
      <w:r w:rsidR="00EA31D6">
        <w:rPr>
          <w:bCs/>
          <w:iCs/>
        </w:rPr>
        <w:t xml:space="preserve">replace </w:t>
      </w:r>
      <w:r w:rsidR="00B366B9">
        <w:rPr>
          <w:bCs/>
          <w:iCs/>
        </w:rPr>
        <w:t>“</w:t>
      </w:r>
      <w:r w:rsidR="00EA31D6" w:rsidRPr="00A628C6">
        <w:t xml:space="preserve">UN Regulation No. </w:t>
      </w:r>
      <w:r w:rsidR="00B366B9">
        <w:t xml:space="preserve">113 or </w:t>
      </w:r>
      <w:r w:rsidR="00EA31D6" w:rsidRPr="00A628C6">
        <w:t>149</w:t>
      </w:r>
      <w:r w:rsidR="00B366B9">
        <w:t>” with “UN Regulation No. 149”</w:t>
      </w:r>
      <w:r w:rsidR="00EA31D6" w:rsidRPr="00A628C6">
        <w:t>.</w:t>
      </w:r>
    </w:p>
    <w:p w14:paraId="68913520" w14:textId="77777777" w:rsidR="0028206E" w:rsidRPr="00A628C6" w:rsidRDefault="0028206E" w:rsidP="0028206E">
      <w:pPr>
        <w:tabs>
          <w:tab w:val="left" w:pos="2268"/>
        </w:tabs>
        <w:spacing w:after="120"/>
        <w:ind w:left="1134" w:rightChars="540" w:right="1080"/>
        <w:jc w:val="both"/>
        <w:rPr>
          <w:bCs/>
        </w:rPr>
      </w:pPr>
      <w:r w:rsidRPr="00A628C6">
        <w:rPr>
          <w:bCs/>
          <w:i/>
        </w:rPr>
        <w:t xml:space="preserve">Paragraph 6.3.2., </w:t>
      </w:r>
      <w:r w:rsidRPr="00A628C6">
        <w:rPr>
          <w:bCs/>
        </w:rPr>
        <w:t>amend to read:</w:t>
      </w:r>
    </w:p>
    <w:p w14:paraId="25AFF933" w14:textId="77777777" w:rsidR="0028206E" w:rsidRPr="00A628C6" w:rsidRDefault="0028206E" w:rsidP="0028206E">
      <w:pPr>
        <w:spacing w:after="120"/>
        <w:ind w:left="2268" w:right="1134" w:hanging="1134"/>
        <w:jc w:val="both"/>
      </w:pPr>
      <w:r>
        <w:rPr>
          <w:bCs/>
        </w:rPr>
        <w:t>“</w:t>
      </w:r>
      <w:r w:rsidRPr="00A628C6">
        <w:t xml:space="preserve">6.3.2. </w:t>
      </w:r>
      <w:r w:rsidRPr="00A628C6">
        <w:tab/>
        <w:t>Arrangement</w:t>
      </w:r>
    </w:p>
    <w:p w14:paraId="6AF7D492" w14:textId="46A2CB5D" w:rsidR="0028206E" w:rsidRPr="00C43483" w:rsidRDefault="0028206E" w:rsidP="0028206E">
      <w:pPr>
        <w:spacing w:after="120"/>
        <w:ind w:left="2268" w:right="1134"/>
        <w:jc w:val="both"/>
        <w:rPr>
          <w:strike/>
        </w:rPr>
      </w:pPr>
      <w:r w:rsidRPr="00C43483">
        <w:t>Two front indicators, type-approved as category 1, 1a or 1b according to the 01 or subsequent series of amendments to UN Regulation No. 6, or to</w:t>
      </w:r>
      <w:r w:rsidRPr="00C43483">
        <w:rPr>
          <w:lang w:eastAsia="ja-JP"/>
        </w:rPr>
        <w:t xml:space="preserve"> </w:t>
      </w:r>
      <w:r w:rsidRPr="00C43483">
        <w:t>the 00 or subsequent series of amendments to UN Regulation 148; or category 11, 11a, 11b or 11c according to the 00 or subsequent series of amendments to UN Regulation Nos. 50 or 148.</w:t>
      </w:r>
    </w:p>
    <w:p w14:paraId="40A2C3F9" w14:textId="714B4625" w:rsidR="0028206E" w:rsidRPr="00C43483" w:rsidRDefault="0028206E" w:rsidP="0028206E">
      <w:pPr>
        <w:spacing w:after="120"/>
        <w:ind w:left="2268" w:right="1134"/>
        <w:jc w:val="both"/>
        <w:rPr>
          <w:strike/>
        </w:rPr>
      </w:pPr>
      <w:r w:rsidRPr="00C43483">
        <w:t xml:space="preserve">Two rear indicators, type-approved </w:t>
      </w:r>
      <w:r w:rsidR="00E61724">
        <w:t xml:space="preserve">as category </w:t>
      </w:r>
      <w:r w:rsidR="0087265F">
        <w:t xml:space="preserve">2 </w:t>
      </w:r>
      <w:r w:rsidRPr="00C43483">
        <w:t>according to the 01 or subsequent series of amendments to UN Regulation No. 6, or</w:t>
      </w:r>
      <w:r w:rsidR="00B60D82" w:rsidRPr="00C43483">
        <w:t xml:space="preserve"> </w:t>
      </w:r>
      <w:r w:rsidRPr="00C43483">
        <w:t>to</w:t>
      </w:r>
      <w:r w:rsidRPr="00C43483">
        <w:rPr>
          <w:lang w:eastAsia="ja-JP"/>
        </w:rPr>
        <w:t xml:space="preserve"> </w:t>
      </w:r>
      <w:r w:rsidRPr="00C43483">
        <w:t xml:space="preserve">the 00 or </w:t>
      </w:r>
      <w:r w:rsidRPr="00C43483">
        <w:lastRenderedPageBreak/>
        <w:t>subsequent series of amendments to UN Regulation No. 148; or</w:t>
      </w:r>
      <w:r w:rsidR="0087265F">
        <w:t xml:space="preserve"> </w:t>
      </w:r>
      <w:r w:rsidRPr="00C43483">
        <w:t>category 12</w:t>
      </w:r>
      <w:r w:rsidR="00B60D82" w:rsidRPr="00C43483">
        <w:t xml:space="preserve"> </w:t>
      </w:r>
      <w:r w:rsidRPr="00C43483">
        <w:t xml:space="preserve">according to </w:t>
      </w:r>
      <w:r w:rsidRPr="00C43483">
        <w:rPr>
          <w:lang w:eastAsia="ja-JP"/>
        </w:rPr>
        <w:t>t</w:t>
      </w:r>
      <w:r w:rsidRPr="00C43483">
        <w:t>he 00 or subsequent series of amendments to UN Regulation Nos. 50 or 148.”</w:t>
      </w:r>
    </w:p>
    <w:p w14:paraId="3F4506B1" w14:textId="77777777" w:rsidR="0028206E" w:rsidRPr="00A628C6" w:rsidRDefault="0028206E" w:rsidP="0028206E">
      <w:pPr>
        <w:tabs>
          <w:tab w:val="left" w:pos="2268"/>
        </w:tabs>
        <w:spacing w:after="120"/>
        <w:ind w:left="1134" w:rightChars="540" w:right="1080"/>
        <w:jc w:val="both"/>
        <w:rPr>
          <w:bCs/>
        </w:rPr>
      </w:pPr>
      <w:r w:rsidRPr="00A628C6">
        <w:rPr>
          <w:bCs/>
          <w:i/>
        </w:rPr>
        <w:t xml:space="preserve">Paragraph 6.4.1., </w:t>
      </w:r>
      <w:r w:rsidRPr="00A628C6">
        <w:rPr>
          <w:bCs/>
        </w:rPr>
        <w:t>amend to read:</w:t>
      </w:r>
    </w:p>
    <w:p w14:paraId="561E88F8" w14:textId="77777777" w:rsidR="0028206E" w:rsidRPr="00A628C6" w:rsidRDefault="0028206E" w:rsidP="0028206E">
      <w:pPr>
        <w:spacing w:after="120"/>
        <w:ind w:left="2268" w:right="1134" w:hanging="1134"/>
        <w:jc w:val="both"/>
      </w:pPr>
      <w:r>
        <w:rPr>
          <w:bCs/>
        </w:rPr>
        <w:t>“</w:t>
      </w:r>
      <w:r w:rsidRPr="00A628C6">
        <w:t xml:space="preserve">6.4.1. </w:t>
      </w:r>
      <w:r w:rsidRPr="00A628C6">
        <w:tab/>
        <w:t>Number</w:t>
      </w:r>
    </w:p>
    <w:p w14:paraId="6C7975AC" w14:textId="77777777" w:rsidR="0028206E" w:rsidRPr="00C94ED2" w:rsidRDefault="0028206E" w:rsidP="0028206E">
      <w:pPr>
        <w:spacing w:after="120"/>
        <w:ind w:left="2268" w:right="1134"/>
        <w:jc w:val="both"/>
      </w:pPr>
      <w:r w:rsidRPr="00C94ED2">
        <w:t xml:space="preserve">One or two, type-approved as a category S1 device according to </w:t>
      </w:r>
      <w:r w:rsidRPr="00C94ED2">
        <w:rPr>
          <w:lang w:eastAsia="ja-JP"/>
        </w:rPr>
        <w:t xml:space="preserve">the 02 </w:t>
      </w:r>
      <w:r w:rsidRPr="00C94ED2">
        <w:t>or subsequent series of amendments to UN Regulation No. 7, or to</w:t>
      </w:r>
      <w:r w:rsidRPr="00C94ED2">
        <w:rPr>
          <w:lang w:eastAsia="ja-JP"/>
        </w:rPr>
        <w:t xml:space="preserve"> </w:t>
      </w:r>
      <w:r w:rsidRPr="00C94ED2">
        <w:t xml:space="preserve">the 00 or subsequent series of amendments to UN Regulation No. 148; or as a stop lamp for category L </w:t>
      </w:r>
      <w:r w:rsidRPr="00C94ED2">
        <w:rPr>
          <w:lang w:eastAsia="ja-JP"/>
        </w:rPr>
        <w:t xml:space="preserve">vehicles </w:t>
      </w:r>
      <w:r w:rsidRPr="00C94ED2">
        <w:t>according to the 00 or subsequent series of amendments to UN Regulation Nos. 50 or 148.</w:t>
      </w:r>
    </w:p>
    <w:p w14:paraId="0AA430B0" w14:textId="77777777" w:rsidR="0028206E" w:rsidRPr="00C94ED2" w:rsidRDefault="0028206E" w:rsidP="0028206E">
      <w:pPr>
        <w:pStyle w:val="para"/>
        <w:ind w:firstLine="0"/>
        <w:rPr>
          <w:strike/>
          <w:lang w:val="en-GB" w:eastAsia="ja-JP"/>
        </w:rPr>
      </w:pPr>
      <w:r w:rsidRPr="00C94ED2">
        <w:rPr>
          <w:lang w:val="en-GB"/>
        </w:rPr>
        <w:t xml:space="preserve">Optional one, type-approved as a category S3 device according to </w:t>
      </w:r>
      <w:r w:rsidRPr="00C94ED2">
        <w:rPr>
          <w:lang w:val="en-GB" w:eastAsia="ja-JP"/>
        </w:rPr>
        <w:t xml:space="preserve">the 02 </w:t>
      </w:r>
      <w:r w:rsidRPr="00C94ED2">
        <w:rPr>
          <w:lang w:val="en-GB"/>
        </w:rPr>
        <w:t>or subsequent series of amendments to UN Regulation No. 7, or to</w:t>
      </w:r>
      <w:r w:rsidRPr="00C94ED2">
        <w:rPr>
          <w:lang w:val="en-GB" w:eastAsia="ja-JP"/>
        </w:rPr>
        <w:t xml:space="preserve"> </w:t>
      </w:r>
      <w:r w:rsidRPr="00C94ED2">
        <w:rPr>
          <w:lang w:val="en-GB"/>
        </w:rPr>
        <w:t>the 00 or subsequent series of amendments to UN Regulation No. 148</w:t>
      </w:r>
      <w:r w:rsidRPr="00C94ED2">
        <w:rPr>
          <w:lang w:val="en-GB" w:eastAsia="ja-JP"/>
        </w:rPr>
        <w:t>.</w:t>
      </w:r>
      <w:r w:rsidRPr="00C94ED2">
        <w:rPr>
          <w:lang w:val="en-US"/>
        </w:rPr>
        <w:t>”</w:t>
      </w:r>
    </w:p>
    <w:p w14:paraId="57EC8450" w14:textId="77777777" w:rsidR="0028206E" w:rsidRPr="00696E77" w:rsidRDefault="0028206E" w:rsidP="0028206E">
      <w:pPr>
        <w:tabs>
          <w:tab w:val="left" w:pos="2268"/>
        </w:tabs>
        <w:spacing w:after="120"/>
        <w:ind w:left="1134" w:rightChars="540" w:right="1080"/>
        <w:jc w:val="both"/>
        <w:rPr>
          <w:bCs/>
        </w:rPr>
      </w:pPr>
      <w:r w:rsidRPr="00696E77">
        <w:rPr>
          <w:bCs/>
          <w:i/>
        </w:rPr>
        <w:t xml:space="preserve">Paragraph 6.5.1., </w:t>
      </w:r>
      <w:r w:rsidRPr="00696E77">
        <w:rPr>
          <w:bCs/>
        </w:rPr>
        <w:t>amend to read:</w:t>
      </w:r>
    </w:p>
    <w:p w14:paraId="279CC9A1" w14:textId="77777777" w:rsidR="0028206E" w:rsidRPr="00696E77" w:rsidRDefault="0028206E" w:rsidP="0028206E">
      <w:pPr>
        <w:spacing w:after="120"/>
        <w:ind w:left="2268" w:right="1134" w:hanging="1134"/>
        <w:jc w:val="both"/>
      </w:pPr>
      <w:r>
        <w:rPr>
          <w:bCs/>
        </w:rPr>
        <w:t>“</w:t>
      </w:r>
      <w:r w:rsidRPr="00696E77">
        <w:t xml:space="preserve">6.5.1. </w:t>
      </w:r>
      <w:r w:rsidRPr="00696E77">
        <w:tab/>
        <w:t>Number</w:t>
      </w:r>
    </w:p>
    <w:p w14:paraId="44EFF3CA" w14:textId="70FE8FB0" w:rsidR="0028206E" w:rsidRPr="00406D84" w:rsidRDefault="0028206E" w:rsidP="0028206E">
      <w:pPr>
        <w:spacing w:after="120"/>
        <w:ind w:left="2268" w:rightChars="540" w:right="1080"/>
        <w:jc w:val="both"/>
        <w:rPr>
          <w:strike/>
        </w:rPr>
      </w:pPr>
      <w:r w:rsidRPr="00696E77">
        <w:rPr>
          <w:bCs/>
          <w:iCs/>
        </w:rPr>
        <w:tab/>
      </w:r>
      <w:r w:rsidRPr="00406D84">
        <w:t xml:space="preserve">One, type-approved as category 2 according to </w:t>
      </w:r>
      <w:r w:rsidRPr="00406D84">
        <w:rPr>
          <w:lang w:eastAsia="ja-JP"/>
        </w:rPr>
        <w:t xml:space="preserve">the 00 </w:t>
      </w:r>
      <w:r w:rsidRPr="00406D84">
        <w:t>or subsequent series of amendments to UN Regulation Nos. 50 or 148.</w:t>
      </w:r>
      <w:r w:rsidRPr="00406D84">
        <w:rPr>
          <w:strike/>
        </w:rPr>
        <w:t xml:space="preserve"> </w:t>
      </w:r>
    </w:p>
    <w:p w14:paraId="44685F1B" w14:textId="77777777" w:rsidR="0028206E" w:rsidRPr="00406D84" w:rsidRDefault="0028206E" w:rsidP="0028206E">
      <w:pPr>
        <w:spacing w:after="120"/>
        <w:ind w:left="2268" w:rightChars="540" w:right="1080"/>
        <w:jc w:val="both"/>
        <w:rPr>
          <w:iCs/>
        </w:rPr>
      </w:pPr>
      <w:r w:rsidRPr="00406D84">
        <w:t>The device may consist of several optical components designed to illuminate the space reserved for the registration plate.”</w:t>
      </w:r>
    </w:p>
    <w:p w14:paraId="731556A9" w14:textId="77777777" w:rsidR="0028206E" w:rsidRPr="00696E77" w:rsidRDefault="0028206E" w:rsidP="0028206E">
      <w:pPr>
        <w:tabs>
          <w:tab w:val="left" w:pos="2268"/>
        </w:tabs>
        <w:spacing w:after="120"/>
        <w:ind w:left="1134" w:rightChars="540" w:right="1080"/>
        <w:jc w:val="both"/>
        <w:rPr>
          <w:bCs/>
        </w:rPr>
      </w:pPr>
      <w:r w:rsidRPr="00696E77">
        <w:rPr>
          <w:bCs/>
          <w:i/>
        </w:rPr>
        <w:t xml:space="preserve">Paragraph 6.6.1., </w:t>
      </w:r>
      <w:r w:rsidRPr="00696E77">
        <w:rPr>
          <w:bCs/>
        </w:rPr>
        <w:t>amend to read:</w:t>
      </w:r>
    </w:p>
    <w:p w14:paraId="14AA9905" w14:textId="77777777" w:rsidR="0028206E" w:rsidRPr="00696E77" w:rsidRDefault="0028206E" w:rsidP="0028206E">
      <w:pPr>
        <w:spacing w:after="120"/>
        <w:ind w:left="2268" w:right="1134" w:hanging="1134"/>
        <w:jc w:val="both"/>
      </w:pPr>
      <w:r>
        <w:rPr>
          <w:bCs/>
        </w:rPr>
        <w:t>“</w:t>
      </w:r>
      <w:r w:rsidRPr="00696E77">
        <w:t xml:space="preserve">6.6.1. </w:t>
      </w:r>
      <w:r w:rsidRPr="00696E77">
        <w:tab/>
        <w:t>Number</w:t>
      </w:r>
    </w:p>
    <w:p w14:paraId="6FBCFF99" w14:textId="39721820" w:rsidR="0028206E" w:rsidRDefault="0028206E" w:rsidP="0028206E">
      <w:pPr>
        <w:pStyle w:val="Default"/>
        <w:spacing w:after="120"/>
        <w:ind w:leftChars="1134" w:left="2268"/>
        <w:rPr>
          <w:sz w:val="20"/>
          <w:szCs w:val="20"/>
          <w:lang w:val="en-GB"/>
        </w:rPr>
      </w:pPr>
      <w:r w:rsidRPr="00696E77">
        <w:rPr>
          <w:sz w:val="20"/>
          <w:szCs w:val="20"/>
          <w:lang w:val="en-GB"/>
        </w:rPr>
        <w:t>One or two</w:t>
      </w:r>
      <w:r w:rsidRPr="00696E77">
        <w:rPr>
          <w:sz w:val="20"/>
          <w:szCs w:val="20"/>
          <w:lang w:val="en-GB"/>
        </w:rPr>
        <w:tab/>
      </w:r>
      <w:r w:rsidRPr="00696E77">
        <w:rPr>
          <w:sz w:val="20"/>
          <w:szCs w:val="20"/>
          <w:lang w:val="en-GB"/>
        </w:rPr>
        <w:tab/>
        <w:t>if coloured white</w:t>
      </w:r>
      <w:r w:rsidR="00DB3421">
        <w:rPr>
          <w:sz w:val="20"/>
          <w:szCs w:val="20"/>
          <w:lang w:val="en-GB"/>
        </w:rPr>
        <w:t>;</w:t>
      </w:r>
      <w:r w:rsidRPr="00696E77">
        <w:rPr>
          <w:sz w:val="20"/>
          <w:szCs w:val="20"/>
          <w:lang w:val="en-GB"/>
        </w:rPr>
        <w:t xml:space="preserve"> </w:t>
      </w:r>
    </w:p>
    <w:p w14:paraId="40A685EC" w14:textId="77777777" w:rsidR="0028206E" w:rsidRPr="00696E77" w:rsidRDefault="0028206E" w:rsidP="0028206E">
      <w:pPr>
        <w:pStyle w:val="Default"/>
        <w:spacing w:after="120"/>
        <w:ind w:leftChars="1134" w:left="2268"/>
        <w:rPr>
          <w:sz w:val="20"/>
          <w:szCs w:val="20"/>
          <w:lang w:val="en-GB"/>
        </w:rPr>
      </w:pPr>
      <w:r w:rsidRPr="00696E77">
        <w:rPr>
          <w:sz w:val="20"/>
          <w:szCs w:val="20"/>
          <w:lang w:val="en-GB"/>
        </w:rPr>
        <w:t xml:space="preserve">or </w:t>
      </w:r>
    </w:p>
    <w:p w14:paraId="4F6C7398" w14:textId="77777777" w:rsidR="0028206E" w:rsidRPr="00406D84" w:rsidRDefault="0028206E" w:rsidP="0028206E">
      <w:pPr>
        <w:spacing w:after="120"/>
        <w:ind w:left="1701" w:rightChars="540" w:right="1080" w:firstLine="567"/>
        <w:jc w:val="both"/>
      </w:pPr>
      <w:r w:rsidRPr="00406D84">
        <w:t>Two (one per side)</w:t>
      </w:r>
      <w:r w:rsidRPr="00406D84">
        <w:tab/>
        <w:t>if coloured amber.</w:t>
      </w:r>
    </w:p>
    <w:p w14:paraId="0E9B654A" w14:textId="77777777" w:rsidR="0028206E" w:rsidRPr="00406D84" w:rsidRDefault="0028206E" w:rsidP="0028206E">
      <w:pPr>
        <w:spacing w:after="120"/>
        <w:ind w:left="2268" w:right="1134"/>
        <w:jc w:val="both"/>
        <w:rPr>
          <w:lang w:eastAsia="ja-JP"/>
        </w:rPr>
      </w:pPr>
      <w:r w:rsidRPr="00406D84">
        <w:t>The device(s) shall be</w:t>
      </w:r>
      <w:r w:rsidRPr="00406D84">
        <w:rPr>
          <w:lang w:eastAsia="ja-JP"/>
        </w:rPr>
        <w:t xml:space="preserve"> type-approved according to the 02 </w:t>
      </w:r>
      <w:r w:rsidRPr="00406D84">
        <w:t>or subsequent series of amendments to UN Regulation No. 7, or to</w:t>
      </w:r>
      <w:r w:rsidRPr="00406D84">
        <w:rPr>
          <w:lang w:eastAsia="ja-JP"/>
        </w:rPr>
        <w:t xml:space="preserve"> </w:t>
      </w:r>
      <w:r w:rsidRPr="00406D84">
        <w:t>the 00 or subsequent series of amendments to UN Regulation Nos. 50 or 148.”</w:t>
      </w:r>
    </w:p>
    <w:p w14:paraId="7A897DE7" w14:textId="77777777" w:rsidR="0028206E" w:rsidRPr="00406D84" w:rsidRDefault="0028206E" w:rsidP="0028206E">
      <w:pPr>
        <w:tabs>
          <w:tab w:val="left" w:pos="2268"/>
        </w:tabs>
        <w:spacing w:after="120"/>
        <w:ind w:left="1134" w:rightChars="540" w:right="1080"/>
        <w:jc w:val="both"/>
        <w:rPr>
          <w:bCs/>
        </w:rPr>
      </w:pPr>
      <w:r w:rsidRPr="00406D84">
        <w:rPr>
          <w:bCs/>
          <w:i/>
        </w:rPr>
        <w:t xml:space="preserve">Paragraph 6.7.1., </w:t>
      </w:r>
      <w:r w:rsidRPr="00406D84">
        <w:rPr>
          <w:bCs/>
        </w:rPr>
        <w:t>amend to read:</w:t>
      </w:r>
    </w:p>
    <w:p w14:paraId="07B005B3" w14:textId="77777777" w:rsidR="0028206E" w:rsidRPr="00406D84" w:rsidRDefault="0028206E" w:rsidP="0028206E">
      <w:pPr>
        <w:spacing w:after="120"/>
        <w:ind w:left="2268" w:right="1134" w:hanging="1134"/>
        <w:jc w:val="both"/>
        <w:rPr>
          <w:bCs/>
        </w:rPr>
      </w:pPr>
      <w:r w:rsidRPr="00406D84">
        <w:rPr>
          <w:bCs/>
        </w:rPr>
        <w:t xml:space="preserve">“6.7.1. </w:t>
      </w:r>
      <w:r w:rsidRPr="00406D84">
        <w:rPr>
          <w:bCs/>
        </w:rPr>
        <w:tab/>
        <w:t>Number</w:t>
      </w:r>
    </w:p>
    <w:p w14:paraId="06D76465" w14:textId="77777777" w:rsidR="0028206E" w:rsidRPr="00406D84" w:rsidRDefault="0028206E" w:rsidP="0028206E">
      <w:pPr>
        <w:spacing w:after="120"/>
        <w:ind w:left="2268" w:right="1134"/>
        <w:jc w:val="both"/>
        <w:rPr>
          <w:bCs/>
          <w:lang w:eastAsia="ja-JP"/>
        </w:rPr>
      </w:pPr>
      <w:r w:rsidRPr="00406D84">
        <w:rPr>
          <w:bCs/>
        </w:rPr>
        <w:t>One or two,</w:t>
      </w:r>
      <w:r w:rsidRPr="00406D84">
        <w:rPr>
          <w:bCs/>
          <w:lang w:eastAsia="ja-JP"/>
        </w:rPr>
        <w:t xml:space="preserve"> type-approved according to the 02 </w:t>
      </w:r>
      <w:r w:rsidRPr="00406D84">
        <w:rPr>
          <w:bCs/>
        </w:rPr>
        <w:t>or subsequent series of amendments to UN Regulation No. 7, or to</w:t>
      </w:r>
      <w:r w:rsidRPr="00406D84">
        <w:rPr>
          <w:bCs/>
          <w:lang w:eastAsia="ja-JP"/>
        </w:rPr>
        <w:t xml:space="preserve"> </w:t>
      </w:r>
      <w:r w:rsidRPr="00406D84">
        <w:rPr>
          <w:bCs/>
        </w:rPr>
        <w:t>the 00 or subsequent series of amendments to UN Regulation Nos. 50 or 148.”</w:t>
      </w:r>
    </w:p>
    <w:p w14:paraId="10332B4B" w14:textId="77777777" w:rsidR="0028206E" w:rsidRPr="00406D84" w:rsidRDefault="0028206E" w:rsidP="0028206E">
      <w:pPr>
        <w:tabs>
          <w:tab w:val="left" w:pos="2268"/>
        </w:tabs>
        <w:spacing w:after="120"/>
        <w:ind w:left="1134" w:rightChars="540" w:right="1080"/>
        <w:jc w:val="both"/>
        <w:rPr>
          <w:bCs/>
        </w:rPr>
      </w:pPr>
      <w:r w:rsidRPr="00406D84">
        <w:rPr>
          <w:bCs/>
          <w:i/>
        </w:rPr>
        <w:t xml:space="preserve">Paragraph 6.8.1., </w:t>
      </w:r>
      <w:r w:rsidRPr="00406D84">
        <w:rPr>
          <w:bCs/>
        </w:rPr>
        <w:t>amend to read:</w:t>
      </w:r>
    </w:p>
    <w:p w14:paraId="1610A35B" w14:textId="77777777" w:rsidR="0028206E" w:rsidRPr="00406D84" w:rsidRDefault="0028206E" w:rsidP="0028206E">
      <w:pPr>
        <w:spacing w:after="120"/>
        <w:ind w:left="2268" w:right="1134" w:hanging="1134"/>
        <w:jc w:val="both"/>
        <w:rPr>
          <w:bCs/>
        </w:rPr>
      </w:pPr>
      <w:r w:rsidRPr="00406D84">
        <w:rPr>
          <w:bCs/>
        </w:rPr>
        <w:t xml:space="preserve">“6.8.1. </w:t>
      </w:r>
      <w:r w:rsidRPr="00406D84">
        <w:rPr>
          <w:bCs/>
        </w:rPr>
        <w:tab/>
        <w:t>Number</w:t>
      </w:r>
    </w:p>
    <w:p w14:paraId="17579C00" w14:textId="77777777" w:rsidR="0028206E" w:rsidRPr="00406D84" w:rsidRDefault="0028206E" w:rsidP="0028206E">
      <w:pPr>
        <w:spacing w:after="120"/>
        <w:ind w:left="2268" w:rightChars="540" w:right="1080"/>
        <w:jc w:val="both"/>
        <w:rPr>
          <w:bCs/>
        </w:rPr>
      </w:pPr>
      <w:r w:rsidRPr="00406D84">
        <w:rPr>
          <w:bCs/>
        </w:rPr>
        <w:t>One or two, type-approved as Class IA or IB according to the 02 or subsequent series of amendments to UN Regulation No. 3, or to</w:t>
      </w:r>
      <w:r w:rsidRPr="00406D84">
        <w:rPr>
          <w:bCs/>
          <w:lang w:eastAsia="ja-JP"/>
        </w:rPr>
        <w:t xml:space="preserve"> </w:t>
      </w:r>
      <w:r w:rsidRPr="00406D84">
        <w:rPr>
          <w:bCs/>
        </w:rPr>
        <w:t>the 00 or subsequent series of amendments to UN Regulation No. 150.”</w:t>
      </w:r>
    </w:p>
    <w:p w14:paraId="1708597C" w14:textId="77777777" w:rsidR="0028206E" w:rsidRPr="00A628C6" w:rsidRDefault="0028206E" w:rsidP="0028206E">
      <w:pPr>
        <w:tabs>
          <w:tab w:val="left" w:pos="2268"/>
        </w:tabs>
        <w:spacing w:after="120"/>
        <w:ind w:left="1134" w:rightChars="540" w:right="1080"/>
        <w:jc w:val="both"/>
        <w:rPr>
          <w:bCs/>
        </w:rPr>
      </w:pPr>
      <w:r w:rsidRPr="00A628C6">
        <w:rPr>
          <w:bCs/>
          <w:i/>
        </w:rPr>
        <w:t xml:space="preserve">Paragraph 6.10.1., </w:t>
      </w:r>
      <w:r w:rsidRPr="00A628C6">
        <w:rPr>
          <w:bCs/>
        </w:rPr>
        <w:t>amend to read:</w:t>
      </w:r>
    </w:p>
    <w:p w14:paraId="365DA757" w14:textId="77777777" w:rsidR="0028206E" w:rsidRPr="00406D84" w:rsidRDefault="0028206E" w:rsidP="0028206E">
      <w:pPr>
        <w:spacing w:after="120"/>
        <w:ind w:left="2268" w:right="1134" w:hanging="1134"/>
        <w:jc w:val="both"/>
      </w:pPr>
      <w:r w:rsidRPr="00406D84">
        <w:t xml:space="preserve">“6.10.1. </w:t>
      </w:r>
      <w:r w:rsidRPr="00406D84">
        <w:tab/>
        <w:t>Number</w:t>
      </w:r>
    </w:p>
    <w:p w14:paraId="41E97E69" w14:textId="77777777" w:rsidR="0028206E" w:rsidRPr="00406D84" w:rsidRDefault="0028206E" w:rsidP="0028206E">
      <w:pPr>
        <w:spacing w:after="120"/>
        <w:ind w:leftChars="1134" w:left="2268" w:rightChars="540" w:right="1080"/>
        <w:jc w:val="both"/>
        <w:rPr>
          <w:iCs/>
        </w:rPr>
      </w:pPr>
      <w:r w:rsidRPr="00406D84">
        <w:t xml:space="preserve">One or two, type-approved as Class “F3” according to the </w:t>
      </w:r>
      <w:r w:rsidRPr="00406D84">
        <w:rPr>
          <w:lang w:val="en-US"/>
        </w:rPr>
        <w:t xml:space="preserve">03 or subsequent series of amendments to </w:t>
      </w:r>
      <w:r w:rsidRPr="00406D84">
        <w:t xml:space="preserve">UN Regulation No. 19, or to </w:t>
      </w:r>
      <w:r w:rsidRPr="00406D84">
        <w:rPr>
          <w:lang w:val="en-US"/>
        </w:rPr>
        <w:t xml:space="preserve">the 00 or subsequent series of amendments to UN Regulation No. </w:t>
      </w:r>
      <w:r w:rsidRPr="00406D84">
        <w:t>149.”</w:t>
      </w:r>
    </w:p>
    <w:p w14:paraId="35A358C3" w14:textId="77777777" w:rsidR="0028206E" w:rsidRPr="00406D84" w:rsidRDefault="0028206E" w:rsidP="0028206E">
      <w:pPr>
        <w:tabs>
          <w:tab w:val="left" w:pos="2268"/>
        </w:tabs>
        <w:spacing w:after="120"/>
        <w:ind w:left="1134" w:rightChars="540" w:right="1080"/>
        <w:jc w:val="both"/>
      </w:pPr>
      <w:r w:rsidRPr="00406D84">
        <w:rPr>
          <w:i/>
        </w:rPr>
        <w:t xml:space="preserve">Paragraph 6.11.1., </w:t>
      </w:r>
      <w:r w:rsidRPr="00406D84">
        <w:t>amend to read:</w:t>
      </w:r>
    </w:p>
    <w:p w14:paraId="569109C7" w14:textId="77777777" w:rsidR="0028206E" w:rsidRPr="00406D84" w:rsidRDefault="0028206E" w:rsidP="0028206E">
      <w:pPr>
        <w:pStyle w:val="para"/>
        <w:rPr>
          <w:lang w:val="en-GB"/>
        </w:rPr>
      </w:pPr>
      <w:r w:rsidRPr="00406D84">
        <w:rPr>
          <w:lang w:val="en-GB"/>
        </w:rPr>
        <w:t>“6.11.1.</w:t>
      </w:r>
      <w:r w:rsidRPr="00406D84">
        <w:rPr>
          <w:sz w:val="24"/>
          <w:szCs w:val="24"/>
          <w:lang w:val="en-GB"/>
        </w:rPr>
        <w:tab/>
      </w:r>
      <w:r w:rsidRPr="00406D84">
        <w:rPr>
          <w:lang w:val="en-GB"/>
        </w:rPr>
        <w:t>Number</w:t>
      </w:r>
    </w:p>
    <w:p w14:paraId="15310870" w14:textId="77777777" w:rsidR="0028206E" w:rsidRPr="00406D84" w:rsidRDefault="0028206E" w:rsidP="0028206E">
      <w:pPr>
        <w:pStyle w:val="SingleTxtG"/>
        <w:ind w:left="2268"/>
      </w:pPr>
      <w:r w:rsidRPr="00406D84">
        <w:t xml:space="preserve">One or two, type-approved according to the </w:t>
      </w:r>
      <w:r w:rsidRPr="00406D84">
        <w:rPr>
          <w:lang w:val="en-US"/>
        </w:rPr>
        <w:t xml:space="preserve">00 or subsequent series of amendments to </w:t>
      </w:r>
      <w:r w:rsidRPr="00406D84">
        <w:t>UN Regulation Nos. 38 or 148.”</w:t>
      </w:r>
    </w:p>
    <w:p w14:paraId="151D6ECE" w14:textId="77777777" w:rsidR="0028206E" w:rsidRPr="00406D84" w:rsidRDefault="0028206E" w:rsidP="0028206E">
      <w:pPr>
        <w:tabs>
          <w:tab w:val="left" w:pos="2268"/>
        </w:tabs>
        <w:spacing w:after="120"/>
        <w:ind w:left="1134" w:rightChars="540" w:right="1080"/>
        <w:jc w:val="both"/>
      </w:pPr>
      <w:r w:rsidRPr="00406D84">
        <w:rPr>
          <w:i/>
        </w:rPr>
        <w:lastRenderedPageBreak/>
        <w:t xml:space="preserve">Paragraph 6.12.1., </w:t>
      </w:r>
      <w:r w:rsidRPr="00406D84">
        <w:t>amend to read:</w:t>
      </w:r>
    </w:p>
    <w:p w14:paraId="25309E91" w14:textId="77777777" w:rsidR="0028206E" w:rsidRPr="00406D84" w:rsidRDefault="0028206E" w:rsidP="0028206E">
      <w:pPr>
        <w:spacing w:after="120"/>
        <w:ind w:left="2268" w:right="1134" w:hanging="1134"/>
        <w:jc w:val="both"/>
      </w:pPr>
      <w:r w:rsidRPr="00406D84">
        <w:t>“6.12.1.</w:t>
      </w:r>
      <w:r w:rsidRPr="00406D84">
        <w:tab/>
        <w:t>Number per side</w:t>
      </w:r>
    </w:p>
    <w:p w14:paraId="553FF053" w14:textId="77777777" w:rsidR="0028206E" w:rsidRPr="00406D84" w:rsidRDefault="0028206E" w:rsidP="0028206E">
      <w:pPr>
        <w:spacing w:after="120"/>
        <w:ind w:leftChars="1134" w:left="2268" w:rightChars="540" w:right="1080"/>
        <w:jc w:val="both"/>
      </w:pPr>
      <w:r w:rsidRPr="00406D84">
        <w:t xml:space="preserve">One or two, type-approved as Class IA or IB according to the </w:t>
      </w:r>
      <w:r w:rsidRPr="00406D84">
        <w:rPr>
          <w:lang w:val="en-US"/>
        </w:rPr>
        <w:t xml:space="preserve">02 or subsequent series of amendments to </w:t>
      </w:r>
      <w:r w:rsidRPr="00406D84">
        <w:t xml:space="preserve">UN Regulation No. 3, or to </w:t>
      </w:r>
      <w:r w:rsidRPr="00406D84">
        <w:rPr>
          <w:lang w:val="en-US"/>
        </w:rPr>
        <w:t xml:space="preserve">the 00 or subsequent series of amendments to UN Regulation No. </w:t>
      </w:r>
      <w:r w:rsidRPr="00406D84">
        <w:t>150.”</w:t>
      </w:r>
    </w:p>
    <w:p w14:paraId="10F37D37" w14:textId="77777777" w:rsidR="0028206E" w:rsidRPr="00406D84" w:rsidRDefault="0028206E" w:rsidP="0028206E">
      <w:pPr>
        <w:tabs>
          <w:tab w:val="left" w:pos="2268"/>
        </w:tabs>
        <w:spacing w:after="120"/>
        <w:ind w:left="1134" w:rightChars="540" w:right="1080"/>
        <w:jc w:val="both"/>
      </w:pPr>
      <w:r w:rsidRPr="00406D84">
        <w:rPr>
          <w:i/>
        </w:rPr>
        <w:t xml:space="preserve">Paragraph 6.13.2., </w:t>
      </w:r>
      <w:r w:rsidRPr="00406D84">
        <w:t>amend to read:</w:t>
      </w:r>
    </w:p>
    <w:p w14:paraId="68177162" w14:textId="77777777" w:rsidR="0028206E" w:rsidRPr="00406D84" w:rsidRDefault="0028206E" w:rsidP="0028206E">
      <w:pPr>
        <w:spacing w:after="120"/>
        <w:ind w:left="2268" w:right="1134" w:hanging="1134"/>
        <w:jc w:val="both"/>
      </w:pPr>
      <w:r w:rsidRPr="00406D84">
        <w:t xml:space="preserve">“6.13.2. </w:t>
      </w:r>
      <w:r w:rsidRPr="00406D84">
        <w:tab/>
        <w:t>Number</w:t>
      </w:r>
    </w:p>
    <w:p w14:paraId="6665A49A" w14:textId="77777777" w:rsidR="0028206E" w:rsidRPr="00406D84" w:rsidRDefault="0028206E" w:rsidP="0028206E">
      <w:pPr>
        <w:pStyle w:val="SingleTxtG"/>
        <w:ind w:left="2268"/>
      </w:pPr>
      <w:r w:rsidRPr="00406D84">
        <w:t xml:space="preserve">One or two, type-approved according to the </w:t>
      </w:r>
      <w:r w:rsidRPr="00406D84">
        <w:rPr>
          <w:lang w:val="en-US"/>
        </w:rPr>
        <w:t xml:space="preserve">00 or subsequent series of amendments to </w:t>
      </w:r>
      <w:r w:rsidRPr="00406D84">
        <w:t>UN Regulation Nos. 87 or 148.”</w:t>
      </w:r>
    </w:p>
    <w:p w14:paraId="64688647" w14:textId="77777777" w:rsidR="0028206E" w:rsidRPr="00406D84" w:rsidRDefault="0028206E" w:rsidP="0028206E">
      <w:pPr>
        <w:tabs>
          <w:tab w:val="left" w:pos="2268"/>
        </w:tabs>
        <w:spacing w:after="120"/>
        <w:ind w:left="1134" w:rightChars="540" w:right="1080"/>
        <w:jc w:val="both"/>
      </w:pPr>
      <w:r w:rsidRPr="00406D84">
        <w:rPr>
          <w:i/>
        </w:rPr>
        <w:t xml:space="preserve">Paragraph 6.16.1.1., </w:t>
      </w:r>
      <w:r w:rsidRPr="00406D84">
        <w:t>amend to read:</w:t>
      </w:r>
    </w:p>
    <w:p w14:paraId="18F445EF" w14:textId="77777777" w:rsidR="0028206E" w:rsidRPr="00406D84" w:rsidRDefault="0028206E" w:rsidP="0028206E">
      <w:pPr>
        <w:spacing w:after="120"/>
        <w:ind w:left="2268" w:right="1134" w:hanging="1134"/>
        <w:jc w:val="both"/>
      </w:pPr>
      <w:r w:rsidRPr="00406D84">
        <w:t xml:space="preserve">“6.16.1.1. </w:t>
      </w:r>
      <w:r w:rsidRPr="00406D84">
        <w:tab/>
        <w:t>One, type-approved as adaptive driving-beam (ADB) for vehicles of category L</w:t>
      </w:r>
      <w:r w:rsidRPr="00406D84">
        <w:rPr>
          <w:vertAlign w:val="subscript"/>
        </w:rPr>
        <w:t>3</w:t>
      </w:r>
      <w:r w:rsidRPr="00406D84">
        <w:t xml:space="preserve"> according to the 01 or subsequent series to UN Regulation No. 149.”</w:t>
      </w:r>
    </w:p>
    <w:p w14:paraId="6E2BAA21" w14:textId="75BE0E06" w:rsidR="0028206E" w:rsidRPr="00A628C6" w:rsidRDefault="00406D84" w:rsidP="0028206E">
      <w:pPr>
        <w:spacing w:after="120"/>
        <w:ind w:left="1134" w:right="1134"/>
      </w:pPr>
      <w:r w:rsidRPr="00406D84">
        <w:rPr>
          <w:i/>
          <w:iCs/>
        </w:rPr>
        <w:t>I</w:t>
      </w:r>
      <w:r w:rsidR="0028206E" w:rsidRPr="00406D84">
        <w:rPr>
          <w:i/>
          <w:iCs/>
        </w:rPr>
        <w:t xml:space="preserve">nsert a new </w:t>
      </w:r>
      <w:r w:rsidRPr="00406D84">
        <w:rPr>
          <w:i/>
          <w:iCs/>
        </w:rPr>
        <w:t>paragraph 11.12</w:t>
      </w:r>
      <w:r w:rsidRPr="00A628C6">
        <w:rPr>
          <w:i/>
        </w:rPr>
        <w:t>.</w:t>
      </w:r>
      <w:r w:rsidRPr="00A628C6">
        <w:t xml:space="preserve">, </w:t>
      </w:r>
      <w:r w:rsidR="0028206E" w:rsidRPr="00A628C6">
        <w:t xml:space="preserve">to read: </w:t>
      </w:r>
    </w:p>
    <w:p w14:paraId="1C2A98B2" w14:textId="6F05AE14" w:rsidR="0028206E" w:rsidRPr="00E02089" w:rsidRDefault="0028206E" w:rsidP="0028206E">
      <w:pPr>
        <w:tabs>
          <w:tab w:val="left" w:pos="2268"/>
        </w:tabs>
        <w:spacing w:after="120"/>
        <w:ind w:left="2268" w:hanging="1134"/>
        <w:jc w:val="both"/>
        <w:rPr>
          <w:bCs/>
        </w:rPr>
      </w:pPr>
      <w:r w:rsidRPr="00E02089">
        <w:rPr>
          <w:bCs/>
        </w:rPr>
        <w:t>“11.12.</w:t>
      </w:r>
      <w:r w:rsidRPr="00E02089">
        <w:rPr>
          <w:bCs/>
        </w:rPr>
        <w:tab/>
        <w:t>Transitional provisions applicable to the 04 series of amendments</w:t>
      </w:r>
    </w:p>
    <w:p w14:paraId="29309CF0" w14:textId="47F426A2" w:rsidR="0028206E" w:rsidRPr="00E02089" w:rsidRDefault="0028206E" w:rsidP="0028206E">
      <w:pPr>
        <w:tabs>
          <w:tab w:val="left" w:pos="2268"/>
        </w:tabs>
        <w:spacing w:after="120"/>
        <w:ind w:left="2268" w:right="1134" w:hanging="1134"/>
        <w:jc w:val="both"/>
        <w:rPr>
          <w:bCs/>
        </w:rPr>
      </w:pPr>
      <w:r w:rsidRPr="00E02089">
        <w:rPr>
          <w:bCs/>
        </w:rPr>
        <w:t>11.12.1.</w:t>
      </w:r>
      <w:r w:rsidRPr="00E02089">
        <w:rPr>
          <w:bCs/>
        </w:rPr>
        <w:tab/>
        <w:t>As from the official date of entry into force of the 04 series of amendments, no Contracting Party applying this Regulation shall refuse to grant or refuse to accept type approvals under this Regulation as amended by the 04 series of amendments.</w:t>
      </w:r>
    </w:p>
    <w:p w14:paraId="49016679" w14:textId="7C7AE7F2" w:rsidR="0028206E" w:rsidRPr="00E02089" w:rsidRDefault="0028206E" w:rsidP="0028206E">
      <w:pPr>
        <w:tabs>
          <w:tab w:val="left" w:pos="2268"/>
        </w:tabs>
        <w:spacing w:after="120"/>
        <w:ind w:left="2268" w:right="1134" w:hanging="1134"/>
        <w:jc w:val="both"/>
        <w:rPr>
          <w:bCs/>
        </w:rPr>
      </w:pPr>
      <w:r w:rsidRPr="00E02089">
        <w:rPr>
          <w:bCs/>
        </w:rPr>
        <w:t>11.12.2.</w:t>
      </w:r>
      <w:r w:rsidRPr="00E02089">
        <w:rPr>
          <w:bCs/>
        </w:rPr>
        <w:tab/>
        <w:t>As from 1 September 2028, Contracting Parties applying this Regulation shall not be obliged to accept type approvals to the preceding series of amendments, first issued after 1 September 2028.</w:t>
      </w:r>
    </w:p>
    <w:p w14:paraId="55C50E24" w14:textId="72D90B4A" w:rsidR="0028206E" w:rsidRPr="00E02089" w:rsidRDefault="0028206E" w:rsidP="0028206E">
      <w:pPr>
        <w:tabs>
          <w:tab w:val="left" w:pos="2268"/>
        </w:tabs>
        <w:spacing w:after="120"/>
        <w:ind w:left="2268" w:right="1134" w:hanging="1134"/>
        <w:jc w:val="both"/>
        <w:rPr>
          <w:bCs/>
        </w:rPr>
      </w:pPr>
      <w:r w:rsidRPr="00E02089">
        <w:rPr>
          <w:bCs/>
        </w:rPr>
        <w:t>11.12.3.</w:t>
      </w:r>
      <w:r w:rsidRPr="00E02089">
        <w:rPr>
          <w:bCs/>
        </w:rPr>
        <w:tab/>
        <w:t>Until 1 September 2030, Contracting Parties applying this Regulation shall accept type approvals to the preceding series of amendments, first issued before 1 September 2028.</w:t>
      </w:r>
    </w:p>
    <w:p w14:paraId="03BC6149" w14:textId="20D2290F" w:rsidR="0028206E" w:rsidRPr="00E02089" w:rsidRDefault="0028206E" w:rsidP="0028206E">
      <w:pPr>
        <w:tabs>
          <w:tab w:val="left" w:pos="2268"/>
        </w:tabs>
        <w:spacing w:after="120"/>
        <w:ind w:left="2268" w:right="1134" w:hanging="1134"/>
        <w:jc w:val="both"/>
        <w:rPr>
          <w:bCs/>
        </w:rPr>
      </w:pPr>
      <w:r w:rsidRPr="00E02089">
        <w:rPr>
          <w:bCs/>
        </w:rPr>
        <w:t>11.12.4.</w:t>
      </w:r>
      <w:r w:rsidRPr="00E02089">
        <w:rPr>
          <w:bCs/>
        </w:rPr>
        <w:tab/>
        <w:t>As from 1 September 2030, Contracting Parties applying this Regulation shall not be obliged to accept type approvals, and extensions thereof, issued to the preceding series of amendments to this Regulation.</w:t>
      </w:r>
    </w:p>
    <w:p w14:paraId="6CECD7B4" w14:textId="77777777" w:rsidR="0028206E" w:rsidRPr="00E02089" w:rsidRDefault="0028206E" w:rsidP="0028206E">
      <w:pPr>
        <w:tabs>
          <w:tab w:val="left" w:pos="2268"/>
        </w:tabs>
        <w:spacing w:after="120"/>
        <w:ind w:left="2268" w:right="1134" w:hanging="1134"/>
        <w:jc w:val="both"/>
        <w:rPr>
          <w:bCs/>
        </w:rPr>
      </w:pPr>
      <w:r w:rsidRPr="00E02089">
        <w:rPr>
          <w:bCs/>
        </w:rPr>
        <w:t xml:space="preserve">11.12.5. </w:t>
      </w:r>
      <w:r w:rsidRPr="00E02089">
        <w:rPr>
          <w:bC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p>
    <w:p w14:paraId="551BF858" w14:textId="2FCDE2DC" w:rsidR="0028206E" w:rsidRPr="00E02089" w:rsidRDefault="0028206E" w:rsidP="0028206E">
      <w:pPr>
        <w:tabs>
          <w:tab w:val="left" w:pos="2268"/>
        </w:tabs>
        <w:spacing w:after="120"/>
        <w:ind w:left="2268" w:right="1134" w:hanging="1134"/>
        <w:jc w:val="both"/>
        <w:rPr>
          <w:bCs/>
        </w:rPr>
      </w:pPr>
      <w:r w:rsidRPr="00E02089">
        <w:rPr>
          <w:bCs/>
        </w:rPr>
        <w:t xml:space="preserve">11.12.6. </w:t>
      </w:r>
      <w:r w:rsidRPr="00E02089">
        <w:rPr>
          <w:bCs/>
        </w:rPr>
        <w:tab/>
        <w:t>Notwithstanding paragraph 11.12.4., Contracting Parties applying this Regulation shall continue to accept type approvals to the preceding series of amendments to this Regulation and extension thereof, for the vehicles which are not affected by the changes introduced by the 04 series of amendments.</w:t>
      </w:r>
    </w:p>
    <w:p w14:paraId="2D132DCC" w14:textId="77777777" w:rsidR="0028206E" w:rsidRPr="00E02089" w:rsidRDefault="0028206E" w:rsidP="0028206E">
      <w:pPr>
        <w:tabs>
          <w:tab w:val="left" w:pos="2268"/>
        </w:tabs>
        <w:spacing w:after="120"/>
        <w:ind w:left="2268" w:right="1134" w:hanging="1134"/>
        <w:jc w:val="both"/>
        <w:rPr>
          <w:bCs/>
        </w:rPr>
      </w:pPr>
      <w:r w:rsidRPr="00E02089">
        <w:rPr>
          <w:bCs/>
        </w:rPr>
        <w:t xml:space="preserve">11.12.7. </w:t>
      </w:r>
      <w:r w:rsidRPr="00E02089">
        <w:rPr>
          <w:bCs/>
        </w:rPr>
        <w:tab/>
        <w:t xml:space="preserve">Contracting Parties applying this Regulation may grant type approvals according to any preceding series of amendments to this Regulation. </w:t>
      </w:r>
    </w:p>
    <w:p w14:paraId="5FEB363C" w14:textId="278B1952" w:rsidR="0028206E" w:rsidRPr="007A6B58" w:rsidRDefault="0028206E" w:rsidP="0028206E">
      <w:pPr>
        <w:pStyle w:val="para"/>
        <w:rPr>
          <w:u w:val="single"/>
          <w:lang w:val="en-US"/>
        </w:rPr>
      </w:pPr>
      <w:r w:rsidRPr="00E02089">
        <w:rPr>
          <w:bCs/>
          <w:lang w:val="en-GB"/>
        </w:rPr>
        <w:t xml:space="preserve">11.12.8. </w:t>
      </w:r>
      <w:r w:rsidRPr="00E02089">
        <w:rPr>
          <w:bCs/>
          <w:lang w:val="en-GB"/>
        </w:rPr>
        <w:tab/>
        <w:t>Contracting Parties applying this Regulation shall continue to grant extensions of existing approvals to any preceding series of amendments to this Regulation.”</w:t>
      </w:r>
    </w:p>
    <w:p w14:paraId="74F96737" w14:textId="646A5FD4"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058E" w14:textId="77777777" w:rsidR="0005567D" w:rsidRDefault="0005567D"/>
  </w:endnote>
  <w:endnote w:type="continuationSeparator" w:id="0">
    <w:p w14:paraId="3F8CF94E" w14:textId="77777777" w:rsidR="0005567D" w:rsidRDefault="0005567D"/>
  </w:endnote>
  <w:endnote w:type="continuationNotice" w:id="1">
    <w:p w14:paraId="56F89EC9" w14:textId="77777777" w:rsidR="0005567D" w:rsidRDefault="00055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0DBE41CC" w:rsidR="0035223F" w:rsidRDefault="00487FDA" w:rsidP="00487FDA">
    <w:pPr>
      <w:pStyle w:val="Footer"/>
      <w:rPr>
        <w:sz w:val="20"/>
      </w:rPr>
    </w:pPr>
    <w:r w:rsidRPr="00487FDA">
      <w:rPr>
        <w:noProof/>
        <w:sz w:val="20"/>
        <w:lang w:val="en-US"/>
      </w:rPr>
      <w:drawing>
        <wp:anchor distT="0" distB="0" distL="114300" distR="114300" simplePos="0" relativeHeight="251659776" behindDoc="0" locked="1" layoutInCell="1" allowOverlap="1" wp14:anchorId="31CF5795" wp14:editId="7A5FAEB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2BA9DD" w14:textId="05515171" w:rsidR="00487FDA" w:rsidRPr="00487FDA" w:rsidRDefault="00487FDA" w:rsidP="00487FDA">
    <w:pPr>
      <w:pStyle w:val="Footer"/>
      <w:ind w:right="1134"/>
      <w:rPr>
        <w:sz w:val="20"/>
      </w:rPr>
    </w:pPr>
    <w:r>
      <w:rPr>
        <w:sz w:val="20"/>
      </w:rPr>
      <w:t>GE.23-16102(E)</w:t>
    </w:r>
    <w:r>
      <w:rPr>
        <w:noProof/>
        <w:sz w:val="20"/>
      </w:rPr>
      <w:drawing>
        <wp:anchor distT="0" distB="0" distL="114300" distR="114300" simplePos="0" relativeHeight="251660800" behindDoc="0" locked="0" layoutInCell="1" allowOverlap="1" wp14:anchorId="4D0F3B27" wp14:editId="77CD096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549C" w14:textId="77777777" w:rsidR="0005567D" w:rsidRPr="000B175B" w:rsidRDefault="0005567D" w:rsidP="000B175B">
      <w:pPr>
        <w:tabs>
          <w:tab w:val="right" w:pos="2155"/>
        </w:tabs>
        <w:spacing w:after="80"/>
        <w:ind w:left="680"/>
        <w:rPr>
          <w:u w:val="single"/>
        </w:rPr>
      </w:pPr>
      <w:r>
        <w:rPr>
          <w:u w:val="single"/>
        </w:rPr>
        <w:tab/>
      </w:r>
    </w:p>
  </w:footnote>
  <w:footnote w:type="continuationSeparator" w:id="0">
    <w:p w14:paraId="2CBDE1EE" w14:textId="77777777" w:rsidR="0005567D" w:rsidRPr="00FC68B7" w:rsidRDefault="0005567D" w:rsidP="00FC68B7">
      <w:pPr>
        <w:tabs>
          <w:tab w:val="left" w:pos="2155"/>
        </w:tabs>
        <w:spacing w:after="80"/>
        <w:ind w:left="680"/>
        <w:rPr>
          <w:u w:val="single"/>
        </w:rPr>
      </w:pPr>
      <w:r>
        <w:rPr>
          <w:u w:val="single"/>
        </w:rPr>
        <w:tab/>
      </w:r>
    </w:p>
  </w:footnote>
  <w:footnote w:type="continuationNotice" w:id="1">
    <w:p w14:paraId="59D44E92" w14:textId="77777777" w:rsidR="0005567D" w:rsidRDefault="0005567D"/>
  </w:footnote>
  <w:footnote w:id="2">
    <w:p w14:paraId="2545176E" w14:textId="77777777"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43867C03" w:rsidR="00B52F3B" w:rsidRPr="00B52F3B" w:rsidRDefault="00C40EE1">
    <w:pPr>
      <w:pStyle w:val="Header"/>
    </w:pPr>
    <w:r>
      <w:t>ECE/TRANS/WP.29/2023/</w:t>
    </w:r>
    <w:r w:rsidR="00023761">
      <w:t>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152897DB" w:rsidR="00B52F3B" w:rsidRPr="00B52F3B" w:rsidRDefault="00C40EE1" w:rsidP="00B52F3B">
    <w:pPr>
      <w:pStyle w:val="Header"/>
      <w:jc w:val="right"/>
    </w:pPr>
    <w:r>
      <w:t>ECE/TRANS/WP.29/2023/</w:t>
    </w:r>
    <w:r w:rsidR="00023761">
      <w:t>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5"/>
  </w:num>
  <w:num w:numId="12" w16cid:durableId="1670714835">
    <w:abstractNumId w:val="14"/>
  </w:num>
  <w:num w:numId="13" w16cid:durableId="21169933">
    <w:abstractNumId w:val="10"/>
  </w:num>
  <w:num w:numId="14" w16cid:durableId="1614820349">
    <w:abstractNumId w:val="12"/>
  </w:num>
  <w:num w:numId="15" w16cid:durableId="271983115">
    <w:abstractNumId w:val="16"/>
  </w:num>
  <w:num w:numId="16" w16cid:durableId="2057197082">
    <w:abstractNumId w:val="13"/>
  </w:num>
  <w:num w:numId="17" w16cid:durableId="1801993351">
    <w:abstractNumId w:val="18"/>
  </w:num>
  <w:num w:numId="18" w16cid:durableId="105931860">
    <w:abstractNumId w:val="19"/>
  </w:num>
  <w:num w:numId="19" w16cid:durableId="654651158">
    <w:abstractNumId w:val="11"/>
  </w:num>
  <w:num w:numId="20" w16cid:durableId="24635225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3761"/>
    <w:rsid w:val="0002580F"/>
    <w:rsid w:val="00027624"/>
    <w:rsid w:val="00044C6C"/>
    <w:rsid w:val="00050F6B"/>
    <w:rsid w:val="0005567D"/>
    <w:rsid w:val="00056723"/>
    <w:rsid w:val="00066A9A"/>
    <w:rsid w:val="000678CD"/>
    <w:rsid w:val="00072C8C"/>
    <w:rsid w:val="00076F58"/>
    <w:rsid w:val="00081CE0"/>
    <w:rsid w:val="00084D30"/>
    <w:rsid w:val="00090320"/>
    <w:rsid w:val="000931C0"/>
    <w:rsid w:val="00097003"/>
    <w:rsid w:val="000A2E09"/>
    <w:rsid w:val="000B175B"/>
    <w:rsid w:val="000B3A0F"/>
    <w:rsid w:val="000C635E"/>
    <w:rsid w:val="000D4B44"/>
    <w:rsid w:val="000E0415"/>
    <w:rsid w:val="000E0922"/>
    <w:rsid w:val="000F7715"/>
    <w:rsid w:val="00105D95"/>
    <w:rsid w:val="001179FB"/>
    <w:rsid w:val="00136A81"/>
    <w:rsid w:val="00156B99"/>
    <w:rsid w:val="00166124"/>
    <w:rsid w:val="0017288C"/>
    <w:rsid w:val="00184DDA"/>
    <w:rsid w:val="001900CD"/>
    <w:rsid w:val="001A0452"/>
    <w:rsid w:val="001B4B04"/>
    <w:rsid w:val="001B5875"/>
    <w:rsid w:val="001C4B9C"/>
    <w:rsid w:val="001C6663"/>
    <w:rsid w:val="001C7895"/>
    <w:rsid w:val="001D26DF"/>
    <w:rsid w:val="001D3FFA"/>
    <w:rsid w:val="001E5954"/>
    <w:rsid w:val="001F1599"/>
    <w:rsid w:val="001F19C4"/>
    <w:rsid w:val="001F5A2D"/>
    <w:rsid w:val="002043F0"/>
    <w:rsid w:val="002101A4"/>
    <w:rsid w:val="00211E0B"/>
    <w:rsid w:val="002216E0"/>
    <w:rsid w:val="0022671F"/>
    <w:rsid w:val="00232575"/>
    <w:rsid w:val="00247258"/>
    <w:rsid w:val="00257CAC"/>
    <w:rsid w:val="0027237A"/>
    <w:rsid w:val="0028206E"/>
    <w:rsid w:val="002974E9"/>
    <w:rsid w:val="002A306B"/>
    <w:rsid w:val="002A7F94"/>
    <w:rsid w:val="002B109A"/>
    <w:rsid w:val="002C6D45"/>
    <w:rsid w:val="002D6E53"/>
    <w:rsid w:val="002F046D"/>
    <w:rsid w:val="002F3023"/>
    <w:rsid w:val="002F424E"/>
    <w:rsid w:val="00301764"/>
    <w:rsid w:val="003130D3"/>
    <w:rsid w:val="00321A66"/>
    <w:rsid w:val="003229D8"/>
    <w:rsid w:val="00336C97"/>
    <w:rsid w:val="00337F88"/>
    <w:rsid w:val="00342432"/>
    <w:rsid w:val="0035223F"/>
    <w:rsid w:val="00352D4B"/>
    <w:rsid w:val="0035638C"/>
    <w:rsid w:val="003A15D6"/>
    <w:rsid w:val="003A46BB"/>
    <w:rsid w:val="003A4EC7"/>
    <w:rsid w:val="003A7295"/>
    <w:rsid w:val="003B021A"/>
    <w:rsid w:val="003B1F60"/>
    <w:rsid w:val="003C2CC4"/>
    <w:rsid w:val="003D4B23"/>
    <w:rsid w:val="003E278A"/>
    <w:rsid w:val="003F46C9"/>
    <w:rsid w:val="00406D84"/>
    <w:rsid w:val="00413520"/>
    <w:rsid w:val="00420F88"/>
    <w:rsid w:val="004325CB"/>
    <w:rsid w:val="00440A07"/>
    <w:rsid w:val="00447F06"/>
    <w:rsid w:val="004563A9"/>
    <w:rsid w:val="00462880"/>
    <w:rsid w:val="00463C78"/>
    <w:rsid w:val="00465402"/>
    <w:rsid w:val="00476F24"/>
    <w:rsid w:val="00481F73"/>
    <w:rsid w:val="00487FDA"/>
    <w:rsid w:val="004A0B46"/>
    <w:rsid w:val="004A5D33"/>
    <w:rsid w:val="004B3523"/>
    <w:rsid w:val="004B57CC"/>
    <w:rsid w:val="004C3420"/>
    <w:rsid w:val="004C55B0"/>
    <w:rsid w:val="004D4AA1"/>
    <w:rsid w:val="004E0549"/>
    <w:rsid w:val="004F01C0"/>
    <w:rsid w:val="004F6BA0"/>
    <w:rsid w:val="00503BEA"/>
    <w:rsid w:val="00524589"/>
    <w:rsid w:val="00533616"/>
    <w:rsid w:val="00535ABA"/>
    <w:rsid w:val="0053768B"/>
    <w:rsid w:val="0054034C"/>
    <w:rsid w:val="005420F2"/>
    <w:rsid w:val="0054285C"/>
    <w:rsid w:val="00584173"/>
    <w:rsid w:val="00592533"/>
    <w:rsid w:val="00595520"/>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40B26"/>
    <w:rsid w:val="006511E0"/>
    <w:rsid w:val="0065766B"/>
    <w:rsid w:val="006770B2"/>
    <w:rsid w:val="00686A48"/>
    <w:rsid w:val="0068763C"/>
    <w:rsid w:val="00690D7B"/>
    <w:rsid w:val="00691BE9"/>
    <w:rsid w:val="006940E1"/>
    <w:rsid w:val="006A3C72"/>
    <w:rsid w:val="006A7392"/>
    <w:rsid w:val="006B03A1"/>
    <w:rsid w:val="006B67D9"/>
    <w:rsid w:val="006C0886"/>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80C68"/>
    <w:rsid w:val="007959FE"/>
    <w:rsid w:val="007A0CF1"/>
    <w:rsid w:val="007A6B58"/>
    <w:rsid w:val="007B6BA5"/>
    <w:rsid w:val="007C3390"/>
    <w:rsid w:val="007C42D8"/>
    <w:rsid w:val="007C4F4B"/>
    <w:rsid w:val="007D6F65"/>
    <w:rsid w:val="007D7362"/>
    <w:rsid w:val="007F5CE2"/>
    <w:rsid w:val="007F6611"/>
    <w:rsid w:val="00805FA7"/>
    <w:rsid w:val="00810BAC"/>
    <w:rsid w:val="008175E9"/>
    <w:rsid w:val="008242D7"/>
    <w:rsid w:val="0082577B"/>
    <w:rsid w:val="00825CB5"/>
    <w:rsid w:val="00835FD0"/>
    <w:rsid w:val="0084581D"/>
    <w:rsid w:val="00866893"/>
    <w:rsid w:val="00866F02"/>
    <w:rsid w:val="00867D18"/>
    <w:rsid w:val="00871F9A"/>
    <w:rsid w:val="00871FD5"/>
    <w:rsid w:val="0087265F"/>
    <w:rsid w:val="00876C3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8F6435"/>
    <w:rsid w:val="00910BFA"/>
    <w:rsid w:val="00913573"/>
    <w:rsid w:val="00923B83"/>
    <w:rsid w:val="00926E47"/>
    <w:rsid w:val="00931E92"/>
    <w:rsid w:val="00946515"/>
    <w:rsid w:val="00947162"/>
    <w:rsid w:val="00954D65"/>
    <w:rsid w:val="00955AF0"/>
    <w:rsid w:val="0095611B"/>
    <w:rsid w:val="009610D0"/>
    <w:rsid w:val="0096375C"/>
    <w:rsid w:val="009662E6"/>
    <w:rsid w:val="0097095E"/>
    <w:rsid w:val="00984C64"/>
    <w:rsid w:val="0098592B"/>
    <w:rsid w:val="00985FC4"/>
    <w:rsid w:val="00990766"/>
    <w:rsid w:val="00991261"/>
    <w:rsid w:val="009964C4"/>
    <w:rsid w:val="009A7B81"/>
    <w:rsid w:val="009B7EB7"/>
    <w:rsid w:val="009C1B21"/>
    <w:rsid w:val="009D01C0"/>
    <w:rsid w:val="009D6A08"/>
    <w:rsid w:val="009E0A16"/>
    <w:rsid w:val="009E6CB7"/>
    <w:rsid w:val="009E7970"/>
    <w:rsid w:val="009F2EAC"/>
    <w:rsid w:val="009F57E3"/>
    <w:rsid w:val="00A10F4F"/>
    <w:rsid w:val="00A11067"/>
    <w:rsid w:val="00A12726"/>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D1D3D"/>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701A"/>
    <w:rsid w:val="00B81E12"/>
    <w:rsid w:val="00B82C1C"/>
    <w:rsid w:val="00B90264"/>
    <w:rsid w:val="00BA1F5C"/>
    <w:rsid w:val="00BA339B"/>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0EE1"/>
    <w:rsid w:val="00C43483"/>
    <w:rsid w:val="00C463DD"/>
    <w:rsid w:val="00C65B98"/>
    <w:rsid w:val="00C71778"/>
    <w:rsid w:val="00C745C3"/>
    <w:rsid w:val="00C92FC8"/>
    <w:rsid w:val="00C94ED2"/>
    <w:rsid w:val="00C978F5"/>
    <w:rsid w:val="00CA24A4"/>
    <w:rsid w:val="00CB348D"/>
    <w:rsid w:val="00CB4914"/>
    <w:rsid w:val="00CB4E49"/>
    <w:rsid w:val="00CD46F5"/>
    <w:rsid w:val="00CD6EEC"/>
    <w:rsid w:val="00CE4A8F"/>
    <w:rsid w:val="00CF071D"/>
    <w:rsid w:val="00D0123D"/>
    <w:rsid w:val="00D15B04"/>
    <w:rsid w:val="00D2031B"/>
    <w:rsid w:val="00D25FE2"/>
    <w:rsid w:val="00D2736B"/>
    <w:rsid w:val="00D37DA9"/>
    <w:rsid w:val="00D406A7"/>
    <w:rsid w:val="00D43252"/>
    <w:rsid w:val="00D44D86"/>
    <w:rsid w:val="00D50B7D"/>
    <w:rsid w:val="00D52012"/>
    <w:rsid w:val="00D6385D"/>
    <w:rsid w:val="00D704E5"/>
    <w:rsid w:val="00D72727"/>
    <w:rsid w:val="00D74429"/>
    <w:rsid w:val="00D978C6"/>
    <w:rsid w:val="00DA0956"/>
    <w:rsid w:val="00DA357F"/>
    <w:rsid w:val="00DA3E12"/>
    <w:rsid w:val="00DB3421"/>
    <w:rsid w:val="00DC18AD"/>
    <w:rsid w:val="00DC2FC2"/>
    <w:rsid w:val="00DD5F78"/>
    <w:rsid w:val="00DF7CAE"/>
    <w:rsid w:val="00E0208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D18DC"/>
    <w:rsid w:val="00ED6201"/>
    <w:rsid w:val="00ED7A2A"/>
    <w:rsid w:val="00EE03AD"/>
    <w:rsid w:val="00EF1D7F"/>
    <w:rsid w:val="00F0137E"/>
    <w:rsid w:val="00F04E44"/>
    <w:rsid w:val="00F21786"/>
    <w:rsid w:val="00F25D06"/>
    <w:rsid w:val="00F31CFF"/>
    <w:rsid w:val="00F3742B"/>
    <w:rsid w:val="00F41FDB"/>
    <w:rsid w:val="00F50597"/>
    <w:rsid w:val="00F56D63"/>
    <w:rsid w:val="00F609A9"/>
    <w:rsid w:val="00F64B7D"/>
    <w:rsid w:val="00F65240"/>
    <w:rsid w:val="00F65BE1"/>
    <w:rsid w:val="00F67474"/>
    <w:rsid w:val="00F67BB7"/>
    <w:rsid w:val="00F80C99"/>
    <w:rsid w:val="00F867EC"/>
    <w:rsid w:val="00F91B2B"/>
    <w:rsid w:val="00FA09E0"/>
    <w:rsid w:val="00FC03CD"/>
    <w:rsid w:val="00FC0646"/>
    <w:rsid w:val="00FC17B1"/>
    <w:rsid w:val="00FC68B7"/>
    <w:rsid w:val="00FD00FA"/>
    <w:rsid w:val="00FE2C30"/>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Revision">
    <w:name w:val="Revision"/>
    <w:hidden/>
    <w:uiPriority w:val="99"/>
    <w:semiHidden/>
    <w:rsid w:val="0002376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7948D601-6780-43FA-A740-390E474EB43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F2270D00-7522-48DF-A3AA-F5F891C6E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6991</Characters>
  <Application>Microsoft Office Word</Application>
  <DocSecurity>0</DocSecurity>
  <Lines>163</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ECE/TRANS/WP.29/2023/91</dc:title>
  <dc:subject>2316102</dc:subject>
  <dc:creator>EG</dc:creator>
  <cp:keywords/>
  <dc:description/>
  <cp:lastModifiedBy>Maria Rosario Corazon Gatmaytan</cp:lastModifiedBy>
  <cp:revision>2</cp:revision>
  <cp:lastPrinted>2023-09-26T13:21:00Z</cp:lastPrinted>
  <dcterms:created xsi:type="dcterms:W3CDTF">2023-09-26T14:27:00Z</dcterms:created>
  <dcterms:modified xsi:type="dcterms:W3CDTF">2023-09-26T14:27:00Z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