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0258E6" w14:paraId="780C6DE8" w14:textId="77777777" w:rsidTr="00387CD4">
        <w:trPr>
          <w:trHeight w:hRule="exact" w:val="851"/>
        </w:trPr>
        <w:tc>
          <w:tcPr>
            <w:tcW w:w="142" w:type="dxa"/>
            <w:tcBorders>
              <w:bottom w:val="single" w:sz="4" w:space="0" w:color="auto"/>
            </w:tcBorders>
          </w:tcPr>
          <w:p w14:paraId="24C9033E" w14:textId="77777777" w:rsidR="002D5AAC" w:rsidRDefault="002D5AAC" w:rsidP="000258E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E8E1FF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D6C1FCA" w14:textId="05BC5EE8" w:rsidR="002D5AAC" w:rsidRPr="000258E6" w:rsidRDefault="000258E6" w:rsidP="000258E6">
            <w:pPr>
              <w:jc w:val="right"/>
              <w:rPr>
                <w:lang w:val="en-US"/>
              </w:rPr>
            </w:pPr>
            <w:r w:rsidRPr="000258E6">
              <w:rPr>
                <w:sz w:val="40"/>
                <w:lang w:val="en-US"/>
              </w:rPr>
              <w:t>ECE</w:t>
            </w:r>
            <w:r w:rsidRPr="000258E6">
              <w:rPr>
                <w:lang w:val="en-US"/>
              </w:rPr>
              <w:t>/TRANS/WP.15/AC.1/168/Add.1</w:t>
            </w:r>
          </w:p>
        </w:tc>
      </w:tr>
      <w:tr w:rsidR="002D5AAC" w14:paraId="40257F94" w14:textId="77777777" w:rsidTr="00582153">
        <w:trPr>
          <w:trHeight w:hRule="exact" w:val="2697"/>
        </w:trPr>
        <w:tc>
          <w:tcPr>
            <w:tcW w:w="1280" w:type="dxa"/>
            <w:gridSpan w:val="2"/>
            <w:tcBorders>
              <w:top w:val="single" w:sz="4" w:space="0" w:color="auto"/>
              <w:bottom w:val="single" w:sz="12" w:space="0" w:color="auto"/>
            </w:tcBorders>
          </w:tcPr>
          <w:p w14:paraId="0FE16235" w14:textId="77777777" w:rsidR="002D5AAC" w:rsidRDefault="002E5067" w:rsidP="00387CD4">
            <w:pPr>
              <w:spacing w:before="120"/>
              <w:jc w:val="center"/>
            </w:pPr>
            <w:r>
              <w:rPr>
                <w:noProof/>
                <w:lang w:val="fr-CH" w:eastAsia="fr-CH"/>
              </w:rPr>
              <w:drawing>
                <wp:inline distT="0" distB="0" distL="0" distR="0" wp14:anchorId="7F6422C9" wp14:editId="3F977B5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48147B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EE273E4" w14:textId="77777777" w:rsidR="002D5AAC" w:rsidRDefault="000258E6" w:rsidP="00387CD4">
            <w:pPr>
              <w:spacing w:before="240"/>
              <w:rPr>
                <w:lang w:val="en-US"/>
              </w:rPr>
            </w:pPr>
            <w:r>
              <w:rPr>
                <w:lang w:val="en-US"/>
              </w:rPr>
              <w:t>Distr.: General</w:t>
            </w:r>
          </w:p>
          <w:p w14:paraId="6C99B76C" w14:textId="77777777" w:rsidR="000258E6" w:rsidRDefault="000258E6" w:rsidP="000258E6">
            <w:pPr>
              <w:spacing w:line="240" w:lineRule="exact"/>
              <w:rPr>
                <w:lang w:val="en-US"/>
              </w:rPr>
            </w:pPr>
            <w:r>
              <w:rPr>
                <w:lang w:val="en-US"/>
              </w:rPr>
              <w:t>12 April 2023</w:t>
            </w:r>
          </w:p>
          <w:p w14:paraId="57D42CE6" w14:textId="77777777" w:rsidR="000258E6" w:rsidRDefault="000258E6" w:rsidP="000258E6">
            <w:pPr>
              <w:spacing w:line="240" w:lineRule="exact"/>
              <w:rPr>
                <w:lang w:val="en-US"/>
              </w:rPr>
            </w:pPr>
            <w:r>
              <w:rPr>
                <w:lang w:val="en-US"/>
              </w:rPr>
              <w:t>Russian</w:t>
            </w:r>
          </w:p>
          <w:p w14:paraId="7EA94E15" w14:textId="6EB2B561" w:rsidR="000258E6" w:rsidRPr="008D53B6" w:rsidRDefault="000258E6" w:rsidP="000258E6">
            <w:pPr>
              <w:spacing w:line="240" w:lineRule="exact"/>
              <w:rPr>
                <w:lang w:val="en-US"/>
              </w:rPr>
            </w:pPr>
            <w:r>
              <w:rPr>
                <w:lang w:val="en-US"/>
              </w:rPr>
              <w:t>Original: English</w:t>
            </w:r>
          </w:p>
        </w:tc>
      </w:tr>
    </w:tbl>
    <w:p w14:paraId="799C25A8" w14:textId="77777777" w:rsidR="008A37C8" w:rsidRDefault="008A37C8" w:rsidP="00582153">
      <w:pPr>
        <w:spacing w:before="120" w:line="220" w:lineRule="atLeast"/>
        <w:rPr>
          <w:b/>
          <w:sz w:val="28"/>
          <w:szCs w:val="28"/>
        </w:rPr>
      </w:pPr>
      <w:r w:rsidRPr="00245892">
        <w:rPr>
          <w:b/>
          <w:sz w:val="28"/>
          <w:szCs w:val="28"/>
        </w:rPr>
        <w:t>Европейская экономическая комиссия</w:t>
      </w:r>
    </w:p>
    <w:p w14:paraId="21421317" w14:textId="77777777" w:rsidR="000258E6" w:rsidRPr="000258E6" w:rsidRDefault="000258E6" w:rsidP="00582153">
      <w:pPr>
        <w:spacing w:before="120" w:line="234" w:lineRule="atLeast"/>
        <w:outlineLvl w:val="0"/>
        <w:rPr>
          <w:sz w:val="28"/>
          <w:szCs w:val="28"/>
        </w:rPr>
      </w:pPr>
      <w:r w:rsidRPr="000258E6">
        <w:rPr>
          <w:sz w:val="28"/>
          <w:szCs w:val="28"/>
        </w:rPr>
        <w:t>Комитет по внутреннему транспорту</w:t>
      </w:r>
    </w:p>
    <w:p w14:paraId="7EE31E49" w14:textId="77777777" w:rsidR="000258E6" w:rsidRPr="000258E6" w:rsidRDefault="000258E6" w:rsidP="00582153">
      <w:pPr>
        <w:spacing w:before="120" w:line="234" w:lineRule="atLeast"/>
        <w:outlineLvl w:val="0"/>
        <w:rPr>
          <w:b/>
          <w:sz w:val="24"/>
          <w:szCs w:val="24"/>
        </w:rPr>
      </w:pPr>
      <w:r w:rsidRPr="000258E6">
        <w:rPr>
          <w:b/>
          <w:bCs/>
          <w:sz w:val="24"/>
          <w:szCs w:val="24"/>
        </w:rPr>
        <w:t>Рабочая группа по перевозкам опасных грузов</w:t>
      </w:r>
    </w:p>
    <w:p w14:paraId="6A0DDAEA" w14:textId="6BFAF2B9" w:rsidR="000258E6" w:rsidRPr="00AA38EC" w:rsidRDefault="000258E6" w:rsidP="00582153">
      <w:pPr>
        <w:spacing w:before="120" w:line="234" w:lineRule="atLeast"/>
        <w:rPr>
          <w:b/>
        </w:rPr>
      </w:pPr>
      <w:r>
        <w:rPr>
          <w:b/>
          <w:bCs/>
        </w:rPr>
        <w:t>Совместное совещание Комиссии экспертов МПОГ</w:t>
      </w:r>
      <w:r>
        <w:rPr>
          <w:b/>
          <w:bCs/>
        </w:rPr>
        <w:br/>
      </w:r>
      <w:r>
        <w:rPr>
          <w:b/>
          <w:bCs/>
        </w:rPr>
        <w:t>и Рабочей группы по перевозкам опасных грузов</w:t>
      </w:r>
    </w:p>
    <w:p w14:paraId="309441B6" w14:textId="77777777" w:rsidR="000258E6" w:rsidRPr="00FB1E04" w:rsidRDefault="000258E6" w:rsidP="000258E6">
      <w:pPr>
        <w:pStyle w:val="HChG"/>
        <w:spacing w:before="300" w:line="280" w:lineRule="exact"/>
      </w:pPr>
      <w:r>
        <w:tab/>
      </w:r>
      <w:r>
        <w:tab/>
      </w:r>
      <w:r>
        <w:rPr>
          <w:bCs/>
        </w:rPr>
        <w:t>Доклад Совместного совещания Комиссии экспертов МПОГ и Рабочей группы по перевозкам опасных грузов о работе его весенней сессии 2023 года</w:t>
      </w:r>
      <w:r w:rsidRPr="000258E6">
        <w:rPr>
          <w:rStyle w:val="aa"/>
          <w:b w:val="0"/>
          <w:bCs/>
          <w:sz w:val="20"/>
          <w:vertAlign w:val="baseline"/>
        </w:rPr>
        <w:footnoteReference w:customMarkFollows="1" w:id="1"/>
        <w:t>*</w:t>
      </w:r>
      <w:r w:rsidRPr="000258E6">
        <w:rPr>
          <w:b w:val="0"/>
          <w:bCs/>
          <w:szCs w:val="28"/>
        </w:rPr>
        <w:t>,</w:t>
      </w:r>
    </w:p>
    <w:p w14:paraId="42A9C2E0" w14:textId="26AE62E1" w:rsidR="000258E6" w:rsidRPr="00AA38EC" w:rsidRDefault="000258E6" w:rsidP="000258E6">
      <w:pPr>
        <w:pStyle w:val="H56G"/>
      </w:pPr>
      <w:r>
        <w:tab/>
      </w:r>
      <w:r>
        <w:tab/>
        <w:t xml:space="preserve">проводившейся в Берне </w:t>
      </w:r>
      <w:r>
        <w:t xml:space="preserve">20–24 </w:t>
      </w:r>
      <w:r>
        <w:t>марта 2023 года</w:t>
      </w:r>
    </w:p>
    <w:p w14:paraId="05A5EA76" w14:textId="77777777" w:rsidR="000258E6" w:rsidRPr="00AA38EC" w:rsidRDefault="000258E6" w:rsidP="000258E6">
      <w:pPr>
        <w:pStyle w:val="H23G"/>
      </w:pPr>
      <w:r>
        <w:tab/>
      </w:r>
      <w:r>
        <w:tab/>
      </w:r>
      <w:r>
        <w:rPr>
          <w:bCs/>
        </w:rPr>
        <w:t>Добавление</w:t>
      </w:r>
      <w:r w:rsidRPr="000258E6">
        <w:rPr>
          <w:rStyle w:val="aa"/>
          <w:b w:val="0"/>
          <w:bCs/>
          <w:sz w:val="20"/>
          <w:vertAlign w:val="baseline"/>
        </w:rPr>
        <w:footnoteReference w:customMarkFollows="1" w:id="2"/>
        <w:t>**</w:t>
      </w:r>
    </w:p>
    <w:p w14:paraId="49207799" w14:textId="77777777" w:rsidR="000258E6" w:rsidRPr="00AA38EC" w:rsidRDefault="000258E6" w:rsidP="000258E6">
      <w:pPr>
        <w:pStyle w:val="HChG"/>
        <w:spacing w:before="300" w:line="280" w:lineRule="exact"/>
      </w:pPr>
      <w:r>
        <w:tab/>
      </w:r>
      <w:r>
        <w:tab/>
        <w:t>Приложение I</w:t>
      </w:r>
    </w:p>
    <w:p w14:paraId="7D991467" w14:textId="77777777" w:rsidR="000258E6" w:rsidRPr="00AA38EC" w:rsidRDefault="000258E6" w:rsidP="000258E6">
      <w:pPr>
        <w:pStyle w:val="H1G"/>
        <w:spacing w:before="300" w:line="260" w:lineRule="exact"/>
      </w:pPr>
      <w:r>
        <w:tab/>
      </w:r>
      <w:r>
        <w:tab/>
      </w:r>
      <w:r>
        <w:rPr>
          <w:bCs/>
        </w:rPr>
        <w:t>Доклад Рабочей группы по цистернам</w:t>
      </w:r>
    </w:p>
    <w:p w14:paraId="74B09BDD" w14:textId="78535F68" w:rsidR="000258E6" w:rsidRPr="00AA38EC" w:rsidRDefault="000258E6" w:rsidP="000258E6">
      <w:pPr>
        <w:pStyle w:val="SingleTxtG"/>
        <w:spacing w:line="234" w:lineRule="atLeast"/>
      </w:pPr>
      <w:r>
        <w:t>1.</w:t>
      </w:r>
      <w:r>
        <w:tab/>
        <w:t>Рабочая группа по цистернам провела совещание в гибридном формате</w:t>
      </w:r>
      <w:r>
        <w:br/>
      </w:r>
      <w:r>
        <w:t>20–22 марта 2023 года на основе мандата, предоставленного Совместным совещанием МПОГ/ДОПОГ/ВОПОГ, под председательством г-на Арне Бейла (Соединенное Королевство); обязанности секретаря исполнял г-н Кес де Путтер (Нидерланды). На рассмотрение Рабочей группы были представлены соответствующие документы.</w:t>
      </w:r>
    </w:p>
    <w:p w14:paraId="36587595" w14:textId="34FB1A7A" w:rsidR="000258E6" w:rsidRPr="00AA38EC" w:rsidRDefault="000258E6" w:rsidP="000258E6">
      <w:pPr>
        <w:pStyle w:val="SingleTxtG"/>
        <w:spacing w:line="234" w:lineRule="atLeast"/>
        <w:ind w:right="973"/>
      </w:pPr>
      <w:r>
        <w:t>2.</w:t>
      </w:r>
      <w:r>
        <w:tab/>
        <w:t>В совещании Рабочей группы по цистернам приняли участие 26 экспертов из 11</w:t>
      </w:r>
      <w:r w:rsidR="00921049">
        <w:rPr>
          <w:lang w:val="en-US"/>
        </w:rPr>
        <w:t> </w:t>
      </w:r>
      <w:r>
        <w:t>стран и 5 неправительственных организаций. Они рассмотрели следующие официальные и неофициальные документы:</w:t>
      </w:r>
    </w:p>
    <w:p w14:paraId="71125914" w14:textId="774075E0" w:rsidR="000258E6" w:rsidRPr="000258E6" w:rsidRDefault="000258E6" w:rsidP="00582153">
      <w:pPr>
        <w:pStyle w:val="SingleTxtG"/>
        <w:tabs>
          <w:tab w:val="clear" w:pos="1701"/>
          <w:tab w:val="clear" w:pos="2268"/>
          <w:tab w:val="clear" w:pos="2835"/>
          <w:tab w:val="left" w:pos="3828"/>
          <w:tab w:val="left" w:pos="5812"/>
        </w:tabs>
        <w:spacing w:line="234" w:lineRule="atLeast"/>
        <w:ind w:left="3827" w:hanging="2693"/>
        <w:jc w:val="left"/>
      </w:pPr>
      <w:r w:rsidRPr="00FB1E04">
        <w:rPr>
          <w:i/>
          <w:iCs/>
        </w:rPr>
        <w:t>Документы</w:t>
      </w:r>
      <w:r>
        <w:t>:</w:t>
      </w:r>
      <w:r>
        <w:tab/>
        <w:t>ECE/TRANS/WP.15/AC.1/2023/3 (секретариат ОТИФ)</w:t>
      </w:r>
      <w:r>
        <w:br/>
      </w:r>
      <w:r w:rsidRPr="00AA38EC">
        <w:rPr>
          <w:lang w:val="en-US"/>
        </w:rPr>
        <w:t>ECE</w:t>
      </w:r>
      <w:r w:rsidRPr="000258E6">
        <w:t>/</w:t>
      </w:r>
      <w:r w:rsidRPr="00AA38EC">
        <w:rPr>
          <w:lang w:val="en-US"/>
        </w:rPr>
        <w:t>TRANS</w:t>
      </w:r>
      <w:r w:rsidRPr="000258E6">
        <w:t>/</w:t>
      </w:r>
      <w:r w:rsidRPr="00AA38EC">
        <w:rPr>
          <w:lang w:val="en-US"/>
        </w:rPr>
        <w:t>WP</w:t>
      </w:r>
      <w:r w:rsidRPr="000258E6">
        <w:t>.15/</w:t>
      </w:r>
      <w:r w:rsidRPr="00AA38EC">
        <w:rPr>
          <w:lang w:val="en-US"/>
        </w:rPr>
        <w:t>AC</w:t>
      </w:r>
      <w:r w:rsidRPr="000258E6">
        <w:t>.1/2023/16 (</w:t>
      </w:r>
      <w:r>
        <w:t>Польша</w:t>
      </w:r>
      <w:r w:rsidRPr="000258E6">
        <w:t>)</w:t>
      </w:r>
    </w:p>
    <w:p w14:paraId="5713EF11" w14:textId="743927A2" w:rsidR="000258E6" w:rsidRPr="00AA38EC" w:rsidRDefault="000258E6" w:rsidP="00582153">
      <w:pPr>
        <w:pStyle w:val="SingleTxtG"/>
        <w:tabs>
          <w:tab w:val="left" w:pos="2977"/>
          <w:tab w:val="left" w:pos="3828"/>
          <w:tab w:val="left" w:pos="5812"/>
        </w:tabs>
        <w:spacing w:after="0" w:line="234" w:lineRule="atLeast"/>
        <w:ind w:left="3828" w:hanging="2694"/>
        <w:jc w:val="left"/>
      </w:pPr>
      <w:r w:rsidRPr="00FB1E04">
        <w:rPr>
          <w:i/>
          <w:iCs/>
        </w:rPr>
        <w:t>Неофициальные документы</w:t>
      </w:r>
      <w:r>
        <w:t>:</w:t>
      </w:r>
      <w:r>
        <w:tab/>
      </w:r>
      <w:r>
        <w:t>INF.5 (секретариат ОТИФ)</w:t>
      </w:r>
      <w:r>
        <w:br/>
      </w:r>
      <w:r>
        <w:t>INF.7 (секретариат ОТИФ)</w:t>
      </w:r>
      <w:r>
        <w:br/>
      </w:r>
      <w:r>
        <w:t>INF.12 (Председатель Рабочей группы по стандартам)</w:t>
      </w:r>
      <w:r>
        <w:br/>
      </w:r>
      <w:r>
        <w:t>INF.21 (Нидерланды)</w:t>
      </w:r>
      <w:r>
        <w:br/>
      </w:r>
      <w:r>
        <w:t>INF.26 (Франция)</w:t>
      </w:r>
      <w:r>
        <w:br/>
      </w:r>
      <w:r>
        <w:t>INF.33 (Франция)</w:t>
      </w:r>
      <w:r>
        <w:br/>
      </w:r>
      <w:r>
        <w:t>INF.38 (Соединенное Королевство)</w:t>
      </w:r>
    </w:p>
    <w:p w14:paraId="32C74D3F" w14:textId="7007BAFC" w:rsidR="000258E6" w:rsidRPr="00AA38EC" w:rsidRDefault="000258E6" w:rsidP="000258E6">
      <w:pPr>
        <w:pStyle w:val="HChG"/>
      </w:pPr>
      <w:r>
        <w:rPr>
          <w:bCs/>
        </w:rPr>
        <w:lastRenderedPageBreak/>
        <w:tab/>
      </w:r>
      <w:r>
        <w:rPr>
          <w:bCs/>
        </w:rPr>
        <w:t>I.</w:t>
      </w:r>
      <w:r>
        <w:tab/>
      </w:r>
      <w:r>
        <w:rPr>
          <w:bCs/>
        </w:rPr>
        <w:t>Раздел 1: Поправки, которые могут быть утверждены для включения в МПОГ/ДОПОГ 2025 года</w:t>
      </w:r>
    </w:p>
    <w:p w14:paraId="22EB3D36" w14:textId="68E88D11" w:rsidR="000258E6" w:rsidRPr="00AA38EC" w:rsidRDefault="000258E6" w:rsidP="000258E6">
      <w:pPr>
        <w:pStyle w:val="H1G"/>
      </w:pPr>
      <w:r>
        <w:tab/>
      </w:r>
      <w:r>
        <w:tab/>
      </w:r>
      <w:r>
        <w:rPr>
          <w:bCs/>
        </w:rPr>
        <w:t>Пункт 1</w:t>
      </w:r>
      <w:r>
        <w:rPr>
          <w:bCs/>
        </w:rPr>
        <w:br/>
      </w:r>
      <w:r>
        <w:rPr>
          <w:bCs/>
        </w:rPr>
        <w:t>Рационализированный подход к назначению кодов цистерн группам веществ, изложенный в пункте 4.3.4.1.2</w:t>
      </w:r>
    </w:p>
    <w:p w14:paraId="3597F37F" w14:textId="3C78BC50" w:rsidR="000258E6" w:rsidRPr="00AA38EC" w:rsidRDefault="000258E6" w:rsidP="000101E3">
      <w:pPr>
        <w:keepLines/>
        <w:tabs>
          <w:tab w:val="left" w:pos="2977"/>
          <w:tab w:val="left" w:pos="3828"/>
        </w:tabs>
        <w:spacing w:after="120" w:line="234" w:lineRule="atLeast"/>
        <w:ind w:left="1134"/>
      </w:pPr>
      <w:r w:rsidRPr="00AD2067">
        <w:rPr>
          <w:i/>
          <w:iCs/>
        </w:rPr>
        <w:t>Документ</w:t>
      </w:r>
      <w:r>
        <w:t>:</w:t>
      </w:r>
      <w:r>
        <w:tab/>
      </w:r>
      <w:r>
        <w:tab/>
      </w:r>
      <w:r>
        <w:t>ECE/TRANS/WP.15/AC.1/2023/3 (секретариат ОТИФ)</w:t>
      </w:r>
    </w:p>
    <w:p w14:paraId="21650F6D" w14:textId="77777777" w:rsidR="000258E6" w:rsidRPr="00AA38EC" w:rsidRDefault="000258E6" w:rsidP="000101E3">
      <w:pPr>
        <w:keepLines/>
        <w:tabs>
          <w:tab w:val="left" w:pos="2977"/>
          <w:tab w:val="left" w:pos="3828"/>
        </w:tabs>
        <w:spacing w:after="120" w:line="234" w:lineRule="atLeast"/>
        <w:ind w:left="1134"/>
      </w:pPr>
      <w:r w:rsidRPr="00AD2067">
        <w:rPr>
          <w:i/>
          <w:iCs/>
        </w:rPr>
        <w:t>Неофициальный документ</w:t>
      </w:r>
      <w:r>
        <w:t>:</w:t>
      </w:r>
      <w:r>
        <w:tab/>
        <w:t>INF.7 (секретариат ОТИФ)</w:t>
      </w:r>
    </w:p>
    <w:p w14:paraId="3D0D9C98" w14:textId="68F1AE3D" w:rsidR="000258E6" w:rsidRPr="00AA38EC" w:rsidRDefault="000258E6" w:rsidP="000101E3">
      <w:pPr>
        <w:pStyle w:val="SingleTxtG"/>
        <w:spacing w:line="234" w:lineRule="atLeast"/>
      </w:pPr>
      <w:r>
        <w:t>3.</w:t>
      </w:r>
      <w:r>
        <w:tab/>
        <w:t>Предложенные в документе ECE/TRANS/WP.15/AC.1/2023/3 поправки к рационализированному подходу, изложенному в пункте 4.3.4.1.2, были поддержаны консенсусом. В связи с поправками, предлагаемыми в неофициальном документе</w:t>
      </w:r>
      <w:r>
        <w:rPr>
          <w:lang w:val="fr-CH"/>
        </w:rPr>
        <w:t> </w:t>
      </w:r>
      <w:r>
        <w:t>INF.7, были определены три дополнительных номера ООН (№ ООН 3405, № ООН 3406 и № ООН 3408) с классификационным кодом OT1, группы упаковки II и</w:t>
      </w:r>
      <w:r>
        <w:rPr>
          <w:lang w:val="fr-CH"/>
        </w:rPr>
        <w:t> </w:t>
      </w:r>
      <w:r>
        <w:t>III, которым целесообразно назначить код цистерны L4BN и LGBV соответственно.</w:t>
      </w:r>
    </w:p>
    <w:p w14:paraId="4E3D3E72" w14:textId="1D30AFC7" w:rsidR="000258E6" w:rsidRPr="00AA38EC" w:rsidRDefault="000258E6" w:rsidP="000258E6">
      <w:pPr>
        <w:pStyle w:val="H23G"/>
      </w:pPr>
      <w:r>
        <w:tab/>
      </w:r>
      <w:r>
        <w:tab/>
      </w:r>
      <w:r>
        <w:rPr>
          <w:bCs/>
        </w:rPr>
        <w:t xml:space="preserve">Предложение 1 </w:t>
      </w:r>
      <w:r>
        <w:rPr>
          <w:bCs/>
        </w:rPr>
        <w:t>—</w:t>
      </w:r>
      <w:r>
        <w:rPr>
          <w:bCs/>
        </w:rPr>
        <w:t xml:space="preserve"> Изменить таблицу в пункте 4.3.4.1.2 следующим образом (исключенный текст зачеркнут, новый текст выделен курсивом и подчеркнут):</w:t>
      </w:r>
      <w:bookmarkStart w:id="0" w:name="_Hlk130921216"/>
      <w:bookmarkEnd w:id="0"/>
    </w:p>
    <w:tbl>
      <w:tblPr>
        <w:tblW w:w="434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972"/>
        <w:gridCol w:w="1564"/>
        <w:gridCol w:w="2833"/>
      </w:tblGrid>
      <w:tr w:rsidR="000258E6" w:rsidRPr="009F6E99" w14:paraId="5A005922" w14:textId="77777777" w:rsidTr="000258E6">
        <w:trPr>
          <w:cantSplit/>
          <w:trHeight w:val="40"/>
        </w:trPr>
        <w:tc>
          <w:tcPr>
            <w:tcW w:w="594" w:type="pct"/>
            <w:vMerge w:val="restart"/>
            <w:tcBorders>
              <w:top w:val="single" w:sz="4" w:space="0" w:color="auto"/>
              <w:left w:val="single" w:sz="4" w:space="0" w:color="auto"/>
              <w:right w:val="single" w:sz="4" w:space="0" w:color="auto"/>
            </w:tcBorders>
            <w:hideMark/>
          </w:tcPr>
          <w:p w14:paraId="1E918358" w14:textId="77777777" w:rsidR="000258E6" w:rsidRPr="009F6E99" w:rsidRDefault="000258E6" w:rsidP="000101E3">
            <w:pPr>
              <w:spacing w:before="30" w:after="30" w:line="220" w:lineRule="exact"/>
              <w:ind w:left="142"/>
              <w:rPr>
                <w:sz w:val="18"/>
                <w:szCs w:val="18"/>
              </w:rPr>
            </w:pPr>
            <w:r>
              <w:t>LGBV</w:t>
            </w:r>
          </w:p>
        </w:tc>
        <w:tc>
          <w:tcPr>
            <w:tcW w:w="1777" w:type="pct"/>
            <w:tcBorders>
              <w:top w:val="single" w:sz="4" w:space="0" w:color="auto"/>
              <w:left w:val="nil"/>
              <w:bottom w:val="single" w:sz="4" w:space="0" w:color="auto"/>
              <w:right w:val="nil"/>
            </w:tcBorders>
            <w:hideMark/>
          </w:tcPr>
          <w:p w14:paraId="4F6877F9" w14:textId="77777777" w:rsidR="000258E6" w:rsidRPr="009F6E99" w:rsidRDefault="000258E6" w:rsidP="000101E3">
            <w:pPr>
              <w:spacing w:before="30" w:after="30" w:line="220" w:lineRule="exact"/>
              <w:ind w:left="142"/>
              <w:jc w:val="center"/>
              <w:rPr>
                <w:sz w:val="18"/>
                <w:szCs w:val="18"/>
              </w:rPr>
            </w:pPr>
            <w:r>
              <w:t>4.1</w:t>
            </w:r>
          </w:p>
        </w:tc>
        <w:tc>
          <w:tcPr>
            <w:tcW w:w="935" w:type="pct"/>
            <w:tcBorders>
              <w:top w:val="single" w:sz="4" w:space="0" w:color="auto"/>
              <w:left w:val="single" w:sz="4" w:space="0" w:color="auto"/>
              <w:bottom w:val="single" w:sz="4" w:space="0" w:color="auto"/>
              <w:right w:val="single" w:sz="4" w:space="0" w:color="auto"/>
            </w:tcBorders>
            <w:hideMark/>
          </w:tcPr>
          <w:p w14:paraId="75CF5D5A" w14:textId="77777777" w:rsidR="000258E6" w:rsidRPr="009F6E99" w:rsidRDefault="000258E6" w:rsidP="000101E3">
            <w:pPr>
              <w:spacing w:before="30" w:after="30" w:line="220" w:lineRule="exact"/>
              <w:ind w:left="142"/>
              <w:rPr>
                <w:sz w:val="18"/>
                <w:szCs w:val="18"/>
              </w:rPr>
            </w:pPr>
            <w:r>
              <w:t>F2</w:t>
            </w:r>
          </w:p>
        </w:tc>
        <w:tc>
          <w:tcPr>
            <w:tcW w:w="1694" w:type="pct"/>
            <w:tcBorders>
              <w:top w:val="single" w:sz="4" w:space="0" w:color="auto"/>
              <w:left w:val="nil"/>
              <w:bottom w:val="single" w:sz="4" w:space="0" w:color="auto"/>
              <w:right w:val="single" w:sz="4" w:space="0" w:color="auto"/>
            </w:tcBorders>
            <w:hideMark/>
          </w:tcPr>
          <w:p w14:paraId="2F3D33FE" w14:textId="77777777" w:rsidR="000258E6" w:rsidRPr="009F6E99" w:rsidRDefault="000258E6" w:rsidP="000101E3">
            <w:pPr>
              <w:spacing w:before="30" w:after="30" w:line="220" w:lineRule="exact"/>
              <w:ind w:left="142"/>
              <w:rPr>
                <w:sz w:val="18"/>
                <w:szCs w:val="18"/>
              </w:rPr>
            </w:pPr>
            <w:r>
              <w:t>II, III</w:t>
            </w:r>
          </w:p>
        </w:tc>
      </w:tr>
      <w:tr w:rsidR="000258E6" w:rsidRPr="009F6E99" w14:paraId="41B856CB" w14:textId="77777777" w:rsidTr="000258E6">
        <w:trPr>
          <w:cantSplit/>
          <w:trHeight w:val="40"/>
        </w:trPr>
        <w:tc>
          <w:tcPr>
            <w:tcW w:w="594" w:type="pct"/>
            <w:vMerge/>
            <w:tcBorders>
              <w:left w:val="single" w:sz="4" w:space="0" w:color="auto"/>
              <w:right w:val="single" w:sz="4" w:space="0" w:color="auto"/>
            </w:tcBorders>
          </w:tcPr>
          <w:p w14:paraId="5A686097" w14:textId="77777777" w:rsidR="000258E6" w:rsidRPr="009F6E99" w:rsidRDefault="000258E6" w:rsidP="000101E3">
            <w:pPr>
              <w:spacing w:before="30" w:after="30" w:line="220" w:lineRule="exact"/>
              <w:ind w:left="142"/>
              <w:rPr>
                <w:sz w:val="18"/>
                <w:szCs w:val="18"/>
                <w:lang w:val="en-GB"/>
              </w:rPr>
            </w:pPr>
          </w:p>
        </w:tc>
        <w:tc>
          <w:tcPr>
            <w:tcW w:w="1777" w:type="pct"/>
            <w:vMerge w:val="restart"/>
            <w:tcBorders>
              <w:top w:val="single" w:sz="4" w:space="0" w:color="auto"/>
              <w:left w:val="nil"/>
              <w:bottom w:val="single" w:sz="4" w:space="0" w:color="auto"/>
              <w:right w:val="nil"/>
            </w:tcBorders>
          </w:tcPr>
          <w:p w14:paraId="714E68A1" w14:textId="77777777" w:rsidR="000258E6" w:rsidRPr="009F6E99" w:rsidRDefault="000258E6" w:rsidP="000101E3">
            <w:pPr>
              <w:spacing w:before="30" w:after="30" w:line="220" w:lineRule="exact"/>
              <w:ind w:left="142"/>
              <w:jc w:val="center"/>
              <w:rPr>
                <w:sz w:val="18"/>
                <w:szCs w:val="18"/>
              </w:rPr>
            </w:pPr>
            <w:r>
              <w:t>5.1</w:t>
            </w:r>
          </w:p>
        </w:tc>
        <w:tc>
          <w:tcPr>
            <w:tcW w:w="935" w:type="pct"/>
            <w:tcBorders>
              <w:top w:val="single" w:sz="4" w:space="0" w:color="auto"/>
              <w:left w:val="single" w:sz="4" w:space="0" w:color="auto"/>
              <w:bottom w:val="single" w:sz="4" w:space="0" w:color="auto"/>
              <w:right w:val="single" w:sz="4" w:space="0" w:color="auto"/>
            </w:tcBorders>
            <w:hideMark/>
          </w:tcPr>
          <w:p w14:paraId="6810D847" w14:textId="77777777" w:rsidR="000258E6" w:rsidRPr="009F6E99" w:rsidRDefault="000258E6" w:rsidP="000101E3">
            <w:pPr>
              <w:spacing w:before="30" w:after="30" w:line="220" w:lineRule="exact"/>
              <w:ind w:left="142"/>
              <w:rPr>
                <w:sz w:val="18"/>
                <w:szCs w:val="18"/>
              </w:rPr>
            </w:pPr>
            <w:r>
              <w:t>O1</w:t>
            </w:r>
          </w:p>
        </w:tc>
        <w:tc>
          <w:tcPr>
            <w:tcW w:w="1694" w:type="pct"/>
            <w:tcBorders>
              <w:top w:val="single" w:sz="4" w:space="0" w:color="auto"/>
              <w:left w:val="nil"/>
              <w:bottom w:val="single" w:sz="4" w:space="0" w:color="auto"/>
              <w:right w:val="single" w:sz="4" w:space="0" w:color="auto"/>
            </w:tcBorders>
            <w:hideMark/>
          </w:tcPr>
          <w:p w14:paraId="69461C4B" w14:textId="77777777" w:rsidR="000258E6" w:rsidRPr="009F6E99" w:rsidRDefault="000258E6" w:rsidP="000101E3">
            <w:pPr>
              <w:spacing w:before="30" w:after="30" w:line="220" w:lineRule="exact"/>
              <w:ind w:left="142"/>
              <w:rPr>
                <w:sz w:val="18"/>
                <w:szCs w:val="18"/>
              </w:rPr>
            </w:pPr>
            <w:r>
              <w:t>III</w:t>
            </w:r>
          </w:p>
        </w:tc>
      </w:tr>
      <w:tr w:rsidR="000258E6" w:rsidRPr="009F6E99" w14:paraId="1638F4C5" w14:textId="77777777" w:rsidTr="000258E6">
        <w:trPr>
          <w:cantSplit/>
          <w:trHeight w:val="40"/>
        </w:trPr>
        <w:tc>
          <w:tcPr>
            <w:tcW w:w="594" w:type="pct"/>
            <w:vMerge/>
            <w:tcBorders>
              <w:left w:val="single" w:sz="4" w:space="0" w:color="auto"/>
              <w:right w:val="single" w:sz="4" w:space="0" w:color="auto"/>
            </w:tcBorders>
          </w:tcPr>
          <w:p w14:paraId="57E672A6" w14:textId="77777777" w:rsidR="000258E6" w:rsidRPr="009F6E99" w:rsidRDefault="000258E6" w:rsidP="000101E3">
            <w:pPr>
              <w:spacing w:before="30" w:after="30" w:line="220" w:lineRule="exact"/>
              <w:ind w:left="142"/>
              <w:rPr>
                <w:sz w:val="18"/>
                <w:szCs w:val="18"/>
                <w:lang w:val="en-GB"/>
              </w:rPr>
            </w:pPr>
          </w:p>
        </w:tc>
        <w:tc>
          <w:tcPr>
            <w:tcW w:w="1777" w:type="pct"/>
            <w:vMerge/>
            <w:tcBorders>
              <w:top w:val="single" w:sz="4" w:space="0" w:color="auto"/>
              <w:left w:val="nil"/>
              <w:bottom w:val="single" w:sz="4" w:space="0" w:color="auto"/>
              <w:right w:val="nil"/>
            </w:tcBorders>
            <w:vAlign w:val="center"/>
            <w:hideMark/>
          </w:tcPr>
          <w:p w14:paraId="3EC94064" w14:textId="77777777" w:rsidR="000258E6" w:rsidRPr="009F6E99" w:rsidRDefault="000258E6" w:rsidP="000101E3">
            <w:pPr>
              <w:spacing w:before="30" w:after="30" w:line="220" w:lineRule="exact"/>
              <w:rPr>
                <w:sz w:val="18"/>
                <w:szCs w:val="18"/>
                <w:lang w:val="en-GB"/>
              </w:rPr>
            </w:pP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49B8205B" w14:textId="77777777" w:rsidR="000258E6" w:rsidRPr="009F6E99" w:rsidRDefault="000258E6" w:rsidP="000101E3">
            <w:pPr>
              <w:spacing w:before="30" w:after="30" w:line="220" w:lineRule="exact"/>
              <w:ind w:left="142"/>
              <w:rPr>
                <w:b/>
                <w:bCs/>
                <w:i/>
                <w:iCs/>
                <w:sz w:val="18"/>
                <w:szCs w:val="18"/>
                <w:u w:val="single"/>
              </w:rPr>
            </w:pPr>
            <w:r>
              <w:rPr>
                <w:b/>
                <w:bCs/>
                <w:i/>
                <w:iCs/>
                <w:u w:val="single"/>
              </w:rPr>
              <w:t>OT1</w:t>
            </w:r>
          </w:p>
        </w:tc>
        <w:tc>
          <w:tcPr>
            <w:tcW w:w="1694" w:type="pct"/>
            <w:tcBorders>
              <w:top w:val="single" w:sz="4" w:space="0" w:color="auto"/>
              <w:left w:val="nil"/>
              <w:bottom w:val="single" w:sz="4" w:space="0" w:color="auto"/>
              <w:right w:val="single" w:sz="4" w:space="0" w:color="auto"/>
            </w:tcBorders>
            <w:shd w:val="clear" w:color="auto" w:fill="auto"/>
            <w:hideMark/>
          </w:tcPr>
          <w:p w14:paraId="37BE2FB5" w14:textId="77777777" w:rsidR="000258E6" w:rsidRPr="00CE0946" w:rsidRDefault="000258E6" w:rsidP="000101E3">
            <w:pPr>
              <w:spacing w:before="30" w:after="30" w:line="220" w:lineRule="exact"/>
              <w:ind w:left="142"/>
              <w:rPr>
                <w:b/>
                <w:bCs/>
                <w:i/>
                <w:iCs/>
                <w:sz w:val="18"/>
                <w:szCs w:val="18"/>
                <w:u w:val="single"/>
              </w:rPr>
            </w:pPr>
            <w:r w:rsidRPr="00CE0946">
              <w:rPr>
                <w:b/>
                <w:bCs/>
                <w:i/>
                <w:iCs/>
                <w:u w:val="single"/>
              </w:rPr>
              <w:t>III</w:t>
            </w:r>
          </w:p>
        </w:tc>
      </w:tr>
      <w:tr w:rsidR="000258E6" w:rsidRPr="009F6E99" w14:paraId="0DB5217B" w14:textId="77777777" w:rsidTr="000258E6">
        <w:trPr>
          <w:cantSplit/>
          <w:trHeight w:val="40"/>
        </w:trPr>
        <w:tc>
          <w:tcPr>
            <w:tcW w:w="594" w:type="pct"/>
            <w:vMerge/>
            <w:tcBorders>
              <w:left w:val="single" w:sz="4" w:space="0" w:color="auto"/>
              <w:right w:val="single" w:sz="4" w:space="0" w:color="auto"/>
            </w:tcBorders>
          </w:tcPr>
          <w:p w14:paraId="2212DE05" w14:textId="77777777" w:rsidR="000258E6" w:rsidRPr="009F6E99" w:rsidRDefault="000258E6" w:rsidP="000101E3">
            <w:pPr>
              <w:spacing w:before="30" w:after="30" w:line="220" w:lineRule="exact"/>
              <w:ind w:left="142"/>
              <w:rPr>
                <w:sz w:val="18"/>
                <w:szCs w:val="18"/>
                <w:lang w:val="en-GB"/>
              </w:rPr>
            </w:pPr>
          </w:p>
        </w:tc>
        <w:tc>
          <w:tcPr>
            <w:tcW w:w="1777" w:type="pct"/>
            <w:vMerge w:val="restart"/>
            <w:tcBorders>
              <w:top w:val="single" w:sz="4" w:space="0" w:color="auto"/>
              <w:left w:val="nil"/>
              <w:right w:val="nil"/>
            </w:tcBorders>
            <w:hideMark/>
          </w:tcPr>
          <w:p w14:paraId="48DC1EFD" w14:textId="77777777" w:rsidR="000258E6" w:rsidRPr="009F6E99" w:rsidRDefault="000258E6" w:rsidP="000101E3">
            <w:pPr>
              <w:spacing w:before="30" w:after="30" w:line="220" w:lineRule="exact"/>
              <w:ind w:left="142"/>
              <w:jc w:val="center"/>
              <w:rPr>
                <w:sz w:val="18"/>
                <w:szCs w:val="18"/>
              </w:rPr>
            </w:pPr>
            <w:r>
              <w:t>9</w:t>
            </w:r>
          </w:p>
        </w:tc>
        <w:tc>
          <w:tcPr>
            <w:tcW w:w="935" w:type="pct"/>
            <w:tcBorders>
              <w:top w:val="single" w:sz="4" w:space="0" w:color="auto"/>
              <w:left w:val="single" w:sz="4" w:space="0" w:color="auto"/>
              <w:bottom w:val="single" w:sz="4" w:space="0" w:color="auto"/>
              <w:right w:val="single" w:sz="4" w:space="0" w:color="auto"/>
            </w:tcBorders>
            <w:hideMark/>
          </w:tcPr>
          <w:p w14:paraId="3F9D9A17" w14:textId="77777777" w:rsidR="000258E6" w:rsidRPr="009F6E99" w:rsidRDefault="000258E6" w:rsidP="000101E3">
            <w:pPr>
              <w:spacing w:before="30" w:after="30" w:line="220" w:lineRule="exact"/>
              <w:ind w:left="142"/>
              <w:rPr>
                <w:sz w:val="18"/>
                <w:szCs w:val="18"/>
              </w:rPr>
            </w:pPr>
            <w:r>
              <w:t>M6</w:t>
            </w:r>
          </w:p>
        </w:tc>
        <w:tc>
          <w:tcPr>
            <w:tcW w:w="1694" w:type="pct"/>
            <w:tcBorders>
              <w:top w:val="single" w:sz="4" w:space="0" w:color="auto"/>
              <w:left w:val="nil"/>
              <w:bottom w:val="single" w:sz="4" w:space="0" w:color="auto"/>
              <w:right w:val="single" w:sz="4" w:space="0" w:color="auto"/>
            </w:tcBorders>
            <w:hideMark/>
          </w:tcPr>
          <w:p w14:paraId="1C2D3774" w14:textId="77777777" w:rsidR="000258E6" w:rsidRPr="009F6E99" w:rsidRDefault="000258E6" w:rsidP="000101E3">
            <w:pPr>
              <w:spacing w:before="30" w:after="30" w:line="220" w:lineRule="exact"/>
              <w:ind w:left="142"/>
              <w:rPr>
                <w:sz w:val="18"/>
                <w:szCs w:val="18"/>
              </w:rPr>
            </w:pPr>
            <w:r>
              <w:t>III</w:t>
            </w:r>
          </w:p>
        </w:tc>
      </w:tr>
      <w:tr w:rsidR="000258E6" w:rsidRPr="009F6E99" w14:paraId="6E020102" w14:textId="77777777" w:rsidTr="000258E6">
        <w:trPr>
          <w:cantSplit/>
          <w:trHeight w:val="40"/>
        </w:trPr>
        <w:tc>
          <w:tcPr>
            <w:tcW w:w="594" w:type="pct"/>
            <w:vMerge/>
            <w:tcBorders>
              <w:left w:val="single" w:sz="4" w:space="0" w:color="auto"/>
              <w:right w:val="single" w:sz="4" w:space="0" w:color="auto"/>
            </w:tcBorders>
          </w:tcPr>
          <w:p w14:paraId="78D211F8" w14:textId="77777777" w:rsidR="000258E6" w:rsidRPr="009F6E99" w:rsidRDefault="000258E6" w:rsidP="000101E3">
            <w:pPr>
              <w:spacing w:before="30" w:after="30" w:line="220" w:lineRule="exact"/>
              <w:ind w:left="142"/>
              <w:rPr>
                <w:sz w:val="18"/>
                <w:szCs w:val="18"/>
                <w:lang w:val="en-GB"/>
              </w:rPr>
            </w:pPr>
          </w:p>
        </w:tc>
        <w:tc>
          <w:tcPr>
            <w:tcW w:w="1777" w:type="pct"/>
            <w:vMerge/>
            <w:tcBorders>
              <w:left w:val="nil"/>
              <w:bottom w:val="dotted" w:sz="4" w:space="0" w:color="auto"/>
              <w:right w:val="nil"/>
            </w:tcBorders>
          </w:tcPr>
          <w:p w14:paraId="2E085054" w14:textId="77777777" w:rsidR="000258E6" w:rsidRPr="009F6E99" w:rsidRDefault="000258E6" w:rsidP="000101E3">
            <w:pPr>
              <w:spacing w:before="30" w:after="30" w:line="220" w:lineRule="exact"/>
              <w:ind w:left="142"/>
              <w:jc w:val="center"/>
              <w:rPr>
                <w:sz w:val="18"/>
                <w:szCs w:val="18"/>
                <w:lang w:val="en-GB"/>
              </w:rPr>
            </w:pPr>
          </w:p>
        </w:tc>
        <w:tc>
          <w:tcPr>
            <w:tcW w:w="935" w:type="pct"/>
            <w:tcBorders>
              <w:top w:val="single" w:sz="4" w:space="0" w:color="auto"/>
              <w:left w:val="single" w:sz="4" w:space="0" w:color="auto"/>
              <w:bottom w:val="single" w:sz="4" w:space="0" w:color="auto"/>
              <w:right w:val="single" w:sz="4" w:space="0" w:color="auto"/>
            </w:tcBorders>
            <w:hideMark/>
          </w:tcPr>
          <w:p w14:paraId="0FFE7C76" w14:textId="77777777" w:rsidR="000258E6" w:rsidRPr="009F6E99" w:rsidRDefault="000258E6" w:rsidP="000101E3">
            <w:pPr>
              <w:spacing w:before="30" w:after="30" w:line="220" w:lineRule="exact"/>
              <w:ind w:left="142"/>
              <w:rPr>
                <w:sz w:val="18"/>
                <w:szCs w:val="18"/>
              </w:rPr>
            </w:pPr>
            <w:r>
              <w:t>M11</w:t>
            </w:r>
          </w:p>
        </w:tc>
        <w:tc>
          <w:tcPr>
            <w:tcW w:w="1694" w:type="pct"/>
            <w:tcBorders>
              <w:top w:val="single" w:sz="4" w:space="0" w:color="auto"/>
              <w:left w:val="nil"/>
              <w:bottom w:val="single" w:sz="4" w:space="0" w:color="auto"/>
              <w:right w:val="single" w:sz="4" w:space="0" w:color="auto"/>
            </w:tcBorders>
            <w:hideMark/>
          </w:tcPr>
          <w:p w14:paraId="30F97B75" w14:textId="77777777" w:rsidR="000258E6" w:rsidRPr="009F6E99" w:rsidRDefault="000258E6" w:rsidP="000101E3">
            <w:pPr>
              <w:spacing w:before="30" w:after="30" w:line="220" w:lineRule="exact"/>
              <w:ind w:left="142"/>
              <w:rPr>
                <w:sz w:val="18"/>
                <w:szCs w:val="18"/>
              </w:rPr>
            </w:pPr>
            <w:r>
              <w:t>III</w:t>
            </w:r>
          </w:p>
        </w:tc>
      </w:tr>
      <w:tr w:rsidR="000258E6" w:rsidRPr="00AA38EC" w14:paraId="3650061E" w14:textId="77777777" w:rsidTr="000258E6">
        <w:trPr>
          <w:cantSplit/>
          <w:trHeight w:val="40"/>
        </w:trPr>
        <w:tc>
          <w:tcPr>
            <w:tcW w:w="594" w:type="pct"/>
            <w:vMerge/>
            <w:tcBorders>
              <w:left w:val="single" w:sz="4" w:space="0" w:color="auto"/>
              <w:bottom w:val="single" w:sz="4" w:space="0" w:color="auto"/>
              <w:right w:val="single" w:sz="4" w:space="0" w:color="auto"/>
            </w:tcBorders>
          </w:tcPr>
          <w:p w14:paraId="5DED8AD5" w14:textId="77777777" w:rsidR="000258E6" w:rsidRPr="009F6E99" w:rsidRDefault="000258E6" w:rsidP="000101E3">
            <w:pPr>
              <w:spacing w:before="30" w:after="30" w:line="220" w:lineRule="exact"/>
              <w:ind w:left="142"/>
              <w:rPr>
                <w:sz w:val="18"/>
                <w:szCs w:val="18"/>
                <w:lang w:val="en-GB"/>
              </w:rPr>
            </w:pPr>
          </w:p>
        </w:tc>
        <w:tc>
          <w:tcPr>
            <w:tcW w:w="4406" w:type="pct"/>
            <w:gridSpan w:val="3"/>
            <w:tcBorders>
              <w:top w:val="single" w:sz="4" w:space="0" w:color="auto"/>
              <w:left w:val="nil"/>
              <w:bottom w:val="single" w:sz="4" w:space="0" w:color="auto"/>
              <w:right w:val="single" w:sz="4" w:space="0" w:color="auto"/>
            </w:tcBorders>
            <w:hideMark/>
          </w:tcPr>
          <w:p w14:paraId="7CF3F6CD" w14:textId="77777777" w:rsidR="000258E6" w:rsidRPr="00AA38EC" w:rsidRDefault="000258E6" w:rsidP="000101E3">
            <w:pPr>
              <w:spacing w:before="30" w:after="30" w:line="220" w:lineRule="exact"/>
              <w:ind w:left="142"/>
              <w:rPr>
                <w:sz w:val="18"/>
                <w:szCs w:val="18"/>
              </w:rPr>
            </w:pPr>
            <w:r>
              <w:t>а также группы веществ, допущенных к перевозке в цистернах под кодом LGAV</w:t>
            </w:r>
          </w:p>
        </w:tc>
      </w:tr>
    </w:tbl>
    <w:p w14:paraId="37077940" w14:textId="77777777" w:rsidR="000258E6" w:rsidRPr="00AA38EC" w:rsidRDefault="000258E6" w:rsidP="000258E6">
      <w:pPr>
        <w:ind w:left="142"/>
      </w:pPr>
    </w:p>
    <w:tbl>
      <w:tblPr>
        <w:tblW w:w="434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601"/>
        <w:gridCol w:w="1184"/>
        <w:gridCol w:w="3543"/>
      </w:tblGrid>
      <w:tr w:rsidR="000258E6" w:rsidRPr="00AA38EC" w14:paraId="3AA2A4E7" w14:textId="77777777" w:rsidTr="006774C4">
        <w:trPr>
          <w:cantSplit/>
          <w:trHeight w:val="202"/>
        </w:trPr>
        <w:tc>
          <w:tcPr>
            <w:tcW w:w="619" w:type="pct"/>
            <w:vMerge w:val="restart"/>
            <w:tcBorders>
              <w:top w:val="single" w:sz="4" w:space="0" w:color="auto"/>
              <w:left w:val="single" w:sz="4" w:space="0" w:color="auto"/>
              <w:right w:val="single" w:sz="4" w:space="0" w:color="auto"/>
            </w:tcBorders>
            <w:hideMark/>
          </w:tcPr>
          <w:p w14:paraId="34C3699D" w14:textId="77777777" w:rsidR="000258E6" w:rsidRPr="009F6E99" w:rsidRDefault="000258E6" w:rsidP="000101E3">
            <w:pPr>
              <w:spacing w:before="20" w:after="20" w:line="220" w:lineRule="exact"/>
              <w:ind w:left="142"/>
              <w:rPr>
                <w:sz w:val="18"/>
                <w:szCs w:val="18"/>
              </w:rPr>
            </w:pPr>
            <w:r>
              <w:t>L1.5BN</w:t>
            </w:r>
          </w:p>
        </w:tc>
        <w:tc>
          <w:tcPr>
            <w:tcW w:w="1555" w:type="pct"/>
            <w:tcBorders>
              <w:top w:val="single" w:sz="4" w:space="0" w:color="auto"/>
              <w:left w:val="nil"/>
              <w:bottom w:val="nil"/>
              <w:right w:val="nil"/>
            </w:tcBorders>
            <w:hideMark/>
          </w:tcPr>
          <w:p w14:paraId="47B76BF3" w14:textId="77777777" w:rsidR="000258E6" w:rsidRPr="009F6E99" w:rsidRDefault="000258E6" w:rsidP="000101E3">
            <w:pPr>
              <w:spacing w:before="20" w:after="20" w:line="220" w:lineRule="exact"/>
              <w:ind w:left="142"/>
              <w:jc w:val="center"/>
              <w:rPr>
                <w:sz w:val="18"/>
                <w:szCs w:val="18"/>
              </w:rPr>
            </w:pPr>
            <w:r>
              <w:t>3</w:t>
            </w:r>
          </w:p>
        </w:tc>
        <w:tc>
          <w:tcPr>
            <w:tcW w:w="708" w:type="pct"/>
            <w:tcBorders>
              <w:top w:val="single" w:sz="4" w:space="0" w:color="auto"/>
              <w:left w:val="single" w:sz="4" w:space="0" w:color="auto"/>
              <w:bottom w:val="single" w:sz="4" w:space="0" w:color="auto"/>
              <w:right w:val="single" w:sz="4" w:space="0" w:color="auto"/>
            </w:tcBorders>
            <w:hideMark/>
          </w:tcPr>
          <w:p w14:paraId="62B520CB" w14:textId="77777777" w:rsidR="000258E6" w:rsidRPr="009F6E99" w:rsidRDefault="000258E6" w:rsidP="000101E3">
            <w:pPr>
              <w:spacing w:before="20" w:after="20" w:line="220" w:lineRule="exact"/>
              <w:ind w:left="142"/>
              <w:rPr>
                <w:sz w:val="18"/>
                <w:szCs w:val="18"/>
              </w:rPr>
            </w:pPr>
            <w:r>
              <w:t>F1</w:t>
            </w:r>
          </w:p>
        </w:tc>
        <w:tc>
          <w:tcPr>
            <w:tcW w:w="2118" w:type="pct"/>
            <w:tcBorders>
              <w:top w:val="single" w:sz="4" w:space="0" w:color="auto"/>
              <w:left w:val="nil"/>
              <w:bottom w:val="single" w:sz="4" w:space="0" w:color="auto"/>
              <w:right w:val="single" w:sz="4" w:space="0" w:color="auto"/>
            </w:tcBorders>
            <w:hideMark/>
          </w:tcPr>
          <w:p w14:paraId="59B7EB94" w14:textId="77777777" w:rsidR="000258E6" w:rsidRPr="00AA38EC" w:rsidRDefault="000258E6" w:rsidP="000101E3">
            <w:pPr>
              <w:pBdr>
                <w:right w:val="single" w:sz="4" w:space="4" w:color="auto"/>
              </w:pBdr>
              <w:spacing w:before="20" w:after="20" w:line="220" w:lineRule="exact"/>
              <w:ind w:left="142"/>
              <w:rPr>
                <w:sz w:val="18"/>
                <w:szCs w:val="18"/>
              </w:rPr>
            </w:pPr>
            <w:r>
              <w:t>II</w:t>
            </w:r>
          </w:p>
          <w:p w14:paraId="7FD572D0" w14:textId="0E1034B4" w:rsidR="000258E6" w:rsidRPr="00AA38EC" w:rsidRDefault="000258E6" w:rsidP="000101E3">
            <w:pPr>
              <w:pStyle w:val="ad"/>
              <w:pBdr>
                <w:right w:val="single" w:sz="4" w:space="4" w:color="auto"/>
              </w:pBdr>
              <w:spacing w:before="20" w:after="20"/>
              <w:rPr>
                <w:szCs w:val="18"/>
              </w:rPr>
            </w:pPr>
            <w:r>
              <w:t>давление паров при 50 °C &gt;</w:t>
            </w:r>
            <w:r w:rsidR="00921049">
              <w:rPr>
                <w:lang w:val="en-US"/>
              </w:rPr>
              <w:t> </w:t>
            </w:r>
            <w:r>
              <w:t>1,1 бар</w:t>
            </w:r>
          </w:p>
        </w:tc>
      </w:tr>
      <w:tr w:rsidR="000258E6" w:rsidRPr="00AA38EC" w14:paraId="543D754F" w14:textId="77777777" w:rsidTr="006774C4">
        <w:trPr>
          <w:cantSplit/>
          <w:trHeight w:val="70"/>
        </w:trPr>
        <w:tc>
          <w:tcPr>
            <w:tcW w:w="619" w:type="pct"/>
            <w:vMerge/>
            <w:tcBorders>
              <w:left w:val="single" w:sz="4" w:space="0" w:color="auto"/>
              <w:right w:val="single" w:sz="4" w:space="0" w:color="auto"/>
            </w:tcBorders>
          </w:tcPr>
          <w:p w14:paraId="0C9CF7D4" w14:textId="77777777" w:rsidR="000258E6" w:rsidRPr="00AA38EC" w:rsidRDefault="000258E6" w:rsidP="000101E3">
            <w:pPr>
              <w:spacing w:before="20" w:after="20" w:line="220" w:lineRule="exact"/>
              <w:ind w:left="142"/>
              <w:rPr>
                <w:sz w:val="18"/>
                <w:szCs w:val="18"/>
              </w:rPr>
            </w:pPr>
          </w:p>
        </w:tc>
        <w:tc>
          <w:tcPr>
            <w:tcW w:w="1555" w:type="pct"/>
            <w:tcBorders>
              <w:top w:val="nil"/>
              <w:left w:val="nil"/>
              <w:bottom w:val="nil"/>
              <w:right w:val="nil"/>
            </w:tcBorders>
          </w:tcPr>
          <w:p w14:paraId="7CDC458C" w14:textId="77777777" w:rsidR="000258E6" w:rsidRPr="00AA38EC" w:rsidRDefault="000258E6" w:rsidP="000101E3">
            <w:pPr>
              <w:spacing w:before="20" w:after="20" w:line="220" w:lineRule="exact"/>
              <w:ind w:left="142"/>
              <w:jc w:val="center"/>
              <w:rPr>
                <w:sz w:val="18"/>
                <w:szCs w:val="18"/>
              </w:rPr>
            </w:pPr>
          </w:p>
        </w:tc>
        <w:tc>
          <w:tcPr>
            <w:tcW w:w="708" w:type="pct"/>
            <w:tcBorders>
              <w:top w:val="single" w:sz="4" w:space="0" w:color="auto"/>
              <w:left w:val="single" w:sz="4" w:space="0" w:color="auto"/>
              <w:bottom w:val="single" w:sz="4" w:space="0" w:color="auto"/>
              <w:right w:val="single" w:sz="4" w:space="0" w:color="auto"/>
            </w:tcBorders>
            <w:hideMark/>
          </w:tcPr>
          <w:p w14:paraId="2964FB48" w14:textId="77777777" w:rsidR="000258E6" w:rsidRPr="009F5773" w:rsidRDefault="000258E6" w:rsidP="000101E3">
            <w:pPr>
              <w:spacing w:before="20" w:after="20" w:line="220" w:lineRule="exact"/>
              <w:ind w:left="142"/>
              <w:rPr>
                <w:b/>
                <w:bCs/>
                <w:strike/>
                <w:sz w:val="18"/>
                <w:szCs w:val="18"/>
              </w:rPr>
            </w:pPr>
            <w:r w:rsidRPr="009F5773">
              <w:rPr>
                <w:b/>
                <w:bCs/>
                <w:strike/>
              </w:rPr>
              <w:t>F1</w:t>
            </w:r>
          </w:p>
        </w:tc>
        <w:tc>
          <w:tcPr>
            <w:tcW w:w="2118" w:type="pct"/>
            <w:tcBorders>
              <w:top w:val="single" w:sz="4" w:space="0" w:color="auto"/>
              <w:left w:val="nil"/>
              <w:bottom w:val="single" w:sz="4" w:space="0" w:color="auto"/>
              <w:right w:val="single" w:sz="4" w:space="0" w:color="auto"/>
            </w:tcBorders>
            <w:hideMark/>
          </w:tcPr>
          <w:p w14:paraId="2208B088" w14:textId="77777777" w:rsidR="000258E6" w:rsidRPr="00AA38EC" w:rsidRDefault="000258E6" w:rsidP="000101E3">
            <w:pPr>
              <w:pBdr>
                <w:right w:val="single" w:sz="4" w:space="4" w:color="auto"/>
              </w:pBdr>
              <w:spacing w:before="20" w:after="20" w:line="220" w:lineRule="exact"/>
              <w:ind w:left="142"/>
              <w:rPr>
                <w:b/>
                <w:bCs/>
                <w:strike/>
                <w:sz w:val="18"/>
                <w:szCs w:val="18"/>
              </w:rPr>
            </w:pPr>
            <w:r w:rsidRPr="009F5773">
              <w:rPr>
                <w:b/>
                <w:bCs/>
                <w:strike/>
              </w:rPr>
              <w:t>III</w:t>
            </w:r>
          </w:p>
          <w:p w14:paraId="42690DCC" w14:textId="2B13E731" w:rsidR="000258E6" w:rsidRPr="00AA38EC" w:rsidRDefault="000258E6" w:rsidP="000101E3">
            <w:pPr>
              <w:pStyle w:val="ad"/>
              <w:pBdr>
                <w:right w:val="single" w:sz="4" w:space="4" w:color="auto"/>
              </w:pBdr>
              <w:spacing w:before="20" w:after="20"/>
              <w:rPr>
                <w:b/>
                <w:bCs/>
                <w:strike/>
                <w:szCs w:val="18"/>
              </w:rPr>
            </w:pPr>
            <w:r w:rsidRPr="009F5773">
              <w:rPr>
                <w:b/>
                <w:bCs/>
                <w:strike/>
              </w:rPr>
              <w:t>температура вспышки &lt;</w:t>
            </w:r>
            <w:r w:rsidR="00D3358B">
              <w:rPr>
                <w:b/>
                <w:bCs/>
                <w:strike/>
                <w:lang w:val="en-US"/>
              </w:rPr>
              <w:t> </w:t>
            </w:r>
            <w:r w:rsidRPr="009F5773">
              <w:rPr>
                <w:b/>
                <w:bCs/>
                <w:strike/>
              </w:rPr>
              <w:t xml:space="preserve">23 °C, вязкие, </w:t>
            </w:r>
          </w:p>
          <w:p w14:paraId="53433462" w14:textId="028C2BD5" w:rsidR="000258E6" w:rsidRPr="00AA38EC" w:rsidRDefault="000258E6" w:rsidP="000101E3">
            <w:pPr>
              <w:pStyle w:val="ad"/>
              <w:pBdr>
                <w:right w:val="single" w:sz="4" w:space="4" w:color="auto"/>
              </w:pBdr>
              <w:spacing w:before="20" w:after="20"/>
              <w:rPr>
                <w:b/>
                <w:bCs/>
                <w:strike/>
                <w:szCs w:val="18"/>
              </w:rPr>
            </w:pPr>
            <w:r w:rsidRPr="006774C4">
              <w:rPr>
                <w:b/>
                <w:bCs/>
                <w:strike/>
                <w:spacing w:val="-2"/>
              </w:rPr>
              <w:t>давление паров при 50 °C</w:t>
            </w:r>
            <w:r w:rsidRPr="009F5773">
              <w:rPr>
                <w:b/>
                <w:bCs/>
                <w:strike/>
              </w:rPr>
              <w:t xml:space="preserve"> &gt; 1,1 бар температура кипения &gt;</w:t>
            </w:r>
            <w:r w:rsidR="00D3358B">
              <w:rPr>
                <w:b/>
                <w:bCs/>
                <w:strike/>
                <w:lang w:val="en-US"/>
              </w:rPr>
              <w:t> </w:t>
            </w:r>
            <w:r w:rsidRPr="009F5773">
              <w:rPr>
                <w:b/>
                <w:bCs/>
                <w:strike/>
              </w:rPr>
              <w:t>35 °С</w:t>
            </w:r>
          </w:p>
        </w:tc>
      </w:tr>
      <w:tr w:rsidR="000258E6" w:rsidRPr="00AA38EC" w14:paraId="203CC264" w14:textId="77777777" w:rsidTr="006774C4">
        <w:trPr>
          <w:cantSplit/>
          <w:trHeight w:val="70"/>
        </w:trPr>
        <w:tc>
          <w:tcPr>
            <w:tcW w:w="619" w:type="pct"/>
            <w:vMerge/>
            <w:tcBorders>
              <w:left w:val="single" w:sz="4" w:space="0" w:color="auto"/>
              <w:right w:val="single" w:sz="4" w:space="0" w:color="auto"/>
            </w:tcBorders>
          </w:tcPr>
          <w:p w14:paraId="54CA2C24" w14:textId="77777777" w:rsidR="000258E6" w:rsidRPr="00AA38EC" w:rsidRDefault="000258E6" w:rsidP="000101E3">
            <w:pPr>
              <w:spacing w:before="20" w:after="20" w:line="220" w:lineRule="exact"/>
              <w:ind w:left="142"/>
              <w:rPr>
                <w:sz w:val="18"/>
                <w:szCs w:val="18"/>
              </w:rPr>
            </w:pPr>
          </w:p>
        </w:tc>
        <w:tc>
          <w:tcPr>
            <w:tcW w:w="1555" w:type="pct"/>
            <w:tcBorders>
              <w:top w:val="nil"/>
              <w:left w:val="nil"/>
              <w:bottom w:val="single" w:sz="4" w:space="0" w:color="auto"/>
              <w:right w:val="nil"/>
            </w:tcBorders>
          </w:tcPr>
          <w:p w14:paraId="6B0C561D" w14:textId="77777777" w:rsidR="000258E6" w:rsidRPr="00AA38EC" w:rsidRDefault="000258E6" w:rsidP="000101E3">
            <w:pPr>
              <w:spacing w:before="20" w:after="20" w:line="220" w:lineRule="exact"/>
              <w:ind w:left="142"/>
              <w:jc w:val="center"/>
              <w:rPr>
                <w:sz w:val="18"/>
                <w:szCs w:val="18"/>
              </w:rPr>
            </w:pPr>
          </w:p>
        </w:tc>
        <w:tc>
          <w:tcPr>
            <w:tcW w:w="708" w:type="pct"/>
            <w:tcBorders>
              <w:top w:val="single" w:sz="4" w:space="0" w:color="auto"/>
              <w:left w:val="single" w:sz="4" w:space="0" w:color="auto"/>
              <w:bottom w:val="single" w:sz="4" w:space="0" w:color="auto"/>
              <w:right w:val="single" w:sz="4" w:space="0" w:color="auto"/>
            </w:tcBorders>
            <w:hideMark/>
          </w:tcPr>
          <w:p w14:paraId="53508C19" w14:textId="77777777" w:rsidR="000258E6" w:rsidRPr="009F6E99" w:rsidRDefault="000258E6" w:rsidP="000101E3">
            <w:pPr>
              <w:spacing w:before="20" w:after="20" w:line="220" w:lineRule="exact"/>
              <w:ind w:left="142"/>
              <w:rPr>
                <w:sz w:val="18"/>
                <w:szCs w:val="18"/>
              </w:rPr>
            </w:pPr>
            <w:r>
              <w:t>D</w:t>
            </w:r>
          </w:p>
        </w:tc>
        <w:tc>
          <w:tcPr>
            <w:tcW w:w="2118" w:type="pct"/>
            <w:tcBorders>
              <w:top w:val="single" w:sz="4" w:space="0" w:color="auto"/>
              <w:left w:val="nil"/>
              <w:bottom w:val="single" w:sz="4" w:space="0" w:color="auto"/>
              <w:right w:val="single" w:sz="4" w:space="0" w:color="auto"/>
            </w:tcBorders>
            <w:hideMark/>
          </w:tcPr>
          <w:p w14:paraId="541B74C5" w14:textId="77777777" w:rsidR="000258E6" w:rsidRPr="00AA38EC" w:rsidRDefault="000258E6" w:rsidP="000101E3">
            <w:pPr>
              <w:pBdr>
                <w:right w:val="single" w:sz="4" w:space="4" w:color="auto"/>
              </w:pBdr>
              <w:spacing w:before="20" w:after="20" w:line="220" w:lineRule="exact"/>
              <w:ind w:left="142"/>
              <w:rPr>
                <w:sz w:val="18"/>
                <w:szCs w:val="18"/>
              </w:rPr>
            </w:pPr>
            <w:r>
              <w:t>II</w:t>
            </w:r>
          </w:p>
          <w:p w14:paraId="3C5B93AA" w14:textId="4A773915" w:rsidR="000258E6" w:rsidRPr="00AA38EC" w:rsidRDefault="000258E6" w:rsidP="000101E3">
            <w:pPr>
              <w:pStyle w:val="ad"/>
              <w:pBdr>
                <w:right w:val="single" w:sz="4" w:space="4" w:color="auto"/>
              </w:pBdr>
              <w:spacing w:before="20" w:after="20"/>
              <w:rPr>
                <w:szCs w:val="18"/>
              </w:rPr>
            </w:pPr>
            <w:r>
              <w:t>давление паров при 50 °C</w:t>
            </w:r>
            <w:r w:rsidR="00D3358B">
              <w:br/>
            </w:r>
            <w:r>
              <w:t>&gt; 1,1 бар</w:t>
            </w:r>
          </w:p>
        </w:tc>
      </w:tr>
      <w:tr w:rsidR="000258E6" w:rsidRPr="00AA38EC" w14:paraId="383FFDAD" w14:textId="77777777" w:rsidTr="000258E6">
        <w:trPr>
          <w:cantSplit/>
          <w:trHeight w:val="40"/>
        </w:trPr>
        <w:tc>
          <w:tcPr>
            <w:tcW w:w="619" w:type="pct"/>
            <w:vMerge/>
            <w:tcBorders>
              <w:left w:val="single" w:sz="4" w:space="0" w:color="auto"/>
              <w:bottom w:val="single" w:sz="4" w:space="0" w:color="auto"/>
              <w:right w:val="single" w:sz="4" w:space="0" w:color="auto"/>
            </w:tcBorders>
          </w:tcPr>
          <w:p w14:paraId="55FA43CE" w14:textId="77777777" w:rsidR="000258E6" w:rsidRPr="00AA38EC" w:rsidRDefault="000258E6" w:rsidP="000101E3">
            <w:pPr>
              <w:spacing w:before="20" w:after="20" w:line="220" w:lineRule="exact"/>
              <w:ind w:left="142"/>
              <w:rPr>
                <w:sz w:val="18"/>
                <w:szCs w:val="18"/>
              </w:rPr>
            </w:pPr>
          </w:p>
        </w:tc>
        <w:tc>
          <w:tcPr>
            <w:tcW w:w="4381" w:type="pct"/>
            <w:gridSpan w:val="3"/>
            <w:tcBorders>
              <w:top w:val="single" w:sz="4" w:space="0" w:color="auto"/>
              <w:left w:val="nil"/>
              <w:bottom w:val="single" w:sz="4" w:space="0" w:color="auto"/>
              <w:right w:val="single" w:sz="4" w:space="0" w:color="auto"/>
            </w:tcBorders>
            <w:hideMark/>
          </w:tcPr>
          <w:p w14:paraId="7D0808A1" w14:textId="77777777" w:rsidR="000258E6" w:rsidRPr="00AA38EC" w:rsidRDefault="000258E6" w:rsidP="000101E3">
            <w:pPr>
              <w:spacing w:before="20" w:after="20" w:line="220" w:lineRule="exact"/>
              <w:ind w:left="142"/>
              <w:rPr>
                <w:sz w:val="18"/>
                <w:szCs w:val="18"/>
              </w:rPr>
            </w:pPr>
            <w:r>
              <w:t>а также группы веществ, допущенных к перевозке в цистернах под кодами LGAV, LGBV и LGBF</w:t>
            </w:r>
          </w:p>
        </w:tc>
      </w:tr>
    </w:tbl>
    <w:p w14:paraId="09F3B2FD" w14:textId="77777777" w:rsidR="000258E6" w:rsidRPr="00AA38EC" w:rsidRDefault="000258E6" w:rsidP="000258E6">
      <w:pPr>
        <w:ind w:left="142"/>
      </w:pPr>
    </w:p>
    <w:tbl>
      <w:tblPr>
        <w:tblW w:w="4343"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751"/>
        <w:gridCol w:w="1567"/>
        <w:gridCol w:w="2833"/>
      </w:tblGrid>
      <w:tr w:rsidR="000258E6" w:rsidRPr="00AA38EC" w14:paraId="515F373A" w14:textId="77777777" w:rsidTr="008B1E7B">
        <w:trPr>
          <w:cantSplit/>
          <w:trHeight w:val="40"/>
        </w:trPr>
        <w:tc>
          <w:tcPr>
            <w:tcW w:w="724" w:type="pct"/>
            <w:vMerge w:val="restart"/>
            <w:tcBorders>
              <w:top w:val="single" w:sz="4" w:space="0" w:color="auto"/>
              <w:left w:val="single" w:sz="4" w:space="0" w:color="auto"/>
              <w:right w:val="single" w:sz="4" w:space="0" w:color="auto"/>
            </w:tcBorders>
            <w:hideMark/>
          </w:tcPr>
          <w:p w14:paraId="65263EEB" w14:textId="77777777" w:rsidR="000258E6" w:rsidRPr="009F6E99" w:rsidRDefault="000258E6" w:rsidP="000101E3">
            <w:pPr>
              <w:spacing w:before="20" w:after="20" w:line="220" w:lineRule="exact"/>
              <w:ind w:left="142"/>
              <w:rPr>
                <w:sz w:val="18"/>
                <w:szCs w:val="18"/>
              </w:rPr>
            </w:pPr>
            <w:r>
              <w:t>L4BN</w:t>
            </w:r>
          </w:p>
        </w:tc>
        <w:tc>
          <w:tcPr>
            <w:tcW w:w="1645" w:type="pct"/>
            <w:vMerge w:val="restart"/>
            <w:tcBorders>
              <w:top w:val="single" w:sz="4" w:space="0" w:color="auto"/>
              <w:left w:val="nil"/>
              <w:bottom w:val="single" w:sz="4" w:space="0" w:color="auto"/>
              <w:right w:val="nil"/>
            </w:tcBorders>
          </w:tcPr>
          <w:p w14:paraId="0748A141" w14:textId="77777777" w:rsidR="000258E6" w:rsidRPr="009F6E99" w:rsidRDefault="000258E6" w:rsidP="000101E3">
            <w:pPr>
              <w:spacing w:before="20" w:after="20" w:line="220" w:lineRule="exact"/>
              <w:ind w:left="142"/>
              <w:jc w:val="center"/>
              <w:rPr>
                <w:sz w:val="18"/>
                <w:szCs w:val="18"/>
              </w:rPr>
            </w:pPr>
            <w:r>
              <w:t>3</w:t>
            </w:r>
          </w:p>
        </w:tc>
        <w:tc>
          <w:tcPr>
            <w:tcW w:w="937" w:type="pct"/>
            <w:tcBorders>
              <w:top w:val="single" w:sz="4" w:space="0" w:color="auto"/>
              <w:left w:val="single" w:sz="4" w:space="0" w:color="auto"/>
              <w:bottom w:val="single" w:sz="4" w:space="0" w:color="auto"/>
              <w:right w:val="single" w:sz="4" w:space="0" w:color="auto"/>
            </w:tcBorders>
            <w:hideMark/>
          </w:tcPr>
          <w:p w14:paraId="085EF2F7" w14:textId="77777777" w:rsidR="000258E6" w:rsidRPr="009F6E99" w:rsidRDefault="000258E6" w:rsidP="000101E3">
            <w:pPr>
              <w:spacing w:before="20" w:after="20" w:line="220" w:lineRule="exact"/>
              <w:ind w:left="142"/>
              <w:rPr>
                <w:sz w:val="18"/>
                <w:szCs w:val="18"/>
              </w:rPr>
            </w:pPr>
            <w:r>
              <w:t>F1</w:t>
            </w:r>
          </w:p>
        </w:tc>
        <w:tc>
          <w:tcPr>
            <w:tcW w:w="1694" w:type="pct"/>
            <w:tcBorders>
              <w:top w:val="single" w:sz="4" w:space="0" w:color="auto"/>
              <w:left w:val="nil"/>
              <w:bottom w:val="single" w:sz="4" w:space="0" w:color="auto"/>
              <w:right w:val="single" w:sz="4" w:space="0" w:color="auto"/>
            </w:tcBorders>
            <w:hideMark/>
          </w:tcPr>
          <w:p w14:paraId="3D9B919F" w14:textId="77777777" w:rsidR="000258E6" w:rsidRPr="00AA38EC" w:rsidRDefault="000258E6" w:rsidP="000101E3">
            <w:pPr>
              <w:spacing w:before="20" w:after="20" w:line="220" w:lineRule="exact"/>
              <w:ind w:left="142"/>
              <w:rPr>
                <w:sz w:val="18"/>
                <w:szCs w:val="18"/>
              </w:rPr>
            </w:pPr>
            <w:r>
              <w:t>I,</w:t>
            </w:r>
          </w:p>
          <w:p w14:paraId="142E5AD4" w14:textId="53E66C5A" w:rsidR="000258E6" w:rsidRPr="00AA38EC" w:rsidRDefault="000258E6" w:rsidP="000101E3">
            <w:pPr>
              <w:spacing w:before="20" w:after="20" w:line="220" w:lineRule="exact"/>
              <w:ind w:left="142"/>
              <w:rPr>
                <w:b/>
                <w:bCs/>
                <w:strike/>
                <w:sz w:val="18"/>
                <w:szCs w:val="18"/>
              </w:rPr>
            </w:pPr>
            <w:r>
              <w:rPr>
                <w:b/>
                <w:bCs/>
                <w:strike/>
              </w:rPr>
              <w:t>III температура кипения ≤</w:t>
            </w:r>
            <w:r w:rsidR="00D3358B">
              <w:rPr>
                <w:b/>
                <w:bCs/>
                <w:strike/>
                <w:lang w:val="en-US"/>
              </w:rPr>
              <w:t> </w:t>
            </w:r>
            <w:r>
              <w:rPr>
                <w:b/>
                <w:bCs/>
                <w:strike/>
              </w:rPr>
              <w:t>35 °C</w:t>
            </w:r>
          </w:p>
        </w:tc>
      </w:tr>
      <w:tr w:rsidR="000258E6" w:rsidRPr="009F6E99" w14:paraId="093741C0" w14:textId="77777777" w:rsidTr="008B1E7B">
        <w:trPr>
          <w:cantSplit/>
          <w:trHeight w:val="40"/>
        </w:trPr>
        <w:tc>
          <w:tcPr>
            <w:tcW w:w="1211" w:type="dxa"/>
            <w:vMerge/>
            <w:tcBorders>
              <w:left w:val="single" w:sz="4" w:space="0" w:color="auto"/>
              <w:right w:val="single" w:sz="4" w:space="0" w:color="auto"/>
            </w:tcBorders>
            <w:vAlign w:val="center"/>
            <w:hideMark/>
          </w:tcPr>
          <w:p w14:paraId="4CD69F76" w14:textId="77777777" w:rsidR="000258E6" w:rsidRPr="00AA38EC" w:rsidRDefault="000258E6" w:rsidP="000101E3">
            <w:pPr>
              <w:spacing w:before="20" w:after="20" w:line="220" w:lineRule="exact"/>
              <w:rPr>
                <w:sz w:val="18"/>
                <w:szCs w:val="18"/>
              </w:rPr>
            </w:pPr>
          </w:p>
        </w:tc>
        <w:tc>
          <w:tcPr>
            <w:tcW w:w="2752" w:type="dxa"/>
            <w:vMerge/>
            <w:tcBorders>
              <w:top w:val="single" w:sz="4" w:space="0" w:color="auto"/>
              <w:left w:val="nil"/>
              <w:bottom w:val="single" w:sz="4" w:space="0" w:color="auto"/>
              <w:right w:val="nil"/>
            </w:tcBorders>
            <w:vAlign w:val="center"/>
            <w:hideMark/>
          </w:tcPr>
          <w:p w14:paraId="60B04137" w14:textId="77777777" w:rsidR="000258E6" w:rsidRPr="00AA38EC" w:rsidRDefault="000258E6" w:rsidP="000101E3">
            <w:pPr>
              <w:spacing w:before="20" w:after="20" w:line="220" w:lineRule="exact"/>
              <w:rPr>
                <w:sz w:val="18"/>
                <w:szCs w:val="18"/>
              </w:rPr>
            </w:pPr>
          </w:p>
        </w:tc>
        <w:tc>
          <w:tcPr>
            <w:tcW w:w="937" w:type="pct"/>
            <w:tcBorders>
              <w:top w:val="single" w:sz="4" w:space="0" w:color="auto"/>
              <w:left w:val="single" w:sz="4" w:space="0" w:color="auto"/>
              <w:bottom w:val="single" w:sz="4" w:space="0" w:color="auto"/>
              <w:right w:val="single" w:sz="4" w:space="0" w:color="auto"/>
            </w:tcBorders>
            <w:hideMark/>
          </w:tcPr>
          <w:p w14:paraId="64C2C288" w14:textId="77777777" w:rsidR="000258E6" w:rsidRPr="009F6E99" w:rsidRDefault="000258E6" w:rsidP="000101E3">
            <w:pPr>
              <w:spacing w:before="20" w:after="20" w:line="220" w:lineRule="exact"/>
              <w:ind w:left="142"/>
              <w:rPr>
                <w:sz w:val="18"/>
                <w:szCs w:val="18"/>
              </w:rPr>
            </w:pPr>
            <w:r>
              <w:t>FC</w:t>
            </w:r>
          </w:p>
        </w:tc>
        <w:tc>
          <w:tcPr>
            <w:tcW w:w="1694" w:type="pct"/>
            <w:tcBorders>
              <w:top w:val="single" w:sz="4" w:space="0" w:color="auto"/>
              <w:left w:val="nil"/>
              <w:bottom w:val="single" w:sz="4" w:space="0" w:color="auto"/>
              <w:right w:val="single" w:sz="4" w:space="0" w:color="auto"/>
            </w:tcBorders>
            <w:hideMark/>
          </w:tcPr>
          <w:p w14:paraId="1EADB64C" w14:textId="77777777" w:rsidR="000258E6" w:rsidRPr="009F6E99" w:rsidRDefault="000258E6" w:rsidP="000101E3">
            <w:pPr>
              <w:spacing w:before="20" w:after="20" w:line="220" w:lineRule="exact"/>
              <w:ind w:left="142"/>
              <w:rPr>
                <w:sz w:val="18"/>
                <w:szCs w:val="18"/>
              </w:rPr>
            </w:pPr>
            <w:r>
              <w:t>III</w:t>
            </w:r>
          </w:p>
        </w:tc>
      </w:tr>
      <w:tr w:rsidR="000258E6" w:rsidRPr="009F6E99" w14:paraId="66EA6D8F" w14:textId="77777777" w:rsidTr="008B1E7B">
        <w:trPr>
          <w:cantSplit/>
          <w:trHeight w:val="40"/>
        </w:trPr>
        <w:tc>
          <w:tcPr>
            <w:tcW w:w="1211" w:type="dxa"/>
            <w:vMerge/>
            <w:tcBorders>
              <w:left w:val="single" w:sz="4" w:space="0" w:color="auto"/>
              <w:right w:val="single" w:sz="4" w:space="0" w:color="auto"/>
            </w:tcBorders>
            <w:vAlign w:val="center"/>
            <w:hideMark/>
          </w:tcPr>
          <w:p w14:paraId="27E228CF" w14:textId="77777777" w:rsidR="000258E6" w:rsidRPr="009F6E99" w:rsidRDefault="000258E6" w:rsidP="000101E3">
            <w:pPr>
              <w:spacing w:before="20" w:after="20" w:line="220" w:lineRule="exact"/>
              <w:rPr>
                <w:sz w:val="18"/>
                <w:szCs w:val="18"/>
                <w:lang w:val="en-GB"/>
              </w:rPr>
            </w:pPr>
          </w:p>
        </w:tc>
        <w:tc>
          <w:tcPr>
            <w:tcW w:w="2752" w:type="dxa"/>
            <w:vMerge/>
            <w:tcBorders>
              <w:top w:val="single" w:sz="4" w:space="0" w:color="auto"/>
              <w:left w:val="nil"/>
              <w:bottom w:val="single" w:sz="4" w:space="0" w:color="auto"/>
              <w:right w:val="nil"/>
            </w:tcBorders>
            <w:vAlign w:val="center"/>
            <w:hideMark/>
          </w:tcPr>
          <w:p w14:paraId="2A4460AC" w14:textId="77777777" w:rsidR="000258E6" w:rsidRPr="009F6E99" w:rsidRDefault="000258E6" w:rsidP="000101E3">
            <w:pPr>
              <w:spacing w:before="20" w:after="20" w:line="220" w:lineRule="exact"/>
              <w:rPr>
                <w:sz w:val="18"/>
                <w:szCs w:val="18"/>
                <w:lang w:val="en-GB"/>
              </w:rPr>
            </w:pPr>
          </w:p>
        </w:tc>
        <w:tc>
          <w:tcPr>
            <w:tcW w:w="937" w:type="pct"/>
            <w:tcBorders>
              <w:top w:val="single" w:sz="4" w:space="0" w:color="auto"/>
              <w:left w:val="single" w:sz="4" w:space="0" w:color="auto"/>
              <w:bottom w:val="single" w:sz="4" w:space="0" w:color="auto"/>
              <w:right w:val="single" w:sz="4" w:space="0" w:color="auto"/>
            </w:tcBorders>
            <w:hideMark/>
          </w:tcPr>
          <w:p w14:paraId="1C3D674D" w14:textId="77777777" w:rsidR="000258E6" w:rsidRPr="009F6E99" w:rsidRDefault="000258E6" w:rsidP="000101E3">
            <w:pPr>
              <w:spacing w:before="20" w:after="20" w:line="220" w:lineRule="exact"/>
              <w:ind w:left="142"/>
              <w:rPr>
                <w:sz w:val="18"/>
                <w:szCs w:val="18"/>
              </w:rPr>
            </w:pPr>
            <w:r>
              <w:t>D</w:t>
            </w:r>
          </w:p>
        </w:tc>
        <w:tc>
          <w:tcPr>
            <w:tcW w:w="1694" w:type="pct"/>
            <w:tcBorders>
              <w:top w:val="single" w:sz="4" w:space="0" w:color="auto"/>
              <w:left w:val="nil"/>
              <w:bottom w:val="single" w:sz="4" w:space="0" w:color="auto"/>
              <w:right w:val="single" w:sz="4" w:space="0" w:color="auto"/>
            </w:tcBorders>
            <w:hideMark/>
          </w:tcPr>
          <w:p w14:paraId="7AB0AD04" w14:textId="77777777" w:rsidR="000258E6" w:rsidRPr="009F6E99" w:rsidRDefault="000258E6" w:rsidP="000101E3">
            <w:pPr>
              <w:spacing w:before="20" w:after="20" w:line="220" w:lineRule="exact"/>
              <w:ind w:left="142"/>
              <w:rPr>
                <w:sz w:val="18"/>
                <w:szCs w:val="18"/>
              </w:rPr>
            </w:pPr>
            <w:r>
              <w:t>I</w:t>
            </w:r>
          </w:p>
        </w:tc>
      </w:tr>
      <w:tr w:rsidR="000258E6" w:rsidRPr="009F6E99" w14:paraId="32428C45" w14:textId="77777777" w:rsidTr="008B1E7B">
        <w:trPr>
          <w:cantSplit/>
          <w:trHeight w:val="40"/>
        </w:trPr>
        <w:tc>
          <w:tcPr>
            <w:tcW w:w="1211" w:type="dxa"/>
            <w:vMerge/>
            <w:tcBorders>
              <w:left w:val="single" w:sz="4" w:space="0" w:color="auto"/>
              <w:right w:val="single" w:sz="4" w:space="0" w:color="auto"/>
            </w:tcBorders>
            <w:vAlign w:val="center"/>
            <w:hideMark/>
          </w:tcPr>
          <w:p w14:paraId="4A79F192" w14:textId="77777777" w:rsidR="000258E6" w:rsidRPr="009F6E99" w:rsidRDefault="000258E6" w:rsidP="000101E3">
            <w:pPr>
              <w:spacing w:before="20" w:after="20" w:line="220" w:lineRule="exact"/>
              <w:rPr>
                <w:sz w:val="18"/>
                <w:szCs w:val="18"/>
                <w:lang w:val="en-GB"/>
              </w:rPr>
            </w:pPr>
          </w:p>
        </w:tc>
        <w:tc>
          <w:tcPr>
            <w:tcW w:w="1645" w:type="pct"/>
            <w:vMerge w:val="restart"/>
            <w:tcBorders>
              <w:top w:val="single" w:sz="4" w:space="0" w:color="auto"/>
              <w:left w:val="nil"/>
              <w:bottom w:val="single" w:sz="4" w:space="0" w:color="auto"/>
              <w:right w:val="nil"/>
            </w:tcBorders>
          </w:tcPr>
          <w:p w14:paraId="43355A16" w14:textId="77777777" w:rsidR="000258E6" w:rsidRPr="009F6E99" w:rsidRDefault="000258E6" w:rsidP="000101E3">
            <w:pPr>
              <w:spacing w:before="20" w:after="20" w:line="220" w:lineRule="exact"/>
              <w:ind w:left="142"/>
              <w:jc w:val="center"/>
              <w:rPr>
                <w:sz w:val="18"/>
                <w:szCs w:val="18"/>
              </w:rPr>
            </w:pPr>
            <w:r>
              <w:t>5.1</w:t>
            </w:r>
          </w:p>
        </w:tc>
        <w:tc>
          <w:tcPr>
            <w:tcW w:w="937" w:type="pct"/>
            <w:tcBorders>
              <w:top w:val="single" w:sz="4" w:space="0" w:color="auto"/>
              <w:left w:val="single" w:sz="4" w:space="0" w:color="auto"/>
              <w:bottom w:val="single" w:sz="4" w:space="0" w:color="auto"/>
              <w:right w:val="single" w:sz="4" w:space="0" w:color="auto"/>
            </w:tcBorders>
            <w:hideMark/>
          </w:tcPr>
          <w:p w14:paraId="70CDD4FB" w14:textId="77777777" w:rsidR="000258E6" w:rsidRPr="009F6E99" w:rsidRDefault="000258E6" w:rsidP="000101E3">
            <w:pPr>
              <w:spacing w:before="20" w:after="20" w:line="220" w:lineRule="exact"/>
              <w:ind w:left="142"/>
              <w:rPr>
                <w:sz w:val="18"/>
                <w:szCs w:val="18"/>
              </w:rPr>
            </w:pPr>
            <w:r>
              <w:t>O1</w:t>
            </w:r>
          </w:p>
        </w:tc>
        <w:tc>
          <w:tcPr>
            <w:tcW w:w="1694" w:type="pct"/>
            <w:tcBorders>
              <w:top w:val="single" w:sz="4" w:space="0" w:color="auto"/>
              <w:left w:val="nil"/>
              <w:bottom w:val="single" w:sz="4" w:space="0" w:color="auto"/>
              <w:right w:val="single" w:sz="4" w:space="0" w:color="auto"/>
            </w:tcBorders>
            <w:hideMark/>
          </w:tcPr>
          <w:p w14:paraId="23709CF8" w14:textId="77777777" w:rsidR="000258E6" w:rsidRPr="009F6E99" w:rsidRDefault="000258E6" w:rsidP="000101E3">
            <w:pPr>
              <w:spacing w:before="20" w:after="20" w:line="220" w:lineRule="exact"/>
              <w:ind w:left="142"/>
              <w:rPr>
                <w:sz w:val="18"/>
                <w:szCs w:val="18"/>
              </w:rPr>
            </w:pPr>
            <w:r>
              <w:rPr>
                <w:b/>
                <w:bCs/>
                <w:strike/>
              </w:rPr>
              <w:t>I,</w:t>
            </w:r>
            <w:r>
              <w:t xml:space="preserve"> II</w:t>
            </w:r>
          </w:p>
        </w:tc>
      </w:tr>
      <w:tr w:rsidR="000258E6" w:rsidRPr="009F6E99" w14:paraId="0399F1E1" w14:textId="77777777" w:rsidTr="008B1E7B">
        <w:trPr>
          <w:cantSplit/>
          <w:trHeight w:val="40"/>
        </w:trPr>
        <w:tc>
          <w:tcPr>
            <w:tcW w:w="724" w:type="pct"/>
            <w:vMerge/>
            <w:tcBorders>
              <w:left w:val="single" w:sz="4" w:space="0" w:color="auto"/>
              <w:right w:val="single" w:sz="4" w:space="0" w:color="auto"/>
            </w:tcBorders>
          </w:tcPr>
          <w:p w14:paraId="3E0BF30E" w14:textId="77777777" w:rsidR="000258E6" w:rsidRPr="009F6E99" w:rsidRDefault="000258E6" w:rsidP="000101E3">
            <w:pPr>
              <w:spacing w:before="20" w:after="20" w:line="220" w:lineRule="exact"/>
              <w:ind w:left="142"/>
              <w:rPr>
                <w:sz w:val="18"/>
                <w:szCs w:val="18"/>
                <w:lang w:val="en-GB"/>
              </w:rPr>
            </w:pPr>
          </w:p>
        </w:tc>
        <w:tc>
          <w:tcPr>
            <w:tcW w:w="2752" w:type="dxa"/>
            <w:vMerge/>
            <w:tcBorders>
              <w:top w:val="single" w:sz="4" w:space="0" w:color="auto"/>
              <w:left w:val="nil"/>
              <w:bottom w:val="single" w:sz="4" w:space="0" w:color="auto"/>
              <w:right w:val="nil"/>
            </w:tcBorders>
            <w:vAlign w:val="center"/>
            <w:hideMark/>
          </w:tcPr>
          <w:p w14:paraId="6B783E91" w14:textId="77777777" w:rsidR="000258E6" w:rsidRPr="009F6E99" w:rsidRDefault="000258E6" w:rsidP="000101E3">
            <w:pPr>
              <w:spacing w:before="20" w:after="20" w:line="220" w:lineRule="exact"/>
              <w:rPr>
                <w:sz w:val="18"/>
                <w:szCs w:val="18"/>
                <w:lang w:val="en-GB"/>
              </w:rPr>
            </w:pPr>
          </w:p>
        </w:tc>
        <w:tc>
          <w:tcPr>
            <w:tcW w:w="937" w:type="pct"/>
            <w:tcBorders>
              <w:top w:val="single" w:sz="4" w:space="0" w:color="auto"/>
              <w:left w:val="single" w:sz="4" w:space="0" w:color="auto"/>
              <w:bottom w:val="single" w:sz="4" w:space="0" w:color="auto"/>
              <w:right w:val="single" w:sz="4" w:space="0" w:color="auto"/>
            </w:tcBorders>
            <w:hideMark/>
          </w:tcPr>
          <w:p w14:paraId="7F0542BF" w14:textId="77777777" w:rsidR="000258E6" w:rsidRPr="00144981" w:rsidRDefault="000258E6" w:rsidP="000101E3">
            <w:pPr>
              <w:spacing w:before="20" w:after="20" w:line="220" w:lineRule="exact"/>
              <w:ind w:left="142"/>
              <w:rPr>
                <w:b/>
                <w:bCs/>
                <w:strike/>
                <w:sz w:val="18"/>
                <w:szCs w:val="18"/>
              </w:rPr>
            </w:pPr>
            <w:r w:rsidRPr="00144981">
              <w:rPr>
                <w:b/>
                <w:bCs/>
                <w:i/>
                <w:iCs/>
                <w:strike/>
              </w:rPr>
              <w:t>OT1</w:t>
            </w:r>
          </w:p>
        </w:tc>
        <w:tc>
          <w:tcPr>
            <w:tcW w:w="1694" w:type="pct"/>
            <w:tcBorders>
              <w:top w:val="single" w:sz="4" w:space="0" w:color="auto"/>
              <w:left w:val="nil"/>
              <w:bottom w:val="single" w:sz="4" w:space="0" w:color="auto"/>
              <w:right w:val="single" w:sz="4" w:space="0" w:color="auto"/>
            </w:tcBorders>
            <w:hideMark/>
          </w:tcPr>
          <w:p w14:paraId="07DEA62E" w14:textId="77777777" w:rsidR="000258E6" w:rsidRPr="00144981" w:rsidRDefault="000258E6" w:rsidP="000101E3">
            <w:pPr>
              <w:spacing w:before="20" w:after="20" w:line="220" w:lineRule="exact"/>
              <w:ind w:left="142"/>
              <w:rPr>
                <w:b/>
                <w:bCs/>
                <w:i/>
                <w:iCs/>
                <w:strike/>
                <w:sz w:val="18"/>
                <w:szCs w:val="18"/>
              </w:rPr>
            </w:pPr>
            <w:r w:rsidRPr="00144981">
              <w:rPr>
                <w:b/>
                <w:bCs/>
                <w:i/>
                <w:iCs/>
                <w:strike/>
              </w:rPr>
              <w:t>I</w:t>
            </w:r>
          </w:p>
        </w:tc>
      </w:tr>
      <w:tr w:rsidR="000258E6" w:rsidRPr="009F6E99" w14:paraId="7AD214D8" w14:textId="77777777" w:rsidTr="008B1E7B">
        <w:trPr>
          <w:cantSplit/>
          <w:trHeight w:val="40"/>
        </w:trPr>
        <w:tc>
          <w:tcPr>
            <w:tcW w:w="724" w:type="pct"/>
            <w:vMerge/>
            <w:tcBorders>
              <w:left w:val="single" w:sz="4" w:space="0" w:color="auto"/>
              <w:right w:val="single" w:sz="4" w:space="0" w:color="auto"/>
            </w:tcBorders>
          </w:tcPr>
          <w:p w14:paraId="43E0FCEF" w14:textId="77777777" w:rsidR="000258E6" w:rsidRPr="009F6E99" w:rsidRDefault="000258E6" w:rsidP="000101E3">
            <w:pPr>
              <w:spacing w:before="20" w:after="20" w:line="220" w:lineRule="exact"/>
              <w:ind w:left="142"/>
              <w:rPr>
                <w:sz w:val="18"/>
                <w:szCs w:val="18"/>
                <w:lang w:val="en-GB"/>
              </w:rPr>
            </w:pPr>
          </w:p>
        </w:tc>
        <w:tc>
          <w:tcPr>
            <w:tcW w:w="2752" w:type="dxa"/>
            <w:vMerge/>
            <w:tcBorders>
              <w:top w:val="single" w:sz="4" w:space="0" w:color="auto"/>
              <w:left w:val="nil"/>
              <w:bottom w:val="single" w:sz="4" w:space="0" w:color="auto"/>
              <w:right w:val="nil"/>
            </w:tcBorders>
            <w:vAlign w:val="center"/>
            <w:hideMark/>
          </w:tcPr>
          <w:p w14:paraId="29543F82" w14:textId="77777777" w:rsidR="000258E6" w:rsidRPr="009F6E99" w:rsidRDefault="000258E6" w:rsidP="000101E3">
            <w:pPr>
              <w:spacing w:before="20" w:after="20" w:line="220" w:lineRule="exact"/>
              <w:rPr>
                <w:sz w:val="18"/>
                <w:szCs w:val="18"/>
                <w:lang w:val="en-GB"/>
              </w:rPr>
            </w:pPr>
          </w:p>
        </w:tc>
        <w:tc>
          <w:tcPr>
            <w:tcW w:w="937" w:type="pct"/>
            <w:tcBorders>
              <w:top w:val="single" w:sz="4" w:space="0" w:color="auto"/>
              <w:left w:val="single" w:sz="4" w:space="0" w:color="auto"/>
              <w:bottom w:val="single" w:sz="4" w:space="0" w:color="auto"/>
              <w:right w:val="single" w:sz="4" w:space="0" w:color="auto"/>
            </w:tcBorders>
            <w:hideMark/>
          </w:tcPr>
          <w:p w14:paraId="20151A2C" w14:textId="77777777" w:rsidR="000258E6" w:rsidRPr="00144981" w:rsidRDefault="000258E6" w:rsidP="000101E3">
            <w:pPr>
              <w:spacing w:before="20" w:after="20" w:line="220" w:lineRule="exact"/>
              <w:ind w:left="142"/>
              <w:rPr>
                <w:b/>
                <w:bCs/>
                <w:i/>
                <w:iCs/>
                <w:sz w:val="18"/>
                <w:szCs w:val="18"/>
                <w:u w:val="single"/>
              </w:rPr>
            </w:pPr>
            <w:r w:rsidRPr="00144981">
              <w:rPr>
                <w:b/>
                <w:bCs/>
                <w:i/>
                <w:iCs/>
                <w:u w:val="single"/>
              </w:rPr>
              <w:t>OT1</w:t>
            </w:r>
          </w:p>
        </w:tc>
        <w:tc>
          <w:tcPr>
            <w:tcW w:w="1694" w:type="pct"/>
            <w:tcBorders>
              <w:top w:val="single" w:sz="4" w:space="0" w:color="auto"/>
              <w:left w:val="nil"/>
              <w:bottom w:val="single" w:sz="4" w:space="0" w:color="auto"/>
              <w:right w:val="single" w:sz="4" w:space="0" w:color="auto"/>
            </w:tcBorders>
            <w:shd w:val="clear" w:color="auto" w:fill="auto"/>
            <w:hideMark/>
          </w:tcPr>
          <w:p w14:paraId="6499C972" w14:textId="77777777" w:rsidR="000258E6" w:rsidRPr="00144981" w:rsidRDefault="000258E6" w:rsidP="000101E3">
            <w:pPr>
              <w:spacing w:before="20" w:after="20" w:line="220" w:lineRule="exact"/>
              <w:ind w:left="142"/>
              <w:rPr>
                <w:b/>
                <w:bCs/>
                <w:i/>
                <w:iCs/>
                <w:sz w:val="18"/>
                <w:szCs w:val="18"/>
                <w:u w:val="single"/>
              </w:rPr>
            </w:pPr>
            <w:r w:rsidRPr="00144981">
              <w:rPr>
                <w:b/>
                <w:bCs/>
                <w:i/>
                <w:iCs/>
                <w:u w:val="single"/>
              </w:rPr>
              <w:t>II</w:t>
            </w:r>
          </w:p>
        </w:tc>
      </w:tr>
      <w:tr w:rsidR="000258E6" w:rsidRPr="00AA38EC" w14:paraId="3B5BF0F2" w14:textId="77777777" w:rsidTr="008B1E7B">
        <w:trPr>
          <w:cantSplit/>
          <w:trHeight w:val="40"/>
        </w:trPr>
        <w:tc>
          <w:tcPr>
            <w:tcW w:w="724" w:type="pct"/>
            <w:vMerge/>
            <w:tcBorders>
              <w:left w:val="single" w:sz="4" w:space="0" w:color="auto"/>
              <w:bottom w:val="single" w:sz="4" w:space="0" w:color="auto"/>
              <w:right w:val="single" w:sz="4" w:space="0" w:color="auto"/>
            </w:tcBorders>
          </w:tcPr>
          <w:p w14:paraId="68769B07" w14:textId="77777777" w:rsidR="000258E6" w:rsidRPr="009F6E99" w:rsidRDefault="000258E6" w:rsidP="000101E3">
            <w:pPr>
              <w:spacing w:before="20" w:after="20" w:line="220" w:lineRule="exact"/>
              <w:ind w:left="142"/>
              <w:rPr>
                <w:sz w:val="18"/>
                <w:szCs w:val="18"/>
                <w:lang w:val="en-GB"/>
              </w:rPr>
            </w:pPr>
          </w:p>
        </w:tc>
        <w:tc>
          <w:tcPr>
            <w:tcW w:w="4276" w:type="pct"/>
            <w:gridSpan w:val="3"/>
            <w:tcBorders>
              <w:top w:val="single" w:sz="4" w:space="0" w:color="auto"/>
              <w:left w:val="nil"/>
              <w:bottom w:val="single" w:sz="4" w:space="0" w:color="auto"/>
              <w:right w:val="single" w:sz="4" w:space="0" w:color="auto"/>
            </w:tcBorders>
            <w:hideMark/>
          </w:tcPr>
          <w:p w14:paraId="29263F6D" w14:textId="77777777" w:rsidR="000258E6" w:rsidRPr="00AA38EC" w:rsidRDefault="000258E6" w:rsidP="000101E3">
            <w:pPr>
              <w:spacing w:before="20" w:after="20" w:line="220" w:lineRule="exact"/>
              <w:ind w:left="142"/>
              <w:rPr>
                <w:i/>
                <w:iCs/>
                <w:sz w:val="18"/>
                <w:szCs w:val="18"/>
              </w:rPr>
            </w:pPr>
            <w:r>
              <w:rPr>
                <w:i/>
                <w:iCs/>
              </w:rPr>
              <w:t>(Остальной текст остается без изменений.)</w:t>
            </w:r>
          </w:p>
        </w:tc>
      </w:tr>
    </w:tbl>
    <w:p w14:paraId="51373E2B" w14:textId="49D78EF0" w:rsidR="000258E6" w:rsidRPr="00AA38EC" w:rsidRDefault="000258E6" w:rsidP="000258E6">
      <w:pPr>
        <w:pStyle w:val="H1G"/>
      </w:pPr>
      <w:r>
        <w:lastRenderedPageBreak/>
        <w:tab/>
      </w:r>
      <w:r w:rsidR="000101E3">
        <w:tab/>
      </w:r>
      <w:r>
        <w:rPr>
          <w:bCs/>
        </w:rPr>
        <w:t>Пункт 2</w:t>
      </w:r>
      <w:r w:rsidR="000101E3">
        <w:rPr>
          <w:bCs/>
        </w:rPr>
        <w:br/>
      </w:r>
      <w:r>
        <w:rPr>
          <w:bCs/>
        </w:rPr>
        <w:t>Специальное положение TE</w:t>
      </w:r>
      <w:r w:rsidR="00D3358B" w:rsidRPr="00D3358B">
        <w:rPr>
          <w:bCs/>
        </w:rPr>
        <w:t xml:space="preserve"> </w:t>
      </w:r>
      <w:r>
        <w:rPr>
          <w:bCs/>
        </w:rPr>
        <w:t>16 для элементов оборудования цистерн</w:t>
      </w:r>
    </w:p>
    <w:p w14:paraId="4F58D1AF" w14:textId="77777777" w:rsidR="000258E6" w:rsidRPr="00AA38EC" w:rsidRDefault="000258E6" w:rsidP="000101E3">
      <w:pPr>
        <w:keepLines/>
        <w:tabs>
          <w:tab w:val="left" w:pos="2977"/>
          <w:tab w:val="left" w:pos="3828"/>
        </w:tabs>
        <w:spacing w:after="120"/>
        <w:ind w:left="1134"/>
      </w:pPr>
      <w:r w:rsidRPr="00144981">
        <w:rPr>
          <w:i/>
          <w:iCs/>
        </w:rPr>
        <w:t>Неофициальный документ</w:t>
      </w:r>
      <w:r>
        <w:t>:</w:t>
      </w:r>
      <w:r>
        <w:tab/>
        <w:t>INF.5 (секретариат ОТИФ)</w:t>
      </w:r>
    </w:p>
    <w:p w14:paraId="1D710D27" w14:textId="77777777" w:rsidR="000258E6" w:rsidRPr="00AA38EC" w:rsidRDefault="000258E6" w:rsidP="000258E6">
      <w:pPr>
        <w:pStyle w:val="SingleTxtG"/>
      </w:pPr>
      <w:r>
        <w:t>4.</w:t>
      </w:r>
      <w:r>
        <w:tab/>
        <w:t>Было сочтено, что использование древесины в строительстве вагонов-цистерн весьма маловероятно, а эквивалентное положение для автоцистерн в ДОПОГ отсутствует. Рабочая группа пришла к единому мнению о том, что это специальное положение можно исключить. К секретариату ОТИФ была обращена просьба довести этот момент до сведения постоянной рабочей группы МПОГ.</w:t>
      </w:r>
    </w:p>
    <w:p w14:paraId="15125E32" w14:textId="75911D05" w:rsidR="000258E6" w:rsidRPr="00AA38EC" w:rsidRDefault="000258E6" w:rsidP="000258E6">
      <w:pPr>
        <w:pStyle w:val="H23G"/>
      </w:pPr>
      <w:r>
        <w:tab/>
      </w:r>
      <w:r>
        <w:tab/>
      </w:r>
      <w:r>
        <w:rPr>
          <w:bCs/>
        </w:rPr>
        <w:t xml:space="preserve">Предложение 2 </w:t>
      </w:r>
      <w:r w:rsidR="000101E3">
        <w:rPr>
          <w:bCs/>
        </w:rPr>
        <w:t>—</w:t>
      </w:r>
      <w:r>
        <w:rPr>
          <w:bCs/>
        </w:rPr>
        <w:t xml:space="preserve"> Исключить ТЕ</w:t>
      </w:r>
      <w:r w:rsidR="00D3358B" w:rsidRPr="00D3358B">
        <w:rPr>
          <w:bCs/>
        </w:rPr>
        <w:t xml:space="preserve"> </w:t>
      </w:r>
      <w:r>
        <w:rPr>
          <w:bCs/>
        </w:rPr>
        <w:t>16 в пункте 6.8.4 b) МПОГ и исключить ссылку из колонки 13 таблицы А главы 3.2 для №№ ООН 1745, 1746, 1873, 2015</w:t>
      </w:r>
      <w:r w:rsidR="00921049">
        <w:rPr>
          <w:bCs/>
          <w:lang w:val="en-US"/>
        </w:rPr>
        <w:t> </w:t>
      </w:r>
      <w:r>
        <w:rPr>
          <w:bCs/>
        </w:rPr>
        <w:t>(обе позиции) и 2495:</w:t>
      </w:r>
    </w:p>
    <w:p w14:paraId="7CB47382" w14:textId="44595352" w:rsidR="000258E6" w:rsidRPr="00AA38EC" w:rsidRDefault="000101E3" w:rsidP="000258E6">
      <w:pPr>
        <w:pStyle w:val="SingleTxtG"/>
      </w:pPr>
      <w:r>
        <w:t>«</w:t>
      </w:r>
      <w:r w:rsidR="000258E6" w:rsidRPr="0086268A">
        <w:rPr>
          <w:b/>
          <w:bCs/>
        </w:rPr>
        <w:t>TE 16</w:t>
      </w:r>
      <w:r w:rsidR="000258E6">
        <w:rPr>
          <w:strike/>
        </w:rPr>
        <w:t xml:space="preserve"> Никакая часть вагона-цистерны не должна состоять из дерева без защитного покрытия</w:t>
      </w:r>
      <w:r w:rsidR="000258E6">
        <w:t>. (</w:t>
      </w:r>
      <w:r w:rsidR="000258E6">
        <w:rPr>
          <w:u w:val="single"/>
        </w:rPr>
        <w:t>Исключено</w:t>
      </w:r>
      <w:r w:rsidR="000258E6">
        <w:t>)</w:t>
      </w:r>
      <w:r>
        <w:t>»</w:t>
      </w:r>
      <w:r w:rsidR="000258E6">
        <w:t>.</w:t>
      </w:r>
    </w:p>
    <w:p w14:paraId="31C05024" w14:textId="40C204DB" w:rsidR="000258E6" w:rsidRPr="00AA38EC" w:rsidRDefault="000258E6" w:rsidP="000258E6">
      <w:pPr>
        <w:pStyle w:val="H1G"/>
      </w:pPr>
      <w:r>
        <w:tab/>
      </w:r>
      <w:r w:rsidR="000101E3">
        <w:tab/>
      </w:r>
      <w:r>
        <w:rPr>
          <w:bCs/>
        </w:rPr>
        <w:t>Пункт 3</w:t>
      </w:r>
      <w:r w:rsidR="000101E3">
        <w:rPr>
          <w:bCs/>
        </w:rPr>
        <w:br/>
      </w:r>
      <w:r>
        <w:rPr>
          <w:bCs/>
        </w:rPr>
        <w:t>Доклад Рабочей группы по стандартам</w:t>
      </w:r>
    </w:p>
    <w:p w14:paraId="39CF501E" w14:textId="77777777" w:rsidR="000258E6" w:rsidRPr="00AA38EC" w:rsidRDefault="000258E6" w:rsidP="000101E3">
      <w:pPr>
        <w:keepLines/>
        <w:tabs>
          <w:tab w:val="left" w:pos="2977"/>
          <w:tab w:val="left" w:pos="3828"/>
        </w:tabs>
        <w:spacing w:after="120"/>
        <w:ind w:left="1134"/>
      </w:pPr>
      <w:r w:rsidRPr="0086268A">
        <w:rPr>
          <w:i/>
          <w:iCs/>
        </w:rPr>
        <w:t>Неофициальный документ</w:t>
      </w:r>
      <w:r>
        <w:t>:</w:t>
      </w:r>
      <w:r>
        <w:tab/>
        <w:t>INF.12 (Председатель Рабочей группы по стандартам)</w:t>
      </w:r>
    </w:p>
    <w:p w14:paraId="61415CF9" w14:textId="77777777" w:rsidR="000258E6" w:rsidRPr="00AA38EC" w:rsidRDefault="000258E6" w:rsidP="000258E6">
      <w:pPr>
        <w:pStyle w:val="SingleTxtG"/>
      </w:pPr>
      <w:r>
        <w:t>5.</w:t>
      </w:r>
      <w:r>
        <w:tab/>
        <w:t>В связи с новой позицией для EN 14129:[2023] в колонке 3 таблицы 6.8.2.6.1 было решено, что ссылку на пункт 6.8.2.2.1 можно исключить; тем самым будет обеспечена согласованность с более ранней позицией для стандарта от 2014 года.</w:t>
      </w:r>
    </w:p>
    <w:p w14:paraId="2398A0A3" w14:textId="52AF059D" w:rsidR="000258E6" w:rsidRPr="00AA38EC" w:rsidRDefault="000258E6" w:rsidP="000258E6">
      <w:pPr>
        <w:pStyle w:val="H23G"/>
      </w:pPr>
      <w:r>
        <w:tab/>
      </w:r>
      <w:r>
        <w:tab/>
      </w:r>
      <w:r>
        <w:rPr>
          <w:bCs/>
        </w:rPr>
        <w:t xml:space="preserve">Предложение 3 </w:t>
      </w:r>
      <w:r w:rsidR="000101E3">
        <w:rPr>
          <w:bCs/>
        </w:rPr>
        <w:t>—</w:t>
      </w:r>
      <w:r>
        <w:rPr>
          <w:bCs/>
        </w:rPr>
        <w:t xml:space="preserve"> В таблице пункта 6.8.2.6.1 изменить новую запись для стандарта EN 14129:[2023] следующим образом:</w:t>
      </w:r>
    </w:p>
    <w:tbl>
      <w:tblPr>
        <w:tblStyle w:val="ac"/>
        <w:tblW w:w="8520" w:type="dxa"/>
        <w:tblInd w:w="1134" w:type="dxa"/>
        <w:tblLayout w:type="fixed"/>
        <w:tblLook w:val="04A0" w:firstRow="1" w:lastRow="0" w:firstColumn="1" w:lastColumn="0" w:noHBand="0" w:noVBand="1"/>
      </w:tblPr>
      <w:tblGrid>
        <w:gridCol w:w="1838"/>
        <w:gridCol w:w="3686"/>
        <w:gridCol w:w="1279"/>
        <w:gridCol w:w="1687"/>
        <w:gridCol w:w="30"/>
      </w:tblGrid>
      <w:tr w:rsidR="000258E6" w:rsidRPr="009F6E99" w14:paraId="475F01ED" w14:textId="77777777" w:rsidTr="00260A73">
        <w:tc>
          <w:tcPr>
            <w:tcW w:w="1838" w:type="dxa"/>
            <w:tcBorders>
              <w:top w:val="single" w:sz="4" w:space="0" w:color="auto"/>
              <w:left w:val="single" w:sz="4" w:space="0" w:color="auto"/>
              <w:bottom w:val="single" w:sz="4" w:space="0" w:color="auto"/>
              <w:right w:val="single" w:sz="4" w:space="0" w:color="auto"/>
            </w:tcBorders>
            <w:hideMark/>
          </w:tcPr>
          <w:p w14:paraId="3157616F" w14:textId="77777777" w:rsidR="000258E6" w:rsidRPr="009F6E99" w:rsidRDefault="000258E6" w:rsidP="00260A73">
            <w:pPr>
              <w:spacing w:before="40" w:after="40"/>
              <w:ind w:left="170" w:right="170"/>
              <w:jc w:val="center"/>
            </w:pPr>
            <w:r>
              <w:t>EN 14129:[2023]</w:t>
            </w:r>
          </w:p>
        </w:tc>
        <w:tc>
          <w:tcPr>
            <w:tcW w:w="3686" w:type="dxa"/>
            <w:tcBorders>
              <w:top w:val="single" w:sz="4" w:space="0" w:color="auto"/>
              <w:left w:val="single" w:sz="4" w:space="0" w:color="auto"/>
              <w:bottom w:val="single" w:sz="4" w:space="0" w:color="auto"/>
              <w:right w:val="single" w:sz="4" w:space="0" w:color="auto"/>
            </w:tcBorders>
          </w:tcPr>
          <w:p w14:paraId="755AC710" w14:textId="736B3196" w:rsidR="000258E6" w:rsidRPr="00260A73" w:rsidRDefault="000258E6" w:rsidP="00260A73">
            <w:pPr>
              <w:spacing w:before="40" w:after="40"/>
              <w:ind w:left="287"/>
              <w:rPr>
                <w:bCs/>
                <w:i/>
                <w:iCs/>
              </w:rPr>
            </w:pPr>
            <w:r>
              <w:t>Оборудование для СНГ и его вспомогательные приспособления — Клапаны сброса давления сосудов высокого давления для СНГ</w:t>
            </w:r>
          </w:p>
        </w:tc>
        <w:tc>
          <w:tcPr>
            <w:tcW w:w="1279" w:type="dxa"/>
            <w:tcBorders>
              <w:top w:val="single" w:sz="4" w:space="0" w:color="auto"/>
              <w:left w:val="single" w:sz="4" w:space="0" w:color="auto"/>
              <w:bottom w:val="single" w:sz="4" w:space="0" w:color="auto"/>
              <w:right w:val="single" w:sz="4" w:space="0" w:color="auto"/>
            </w:tcBorders>
            <w:hideMark/>
          </w:tcPr>
          <w:p w14:paraId="3693AFAB" w14:textId="77777777" w:rsidR="000258E6" w:rsidRPr="009F6E99" w:rsidRDefault="000258E6" w:rsidP="00260A73">
            <w:pPr>
              <w:spacing w:before="40" w:after="40"/>
              <w:ind w:left="281"/>
            </w:pPr>
            <w:r>
              <w:t>6.8.2.1.1</w:t>
            </w:r>
            <w:r w:rsidRPr="005A2A8B">
              <w:rPr>
                <w:strike/>
              </w:rPr>
              <w:t>,</w:t>
            </w:r>
            <w:r>
              <w:t xml:space="preserve"> </w:t>
            </w:r>
            <w:r>
              <w:rPr>
                <w:strike/>
              </w:rPr>
              <w:t>6.8.2.2.1</w:t>
            </w:r>
            <w:r>
              <w:t xml:space="preserve"> и 6.8.3.2.9</w:t>
            </w:r>
          </w:p>
        </w:tc>
        <w:tc>
          <w:tcPr>
            <w:tcW w:w="1687" w:type="dxa"/>
            <w:tcBorders>
              <w:top w:val="single" w:sz="4" w:space="0" w:color="auto"/>
              <w:left w:val="single" w:sz="4" w:space="0" w:color="auto"/>
              <w:bottom w:val="single" w:sz="4" w:space="0" w:color="auto"/>
              <w:right w:val="single" w:sz="4" w:space="0" w:color="auto"/>
            </w:tcBorders>
            <w:hideMark/>
          </w:tcPr>
          <w:p w14:paraId="5AC708EA" w14:textId="77777777" w:rsidR="000258E6" w:rsidRPr="009F6E99" w:rsidRDefault="000258E6" w:rsidP="00260A73">
            <w:pPr>
              <w:spacing w:before="40" w:after="40"/>
              <w:ind w:left="138"/>
              <w:jc w:val="center"/>
            </w:pPr>
            <w:r>
              <w:t>До дальнейшего указания</w:t>
            </w:r>
          </w:p>
        </w:tc>
        <w:tc>
          <w:tcPr>
            <w:tcW w:w="30" w:type="dxa"/>
            <w:tcBorders>
              <w:top w:val="single" w:sz="4" w:space="0" w:color="auto"/>
              <w:left w:val="single" w:sz="4" w:space="0" w:color="auto"/>
              <w:bottom w:val="single" w:sz="4" w:space="0" w:color="auto"/>
              <w:right w:val="single" w:sz="4" w:space="0" w:color="auto"/>
            </w:tcBorders>
          </w:tcPr>
          <w:p w14:paraId="20ADD206" w14:textId="77777777" w:rsidR="000258E6" w:rsidRPr="009F6E99" w:rsidRDefault="000258E6" w:rsidP="00260A73">
            <w:pPr>
              <w:spacing w:before="40" w:after="40"/>
              <w:ind w:left="1134"/>
              <w:rPr>
                <w:lang w:val="en-GB"/>
              </w:rPr>
            </w:pPr>
          </w:p>
        </w:tc>
      </w:tr>
    </w:tbl>
    <w:p w14:paraId="22D9C175" w14:textId="310B509A" w:rsidR="000258E6" w:rsidRPr="00AA38EC" w:rsidRDefault="000258E6" w:rsidP="000258E6">
      <w:pPr>
        <w:pStyle w:val="H1G"/>
      </w:pPr>
      <w:r>
        <w:tab/>
      </w:r>
      <w:r w:rsidR="00260A73">
        <w:tab/>
      </w:r>
      <w:r>
        <w:rPr>
          <w:bCs/>
        </w:rPr>
        <w:t>Пункт 4</w:t>
      </w:r>
      <w:r w:rsidR="00260A73">
        <w:rPr>
          <w:bCs/>
        </w:rPr>
        <w:br/>
      </w:r>
      <w:r>
        <w:rPr>
          <w:bCs/>
        </w:rPr>
        <w:t>Поправка к пункту 6.8.2.1.23 о сварочных работах</w:t>
      </w:r>
    </w:p>
    <w:p w14:paraId="16DF6F9C" w14:textId="77777777" w:rsidR="000258E6" w:rsidRPr="00AA38EC" w:rsidRDefault="000258E6" w:rsidP="00260A73">
      <w:pPr>
        <w:keepLines/>
        <w:tabs>
          <w:tab w:val="left" w:pos="2977"/>
          <w:tab w:val="left" w:pos="3828"/>
        </w:tabs>
        <w:spacing w:after="120"/>
        <w:ind w:left="1134"/>
      </w:pPr>
      <w:r w:rsidRPr="00C1550E">
        <w:rPr>
          <w:i/>
          <w:iCs/>
        </w:rPr>
        <w:t>Неофициальный документ</w:t>
      </w:r>
      <w:r>
        <w:t>:</w:t>
      </w:r>
      <w:r>
        <w:tab/>
        <w:t>INF.26 (Франция)</w:t>
      </w:r>
    </w:p>
    <w:p w14:paraId="14C97FCD" w14:textId="77777777" w:rsidR="000258E6" w:rsidRPr="00AA38EC" w:rsidRDefault="000258E6" w:rsidP="000258E6">
      <w:pPr>
        <w:pStyle w:val="SingleTxtG"/>
      </w:pPr>
      <w:r>
        <w:t>6.</w:t>
      </w:r>
      <w:r>
        <w:tab/>
        <w:t>С учетом обсуждений в ходе совещания Рабочей группы 3 TК 296 ЕКС, касающихся изменения стандарта EN 14025, было сочтено необходимым добавить к пункту 6.8.2.1.23 предлагаемое примечание. Что касается технологий сварки, то могут использоваться две разные системы, и результаты могут характеризоваться небольшими различиями. Добавление примечания позволит обеспечить надлежащее проведение испытаний на ударную вязкость. Предложенная формулировка была принята с небольшими изменениями.</w:t>
      </w:r>
    </w:p>
    <w:p w14:paraId="1138A3EE" w14:textId="55DF7624" w:rsidR="000258E6" w:rsidRPr="00AA38EC" w:rsidRDefault="000258E6" w:rsidP="000258E6">
      <w:pPr>
        <w:pStyle w:val="H23G"/>
      </w:pPr>
      <w:r>
        <w:tab/>
      </w:r>
      <w:r>
        <w:tab/>
      </w:r>
      <w:r>
        <w:rPr>
          <w:bCs/>
        </w:rPr>
        <w:t xml:space="preserve">Предложение 4 </w:t>
      </w:r>
      <w:r w:rsidR="00260A73">
        <w:rPr>
          <w:bCs/>
        </w:rPr>
        <w:t>—</w:t>
      </w:r>
      <w:r>
        <w:rPr>
          <w:bCs/>
        </w:rPr>
        <w:t xml:space="preserve"> Добавить примечание после первого абзаца пункта 6.8.2.1.23 следующего содержания:</w:t>
      </w:r>
    </w:p>
    <w:p w14:paraId="44F5ADBD" w14:textId="77777777" w:rsidR="000258E6" w:rsidRPr="00AA38EC" w:rsidRDefault="000258E6" w:rsidP="000258E6">
      <w:pPr>
        <w:pStyle w:val="SingleTxtG"/>
        <w:rPr>
          <w:i/>
          <w:iCs/>
        </w:rPr>
      </w:pPr>
      <w:r>
        <w:rPr>
          <w:i/>
          <w:iCs/>
        </w:rPr>
        <w:t>«ПРИМЕЧАНИЕ: Если применяется раздел 6.8.5, испытания на ударную вязкость, проводимые для аттестации технологий сварки, должны соответствовать требованиям пункта 6.8.5.3».</w:t>
      </w:r>
    </w:p>
    <w:p w14:paraId="2017020E" w14:textId="5B1604AB" w:rsidR="000258E6" w:rsidRPr="00AA38EC" w:rsidRDefault="000258E6" w:rsidP="000258E6">
      <w:pPr>
        <w:pStyle w:val="H1G"/>
      </w:pPr>
      <w:r>
        <w:lastRenderedPageBreak/>
        <w:tab/>
      </w:r>
      <w:r w:rsidR="00260A73">
        <w:tab/>
      </w:r>
      <w:r>
        <w:rPr>
          <w:bCs/>
        </w:rPr>
        <w:t>Пункт 5</w:t>
      </w:r>
      <w:r w:rsidR="00260A73">
        <w:rPr>
          <w:bCs/>
        </w:rPr>
        <w:br/>
      </w:r>
      <w:r>
        <w:rPr>
          <w:bCs/>
        </w:rPr>
        <w:t>Требования пункта 6.8.2.2.11 МПОГ/ДОПОГ, касающиеся уровнемеров</w:t>
      </w:r>
    </w:p>
    <w:p w14:paraId="2DB6971F" w14:textId="77777777" w:rsidR="000258E6" w:rsidRPr="00AA38EC" w:rsidRDefault="000258E6" w:rsidP="00260A73">
      <w:pPr>
        <w:keepLines/>
        <w:tabs>
          <w:tab w:val="left" w:pos="2977"/>
          <w:tab w:val="left" w:pos="3828"/>
        </w:tabs>
        <w:spacing w:after="120"/>
        <w:ind w:left="1134"/>
      </w:pPr>
      <w:r w:rsidRPr="003D0FEF">
        <w:rPr>
          <w:i/>
          <w:iCs/>
        </w:rPr>
        <w:t>Неофициальный документ</w:t>
      </w:r>
      <w:r>
        <w:t>:</w:t>
      </w:r>
      <w:r>
        <w:tab/>
        <w:t>INF.38 (Соединенное Королевство)</w:t>
      </w:r>
    </w:p>
    <w:p w14:paraId="50D05767" w14:textId="77777777" w:rsidR="000258E6" w:rsidRPr="00AA38EC" w:rsidRDefault="000258E6" w:rsidP="000258E6">
      <w:pPr>
        <w:pStyle w:val="SingleTxtG"/>
      </w:pPr>
      <w:r>
        <w:t>7.</w:t>
      </w:r>
      <w:r>
        <w:tab/>
        <w:t>На основе обсуждений в ходе предыдущих сессий Рабочей группы по цистернам было подготовлено предложение по пункту 6.8.2.2.11, представленное с опозданием в виде неофициального документа. Хотя участники согласились с тем, что прозрачные части, через которые можно увидеть перевозимое в корпусе цистерны вещество, не должны быть разрешены в соответствии с главой 6.8, они провели длительную дискуссию по вопросу о предотвращении неправильного толкования. Было решено не уточнять, в каких случаях допускается использование прозрачных деталей, например, для прозрачных защитных частей шкал уровнемеров, а также прозрачных частей крышки смотровых люков цистерн для жидких нефтепродуктов и сервисного оборудования после первого запорного устройства.</w:t>
      </w:r>
    </w:p>
    <w:p w14:paraId="63B5EDC5" w14:textId="77777777" w:rsidR="000258E6" w:rsidRPr="00AA38EC" w:rsidRDefault="000258E6" w:rsidP="000258E6">
      <w:pPr>
        <w:pStyle w:val="SingleTxtG"/>
      </w:pPr>
      <w:r>
        <w:t>8.</w:t>
      </w:r>
      <w:r>
        <w:tab/>
        <w:t>Было решено поддержать утверждение поправки, но оставить ее в квадратных скобках для окончательного принятия на следующей сессии Совместного совещания.</w:t>
      </w:r>
    </w:p>
    <w:p w14:paraId="556F9939" w14:textId="71E86ACF" w:rsidR="000258E6" w:rsidRPr="00AA38EC" w:rsidRDefault="000258E6" w:rsidP="000258E6">
      <w:pPr>
        <w:pStyle w:val="H23G"/>
      </w:pPr>
      <w:r>
        <w:tab/>
      </w:r>
      <w:r>
        <w:tab/>
      </w:r>
      <w:r>
        <w:rPr>
          <w:bCs/>
        </w:rPr>
        <w:t xml:space="preserve">Предложение 5 </w:t>
      </w:r>
      <w:r w:rsidR="00260A73">
        <w:rPr>
          <w:bCs/>
        </w:rPr>
        <w:t>—</w:t>
      </w:r>
      <w:r>
        <w:rPr>
          <w:bCs/>
        </w:rPr>
        <w:t xml:space="preserve"> Заменить нынешний пункт 6.8.2.2.11 следующей формулировкой.</w:t>
      </w:r>
    </w:p>
    <w:p w14:paraId="355606CF" w14:textId="62B76CC7" w:rsidR="000258E6" w:rsidRPr="00AA38EC" w:rsidRDefault="000258E6" w:rsidP="00260A73">
      <w:pPr>
        <w:tabs>
          <w:tab w:val="left" w:pos="2268"/>
        </w:tabs>
        <w:spacing w:after="120"/>
        <w:ind w:left="2268" w:right="1134" w:hanging="1134"/>
        <w:rPr>
          <w:szCs w:val="36"/>
        </w:rPr>
      </w:pPr>
      <w:r>
        <w:rPr>
          <w:b/>
          <w:bCs/>
        </w:rPr>
        <w:t>6.8.2.2.11</w:t>
      </w:r>
      <w:r w:rsidR="00260A73">
        <w:tab/>
      </w:r>
      <w:r>
        <w:rPr>
          <w:i/>
          <w:iCs/>
        </w:rPr>
        <w:t>[</w:t>
      </w:r>
      <w:r w:rsidR="00260A73">
        <w:rPr>
          <w:i/>
          <w:iCs/>
        </w:rPr>
        <w:t>«</w:t>
      </w:r>
      <w:r>
        <w:rPr>
          <w:i/>
          <w:iCs/>
        </w:rPr>
        <w:t>Уровнемеры не должны быть частью корпусов или устанавливаться на них, если они включают в себя прозрачный материал, который может в любой момент вступить в непосредственный контакт с веществом, перевозимым в корпусе»].</w:t>
      </w:r>
    </w:p>
    <w:p w14:paraId="40500AA4" w14:textId="51BD1C4C" w:rsidR="000258E6" w:rsidRPr="00AA38EC" w:rsidRDefault="000258E6" w:rsidP="000258E6">
      <w:pPr>
        <w:pStyle w:val="H23G"/>
      </w:pPr>
      <w:r>
        <w:tab/>
      </w:r>
      <w:r>
        <w:tab/>
      </w:r>
      <w:r>
        <w:rPr>
          <w:bCs/>
        </w:rPr>
        <w:t xml:space="preserve">Предложение 6 </w:t>
      </w:r>
      <w:r w:rsidR="00260A73">
        <w:rPr>
          <w:bCs/>
        </w:rPr>
        <w:t>—</w:t>
      </w:r>
      <w:r>
        <w:rPr>
          <w:bCs/>
        </w:rPr>
        <w:t xml:space="preserve"> Добавить переходные меры следующего содержания:</w:t>
      </w:r>
    </w:p>
    <w:p w14:paraId="59B50E71" w14:textId="77777777" w:rsidR="000258E6" w:rsidRPr="00AA38EC" w:rsidRDefault="000258E6" w:rsidP="000258E6">
      <w:pPr>
        <w:pStyle w:val="SingleTxtG"/>
        <w:rPr>
          <w:i/>
          <w:iCs/>
        </w:rPr>
      </w:pPr>
      <w:r>
        <w:rPr>
          <w:i/>
          <w:iCs/>
        </w:rPr>
        <w:t>(МПОГ):</w:t>
      </w:r>
    </w:p>
    <w:p w14:paraId="11F7EF3A" w14:textId="69533146" w:rsidR="000258E6" w:rsidRPr="00AA38EC" w:rsidRDefault="000258E6" w:rsidP="00260A73">
      <w:pPr>
        <w:pStyle w:val="SingleTxtG"/>
        <w:ind w:left="2268" w:right="1188" w:hanging="1134"/>
        <w:rPr>
          <w:i/>
          <w:iCs/>
        </w:rPr>
      </w:pPr>
      <w:r>
        <w:rPr>
          <w:i/>
          <w:iCs/>
        </w:rPr>
        <w:t>[</w:t>
      </w:r>
      <w:r w:rsidR="00260A73">
        <w:rPr>
          <w:i/>
          <w:iCs/>
        </w:rPr>
        <w:t>«</w:t>
      </w:r>
      <w:r>
        <w:rPr>
          <w:i/>
          <w:iCs/>
        </w:rPr>
        <w:t>1.6.3.xx</w:t>
      </w:r>
      <w:r>
        <w:tab/>
      </w:r>
      <w:r>
        <w:rPr>
          <w:i/>
          <w:iCs/>
        </w:rPr>
        <w:t>Вагоны-цистерны, изготовленные до 1 июля 2025 года в соответствии с требованиями, действующими до 31 декабря 2024 года, но не отвечающие, однако, требованиям пункта 6.8.2.2.11, применяемым с 1</w:t>
      </w:r>
      <w:r w:rsidR="00260A73">
        <w:rPr>
          <w:i/>
          <w:iCs/>
        </w:rPr>
        <w:t> </w:t>
      </w:r>
      <w:r>
        <w:rPr>
          <w:i/>
          <w:iCs/>
        </w:rPr>
        <w:t>января 2025 года, могут по-прежнему эксплуатироваться»].</w:t>
      </w:r>
      <w:bookmarkStart w:id="1" w:name="_Hlk129774292"/>
      <w:bookmarkEnd w:id="1"/>
    </w:p>
    <w:p w14:paraId="6FA1464E" w14:textId="77777777" w:rsidR="000258E6" w:rsidRPr="00AA38EC" w:rsidRDefault="000258E6" w:rsidP="000258E6">
      <w:pPr>
        <w:pStyle w:val="SingleTxtG"/>
        <w:ind w:right="1188"/>
        <w:rPr>
          <w:i/>
          <w:iCs/>
        </w:rPr>
      </w:pPr>
      <w:r>
        <w:rPr>
          <w:i/>
          <w:iCs/>
        </w:rPr>
        <w:t>(ДОПОГ):</w:t>
      </w:r>
    </w:p>
    <w:p w14:paraId="19130E0F" w14:textId="54E46274" w:rsidR="000258E6" w:rsidRPr="00AA38EC" w:rsidRDefault="000258E6" w:rsidP="00260A73">
      <w:pPr>
        <w:pStyle w:val="SingleTxtG"/>
        <w:ind w:left="2268" w:right="1188" w:hanging="1134"/>
        <w:rPr>
          <w:i/>
          <w:iCs/>
        </w:rPr>
      </w:pPr>
      <w:r>
        <w:rPr>
          <w:i/>
          <w:iCs/>
        </w:rPr>
        <w:t>[</w:t>
      </w:r>
      <w:r w:rsidR="00260A73">
        <w:rPr>
          <w:i/>
          <w:iCs/>
        </w:rPr>
        <w:t>«</w:t>
      </w:r>
      <w:r>
        <w:rPr>
          <w:i/>
          <w:iCs/>
        </w:rPr>
        <w:t>1.6.3.xx</w:t>
      </w:r>
      <w:r>
        <w:tab/>
      </w:r>
      <w:r>
        <w:rPr>
          <w:i/>
          <w:iCs/>
        </w:rPr>
        <w:t>Встроенные цистерны (автоцистерны) и съемные цистерны, изготовленные до 1 июля 2025 года в соответствии с требованиями, действующими до 31 декабря 2024 года, но не отвечающие, однако, требованиям пункта 6.8.2.2.11, применяемым с 1 января 2025 года, могут по-прежнему эксплуатироваться»].</w:t>
      </w:r>
    </w:p>
    <w:p w14:paraId="0B0F0256" w14:textId="77777777" w:rsidR="000258E6" w:rsidRPr="00AA38EC" w:rsidRDefault="000258E6" w:rsidP="000258E6">
      <w:pPr>
        <w:pStyle w:val="SingleTxtG"/>
        <w:ind w:right="1191"/>
        <w:rPr>
          <w:i/>
          <w:iCs/>
        </w:rPr>
      </w:pPr>
      <w:r>
        <w:rPr>
          <w:i/>
          <w:iCs/>
        </w:rPr>
        <w:t>(МПОГ и ДОПОГ):</w:t>
      </w:r>
    </w:p>
    <w:p w14:paraId="59D94926" w14:textId="12F12BB6" w:rsidR="000258E6" w:rsidRPr="00AA38EC" w:rsidRDefault="000258E6" w:rsidP="00260A73">
      <w:pPr>
        <w:pStyle w:val="SingleTxtG"/>
        <w:ind w:left="2268" w:right="1191" w:hanging="1134"/>
      </w:pPr>
      <w:r>
        <w:rPr>
          <w:i/>
          <w:iCs/>
        </w:rPr>
        <w:t>[</w:t>
      </w:r>
      <w:r w:rsidR="00260A73">
        <w:rPr>
          <w:i/>
          <w:iCs/>
        </w:rPr>
        <w:t>«</w:t>
      </w:r>
      <w:r>
        <w:rPr>
          <w:i/>
          <w:iCs/>
        </w:rPr>
        <w:t>1.6.4.xx</w:t>
      </w:r>
      <w:r>
        <w:tab/>
      </w:r>
      <w:r>
        <w:rPr>
          <w:i/>
          <w:iCs/>
        </w:rPr>
        <w:t>Контейнеры-цистерны, изготовленные до 1 июля 2025 года в соответствии с требованиями, действующими до 31 декабря 2024 года, но не отвечающие, однако, требованиям пункта 6.8.2.2.11, применяемым с 1 января 2025 года, могут по-прежнему эксплуатироваться»].</w:t>
      </w:r>
    </w:p>
    <w:p w14:paraId="7FD82193" w14:textId="414A7B3C" w:rsidR="000258E6" w:rsidRPr="00AA38EC" w:rsidRDefault="00260A73" w:rsidP="000258E6">
      <w:pPr>
        <w:pStyle w:val="HChG"/>
      </w:pPr>
      <w:r>
        <w:rPr>
          <w:bCs/>
        </w:rPr>
        <w:tab/>
      </w:r>
      <w:r w:rsidR="000258E6">
        <w:rPr>
          <w:bCs/>
        </w:rPr>
        <w:t>II.</w:t>
      </w:r>
      <w:r w:rsidR="000258E6">
        <w:tab/>
      </w:r>
      <w:r w:rsidR="000258E6">
        <w:rPr>
          <w:bCs/>
        </w:rPr>
        <w:t>Раздел 2: Итоги обсуждения других документов</w:t>
      </w:r>
    </w:p>
    <w:p w14:paraId="218CFE63" w14:textId="340C40EF" w:rsidR="000258E6" w:rsidRPr="00AA38EC" w:rsidRDefault="000258E6" w:rsidP="000258E6">
      <w:pPr>
        <w:pStyle w:val="H1G"/>
      </w:pPr>
      <w:r>
        <w:tab/>
      </w:r>
      <w:r w:rsidR="00260A73">
        <w:tab/>
      </w:r>
      <w:r>
        <w:rPr>
          <w:bCs/>
        </w:rPr>
        <w:t>Пункт 6</w:t>
      </w:r>
      <w:r w:rsidR="00260A73">
        <w:rPr>
          <w:bCs/>
        </w:rPr>
        <w:br/>
      </w:r>
      <w:r>
        <w:rPr>
          <w:bCs/>
        </w:rPr>
        <w:t>Изменение определений терминов «Цистерна из АВП» и «Корпус из АВП» в главе 6.9 МПОГ/ДОПОГ 2023 года</w:t>
      </w:r>
    </w:p>
    <w:p w14:paraId="3907EAB7" w14:textId="77777777" w:rsidR="000258E6" w:rsidRPr="00AA38EC" w:rsidRDefault="000258E6" w:rsidP="00260A73">
      <w:pPr>
        <w:keepLines/>
        <w:tabs>
          <w:tab w:val="left" w:pos="2977"/>
          <w:tab w:val="left" w:pos="3828"/>
        </w:tabs>
        <w:spacing w:after="120"/>
        <w:ind w:left="1134"/>
      </w:pPr>
      <w:r w:rsidRPr="001C689B">
        <w:rPr>
          <w:i/>
          <w:iCs/>
        </w:rPr>
        <w:t>Документ</w:t>
      </w:r>
      <w:r>
        <w:t xml:space="preserve">: </w:t>
      </w:r>
      <w:r>
        <w:tab/>
        <w:t>ECE/TRANS/WP.15/AC.1/2023/16 (Польша)</w:t>
      </w:r>
    </w:p>
    <w:p w14:paraId="7FC444A5" w14:textId="30F3E566" w:rsidR="000258E6" w:rsidRPr="00AA38EC" w:rsidRDefault="000258E6" w:rsidP="000258E6">
      <w:pPr>
        <w:pStyle w:val="SingleTxtG"/>
      </w:pPr>
      <w:r>
        <w:lastRenderedPageBreak/>
        <w:t>9.</w:t>
      </w:r>
      <w:r>
        <w:tab/>
        <w:t xml:space="preserve">Участникам напомнили, что эта тема может обсуждаться на совещании Рабочей группы по цистернам, однако поправки к главе 6.9 должны быть одобрены Подкомитетом экспертов ЭКОСОС по перевозке опасных грузов. Было достигнуто общее согласие в отношении того, что определения терминов «Корпус из АВП» и «Цистерна из АВП» нуждаются в изменениях для приведения их в соответствие с общим пониманием и существующими определениями терминов </w:t>
      </w:r>
      <w:r w:rsidR="00260A73" w:rsidRPr="00260A73">
        <w:t>“</w:t>
      </w:r>
      <w:r>
        <w:t>Корпус</w:t>
      </w:r>
      <w:r w:rsidR="00260A73" w:rsidRPr="00260A73">
        <w:t>”</w:t>
      </w:r>
      <w:r>
        <w:t xml:space="preserve"> и </w:t>
      </w:r>
      <w:r w:rsidR="00260A73" w:rsidRPr="00260A73">
        <w:t>“</w:t>
      </w:r>
      <w:r>
        <w:t>Цистерна</w:t>
      </w:r>
      <w:r w:rsidR="00260A73" w:rsidRPr="00260A73">
        <w:t xml:space="preserve">” </w:t>
      </w:r>
      <w:r>
        <w:t>в разделе 1.2.1 и главах 6.7 и 6.8.</w:t>
      </w:r>
    </w:p>
    <w:p w14:paraId="278A69CD" w14:textId="57DC6894" w:rsidR="000258E6" w:rsidRPr="00AA38EC" w:rsidRDefault="000258E6" w:rsidP="000258E6">
      <w:pPr>
        <w:pStyle w:val="SingleTxtG"/>
      </w:pPr>
      <w:r>
        <w:t>10.</w:t>
      </w:r>
      <w:r>
        <w:tab/>
      </w:r>
      <w:r w:rsidR="00260A73">
        <w:t>«</w:t>
      </w:r>
      <w:r>
        <w:t>Корпус</w:t>
      </w:r>
      <w:r w:rsidR="00260A73">
        <w:t>»</w:t>
      </w:r>
      <w:r>
        <w:t xml:space="preserve"> </w:t>
      </w:r>
      <w:r w:rsidR="00260A73">
        <w:t>—</w:t>
      </w:r>
      <w:r>
        <w:t xml:space="preserve"> это часть цистерны, содержащая перевозимое вещество и состоящая из цилиндрической части, днищ (закрывающих цилиндрическую часть с торцов), отверстий и затворов (например, крышки лазов). Однако было отмечено, что определение термина </w:t>
      </w:r>
      <w:r w:rsidR="00260A73">
        <w:t>«</w:t>
      </w:r>
      <w:r>
        <w:t>Корпус из АВП</w:t>
      </w:r>
      <w:r w:rsidR="00260A73">
        <w:t>»</w:t>
      </w:r>
      <w:r>
        <w:t xml:space="preserve"> могло быть составлено таким образом, чтобы допускать также возможность использования цилиндра из АВП с металлическими торцами. Кроме того, было сочтено, что, исходя из последовательности изложения, допускаются отверстия и затворы только из АВП.</w:t>
      </w:r>
    </w:p>
    <w:p w14:paraId="04099AB1" w14:textId="77777777" w:rsidR="000258E6" w:rsidRPr="00AA38EC" w:rsidRDefault="000258E6" w:rsidP="000258E6">
      <w:pPr>
        <w:pStyle w:val="SingleTxtG"/>
      </w:pPr>
      <w:r>
        <w:t>11.</w:t>
      </w:r>
      <w:r>
        <w:tab/>
        <w:t>Польше было рекомендовано предложить Подкомитету следующие определения:</w:t>
      </w:r>
    </w:p>
    <w:p w14:paraId="7F803B22" w14:textId="5798ED83" w:rsidR="000258E6" w:rsidRPr="00AA38EC" w:rsidRDefault="00260A73" w:rsidP="000258E6">
      <w:pPr>
        <w:pStyle w:val="SingleTxtG"/>
        <w:rPr>
          <w:i/>
          <w:iCs/>
        </w:rPr>
      </w:pPr>
      <w:r>
        <w:rPr>
          <w:i/>
          <w:iCs/>
        </w:rPr>
        <w:t>«</w:t>
      </w:r>
      <w:r w:rsidR="000258E6">
        <w:rPr>
          <w:i/>
          <w:iCs/>
        </w:rPr>
        <w:t>Корпус из АВП означает часть переносной цистерны, которая удерживает вещество, предназначенное для перевозки, состоящую из цилиндрической части, изготовленной из АВП, с торцами из АВП или металла, включая отверстия и затворы, за исключением сервисного оборудования и наружного конструкционного оборудования;</w:t>
      </w:r>
      <w:r>
        <w:rPr>
          <w:i/>
          <w:iCs/>
        </w:rPr>
        <w:t>»</w:t>
      </w:r>
      <w:r w:rsidR="000258E6">
        <w:rPr>
          <w:i/>
          <w:iCs/>
        </w:rPr>
        <w:t>.</w:t>
      </w:r>
    </w:p>
    <w:p w14:paraId="75698873" w14:textId="06429C5A" w:rsidR="000258E6" w:rsidRPr="00AA38EC" w:rsidRDefault="000258E6" w:rsidP="000258E6">
      <w:pPr>
        <w:pStyle w:val="SingleTxtG"/>
        <w:rPr>
          <w:i/>
          <w:iCs/>
        </w:rPr>
      </w:pPr>
      <w:r>
        <w:rPr>
          <w:i/>
          <w:iCs/>
        </w:rPr>
        <w:t>«Цистерна из АВП означает переносную цистерну, сконструированную с корпусом из АВП и снабженную сервисным и конструкционным оборудованием;</w:t>
      </w:r>
      <w:r w:rsidR="00260A73">
        <w:rPr>
          <w:i/>
          <w:iCs/>
        </w:rPr>
        <w:t>»</w:t>
      </w:r>
      <w:r>
        <w:rPr>
          <w:i/>
          <w:iCs/>
        </w:rPr>
        <w:t>.</w:t>
      </w:r>
    </w:p>
    <w:p w14:paraId="6CA4A2C7" w14:textId="5E4FF3C7" w:rsidR="000258E6" w:rsidRPr="00AA38EC" w:rsidRDefault="000258E6" w:rsidP="000258E6">
      <w:pPr>
        <w:pStyle w:val="H1G"/>
      </w:pPr>
      <w:r>
        <w:tab/>
      </w:r>
      <w:r w:rsidR="00260A73">
        <w:tab/>
      </w:r>
      <w:r>
        <w:rPr>
          <w:bCs/>
        </w:rPr>
        <w:t>Пункт 7</w:t>
      </w:r>
      <w:r w:rsidR="00260A73">
        <w:rPr>
          <w:bCs/>
        </w:rPr>
        <w:br/>
      </w:r>
      <w:r>
        <w:rPr>
          <w:bCs/>
        </w:rPr>
        <w:t>Фактическое время удержания применительно к цистернам для</w:t>
      </w:r>
      <w:r w:rsidR="00260A73">
        <w:rPr>
          <w:bCs/>
        </w:rPr>
        <w:t> </w:t>
      </w:r>
      <w:r>
        <w:rPr>
          <w:bCs/>
        </w:rPr>
        <w:t>охлажденных сжиженных газов</w:t>
      </w:r>
    </w:p>
    <w:p w14:paraId="0305A801" w14:textId="77777777" w:rsidR="000258E6" w:rsidRPr="00AA38EC" w:rsidRDefault="000258E6" w:rsidP="00260A73">
      <w:pPr>
        <w:keepLines/>
        <w:tabs>
          <w:tab w:val="left" w:pos="2977"/>
          <w:tab w:val="left" w:pos="3828"/>
        </w:tabs>
        <w:spacing w:after="120"/>
        <w:ind w:left="1134"/>
      </w:pPr>
      <w:bookmarkStart w:id="2" w:name="_Hlk130337848"/>
      <w:r w:rsidRPr="00E91081">
        <w:rPr>
          <w:i/>
          <w:iCs/>
        </w:rPr>
        <w:t>Неофициальный документ</w:t>
      </w:r>
      <w:r>
        <w:t>:</w:t>
      </w:r>
      <w:r>
        <w:tab/>
        <w:t>INF.21 (Нидерланды)</w:t>
      </w:r>
    </w:p>
    <w:bookmarkEnd w:id="2"/>
    <w:p w14:paraId="0B0ADDA6" w14:textId="77777777" w:rsidR="000258E6" w:rsidRPr="00AA38EC" w:rsidRDefault="000258E6" w:rsidP="000258E6">
      <w:pPr>
        <w:pStyle w:val="SingleTxtG"/>
      </w:pPr>
      <w:r>
        <w:t>12.</w:t>
      </w:r>
      <w:r>
        <w:tab/>
        <w:t>В неофициальном документе INF.21 Нидерланды подняли вопросы, касающиеся фактического и контрольного времени удержания на основе выводов, сделанных после инцидентов с преждевременным срабатыванием предохранительных клапанов, и проведенного Инспекцией обследования по аспектам, касающимся времени удержания применительно к цистернам для охлажденных сжиженных газов.</w:t>
      </w:r>
    </w:p>
    <w:p w14:paraId="3AE5CE06" w14:textId="77777777" w:rsidR="000258E6" w:rsidRPr="00AA38EC" w:rsidRDefault="000258E6" w:rsidP="000258E6">
      <w:pPr>
        <w:pStyle w:val="SingleTxtG"/>
      </w:pPr>
      <w:r>
        <w:t>13.</w:t>
      </w:r>
      <w:r>
        <w:tab/>
        <w:t>МСЖД отметил, что на сессии Совместного совещания в сентябре 2023 года он представит официальный документ по этой теме для порожних неочищенных цистерн. Однако это позволит решить лишь часть вопросов, поднятых в неофициальном документе INF.21.</w:t>
      </w:r>
    </w:p>
    <w:p w14:paraId="1D1D86CD" w14:textId="77777777" w:rsidR="000258E6" w:rsidRPr="00AA38EC" w:rsidRDefault="000258E6" w:rsidP="000258E6">
      <w:pPr>
        <w:pStyle w:val="SingleTxtG"/>
      </w:pPr>
      <w:r>
        <w:t>14.</w:t>
      </w:r>
      <w:r>
        <w:tab/>
        <w:t xml:space="preserve">Некоторые выступившие эксперты подтвердили актуальность поднятых Нидерландами вопросов и заявили о заинтересованности в дальнейшей проработке этой темы. Было отмечено также, что на практике этот вопрос является весьма сложным, поскольку относительное давление и температура продукта могут значительным образом </w:t>
      </w:r>
      <w:r w:rsidRPr="00063D17">
        <w:t>варьироваться</w:t>
      </w:r>
      <w:r>
        <w:t xml:space="preserve">. Надлежит определить также, кто будет в состоянии рассчитать фактическое время удержания и на кого будет возложена эта обязанность. </w:t>
      </w:r>
    </w:p>
    <w:p w14:paraId="10C92DBC" w14:textId="77777777" w:rsidR="000258E6" w:rsidRPr="00AA38EC" w:rsidRDefault="000258E6" w:rsidP="000258E6">
      <w:pPr>
        <w:pStyle w:val="SingleTxtG"/>
      </w:pPr>
      <w:r>
        <w:t>15.</w:t>
      </w:r>
      <w:r>
        <w:tab/>
        <w:t>В ответ на направленные Нидерландами вопросы было отмечено, что соответствующий опыт имеется, но является весьма ограниченным; глобальной согласованной процедуры расчета не существует; вакуум не всегда измеряется в ходе испытаний</w:t>
      </w:r>
      <w:r>
        <w:rPr>
          <w:rFonts w:eastAsiaTheme="minorEastAsia"/>
          <w:lang w:eastAsia="zh-CN" w:bidi="ar-TN"/>
        </w:rPr>
        <w:t>,</w:t>
      </w:r>
      <w:r>
        <w:t xml:space="preserve"> а приемлемые уровни вакуума определяются на основе информации, представленной исходным изготовителем.</w:t>
      </w:r>
    </w:p>
    <w:p w14:paraId="10EC2ECF" w14:textId="77777777" w:rsidR="000258E6" w:rsidRPr="00AA38EC" w:rsidRDefault="000258E6" w:rsidP="000258E6">
      <w:pPr>
        <w:pStyle w:val="SingleTxtG"/>
      </w:pPr>
      <w:r>
        <w:t>16.</w:t>
      </w:r>
      <w:r>
        <w:tab/>
        <w:t>Нидерландам было предложено продолжить проработку путей улучшения ситуации во взаимодействии с экспертами от соответствующих отраслей и возобновить обсуждение на осенней сессии Совместного совещания в 2023 году также на основе документа, представленного МСЖД.</w:t>
      </w:r>
    </w:p>
    <w:p w14:paraId="4FCC86CD" w14:textId="4D4D4B5B" w:rsidR="000258E6" w:rsidRPr="00AA38EC" w:rsidRDefault="000258E6" w:rsidP="000258E6">
      <w:pPr>
        <w:pStyle w:val="H1G"/>
      </w:pPr>
      <w:r>
        <w:lastRenderedPageBreak/>
        <w:tab/>
      </w:r>
      <w:r w:rsidR="00260A73">
        <w:tab/>
      </w:r>
      <w:r>
        <w:rPr>
          <w:bCs/>
        </w:rPr>
        <w:t>Пункт 8</w:t>
      </w:r>
      <w:r w:rsidR="00260A73">
        <w:rPr>
          <w:bCs/>
        </w:rPr>
        <w:br/>
      </w:r>
      <w:r>
        <w:rPr>
          <w:bCs/>
        </w:rPr>
        <w:t>Двойное официальное утверждение контейнеров-цистерн</w:t>
      </w:r>
    </w:p>
    <w:p w14:paraId="745C4AE0" w14:textId="77777777" w:rsidR="000258E6" w:rsidRPr="009F6E99" w:rsidRDefault="000258E6" w:rsidP="00260A73">
      <w:pPr>
        <w:keepNext/>
        <w:keepLines/>
        <w:tabs>
          <w:tab w:val="left" w:pos="2977"/>
          <w:tab w:val="left" w:pos="3828"/>
        </w:tabs>
        <w:spacing w:after="120"/>
        <w:ind w:left="1134"/>
      </w:pPr>
      <w:r w:rsidRPr="00D1652E">
        <w:rPr>
          <w:i/>
          <w:iCs/>
        </w:rPr>
        <w:t>Неофициальный документ</w:t>
      </w:r>
      <w:r>
        <w:t>:</w:t>
      </w:r>
      <w:r>
        <w:tab/>
        <w:t>INF.33 (Франция)</w:t>
      </w:r>
    </w:p>
    <w:p w14:paraId="13B15C81" w14:textId="1B6D1F66" w:rsidR="000258E6" w:rsidRPr="00AA38EC" w:rsidRDefault="000258E6" w:rsidP="000258E6">
      <w:pPr>
        <w:pStyle w:val="SingleTxtG"/>
        <w:keepNext/>
        <w:keepLines/>
      </w:pPr>
      <w:r>
        <w:t>17.</w:t>
      </w:r>
      <w:r>
        <w:tab/>
        <w:t>Рабочая группа признала, что двойное утверждение, предусмотренное главами</w:t>
      </w:r>
      <w:r w:rsidR="00260A73">
        <w:t> </w:t>
      </w:r>
      <w:r>
        <w:t xml:space="preserve">6.7 и 6.8, создает трудности в том, что касается официального утверждения, номеров официального утверждения, проверки, эксплуатации, маркировки и идентификации типа цистерны. Было отмечено, что в некоторых случаях цистерны, отвечающие требованиям главы 6.7, не допускаются до внутренних перевозок без официального утверждения по главе 6.8. Однако, учитывая характер существующего режима, было признано, что наличие двойного официального утверждения дает </w:t>
      </w:r>
      <w:r w:rsidRPr="00AF3F3E">
        <w:t>эксплуатант</w:t>
      </w:r>
      <w:r>
        <w:t>ам</w:t>
      </w:r>
      <w:r w:rsidRPr="00AF3F3E">
        <w:t xml:space="preserve"> </w:t>
      </w:r>
      <w:r>
        <w:t>некоторые преимущества.</w:t>
      </w:r>
    </w:p>
    <w:p w14:paraId="16366E59" w14:textId="77777777" w:rsidR="000258E6" w:rsidRPr="00AA38EC" w:rsidRDefault="000258E6" w:rsidP="000258E6">
      <w:pPr>
        <w:pStyle w:val="SingleTxtG"/>
      </w:pPr>
      <w:r>
        <w:t>18.</w:t>
      </w:r>
      <w:r>
        <w:tab/>
        <w:t>В ходе обсуждения были определены три варианта решения этого вопроса:</w:t>
      </w:r>
    </w:p>
    <w:p w14:paraId="413409A0" w14:textId="77777777" w:rsidR="000258E6" w:rsidRPr="00260A73" w:rsidRDefault="000258E6" w:rsidP="00260A73">
      <w:pPr>
        <w:pStyle w:val="Bullet1G"/>
      </w:pPr>
      <w:r w:rsidRPr="00260A73">
        <w:t>продолжать использование режима двойного официального утверждения на определенных условиях,</w:t>
      </w:r>
    </w:p>
    <w:p w14:paraId="046208EF" w14:textId="77777777" w:rsidR="000258E6" w:rsidRPr="00260A73" w:rsidRDefault="000258E6" w:rsidP="00260A73">
      <w:pPr>
        <w:pStyle w:val="Bullet1G"/>
      </w:pPr>
      <w:r w:rsidRPr="00260A73">
        <w:t>запретить двойное официальное утверждение, либо</w:t>
      </w:r>
    </w:p>
    <w:p w14:paraId="3FFD6914" w14:textId="77777777" w:rsidR="000258E6" w:rsidRPr="00260A73" w:rsidRDefault="000258E6" w:rsidP="00260A73">
      <w:pPr>
        <w:pStyle w:val="Bullet1G"/>
      </w:pPr>
      <w:r w:rsidRPr="00260A73">
        <w:t>исключить контейнеры-цистерны из главы 6.8.</w:t>
      </w:r>
    </w:p>
    <w:p w14:paraId="77B4FD34" w14:textId="77777777" w:rsidR="000258E6" w:rsidRPr="00AA38EC" w:rsidRDefault="000258E6" w:rsidP="000258E6">
      <w:pPr>
        <w:pStyle w:val="SingleTxtG"/>
      </w:pPr>
      <w:r>
        <w:t>19.</w:t>
      </w:r>
      <w:r>
        <w:tab/>
        <w:t>Первые два варианта связаны с принятием практических мер для решения конкретных проблем. Третий вариант является неприемлемым, поскольку в эксплуатации находится множество контейнеров-цистерн с ограниченными габаритами и съемных кузовов-цистерн, которые регламентируются положениями главы 6.8. В целом, большинство выступивших экспертов высказались за то, чтобы запретить двойное официальное утверждение по главам 6.7 и 6.8.</w:t>
      </w:r>
    </w:p>
    <w:p w14:paraId="7562A508" w14:textId="77777777" w:rsidR="000258E6" w:rsidRPr="00AA38EC" w:rsidRDefault="000258E6" w:rsidP="000258E6">
      <w:pPr>
        <w:pStyle w:val="SingleTxtG"/>
      </w:pPr>
      <w:r>
        <w:t>20.</w:t>
      </w:r>
      <w:r>
        <w:tab/>
        <w:t>Франция приняла к сведению замечания, высказанные в ходе обсуждения, в порядке подготовки будущего документа.</w:t>
      </w:r>
    </w:p>
    <w:p w14:paraId="64620888" w14:textId="02BDF61C" w:rsidR="000258E6" w:rsidRPr="00AA38EC" w:rsidRDefault="000258E6" w:rsidP="000258E6">
      <w:pPr>
        <w:pStyle w:val="H1G"/>
      </w:pPr>
      <w:r>
        <w:tab/>
      </w:r>
      <w:r w:rsidR="00260A73">
        <w:tab/>
      </w:r>
      <w:r>
        <w:rPr>
          <w:bCs/>
        </w:rPr>
        <w:t>Пункт 9</w:t>
      </w:r>
      <w:r w:rsidR="00260A73">
        <w:rPr>
          <w:bCs/>
        </w:rPr>
        <w:br/>
      </w:r>
      <w:r>
        <w:rPr>
          <w:bCs/>
        </w:rPr>
        <w:t>Прочие вопросы</w:t>
      </w:r>
    </w:p>
    <w:p w14:paraId="1FEE4783" w14:textId="7A955432" w:rsidR="000258E6" w:rsidRPr="00AA38EC" w:rsidRDefault="000258E6" w:rsidP="000258E6">
      <w:pPr>
        <w:pStyle w:val="H23G"/>
      </w:pPr>
      <w:r>
        <w:rPr>
          <w:bCs/>
        </w:rPr>
        <w:tab/>
        <w:t>a)</w:t>
      </w:r>
      <w:r>
        <w:tab/>
      </w:r>
      <w:r>
        <w:rPr>
          <w:bCs/>
        </w:rPr>
        <w:t xml:space="preserve">Маркировочный знак </w:t>
      </w:r>
      <w:r w:rsidR="00260A73">
        <w:rPr>
          <w:bCs/>
        </w:rPr>
        <w:t>«</w:t>
      </w:r>
      <w:r>
        <w:rPr>
          <w:bCs/>
        </w:rPr>
        <w:t>SV</w:t>
      </w:r>
      <w:r w:rsidR="00260A73">
        <w:rPr>
          <w:bCs/>
        </w:rPr>
        <w:t>»</w:t>
      </w:r>
      <w:r>
        <w:rPr>
          <w:bCs/>
        </w:rPr>
        <w:t xml:space="preserve"> в соответствии с пунктом 6.8.3.2.9.6</w:t>
      </w:r>
    </w:p>
    <w:p w14:paraId="133A3AF8" w14:textId="1CEC6529" w:rsidR="000258E6" w:rsidRPr="00AA38EC" w:rsidRDefault="000258E6" w:rsidP="000258E6">
      <w:pPr>
        <w:pStyle w:val="SingleTxtG"/>
      </w:pPr>
      <w:r>
        <w:t>21.</w:t>
      </w:r>
      <w:r>
        <w:tab/>
        <w:t xml:space="preserve">Было отмечено, что некоторые органы власти требуют, чтобы цистерны с охлажденными сжиженными газами были снабжены маркировочным знаком </w:t>
      </w:r>
      <w:r w:rsidR="00260A73">
        <w:t>«</w:t>
      </w:r>
      <w:r>
        <w:t>SV</w:t>
      </w:r>
      <w:r w:rsidR="00260A73">
        <w:t>»</w:t>
      </w:r>
      <w:r>
        <w:t xml:space="preserve"> по пункту 6.8.3.2.9.6. </w:t>
      </w:r>
    </w:p>
    <w:p w14:paraId="3BF4EF6C" w14:textId="29532C4D" w:rsidR="000258E6" w:rsidRPr="00AA38EC" w:rsidRDefault="000258E6" w:rsidP="000258E6">
      <w:pPr>
        <w:pStyle w:val="SingleTxtG"/>
      </w:pPr>
      <w:r>
        <w:t>22.</w:t>
      </w:r>
      <w:r>
        <w:tab/>
        <w:t>Использование предохранительных клапанов на цистернах для перевозки охлажденных сжиженных газов, включая легковоспламеняющиеся газы, регламентируется не пунктом 6.8.3.2.9, а пунктами 6.8.3.2.11 и 6.8.3.2.12.</w:t>
      </w:r>
      <w:r w:rsidR="00260A73">
        <w:br/>
      </w:r>
      <w:r>
        <w:t xml:space="preserve">В пунктах 6.8.3.2.11 и 6.8.3.2.12 ссылки на маркировку по пункту 6.8.3.2.9.6 нет, поэтому маркировочный знак </w:t>
      </w:r>
      <w:r w:rsidR="00260A73">
        <w:t>«</w:t>
      </w:r>
      <w:r>
        <w:t>SV</w:t>
      </w:r>
      <w:r w:rsidR="00260A73">
        <w:t>»</w:t>
      </w:r>
      <w:r>
        <w:t xml:space="preserve"> на эти цистерны не наносится.</w:t>
      </w:r>
    </w:p>
    <w:p w14:paraId="3E91C5F8" w14:textId="77777777" w:rsidR="000258E6" w:rsidRPr="00AA38EC" w:rsidRDefault="000258E6" w:rsidP="000258E6">
      <w:pPr>
        <w:pStyle w:val="SingleTxtG"/>
      </w:pPr>
      <w:r>
        <w:t>23.</w:t>
      </w:r>
      <w:r>
        <w:tab/>
        <w:t>Кроме того, было указано, что подразделение веществ и изделий класса 2 в пункте 2.2.2.1.2 позволяет совершенно четко разграничить сжиженные газы и охлажденные сжиженные газы, и поэтому никакой двусмысленности в отношении применимости пунктов 6.8.3.2.9 либо 6.8.3.2.11 не существует.</w:t>
      </w:r>
    </w:p>
    <w:p w14:paraId="79649CB9" w14:textId="77777777" w:rsidR="000258E6" w:rsidRPr="00AA38EC" w:rsidRDefault="000258E6" w:rsidP="000258E6">
      <w:pPr>
        <w:pStyle w:val="H23G"/>
      </w:pPr>
      <w:r>
        <w:rPr>
          <w:bCs/>
        </w:rPr>
        <w:tab/>
        <w:t>b)</w:t>
      </w:r>
      <w:r>
        <w:tab/>
      </w:r>
      <w:r>
        <w:rPr>
          <w:bCs/>
        </w:rPr>
        <w:t>Авария с участием автоцистерны с СНГ</w:t>
      </w:r>
      <w:r>
        <w:t xml:space="preserve"> </w:t>
      </w:r>
    </w:p>
    <w:p w14:paraId="23DD590C" w14:textId="77777777" w:rsidR="000258E6" w:rsidRPr="00AA38EC" w:rsidRDefault="000258E6" w:rsidP="000258E6">
      <w:pPr>
        <w:pStyle w:val="SingleTxtG"/>
      </w:pPr>
      <w:r>
        <w:t>24.</w:t>
      </w:r>
      <w:r>
        <w:tab/>
        <w:t>Участникам сообщили об аварии с участием автоцистерны с СНГ в Йоханнесбурге, Южная Африка, 24 декабря 2022 года. После того как автоцистерна застряла под железнодорожным мостом, произошел взрыв. Отраслевым и инспекционным органам напоминают, что для автоцистерн ДОПОГ надлежит обеспечивать максимальную степень защиты сервисного оборудования.</w:t>
      </w:r>
    </w:p>
    <w:p w14:paraId="47B5B6FE" w14:textId="76D755EB" w:rsidR="00E12C5F" w:rsidRPr="00260A73" w:rsidRDefault="000258E6" w:rsidP="00260A73">
      <w:pPr>
        <w:spacing w:before="240"/>
        <w:jc w:val="center"/>
        <w:rPr>
          <w:u w:val="single"/>
        </w:rPr>
      </w:pPr>
      <w:r w:rsidRPr="00AA38EC">
        <w:rPr>
          <w:u w:val="single"/>
        </w:rPr>
        <w:tab/>
      </w:r>
      <w:r w:rsidRPr="00AA38EC">
        <w:rPr>
          <w:u w:val="single"/>
        </w:rPr>
        <w:tab/>
      </w:r>
      <w:r w:rsidRPr="00AA38EC">
        <w:rPr>
          <w:u w:val="single"/>
        </w:rPr>
        <w:tab/>
      </w:r>
    </w:p>
    <w:sectPr w:rsidR="00E12C5F" w:rsidRPr="00260A73" w:rsidSect="000258E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3386" w14:textId="77777777" w:rsidR="00B7711E" w:rsidRPr="00A312BC" w:rsidRDefault="00B7711E" w:rsidP="00A312BC"/>
  </w:endnote>
  <w:endnote w:type="continuationSeparator" w:id="0">
    <w:p w14:paraId="3E116015" w14:textId="77777777" w:rsidR="00B7711E" w:rsidRPr="00A312BC" w:rsidRDefault="00B7711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144" w14:textId="1AAEFE3A" w:rsidR="000258E6" w:rsidRPr="000258E6" w:rsidRDefault="000258E6">
    <w:pPr>
      <w:pStyle w:val="a8"/>
    </w:pPr>
    <w:r w:rsidRPr="000258E6">
      <w:rPr>
        <w:b/>
        <w:sz w:val="18"/>
      </w:rPr>
      <w:fldChar w:fldCharType="begin"/>
    </w:r>
    <w:r w:rsidRPr="000258E6">
      <w:rPr>
        <w:b/>
        <w:sz w:val="18"/>
      </w:rPr>
      <w:instrText xml:space="preserve"> PAGE  \* MERGEFORMAT </w:instrText>
    </w:r>
    <w:r w:rsidRPr="000258E6">
      <w:rPr>
        <w:b/>
        <w:sz w:val="18"/>
      </w:rPr>
      <w:fldChar w:fldCharType="separate"/>
    </w:r>
    <w:r w:rsidRPr="000258E6">
      <w:rPr>
        <w:b/>
        <w:noProof/>
        <w:sz w:val="18"/>
      </w:rPr>
      <w:t>2</w:t>
    </w:r>
    <w:r w:rsidRPr="000258E6">
      <w:rPr>
        <w:b/>
        <w:sz w:val="18"/>
      </w:rPr>
      <w:fldChar w:fldCharType="end"/>
    </w:r>
    <w:r>
      <w:rPr>
        <w:b/>
        <w:sz w:val="18"/>
      </w:rPr>
      <w:tab/>
    </w:r>
    <w:r>
      <w:t>GE.23-06784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89DE" w14:textId="317865DD" w:rsidR="000258E6" w:rsidRPr="000258E6" w:rsidRDefault="000258E6" w:rsidP="000258E6">
    <w:pPr>
      <w:pStyle w:val="a8"/>
      <w:tabs>
        <w:tab w:val="clear" w:pos="9639"/>
        <w:tab w:val="right" w:pos="9638"/>
      </w:tabs>
      <w:rPr>
        <w:b/>
        <w:sz w:val="18"/>
      </w:rPr>
    </w:pPr>
    <w:r>
      <w:t>GE.23-06784</w:t>
    </w:r>
    <w:r>
      <w:tab/>
    </w:r>
    <w:r w:rsidRPr="000258E6">
      <w:rPr>
        <w:b/>
        <w:sz w:val="18"/>
      </w:rPr>
      <w:fldChar w:fldCharType="begin"/>
    </w:r>
    <w:r w:rsidRPr="000258E6">
      <w:rPr>
        <w:b/>
        <w:sz w:val="18"/>
      </w:rPr>
      <w:instrText xml:space="preserve"> PAGE  \* MERGEFORMAT </w:instrText>
    </w:r>
    <w:r w:rsidRPr="000258E6">
      <w:rPr>
        <w:b/>
        <w:sz w:val="18"/>
      </w:rPr>
      <w:fldChar w:fldCharType="separate"/>
    </w:r>
    <w:r w:rsidRPr="000258E6">
      <w:rPr>
        <w:b/>
        <w:noProof/>
        <w:sz w:val="18"/>
      </w:rPr>
      <w:t>3</w:t>
    </w:r>
    <w:r w:rsidRPr="000258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A09F" w14:textId="028A1120" w:rsidR="00042B72" w:rsidRPr="000258E6" w:rsidRDefault="000258E6" w:rsidP="000258E6">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DC8DEC8" wp14:editId="3D14E92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23-06784  (R)</w:t>
    </w:r>
    <w:r>
      <w:rPr>
        <w:noProof/>
      </w:rPr>
      <w:drawing>
        <wp:anchor distT="0" distB="0" distL="114300" distR="114300" simplePos="0" relativeHeight="251659264" behindDoc="0" locked="0" layoutInCell="1" allowOverlap="1" wp14:anchorId="2E40C1AA" wp14:editId="53231F9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270623  270623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CDD5" w14:textId="77777777" w:rsidR="00B7711E" w:rsidRPr="001075E9" w:rsidRDefault="00B7711E" w:rsidP="001075E9">
      <w:pPr>
        <w:tabs>
          <w:tab w:val="right" w:pos="2155"/>
        </w:tabs>
        <w:spacing w:after="80" w:line="240" w:lineRule="auto"/>
        <w:ind w:left="680"/>
        <w:rPr>
          <w:u w:val="single"/>
        </w:rPr>
      </w:pPr>
      <w:r>
        <w:rPr>
          <w:u w:val="single"/>
        </w:rPr>
        <w:tab/>
      </w:r>
    </w:p>
  </w:footnote>
  <w:footnote w:type="continuationSeparator" w:id="0">
    <w:p w14:paraId="4B715148" w14:textId="77777777" w:rsidR="00B7711E" w:rsidRDefault="00B7711E" w:rsidP="00407B78">
      <w:pPr>
        <w:tabs>
          <w:tab w:val="right" w:pos="2155"/>
        </w:tabs>
        <w:spacing w:after="80"/>
        <w:ind w:left="680"/>
        <w:rPr>
          <w:u w:val="single"/>
        </w:rPr>
      </w:pPr>
      <w:r>
        <w:rPr>
          <w:u w:val="single"/>
        </w:rPr>
        <w:tab/>
      </w:r>
    </w:p>
  </w:footnote>
  <w:footnote w:id="1">
    <w:p w14:paraId="1582311A" w14:textId="77777777" w:rsidR="000258E6" w:rsidRPr="00AA38EC" w:rsidRDefault="000258E6" w:rsidP="00582153">
      <w:pPr>
        <w:pStyle w:val="ad"/>
        <w:spacing w:line="214" w:lineRule="exact"/>
      </w:pPr>
      <w:r>
        <w:tab/>
      </w:r>
      <w:r w:rsidRPr="000258E6">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OTIF/RID/RC/2023-A.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14:paraId="3EA26120" w14:textId="77777777" w:rsidR="000258E6" w:rsidRPr="00AA38EC" w:rsidRDefault="000258E6" w:rsidP="00582153">
      <w:pPr>
        <w:pStyle w:val="ad"/>
        <w:spacing w:line="214" w:lineRule="exact"/>
      </w:pPr>
      <w:r>
        <w:tab/>
      </w:r>
      <w:r w:rsidRPr="000258E6">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OTIF/RID/RC/2023-A/Add.1.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9F45" w14:textId="47CC34B0" w:rsidR="000258E6" w:rsidRPr="000258E6" w:rsidRDefault="000258E6">
    <w:pPr>
      <w:pStyle w:val="a5"/>
    </w:pPr>
    <w:fldSimple w:instr=" TITLE  \* MERGEFORMAT ">
      <w:r w:rsidR="00F4016F">
        <w:t>ECE/TRANS/WP.15/AC.1/168/Add.1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F53D" w14:textId="3A3CDA15" w:rsidR="000258E6" w:rsidRPr="000258E6" w:rsidRDefault="000258E6" w:rsidP="000258E6">
    <w:pPr>
      <w:pStyle w:val="a5"/>
      <w:jc w:val="right"/>
    </w:pPr>
    <w:fldSimple w:instr=" TITLE  \* MERGEFORMAT ">
      <w:r w:rsidR="00F4016F">
        <w:t>ECE/TRANS/WP.15/AC.1/168/Add.1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16cid:durableId="339889540">
    <w:abstractNumId w:val="18"/>
  </w:num>
  <w:num w:numId="2" w16cid:durableId="1304699383">
    <w:abstractNumId w:val="12"/>
  </w:num>
  <w:num w:numId="3" w16cid:durableId="550771364">
    <w:abstractNumId w:val="11"/>
  </w:num>
  <w:num w:numId="4" w16cid:durableId="1036081238">
    <w:abstractNumId w:val="19"/>
  </w:num>
  <w:num w:numId="5" w16cid:durableId="1709333785">
    <w:abstractNumId w:val="14"/>
  </w:num>
  <w:num w:numId="6" w16cid:durableId="1002469477">
    <w:abstractNumId w:val="8"/>
  </w:num>
  <w:num w:numId="7" w16cid:durableId="399208026">
    <w:abstractNumId w:val="3"/>
  </w:num>
  <w:num w:numId="8" w16cid:durableId="767046218">
    <w:abstractNumId w:val="2"/>
  </w:num>
  <w:num w:numId="9" w16cid:durableId="1725836704">
    <w:abstractNumId w:val="1"/>
  </w:num>
  <w:num w:numId="10" w16cid:durableId="447430006">
    <w:abstractNumId w:val="0"/>
  </w:num>
  <w:num w:numId="11" w16cid:durableId="128210178">
    <w:abstractNumId w:val="9"/>
  </w:num>
  <w:num w:numId="12" w16cid:durableId="852917563">
    <w:abstractNumId w:val="7"/>
  </w:num>
  <w:num w:numId="13" w16cid:durableId="1481724190">
    <w:abstractNumId w:val="6"/>
  </w:num>
  <w:num w:numId="14" w16cid:durableId="504983385">
    <w:abstractNumId w:val="5"/>
  </w:num>
  <w:num w:numId="15" w16cid:durableId="1819225185">
    <w:abstractNumId w:val="4"/>
  </w:num>
  <w:num w:numId="16" w16cid:durableId="1339575886">
    <w:abstractNumId w:val="17"/>
  </w:num>
  <w:num w:numId="17" w16cid:durableId="1718430845">
    <w:abstractNumId w:val="13"/>
  </w:num>
  <w:num w:numId="18" w16cid:durableId="395011814">
    <w:abstractNumId w:val="15"/>
  </w:num>
  <w:num w:numId="19" w16cid:durableId="50428410">
    <w:abstractNumId w:val="17"/>
  </w:num>
  <w:num w:numId="20" w16cid:durableId="1424376236">
    <w:abstractNumId w:val="13"/>
  </w:num>
  <w:num w:numId="21" w16cid:durableId="1926836504">
    <w:abstractNumId w:val="15"/>
  </w:num>
  <w:num w:numId="22" w16cid:durableId="1192958029">
    <w:abstractNumId w:val="16"/>
  </w:num>
  <w:num w:numId="23" w16cid:durableId="2138327099">
    <w:abstractNumId w:val="10"/>
  </w:num>
  <w:num w:numId="24" w16cid:durableId="109670594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1E"/>
    <w:rsid w:val="000101E3"/>
    <w:rsid w:val="000258E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60A7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82153"/>
    <w:rsid w:val="005961C8"/>
    <w:rsid w:val="005966F1"/>
    <w:rsid w:val="005D7914"/>
    <w:rsid w:val="005E2B41"/>
    <w:rsid w:val="005F0B42"/>
    <w:rsid w:val="00617A43"/>
    <w:rsid w:val="006345DB"/>
    <w:rsid w:val="00640F49"/>
    <w:rsid w:val="006774C4"/>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1049"/>
    <w:rsid w:val="00951972"/>
    <w:rsid w:val="009608F3"/>
    <w:rsid w:val="0098097B"/>
    <w:rsid w:val="009A24AC"/>
    <w:rsid w:val="009C59D7"/>
    <w:rsid w:val="009C6FE6"/>
    <w:rsid w:val="009D7E7D"/>
    <w:rsid w:val="00A14DA8"/>
    <w:rsid w:val="00A312BC"/>
    <w:rsid w:val="00A571A1"/>
    <w:rsid w:val="00A84021"/>
    <w:rsid w:val="00A84D35"/>
    <w:rsid w:val="00A917B3"/>
    <w:rsid w:val="00AB4B51"/>
    <w:rsid w:val="00B10CC7"/>
    <w:rsid w:val="00B36DF7"/>
    <w:rsid w:val="00B539E7"/>
    <w:rsid w:val="00B62458"/>
    <w:rsid w:val="00B7711E"/>
    <w:rsid w:val="00BC18B2"/>
    <w:rsid w:val="00BD33EE"/>
    <w:rsid w:val="00BE1CC7"/>
    <w:rsid w:val="00C106D6"/>
    <w:rsid w:val="00C119AE"/>
    <w:rsid w:val="00C60F0C"/>
    <w:rsid w:val="00C71E84"/>
    <w:rsid w:val="00C805C9"/>
    <w:rsid w:val="00C92939"/>
    <w:rsid w:val="00CA1679"/>
    <w:rsid w:val="00CB151C"/>
    <w:rsid w:val="00CE5A1A"/>
    <w:rsid w:val="00CF55F6"/>
    <w:rsid w:val="00D3358B"/>
    <w:rsid w:val="00D33D63"/>
    <w:rsid w:val="00D5253A"/>
    <w:rsid w:val="00D65790"/>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016F"/>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834F7"/>
  <w15:docId w15:val="{3D583A27-5F4E-4B65-94A8-86B4A1F0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uiPriority w:val="99"/>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0258E6"/>
    <w:rPr>
      <w:lang w:val="ru-RU" w:eastAsia="en-US"/>
    </w:rPr>
  </w:style>
  <w:style w:type="paragraph" w:customStyle="1" w:styleId="ParNoG">
    <w:name w:val="_ParNo_G"/>
    <w:basedOn w:val="SingleTxtG"/>
    <w:qFormat/>
    <w:rsid w:val="000258E6"/>
    <w:pPr>
      <w:numPr>
        <w:numId w:val="23"/>
      </w:numPr>
      <w:tabs>
        <w:tab w:val="clear" w:pos="2268"/>
        <w:tab w:val="clear" w:pos="2835"/>
      </w:tabs>
      <w:suppressAutoHyphens w:val="0"/>
    </w:pPr>
    <w:rPr>
      <w:lang w:val="fr-FR" w:eastAsia="fr-FR"/>
    </w:rPr>
  </w:style>
  <w:style w:type="character" w:customStyle="1" w:styleId="HChGChar">
    <w:name w:val="_ H _Ch_G Char"/>
    <w:link w:val="HChG"/>
    <w:qFormat/>
    <w:rsid w:val="000258E6"/>
    <w:rPr>
      <w:b/>
      <w:sz w:val="28"/>
      <w:lang w:val="ru-RU" w:eastAsia="ru-RU"/>
    </w:rPr>
  </w:style>
  <w:style w:type="character" w:customStyle="1" w:styleId="H1GChar">
    <w:name w:val="_ H_1_G Char"/>
    <w:link w:val="H1G"/>
    <w:uiPriority w:val="99"/>
    <w:qFormat/>
    <w:rsid w:val="000258E6"/>
    <w:rPr>
      <w:b/>
      <w:sz w:val="24"/>
      <w:lang w:val="ru-RU" w:eastAsia="ru-RU"/>
    </w:rPr>
  </w:style>
  <w:style w:type="character" w:customStyle="1" w:styleId="H23GChar">
    <w:name w:val="_ H_2/3_G Char"/>
    <w:link w:val="H23G"/>
    <w:locked/>
    <w:rsid w:val="000258E6"/>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C5413-141F-494C-8FC1-8878C61E92CE}"/>
</file>

<file path=customXml/itemProps2.xml><?xml version="1.0" encoding="utf-8"?>
<ds:datastoreItem xmlns:ds="http://schemas.openxmlformats.org/officeDocument/2006/customXml" ds:itemID="{E785FC78-36A5-4349-888A-13E0123F277C}"/>
</file>

<file path=docProps/app.xml><?xml version="1.0" encoding="utf-8"?>
<Properties xmlns="http://schemas.openxmlformats.org/officeDocument/2006/extended-properties" xmlns:vt="http://schemas.openxmlformats.org/officeDocument/2006/docPropsVTypes">
  <Template>ECE.dotm</Template>
  <TotalTime>1</TotalTime>
  <Pages>6</Pages>
  <Words>1788</Words>
  <Characters>11923</Characters>
  <Application>Microsoft Office Word</Application>
  <DocSecurity>0</DocSecurity>
  <Lines>324</Lines>
  <Paragraphs>133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ECE/TRANS/WP.15/AC.1/168/Add.1</vt:lpstr>
      <vt:lpstr>A/</vt:lpstr>
      <vt:lpstr>A/</vt:lpstr>
    </vt:vector>
  </TitlesOfParts>
  <Company>DCM</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ECE/TRANS/WP.15/AC.1/168/Add.1</dc:title>
  <dc:subject/>
  <dc:creator>Uliana ANTIPOVA</dc:creator>
  <cp:keywords/>
  <cp:lastModifiedBy>Uliana Antipova</cp:lastModifiedBy>
  <cp:revision>3</cp:revision>
  <cp:lastPrinted>2023-06-27T10:59:00Z</cp:lastPrinted>
  <dcterms:created xsi:type="dcterms:W3CDTF">2023-06-27T10:59:00Z</dcterms:created>
  <dcterms:modified xsi:type="dcterms:W3CDTF">2023-06-27T11:00:00Z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