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1E0" w:firstRow="1" w:lastRow="1" w:firstColumn="1" w:lastColumn="1" w:noHBand="0" w:noVBand="0"/>
      </w:tblPr>
      <w:tblGrid>
        <w:gridCol w:w="1276"/>
        <w:gridCol w:w="3764"/>
        <w:gridCol w:w="1764"/>
        <w:gridCol w:w="2835"/>
      </w:tblGrid>
      <w:tr w:rsidR="00F44D17" w:rsidRPr="00827F40" w14:paraId="50F8FA60" w14:textId="77777777" w:rsidTr="007C0A82">
        <w:trPr>
          <w:cantSplit/>
          <w:trHeight w:hRule="exact" w:val="724"/>
        </w:trPr>
        <w:tc>
          <w:tcPr>
            <w:tcW w:w="5040" w:type="dxa"/>
            <w:gridSpan w:val="2"/>
            <w:tcBorders>
              <w:bottom w:val="single" w:sz="4" w:space="0" w:color="auto"/>
            </w:tcBorders>
            <w:vAlign w:val="bottom"/>
          </w:tcPr>
          <w:p w14:paraId="496DACF7" w14:textId="77777777" w:rsidR="00C700BA" w:rsidRDefault="00C700BA" w:rsidP="00C700BA">
            <w:pPr>
              <w:spacing w:after="80" w:line="300" w:lineRule="exact"/>
              <w:rPr>
                <w:b/>
                <w:bCs/>
                <w:color w:val="FF0000"/>
                <w:sz w:val="28"/>
                <w:szCs w:val="28"/>
              </w:rPr>
            </w:pPr>
            <w:r>
              <w:rPr>
                <w:b/>
                <w:bCs/>
                <w:color w:val="FF0000"/>
                <w:sz w:val="28"/>
                <w:szCs w:val="28"/>
              </w:rPr>
              <w:t>Version 2</w:t>
            </w:r>
          </w:p>
          <w:p w14:paraId="50460422" w14:textId="4BC115C9" w:rsidR="00C700BA" w:rsidRPr="00C700BA" w:rsidRDefault="00786BC2" w:rsidP="00C700BA">
            <w:pPr>
              <w:spacing w:after="80" w:line="300" w:lineRule="exact"/>
              <w:rPr>
                <w:b/>
                <w:bCs/>
                <w:color w:val="FF0000"/>
                <w:sz w:val="28"/>
                <w:szCs w:val="28"/>
              </w:rPr>
            </w:pPr>
            <w:r w:rsidRPr="00827F40">
              <w:rPr>
                <w:b/>
                <w:bCs/>
                <w:color w:val="FF0000"/>
                <w:sz w:val="28"/>
                <w:szCs w:val="28"/>
              </w:rPr>
              <w:t>A</w:t>
            </w:r>
            <w:r w:rsidR="00F44D17" w:rsidRPr="00827F40">
              <w:rPr>
                <w:b/>
                <w:bCs/>
                <w:color w:val="FF0000"/>
                <w:sz w:val="28"/>
                <w:szCs w:val="28"/>
              </w:rPr>
              <w:t xml:space="preserve">s </w:t>
            </w:r>
            <w:r w:rsidR="00CC4B7F" w:rsidRPr="00827F40">
              <w:rPr>
                <w:b/>
                <w:bCs/>
                <w:color w:val="FF0000"/>
                <w:sz w:val="28"/>
                <w:szCs w:val="28"/>
              </w:rPr>
              <w:t xml:space="preserve">adopted </w:t>
            </w:r>
            <w:r w:rsidR="00AF5CBB" w:rsidRPr="00827F40">
              <w:rPr>
                <w:b/>
                <w:bCs/>
                <w:color w:val="FF0000"/>
                <w:sz w:val="28"/>
                <w:szCs w:val="28"/>
              </w:rPr>
              <w:t>0</w:t>
            </w:r>
            <w:r w:rsidR="00CC4B7F" w:rsidRPr="00827F40">
              <w:rPr>
                <w:b/>
                <w:bCs/>
                <w:color w:val="FF0000"/>
                <w:sz w:val="28"/>
                <w:szCs w:val="28"/>
              </w:rPr>
              <w:t>4</w:t>
            </w:r>
            <w:r w:rsidR="00F44D17" w:rsidRPr="00827F40">
              <w:rPr>
                <w:b/>
                <w:bCs/>
                <w:color w:val="FF0000"/>
                <w:sz w:val="28"/>
                <w:szCs w:val="28"/>
              </w:rPr>
              <w:t xml:space="preserve"> </w:t>
            </w:r>
            <w:r w:rsidR="00F21CDD" w:rsidRPr="00827F40">
              <w:rPr>
                <w:b/>
                <w:bCs/>
                <w:color w:val="FF0000"/>
                <w:sz w:val="28"/>
                <w:szCs w:val="28"/>
              </w:rPr>
              <w:t>October</w:t>
            </w:r>
            <w:r w:rsidR="00F44D17" w:rsidRPr="00827F40">
              <w:rPr>
                <w:b/>
                <w:bCs/>
                <w:color w:val="FF0000"/>
                <w:sz w:val="28"/>
                <w:szCs w:val="28"/>
              </w:rPr>
              <w:t xml:space="preserve"> 202</w:t>
            </w:r>
            <w:r w:rsidR="007C0A82" w:rsidRPr="00827F40">
              <w:rPr>
                <w:b/>
                <w:bCs/>
                <w:color w:val="FF0000"/>
                <w:sz w:val="28"/>
                <w:szCs w:val="28"/>
              </w:rPr>
              <w:t>3</w:t>
            </w:r>
          </w:p>
        </w:tc>
        <w:tc>
          <w:tcPr>
            <w:tcW w:w="4599" w:type="dxa"/>
            <w:gridSpan w:val="2"/>
            <w:tcBorders>
              <w:bottom w:val="single" w:sz="4" w:space="0" w:color="auto"/>
            </w:tcBorders>
            <w:vAlign w:val="bottom"/>
          </w:tcPr>
          <w:p w14:paraId="2919770D" w14:textId="07CA4AF3" w:rsidR="00F44D17" w:rsidRPr="00827F40" w:rsidRDefault="00F44D17" w:rsidP="00F44D17">
            <w:pPr>
              <w:jc w:val="right"/>
            </w:pPr>
            <w:r w:rsidRPr="00827F40">
              <w:rPr>
                <w:color w:val="FF0000"/>
                <w:sz w:val="40"/>
              </w:rPr>
              <w:t>DRAFT</w:t>
            </w:r>
            <w:r w:rsidRPr="00827F40">
              <w:rPr>
                <w:b/>
                <w:bCs/>
                <w:color w:val="FF0000"/>
                <w:sz w:val="28"/>
                <w:szCs w:val="28"/>
              </w:rPr>
              <w:t xml:space="preserve"> </w:t>
            </w:r>
            <w:r w:rsidRPr="00827F40">
              <w:rPr>
                <w:sz w:val="40"/>
              </w:rPr>
              <w:t>ECE</w:t>
            </w:r>
            <w:r w:rsidRPr="00827F40">
              <w:t>/ENERGY/GE.</w:t>
            </w:r>
            <w:r w:rsidR="007C0A82" w:rsidRPr="00827F40">
              <w:t>5</w:t>
            </w:r>
            <w:r w:rsidRPr="00827F40">
              <w:t>/202</w:t>
            </w:r>
            <w:r w:rsidR="007C0A82" w:rsidRPr="00827F40">
              <w:t>3</w:t>
            </w:r>
            <w:r w:rsidRPr="00827F40">
              <w:t>/2</w:t>
            </w:r>
          </w:p>
        </w:tc>
      </w:tr>
      <w:tr w:rsidR="00F44D17" w:rsidRPr="00827F40" w14:paraId="1B8D3120" w14:textId="77777777" w:rsidTr="00F44D17">
        <w:trPr>
          <w:cantSplit/>
          <w:trHeight w:hRule="exact" w:val="1315"/>
        </w:trPr>
        <w:tc>
          <w:tcPr>
            <w:tcW w:w="1276" w:type="dxa"/>
            <w:tcBorders>
              <w:top w:val="single" w:sz="4" w:space="0" w:color="auto"/>
              <w:bottom w:val="single" w:sz="12" w:space="0" w:color="auto"/>
            </w:tcBorders>
          </w:tcPr>
          <w:p w14:paraId="7AAA07BE" w14:textId="77777777" w:rsidR="00F44D17" w:rsidRPr="00827F40" w:rsidRDefault="00F44D17" w:rsidP="00F44D17">
            <w:pPr>
              <w:spacing w:before="120"/>
            </w:pPr>
          </w:p>
        </w:tc>
        <w:tc>
          <w:tcPr>
            <w:tcW w:w="5528" w:type="dxa"/>
            <w:gridSpan w:val="2"/>
            <w:tcBorders>
              <w:top w:val="single" w:sz="4" w:space="0" w:color="auto"/>
              <w:bottom w:val="single" w:sz="12" w:space="0" w:color="auto"/>
            </w:tcBorders>
          </w:tcPr>
          <w:p w14:paraId="67F8002D" w14:textId="77777777" w:rsidR="00F44D17" w:rsidRPr="00827F40" w:rsidRDefault="00F44D17" w:rsidP="00F44D17">
            <w:pPr>
              <w:spacing w:before="120" w:line="420" w:lineRule="exact"/>
              <w:rPr>
                <w:sz w:val="40"/>
                <w:szCs w:val="40"/>
              </w:rPr>
            </w:pPr>
          </w:p>
        </w:tc>
        <w:tc>
          <w:tcPr>
            <w:tcW w:w="2835" w:type="dxa"/>
            <w:tcBorders>
              <w:top w:val="single" w:sz="4" w:space="0" w:color="auto"/>
              <w:bottom w:val="single" w:sz="12" w:space="0" w:color="auto"/>
            </w:tcBorders>
          </w:tcPr>
          <w:p w14:paraId="302BBDCD" w14:textId="77777777" w:rsidR="00F44D17" w:rsidRPr="00827F40" w:rsidRDefault="00F44D17" w:rsidP="00F44D17">
            <w:pPr>
              <w:spacing w:before="240" w:line="240" w:lineRule="exact"/>
            </w:pPr>
            <w:r w:rsidRPr="00827F40">
              <w:t>Distr.: General</w:t>
            </w:r>
          </w:p>
          <w:p w14:paraId="191D3A31" w14:textId="68D4F469" w:rsidR="00F44D17" w:rsidRPr="00827F40" w:rsidRDefault="007C0A82" w:rsidP="00F44D17">
            <w:pPr>
              <w:spacing w:line="240" w:lineRule="exact"/>
            </w:pPr>
            <w:r w:rsidRPr="00827F40">
              <w:t>3</w:t>
            </w:r>
            <w:r w:rsidR="00F44D17" w:rsidRPr="00827F40">
              <w:t xml:space="preserve"> October 202</w:t>
            </w:r>
            <w:r w:rsidRPr="00827F40">
              <w:t>3</w:t>
            </w:r>
          </w:p>
          <w:p w14:paraId="114E1FAD" w14:textId="77777777" w:rsidR="00F44D17" w:rsidRPr="00827F40" w:rsidRDefault="00F44D17" w:rsidP="00F44D17">
            <w:pPr>
              <w:spacing w:line="240" w:lineRule="exact"/>
            </w:pPr>
          </w:p>
          <w:p w14:paraId="7D21FA53" w14:textId="77777777" w:rsidR="00F44D17" w:rsidRPr="00827F40" w:rsidRDefault="00F44D17" w:rsidP="00F44D17">
            <w:pPr>
              <w:spacing w:line="240" w:lineRule="exact"/>
            </w:pPr>
            <w:r w:rsidRPr="00827F40">
              <w:t>Original: English</w:t>
            </w:r>
          </w:p>
        </w:tc>
      </w:tr>
    </w:tbl>
    <w:p w14:paraId="74E240C4" w14:textId="77777777" w:rsidR="00F44D17" w:rsidRPr="00827F40" w:rsidRDefault="00F44D17" w:rsidP="00680289">
      <w:pPr>
        <w:jc w:val="center"/>
        <w:rPr>
          <w:b/>
          <w:bCs/>
          <w:sz w:val="28"/>
          <w:szCs w:val="28"/>
        </w:rPr>
      </w:pPr>
    </w:p>
    <w:p w14:paraId="560F2E83" w14:textId="77777777" w:rsidR="00695906" w:rsidRPr="00827F40" w:rsidRDefault="00695906" w:rsidP="00695906">
      <w:pPr>
        <w:spacing w:before="120"/>
        <w:rPr>
          <w:b/>
          <w:sz w:val="28"/>
          <w:szCs w:val="28"/>
        </w:rPr>
      </w:pPr>
      <w:r w:rsidRPr="00827F40">
        <w:rPr>
          <w:b/>
          <w:sz w:val="28"/>
          <w:szCs w:val="28"/>
        </w:rPr>
        <w:t>Economic Commission for Europe</w:t>
      </w:r>
    </w:p>
    <w:p w14:paraId="1F783EFE" w14:textId="77777777" w:rsidR="00695906" w:rsidRPr="00827F40" w:rsidRDefault="00695906" w:rsidP="00695906">
      <w:pPr>
        <w:tabs>
          <w:tab w:val="left" w:pos="0"/>
          <w:tab w:val="left" w:pos="6644"/>
          <w:tab w:val="left" w:pos="7222"/>
        </w:tabs>
        <w:spacing w:before="120"/>
        <w:rPr>
          <w:sz w:val="28"/>
          <w:szCs w:val="28"/>
        </w:rPr>
      </w:pPr>
      <w:r w:rsidRPr="00827F40">
        <w:rPr>
          <w:sz w:val="28"/>
          <w:szCs w:val="28"/>
        </w:rPr>
        <w:t>Committee on Sustainable Energy</w:t>
      </w:r>
    </w:p>
    <w:p w14:paraId="63156339" w14:textId="2F503D53" w:rsidR="00695906" w:rsidRPr="00827F40" w:rsidRDefault="00695906" w:rsidP="00695906">
      <w:pPr>
        <w:pStyle w:val="H1G"/>
        <w:keepNext w:val="0"/>
        <w:keepLines w:val="0"/>
        <w:spacing w:before="120" w:after="0" w:line="240" w:lineRule="atLeast"/>
        <w:ind w:left="0" w:right="0" w:firstLine="0"/>
      </w:pPr>
      <w:r w:rsidRPr="00827F40">
        <w:rPr>
          <w:bCs/>
          <w:szCs w:val="24"/>
        </w:rPr>
        <w:t xml:space="preserve">Group of Experts on </w:t>
      </w:r>
      <w:r w:rsidR="007C0A82" w:rsidRPr="00827F40">
        <w:rPr>
          <w:bCs/>
          <w:szCs w:val="24"/>
        </w:rPr>
        <w:t>Cleaner Electricity Systems</w:t>
      </w:r>
    </w:p>
    <w:p w14:paraId="468C7073" w14:textId="232A597A" w:rsidR="00695906" w:rsidRPr="00827F40" w:rsidRDefault="00B424B1" w:rsidP="00695906">
      <w:pPr>
        <w:spacing w:before="120"/>
        <w:rPr>
          <w:b/>
          <w:bCs/>
          <w:color w:val="000000"/>
        </w:rPr>
      </w:pPr>
      <w:r w:rsidRPr="00827F40">
        <w:rPr>
          <w:b/>
          <w:bCs/>
          <w:color w:val="000000"/>
        </w:rPr>
        <w:t>Nin</w:t>
      </w:r>
      <w:r w:rsidR="007C0A82" w:rsidRPr="00827F40">
        <w:rPr>
          <w:b/>
          <w:bCs/>
          <w:color w:val="000000"/>
        </w:rPr>
        <w:t>eteenth</w:t>
      </w:r>
      <w:r w:rsidR="00695906" w:rsidRPr="00827F40">
        <w:rPr>
          <w:b/>
          <w:bCs/>
          <w:color w:val="000000"/>
        </w:rPr>
        <w:t xml:space="preserve"> session</w:t>
      </w:r>
    </w:p>
    <w:p w14:paraId="14C2D774" w14:textId="586F3394" w:rsidR="00695906" w:rsidRPr="00827F40" w:rsidRDefault="00695906" w:rsidP="00695906">
      <w:r w:rsidRPr="00827F40">
        <w:t xml:space="preserve">Geneva, </w:t>
      </w:r>
      <w:r w:rsidR="00B424B1" w:rsidRPr="00827F40">
        <w:t>3–4 October 202</w:t>
      </w:r>
      <w:r w:rsidR="007C0A82" w:rsidRPr="00827F40">
        <w:t>3</w:t>
      </w:r>
    </w:p>
    <w:p w14:paraId="5568C6BE" w14:textId="403F3213" w:rsidR="00BE27FA" w:rsidRPr="00827F40" w:rsidRDefault="00BE27FA" w:rsidP="00695906">
      <w:r w:rsidRPr="00827F40">
        <w:t>Item 1</w:t>
      </w:r>
      <w:r w:rsidR="007C0A82" w:rsidRPr="00827F40">
        <w:t>3</w:t>
      </w:r>
      <w:r w:rsidRPr="00827F40">
        <w:t xml:space="preserve"> of the Annotated provisional agenda</w:t>
      </w:r>
    </w:p>
    <w:p w14:paraId="0F8D7A8B" w14:textId="38FED235" w:rsidR="00ED07FA" w:rsidRPr="00827F40" w:rsidRDefault="00695906" w:rsidP="00ED07FA">
      <w:pPr>
        <w:pStyle w:val="HChG"/>
        <w:tabs>
          <w:tab w:val="left" w:pos="1134"/>
          <w:tab w:val="left" w:pos="1701"/>
          <w:tab w:val="left" w:pos="2268"/>
          <w:tab w:val="center" w:pos="4252"/>
        </w:tabs>
      </w:pPr>
      <w:r w:rsidRPr="00827F40">
        <w:rPr>
          <w:lang w:val="en-US"/>
        </w:rPr>
        <w:tab/>
      </w:r>
      <w:r w:rsidRPr="00827F40">
        <w:rPr>
          <w:lang w:val="en-US"/>
        </w:rPr>
        <w:tab/>
      </w:r>
      <w:r w:rsidR="008F1471" w:rsidRPr="00827F40">
        <w:rPr>
          <w:color w:val="FF0000"/>
          <w:lang w:val="en-US"/>
        </w:rPr>
        <w:t>DRAFT</w:t>
      </w:r>
      <w:r w:rsidR="008F1471" w:rsidRPr="00827F40">
        <w:rPr>
          <w:lang w:val="en-US"/>
        </w:rPr>
        <w:t xml:space="preserve"> </w:t>
      </w:r>
      <w:r w:rsidRPr="00827F40">
        <w:rPr>
          <w:lang w:val="en-US"/>
        </w:rPr>
        <w:t xml:space="preserve">Report of the </w:t>
      </w:r>
      <w:r w:rsidR="00104FAE" w:rsidRPr="00827F40">
        <w:t>Group of Experts on Cleaner Electricity Systems</w:t>
      </w:r>
      <w:r w:rsidR="00104FAE" w:rsidRPr="00827F40">
        <w:t xml:space="preserve"> on its nineteenth session</w:t>
      </w:r>
      <w:r w:rsidR="00ED07FA" w:rsidRPr="00827F40">
        <w:br/>
      </w:r>
      <w:r w:rsidR="00ED07FA" w:rsidRPr="00827F40">
        <w:rPr>
          <w:color w:val="FF0000"/>
          <w:lang w:val="en-US"/>
        </w:rPr>
        <w:t xml:space="preserve">as </w:t>
      </w:r>
      <w:proofErr w:type="spellStart"/>
      <w:r w:rsidR="00AF5CBB" w:rsidRPr="00827F40">
        <w:rPr>
          <w:color w:val="FF0000"/>
          <w:lang w:val="en-US"/>
        </w:rPr>
        <w:t>adoped</w:t>
      </w:r>
      <w:proofErr w:type="spellEnd"/>
      <w:r w:rsidR="00F21CDD" w:rsidRPr="00827F40">
        <w:rPr>
          <w:color w:val="FF0000"/>
          <w:lang w:val="en-US"/>
        </w:rPr>
        <w:t xml:space="preserve"> 0</w:t>
      </w:r>
      <w:r w:rsidR="007237FA" w:rsidRPr="00827F40">
        <w:rPr>
          <w:color w:val="FF0000"/>
          <w:lang w:val="en-US"/>
        </w:rPr>
        <w:t>4</w:t>
      </w:r>
      <w:r w:rsidR="00F21CDD" w:rsidRPr="00827F40">
        <w:rPr>
          <w:color w:val="FF0000"/>
          <w:lang w:val="en-US"/>
        </w:rPr>
        <w:t xml:space="preserve"> October 2023</w:t>
      </w:r>
    </w:p>
    <w:p w14:paraId="0A350D3E" w14:textId="77777777" w:rsidR="005E082A" w:rsidRPr="00827F40" w:rsidRDefault="005E082A" w:rsidP="005E082A">
      <w:pPr>
        <w:pStyle w:val="HChG"/>
      </w:pPr>
      <w:r w:rsidRPr="00827F40">
        <w:tab/>
        <w:t>I.</w:t>
      </w:r>
      <w:r w:rsidRPr="00827F40">
        <w:tab/>
        <w:t>Introduction</w:t>
      </w:r>
    </w:p>
    <w:p w14:paraId="3049BD25" w14:textId="76FF9A92" w:rsidR="005E082A" w:rsidRPr="00827F40" w:rsidRDefault="005E082A" w:rsidP="005E082A">
      <w:pPr>
        <w:pStyle w:val="SingleTxtG"/>
        <w:rPr>
          <w:color w:val="000000" w:themeColor="text1"/>
          <w:lang w:eastAsia="en-US"/>
        </w:rPr>
      </w:pPr>
      <w:r w:rsidRPr="00827F40">
        <w:t>1.</w:t>
      </w:r>
      <w:r w:rsidRPr="00827F40">
        <w:tab/>
        <w:t>The nin</w:t>
      </w:r>
      <w:r w:rsidR="00324264" w:rsidRPr="00827F40">
        <w:t>eteenth</w:t>
      </w:r>
      <w:r w:rsidRPr="00827F40">
        <w:t xml:space="preserve"> session of the Group of Experts on </w:t>
      </w:r>
      <w:r w:rsidR="00324264" w:rsidRPr="00827F40">
        <w:t>Cleaner Electricit</w:t>
      </w:r>
      <w:r w:rsidR="00324264" w:rsidRPr="00827F40">
        <w:t xml:space="preserve">y </w:t>
      </w:r>
      <w:r w:rsidRPr="00827F40">
        <w:t>(the Group of Experts) was held during two days from 3 to 4 October 202</w:t>
      </w:r>
      <w:r w:rsidR="006402C4" w:rsidRPr="00827F40">
        <w:t>3</w:t>
      </w:r>
      <w:r w:rsidR="00836881" w:rsidRPr="00827F40">
        <w:rPr>
          <w:rStyle w:val="normaltextrun"/>
          <w:color w:val="000000"/>
          <w:shd w:val="clear" w:color="auto" w:fill="FFFFFF"/>
        </w:rPr>
        <w:t>.</w:t>
      </w:r>
    </w:p>
    <w:p w14:paraId="17EA0212" w14:textId="14587979" w:rsidR="005E082A" w:rsidRPr="00827F40" w:rsidRDefault="005E082A" w:rsidP="005E082A">
      <w:pPr>
        <w:pStyle w:val="SingleTxtG"/>
        <w:rPr>
          <w:rStyle w:val="SingleTxtGCar"/>
        </w:rPr>
      </w:pPr>
      <w:r w:rsidRPr="00827F40">
        <w:t>2.</w:t>
      </w:r>
      <w:r w:rsidRPr="00827F40">
        <w:tab/>
      </w:r>
      <w:r w:rsidRPr="00827F40">
        <w:rPr>
          <w:rStyle w:val="SingleTxtGCar"/>
        </w:rPr>
        <w:t xml:space="preserve">This report summarizes the proceedings of the Group of Experts at its </w:t>
      </w:r>
      <w:r w:rsidR="00297051" w:rsidRPr="00827F40">
        <w:t xml:space="preserve">nineteenth </w:t>
      </w:r>
      <w:r w:rsidRPr="00827F40">
        <w:rPr>
          <w:rStyle w:val="SingleTxtGCar"/>
        </w:rPr>
        <w:t>session. All the documents related to the session are available on the website of the United Nations Economic Commission for Europe (ECE).</w:t>
      </w:r>
      <w:r w:rsidRPr="00827F40">
        <w:rPr>
          <w:rStyle w:val="FootnoteReference"/>
          <w:sz w:val="20"/>
        </w:rPr>
        <w:footnoteReference w:id="2"/>
      </w:r>
    </w:p>
    <w:p w14:paraId="075E26E9" w14:textId="77777777" w:rsidR="005E082A" w:rsidRPr="00827F40" w:rsidRDefault="005E082A" w:rsidP="005E082A">
      <w:pPr>
        <w:pStyle w:val="HChG"/>
      </w:pPr>
      <w:r w:rsidRPr="00827F40">
        <w:tab/>
        <w:t>II.</w:t>
      </w:r>
      <w:r w:rsidRPr="00827F40">
        <w:tab/>
        <w:t>Attendance</w:t>
      </w:r>
    </w:p>
    <w:p w14:paraId="42077F3A" w14:textId="643E987D" w:rsidR="005E082A" w:rsidRPr="00827F40" w:rsidRDefault="005E082A" w:rsidP="005E082A">
      <w:pPr>
        <w:pStyle w:val="SingleTxtG"/>
      </w:pPr>
      <w:r w:rsidRPr="00827F40">
        <w:t>3.</w:t>
      </w:r>
      <w:r w:rsidRPr="00827F40">
        <w:tab/>
        <w:t xml:space="preserve">The </w:t>
      </w:r>
      <w:r w:rsidR="00D77C80" w:rsidRPr="00827F40">
        <w:t>session</w:t>
      </w:r>
      <w:r w:rsidRPr="00827F40">
        <w:t xml:space="preserve"> of the Group of Experts was attended by </w:t>
      </w:r>
      <w:r w:rsidR="008A4F3F" w:rsidRPr="00827F40">
        <w:t>[</w:t>
      </w:r>
      <w:r w:rsidR="00F40247" w:rsidRPr="00827F40">
        <w:t xml:space="preserve">…] </w:t>
      </w:r>
      <w:r w:rsidRPr="00827F40">
        <w:t xml:space="preserve">participants. Of these, </w:t>
      </w:r>
      <w:r w:rsidR="00F40247" w:rsidRPr="00827F40">
        <w:t>[…]</w:t>
      </w:r>
      <w:r w:rsidRPr="00827F40">
        <w:t xml:space="preserve"> </w:t>
      </w:r>
      <w:r w:rsidR="00D77C80" w:rsidRPr="00827F40">
        <w:t xml:space="preserve">were participating in-person </w:t>
      </w:r>
      <w:r w:rsidR="00D77C80" w:rsidRPr="00827F40">
        <w:t xml:space="preserve">and </w:t>
      </w:r>
      <w:r w:rsidR="00D77C80" w:rsidRPr="00827F40">
        <w:t>[…]</w:t>
      </w:r>
      <w:r w:rsidR="00D77C80" w:rsidRPr="00827F40">
        <w:t xml:space="preserve"> contributed to the session by providing video addresses</w:t>
      </w:r>
      <w:r w:rsidRPr="00827F40">
        <w:t>.</w:t>
      </w:r>
    </w:p>
    <w:p w14:paraId="34A8B1F5" w14:textId="308CBB76" w:rsidR="005E082A" w:rsidRPr="00827F40" w:rsidRDefault="005E082A" w:rsidP="005E082A">
      <w:pPr>
        <w:pStyle w:val="SingleTxtG"/>
      </w:pPr>
      <w:r w:rsidRPr="00827F40">
        <w:t>4.</w:t>
      </w:r>
      <w:r w:rsidRPr="00827F40">
        <w:tab/>
        <w:t xml:space="preserve">Experts from the following ECE member States participated: </w:t>
      </w:r>
      <w:r w:rsidR="00F40247" w:rsidRPr="00827F40">
        <w:t>[…]</w:t>
      </w:r>
      <w:r w:rsidRPr="00827F40">
        <w:t>.</w:t>
      </w:r>
    </w:p>
    <w:p w14:paraId="46BFCE55" w14:textId="14AB4003" w:rsidR="005E082A" w:rsidRPr="00827F40" w:rsidRDefault="005E082A" w:rsidP="001329E8">
      <w:pPr>
        <w:pStyle w:val="SingleTxtG"/>
      </w:pPr>
      <w:r w:rsidRPr="00827F40">
        <w:t>5.</w:t>
      </w:r>
      <w:r w:rsidRPr="00827F40">
        <w:tab/>
      </w:r>
      <w:r w:rsidR="001329E8" w:rsidRPr="00827F40">
        <w:rPr>
          <w:lang w:val="en-US"/>
        </w:rPr>
        <w:t>The following United Nations speciali</w:t>
      </w:r>
      <w:r w:rsidR="008B6E1F" w:rsidRPr="00827F40">
        <w:rPr>
          <w:lang w:val="en-US"/>
        </w:rPr>
        <w:t>z</w:t>
      </w:r>
      <w:r w:rsidR="001329E8" w:rsidRPr="00827F40">
        <w:rPr>
          <w:lang w:val="en-US"/>
        </w:rPr>
        <w:t>ed agencies, funds and programmes were in attendance: […]</w:t>
      </w:r>
      <w:r w:rsidRPr="00827F40">
        <w:t>.</w:t>
      </w:r>
    </w:p>
    <w:p w14:paraId="475B73E9" w14:textId="145A3922" w:rsidR="005E082A" w:rsidRPr="00827F40" w:rsidRDefault="005E082A" w:rsidP="005E082A">
      <w:pPr>
        <w:pStyle w:val="SingleTxtG"/>
      </w:pPr>
      <w:r w:rsidRPr="00827F40">
        <w:t>6.</w:t>
      </w:r>
      <w:r w:rsidRPr="00827F40">
        <w:tab/>
        <w:t xml:space="preserve">The meeting was also attended by representatives of </w:t>
      </w:r>
      <w:r w:rsidR="000C1E4C" w:rsidRPr="00827F40">
        <w:t>[</w:t>
      </w:r>
      <w:r w:rsidRPr="00827F40">
        <w:t>non-governmental organizations, academia, and private sector, as well as by independent experts</w:t>
      </w:r>
      <w:r w:rsidR="000C1E4C" w:rsidRPr="00827F40">
        <w:t>]</w:t>
      </w:r>
      <w:r w:rsidRPr="00827F40">
        <w:t>.</w:t>
      </w:r>
    </w:p>
    <w:p w14:paraId="12B66032" w14:textId="77777777" w:rsidR="00092686" w:rsidRPr="00827F40" w:rsidRDefault="00092686" w:rsidP="00092686">
      <w:pPr>
        <w:pStyle w:val="HChG"/>
      </w:pPr>
      <w:r w:rsidRPr="00827F40">
        <w:tab/>
        <w:t>III.</w:t>
      </w:r>
      <w:r w:rsidRPr="00827F40">
        <w:tab/>
        <w:t>Adoption of the agenda (agenda item 1)</w:t>
      </w:r>
    </w:p>
    <w:p w14:paraId="79951F0C" w14:textId="1E02E0FE" w:rsidR="00092686" w:rsidRPr="00827F40" w:rsidRDefault="00092686" w:rsidP="00092686">
      <w:pPr>
        <w:pStyle w:val="SingleTxtG"/>
        <w:keepNext/>
        <w:ind w:left="1138" w:right="1138"/>
      </w:pPr>
      <w:r w:rsidRPr="00827F40">
        <w:rPr>
          <w:i/>
        </w:rPr>
        <w:t>Documentation:</w:t>
      </w:r>
      <w:r w:rsidRPr="00827F40">
        <w:tab/>
        <w:t>ECE/ENERGY/GE.6/2022/1 – Annotated provisional agenda</w:t>
      </w:r>
    </w:p>
    <w:p w14:paraId="68D51B19" w14:textId="32D17ECD" w:rsidR="00092686" w:rsidRPr="00827F40" w:rsidRDefault="00092686" w:rsidP="00092686">
      <w:pPr>
        <w:pStyle w:val="SingleTxtG"/>
      </w:pPr>
      <w:r w:rsidRPr="00827F40">
        <w:t>7.</w:t>
      </w:r>
      <w:r w:rsidRPr="00827F40">
        <w:tab/>
        <w:t>In accordance with Rule 7 of the Rules of Procedure of the Commission (E/ECE/778/Rev.5), the first item of the provisional agenda is the adoption of the agenda.</w:t>
      </w:r>
    </w:p>
    <w:p w14:paraId="527D8524" w14:textId="339CD1FC" w:rsidR="00092686" w:rsidRPr="00827F40" w:rsidRDefault="00092686" w:rsidP="00DA0FF7">
      <w:pPr>
        <w:pStyle w:val="SingleTxtG"/>
      </w:pPr>
      <w:r w:rsidRPr="00827F40">
        <w:lastRenderedPageBreak/>
        <w:t>8.</w:t>
      </w:r>
      <w:r w:rsidRPr="00827F40">
        <w:tab/>
      </w:r>
      <w:r w:rsidR="00DA0FF7" w:rsidRPr="00827F40">
        <w:t xml:space="preserve">The </w:t>
      </w:r>
      <w:r w:rsidR="00FC7F16" w:rsidRPr="00827F40">
        <w:t>Vice</w:t>
      </w:r>
      <w:r w:rsidR="00DA0FF7" w:rsidRPr="00827F40">
        <w:t xml:space="preserve">-Chair of the Group of Experts, </w:t>
      </w:r>
      <w:r w:rsidR="00DA0FF7" w:rsidRPr="00827F40">
        <w:rPr>
          <w:lang w:val="en-US"/>
        </w:rPr>
        <w:t>Mr.</w:t>
      </w:r>
      <w:r w:rsidR="00FC7F16" w:rsidRPr="00827F40">
        <w:rPr>
          <w:lang w:val="en-US"/>
        </w:rPr>
        <w:t xml:space="preserve"> Sylvain Clermont, </w:t>
      </w:r>
      <w:r w:rsidR="00DA0FF7" w:rsidRPr="00827F40">
        <w:t xml:space="preserve">presented the provisional </w:t>
      </w:r>
      <w:r w:rsidRPr="00827F40">
        <w:t>agenda as contained in ECE/ENERGY/GE.</w:t>
      </w:r>
      <w:r w:rsidR="00FC7F16" w:rsidRPr="00827F40">
        <w:t>5</w:t>
      </w:r>
      <w:r w:rsidRPr="00827F40">
        <w:t>/20</w:t>
      </w:r>
      <w:r w:rsidR="00FC7F16" w:rsidRPr="00827F40">
        <w:t>23</w:t>
      </w:r>
      <w:r w:rsidRPr="00827F40">
        <w:t>/1</w:t>
      </w:r>
      <w:r w:rsidR="00E543B1" w:rsidRPr="00827F40">
        <w:t>, which</w:t>
      </w:r>
      <w:r w:rsidRPr="00827F40">
        <w:t xml:space="preserve"> was adopted.</w:t>
      </w:r>
    </w:p>
    <w:p w14:paraId="0058B58F" w14:textId="1245D31F" w:rsidR="00FC7F16" w:rsidRPr="00827F40" w:rsidRDefault="00F23A61" w:rsidP="00F23A61">
      <w:pPr>
        <w:pStyle w:val="HChG"/>
      </w:pPr>
      <w:r w:rsidRPr="00827F40">
        <w:tab/>
        <w:t>IV.</w:t>
      </w:r>
      <w:r w:rsidRPr="00827F40">
        <w:tab/>
      </w:r>
      <w:r w:rsidR="006D0481" w:rsidRPr="00827F40">
        <w:t>Opening remarks</w:t>
      </w:r>
      <w:r w:rsidR="006D0481" w:rsidRPr="00827F40">
        <w:t xml:space="preserve"> (</w:t>
      </w:r>
      <w:r w:rsidR="006D0481" w:rsidRPr="00827F40">
        <w:t>agenda item 2)</w:t>
      </w:r>
    </w:p>
    <w:p w14:paraId="467CCF12" w14:textId="349B93DD" w:rsidR="00FC7F16" w:rsidRPr="00827F40" w:rsidRDefault="008F5578" w:rsidP="00FC7F16">
      <w:pPr>
        <w:pStyle w:val="SingleTxtG"/>
      </w:pPr>
      <w:r w:rsidRPr="00827F40">
        <w:t>9.</w:t>
      </w:r>
      <w:r w:rsidRPr="00827F40">
        <w:tab/>
      </w:r>
      <w:r w:rsidR="00FC7F16" w:rsidRPr="00827F40">
        <w:t>A Vice-Chair of the Group of Experts delivered opening remarks summarizing the progress achieved during the intersessional period. The Group of Experts noted particularly the progress in addressing, jointly with other subsidiary bodies of the Committee on Sustainable Energy, the aspects of:</w:t>
      </w:r>
    </w:p>
    <w:p w14:paraId="3D20CE5D" w14:textId="77777777" w:rsidR="00FC7F16" w:rsidRPr="00827F40" w:rsidRDefault="00FC7F16" w:rsidP="00FC7F16">
      <w:pPr>
        <w:pStyle w:val="SingleTxtG"/>
      </w:pPr>
      <w:r w:rsidRPr="00827F40">
        <w:t>(a)</w:t>
      </w:r>
      <w:r w:rsidRPr="00827F40">
        <w:tab/>
        <w:t xml:space="preserve">Improving electricity system resilience, including through deployment of energy storage options and increasing energy </w:t>
      </w:r>
      <w:proofErr w:type="gramStart"/>
      <w:r w:rsidRPr="00827F40">
        <w:t>connectivity;</w:t>
      </w:r>
      <w:proofErr w:type="gramEnd"/>
    </w:p>
    <w:p w14:paraId="2E99A40C" w14:textId="77777777" w:rsidR="00FC7F16" w:rsidRPr="00827F40" w:rsidRDefault="00FC7F16" w:rsidP="00FC7F16">
      <w:pPr>
        <w:pStyle w:val="SingleTxtG"/>
      </w:pPr>
      <w:r w:rsidRPr="00827F40">
        <w:t>(b)</w:t>
      </w:r>
      <w:r w:rsidRPr="00827F40">
        <w:tab/>
        <w:t xml:space="preserve">Changing patterns of energy end uses, including integration of electric mobility and other smart assets at the grid edge, impacting reliability of the energy </w:t>
      </w:r>
      <w:proofErr w:type="gramStart"/>
      <w:r w:rsidRPr="00827F40">
        <w:t>system;</w:t>
      </w:r>
      <w:proofErr w:type="gramEnd"/>
    </w:p>
    <w:p w14:paraId="545470EB" w14:textId="5737272A" w:rsidR="00FC7F16" w:rsidRPr="00827F40" w:rsidRDefault="00FC7F16" w:rsidP="00FC7F16">
      <w:pPr>
        <w:pStyle w:val="SingleTxtG"/>
      </w:pPr>
      <w:r w:rsidRPr="00827F40">
        <w:t>(c)</w:t>
      </w:r>
      <w:r w:rsidRPr="00827F40">
        <w:tab/>
        <w:t>Cybersecurity of digitalized energy systems.</w:t>
      </w:r>
    </w:p>
    <w:p w14:paraId="61836238" w14:textId="5BDB771E" w:rsidR="00F23A61" w:rsidRPr="00827F40" w:rsidRDefault="006D0481" w:rsidP="00F23A61">
      <w:pPr>
        <w:pStyle w:val="HChG"/>
      </w:pPr>
      <w:r w:rsidRPr="00827F40">
        <w:tab/>
        <w:t>V.</w:t>
      </w:r>
      <w:r w:rsidRPr="00827F40">
        <w:tab/>
      </w:r>
      <w:r w:rsidR="00F23A61" w:rsidRPr="00827F40">
        <w:t xml:space="preserve">Election of officers (agenda item </w:t>
      </w:r>
      <w:r w:rsidRPr="00827F40">
        <w:t>3</w:t>
      </w:r>
      <w:r w:rsidR="00F23A61" w:rsidRPr="00827F40">
        <w:t xml:space="preserve">) </w:t>
      </w:r>
    </w:p>
    <w:p w14:paraId="0B6A735A" w14:textId="14A6C4DF" w:rsidR="00596E37" w:rsidRPr="00827F40" w:rsidRDefault="001B6F98" w:rsidP="00393500">
      <w:pPr>
        <w:pStyle w:val="SingleTxtG"/>
        <w:rPr>
          <w:lang w:val="en-US"/>
        </w:rPr>
      </w:pPr>
      <w:r w:rsidRPr="00827F40">
        <w:rPr>
          <w:lang w:val="en-US"/>
        </w:rPr>
        <w:t>10</w:t>
      </w:r>
      <w:r w:rsidR="00F23A61" w:rsidRPr="00827F40">
        <w:rPr>
          <w:lang w:val="en-US"/>
        </w:rPr>
        <w:t>.</w:t>
      </w:r>
      <w:r w:rsidR="00F23A61" w:rsidRPr="00827F40">
        <w:rPr>
          <w:lang w:val="en-US"/>
        </w:rPr>
        <w:tab/>
      </w:r>
      <w:r w:rsidR="00B43C22" w:rsidRPr="00827F40">
        <w:rPr>
          <w:lang w:val="en-US"/>
        </w:rPr>
        <w:t>The secretariat received the following nominations from the member States to stand for election at the nin</w:t>
      </w:r>
      <w:r w:rsidR="00393500" w:rsidRPr="00827F40">
        <w:rPr>
          <w:lang w:val="en-US"/>
        </w:rPr>
        <w:t>eteenth</w:t>
      </w:r>
      <w:r w:rsidR="00B43C22" w:rsidRPr="00827F40">
        <w:rPr>
          <w:lang w:val="en-US"/>
        </w:rPr>
        <w:t xml:space="preserve"> session of the Group of Experts:</w:t>
      </w:r>
      <w:r w:rsidR="00393500" w:rsidRPr="00827F40">
        <w:rPr>
          <w:lang w:val="en-US"/>
        </w:rPr>
        <w:t xml:space="preserve"> Mr.</w:t>
      </w:r>
      <w:r w:rsidR="00393500" w:rsidRPr="00827F40">
        <w:rPr>
          <w:lang w:val="en-US"/>
        </w:rPr>
        <w:t xml:space="preserve"> Jon </w:t>
      </w:r>
      <w:r w:rsidR="00393500" w:rsidRPr="00827F40">
        <w:rPr>
          <w:lang w:val="en-US"/>
        </w:rPr>
        <w:t>Gibbins</w:t>
      </w:r>
      <w:r w:rsidR="00B43C22" w:rsidRPr="00827F40">
        <w:rPr>
          <w:lang w:val="en-US"/>
        </w:rPr>
        <w:t xml:space="preserve"> (</w:t>
      </w:r>
      <w:r w:rsidR="00393500" w:rsidRPr="00827F40">
        <w:rPr>
          <w:lang w:val="en-US"/>
        </w:rPr>
        <w:t>United Kingdom of Great Britain and Northern Ireland</w:t>
      </w:r>
      <w:r w:rsidR="00B43C22" w:rsidRPr="00827F40">
        <w:rPr>
          <w:lang w:val="en-US"/>
        </w:rPr>
        <w:t>)</w:t>
      </w:r>
      <w:r w:rsidR="00393500" w:rsidRPr="00827F40">
        <w:rPr>
          <w:lang w:val="en-US"/>
        </w:rPr>
        <w:t xml:space="preserve"> and Mr. Furugzod Usmonov </w:t>
      </w:r>
      <w:r w:rsidR="00B43C22" w:rsidRPr="00827F40">
        <w:rPr>
          <w:lang w:val="en-US"/>
        </w:rPr>
        <w:t>(</w:t>
      </w:r>
      <w:r w:rsidR="00393500" w:rsidRPr="00827F40">
        <w:rPr>
          <w:lang w:val="en-US"/>
        </w:rPr>
        <w:t>Tajikistan</w:t>
      </w:r>
      <w:r w:rsidR="00B43C22" w:rsidRPr="00827F40">
        <w:rPr>
          <w:lang w:val="en-US"/>
        </w:rPr>
        <w:t>)</w:t>
      </w:r>
      <w:r w:rsidR="00393500" w:rsidRPr="00827F40">
        <w:rPr>
          <w:lang w:val="en-US"/>
        </w:rPr>
        <w:t xml:space="preserve"> </w:t>
      </w:r>
      <w:r w:rsidR="00B43C22" w:rsidRPr="00827F40">
        <w:rPr>
          <w:lang w:val="en-US"/>
        </w:rPr>
        <w:t>as Vice-Chairs.</w:t>
      </w:r>
    </w:p>
    <w:p w14:paraId="556B03EF" w14:textId="263CBC66" w:rsidR="007C1732" w:rsidRPr="00827F40" w:rsidRDefault="007C1732" w:rsidP="001B6F98">
      <w:pPr>
        <w:pStyle w:val="SingleTxtG"/>
        <w:rPr>
          <w:lang w:val="en-US"/>
        </w:rPr>
      </w:pPr>
      <w:r w:rsidRPr="00827F40">
        <w:rPr>
          <w:lang w:val="en-US"/>
        </w:rPr>
        <w:t>1</w:t>
      </w:r>
      <w:r w:rsidR="001B6F98" w:rsidRPr="00827F40">
        <w:rPr>
          <w:lang w:val="en-US"/>
        </w:rPr>
        <w:t>1</w:t>
      </w:r>
      <w:r w:rsidR="00AD1534" w:rsidRPr="00827F40">
        <w:rPr>
          <w:lang w:val="en-US"/>
        </w:rPr>
        <w:t>.</w:t>
      </w:r>
      <w:r w:rsidR="00AD1534" w:rsidRPr="00827F40">
        <w:rPr>
          <w:lang w:val="en-US"/>
        </w:rPr>
        <w:tab/>
        <w:t>The Group of Experts elected</w:t>
      </w:r>
      <w:r w:rsidR="00704A4B" w:rsidRPr="00827F40">
        <w:rPr>
          <w:lang w:val="en-US"/>
        </w:rPr>
        <w:t xml:space="preserve"> </w:t>
      </w:r>
      <w:r w:rsidR="00704A4B" w:rsidRPr="00827F40">
        <w:rPr>
          <w:lang w:val="en-US"/>
        </w:rPr>
        <w:t>Mr. Jon Gibbins (United Kingdom of Great Britain and Northern Ireland) and Mr. Furugzod Usmonov (Tajikistan)</w:t>
      </w:r>
      <w:r w:rsidR="00393500" w:rsidRPr="00827F40">
        <w:rPr>
          <w:lang w:val="en-US"/>
        </w:rPr>
        <w:t xml:space="preserve"> </w:t>
      </w:r>
      <w:r w:rsidR="00393500" w:rsidRPr="00827F40">
        <w:rPr>
          <w:lang w:val="en-US"/>
        </w:rPr>
        <w:t>as Vice-Chairs</w:t>
      </w:r>
      <w:r w:rsidR="00AD1534" w:rsidRPr="00827F40">
        <w:rPr>
          <w:lang w:val="en-US"/>
        </w:rPr>
        <w:t xml:space="preserve">. </w:t>
      </w:r>
      <w:r w:rsidR="00704A4B" w:rsidRPr="00827F40">
        <w:rPr>
          <w:lang w:val="en-US"/>
        </w:rPr>
        <w:t xml:space="preserve">The Bureau of the Group of Experts (the Bureau) also invited Mr. Vladimir </w:t>
      </w:r>
      <w:proofErr w:type="spellStart"/>
      <w:r w:rsidR="00704A4B" w:rsidRPr="00827F40">
        <w:rPr>
          <w:lang w:val="en-US"/>
        </w:rPr>
        <w:t>Budinsky</w:t>
      </w:r>
      <w:proofErr w:type="spellEnd"/>
      <w:r w:rsidR="00704A4B" w:rsidRPr="00827F40">
        <w:rPr>
          <w:lang w:val="en-US"/>
        </w:rPr>
        <w:t xml:space="preserve"> and Mr. Sylvain Clermont to continue their service on the Bureau as Vice-Chairs to strengthen its activities.</w:t>
      </w:r>
      <w:r w:rsidR="00704A4B" w:rsidRPr="00827F40">
        <w:rPr>
          <w:lang w:val="en-US"/>
        </w:rPr>
        <w:t xml:space="preserve"> </w:t>
      </w:r>
      <w:proofErr w:type="gramStart"/>
      <w:r w:rsidR="00AD1534" w:rsidRPr="00827F40">
        <w:rPr>
          <w:lang w:val="en-US"/>
        </w:rPr>
        <w:t>The</w:t>
      </w:r>
      <w:proofErr w:type="gramEnd"/>
      <w:r w:rsidR="00AD1534" w:rsidRPr="00827F40">
        <w:rPr>
          <w:lang w:val="en-US"/>
        </w:rPr>
        <w:t xml:space="preserve"> term of office for the elected members of the Bureau is two years.</w:t>
      </w:r>
      <w:r w:rsidR="001B6F98" w:rsidRPr="00827F40">
        <w:rPr>
          <w:lang w:val="en-US"/>
        </w:rPr>
        <w:t xml:space="preserve"> </w:t>
      </w:r>
      <w:r w:rsidR="00AD1534" w:rsidRPr="00827F40">
        <w:rPr>
          <w:lang w:val="en-US"/>
        </w:rPr>
        <w:t>The Group of Experts has the following members to serve on the Bureau</w:t>
      </w:r>
      <w:r w:rsidRPr="00827F40">
        <w:rPr>
          <w:lang w:val="en-US"/>
        </w:rPr>
        <w:t>:</w:t>
      </w:r>
    </w:p>
    <w:p w14:paraId="44CC111D" w14:textId="1A2D3CB2" w:rsidR="00596E37" w:rsidRPr="00827F40" w:rsidRDefault="007C1732" w:rsidP="00E60A6C">
      <w:pPr>
        <w:pStyle w:val="SingleTxtG"/>
        <w:ind w:firstLine="567"/>
        <w:rPr>
          <w:iCs/>
          <w:lang w:val="en-US"/>
        </w:rPr>
      </w:pPr>
      <w:r w:rsidRPr="00827F40">
        <w:rPr>
          <w:lang w:val="en-US"/>
        </w:rPr>
        <w:t>(a)</w:t>
      </w:r>
      <w:r w:rsidRPr="00827F40">
        <w:rPr>
          <w:lang w:val="en-US"/>
        </w:rPr>
        <w:tab/>
      </w:r>
      <w:r w:rsidR="00B542C0" w:rsidRPr="00827F40">
        <w:rPr>
          <w:lang w:val="en-US"/>
        </w:rPr>
        <w:t>U</w:t>
      </w:r>
      <w:r w:rsidR="00AD1534" w:rsidRPr="00827F40">
        <w:rPr>
          <w:lang w:val="en-US"/>
        </w:rPr>
        <w:t xml:space="preserve">ntil the conclusion of its </w:t>
      </w:r>
      <w:r w:rsidR="0001407A" w:rsidRPr="00827F40">
        <w:rPr>
          <w:lang w:val="en-US"/>
        </w:rPr>
        <w:t>twentieth</w:t>
      </w:r>
      <w:r w:rsidR="0001407A" w:rsidRPr="00827F40">
        <w:rPr>
          <w:lang w:val="en-US"/>
        </w:rPr>
        <w:t xml:space="preserve"> </w:t>
      </w:r>
      <w:r w:rsidR="00AD1534" w:rsidRPr="00827F40">
        <w:rPr>
          <w:lang w:val="en-US"/>
        </w:rPr>
        <w:t xml:space="preserve">session: </w:t>
      </w:r>
      <w:r w:rsidR="00C04161" w:rsidRPr="00827F40">
        <w:rPr>
          <w:lang w:val="en-US"/>
        </w:rPr>
        <w:t xml:space="preserve">Mr. </w:t>
      </w:r>
      <w:r w:rsidR="00E60A6C" w:rsidRPr="00827F40">
        <w:rPr>
          <w:lang w:val="en-US"/>
        </w:rPr>
        <w:t>Jim Robb</w:t>
      </w:r>
      <w:r w:rsidR="00C04161" w:rsidRPr="00827F40">
        <w:rPr>
          <w:lang w:val="en-US"/>
        </w:rPr>
        <w:t xml:space="preserve"> (</w:t>
      </w:r>
      <w:r w:rsidR="00E60A6C" w:rsidRPr="00827F40">
        <w:rPr>
          <w:lang w:val="en-US"/>
        </w:rPr>
        <w:t>United States of America</w:t>
      </w:r>
      <w:r w:rsidR="00C04161" w:rsidRPr="00827F40">
        <w:rPr>
          <w:lang w:val="en-US"/>
        </w:rPr>
        <w:t>)</w:t>
      </w:r>
      <w:r w:rsidR="00E60A6C" w:rsidRPr="00827F40">
        <w:rPr>
          <w:lang w:val="en-US"/>
        </w:rPr>
        <w:t>, as Chair; and Mr. King Lee (World Nuclear Association), Mr. Andrew Minchener (</w:t>
      </w:r>
      <w:r w:rsidR="00E60A6C" w:rsidRPr="00827F40">
        <w:t>International Centre for Sustainable Carbon</w:t>
      </w:r>
      <w:r w:rsidR="00E60A6C" w:rsidRPr="00827F40">
        <w:t>), and Mr. Antoine Herzog (</w:t>
      </w:r>
      <w:proofErr w:type="spellStart"/>
      <w:r w:rsidR="00E60A6C" w:rsidRPr="00827F40">
        <w:t>Électricité</w:t>
      </w:r>
      <w:proofErr w:type="spellEnd"/>
      <w:r w:rsidR="00E60A6C" w:rsidRPr="00827F40">
        <w:t xml:space="preserve"> de France</w:t>
      </w:r>
      <w:r w:rsidR="00E60A6C" w:rsidRPr="00827F40">
        <w:t>)</w:t>
      </w:r>
      <w:r w:rsidR="00DA45D0" w:rsidRPr="00827F40">
        <w:t xml:space="preserve"> </w:t>
      </w:r>
      <w:r w:rsidR="00DA45D0" w:rsidRPr="00827F40">
        <w:rPr>
          <w:lang w:val="en-US"/>
        </w:rPr>
        <w:t>as Vice-Chairs</w:t>
      </w:r>
      <w:r w:rsidR="00E60A6C" w:rsidRPr="00827F40">
        <w:t>.</w:t>
      </w:r>
    </w:p>
    <w:p w14:paraId="7DA5E83E" w14:textId="6C0D0CAF" w:rsidR="00B542C0" w:rsidRPr="00827F40" w:rsidRDefault="00B542C0" w:rsidP="00DA45D0">
      <w:pPr>
        <w:pStyle w:val="SingleTxtG"/>
        <w:ind w:firstLine="567"/>
        <w:rPr>
          <w:iCs/>
          <w:lang w:val="en-US"/>
        </w:rPr>
      </w:pPr>
      <w:r w:rsidRPr="00827F40">
        <w:rPr>
          <w:lang w:val="en-US"/>
        </w:rPr>
        <w:t>(b)</w:t>
      </w:r>
      <w:r w:rsidRPr="00827F40">
        <w:rPr>
          <w:lang w:val="en-US"/>
        </w:rPr>
        <w:tab/>
        <w:t xml:space="preserve">Until the conclusion of its </w:t>
      </w:r>
      <w:r w:rsidR="00E60A6C" w:rsidRPr="00827F40">
        <w:rPr>
          <w:lang w:val="en-US"/>
        </w:rPr>
        <w:t>twenty-first</w:t>
      </w:r>
      <w:r w:rsidR="00E60A6C" w:rsidRPr="00827F40">
        <w:rPr>
          <w:lang w:val="en-US"/>
        </w:rPr>
        <w:t xml:space="preserve"> </w:t>
      </w:r>
      <w:r w:rsidRPr="00827F40">
        <w:rPr>
          <w:lang w:val="en-US"/>
        </w:rPr>
        <w:t xml:space="preserve">session: </w:t>
      </w:r>
      <w:r w:rsidR="00DA45D0" w:rsidRPr="00827F40">
        <w:rPr>
          <w:lang w:val="en-US"/>
        </w:rPr>
        <w:t>Mr. Jon Gibbins (United Kingdom of Great Britain and Northern Ireland)</w:t>
      </w:r>
      <w:r w:rsidR="00DA45D0" w:rsidRPr="00827F40">
        <w:rPr>
          <w:lang w:val="en-US"/>
        </w:rPr>
        <w:t>,</w:t>
      </w:r>
      <w:r w:rsidR="00DA45D0" w:rsidRPr="00827F40">
        <w:rPr>
          <w:lang w:val="en-US"/>
        </w:rPr>
        <w:t xml:space="preserve"> Mr. Furugzod Usmonov (Tajikistan)</w:t>
      </w:r>
      <w:r w:rsidR="00DA45D0" w:rsidRPr="00827F40">
        <w:rPr>
          <w:lang w:val="en-US"/>
        </w:rPr>
        <w:t xml:space="preserve">, </w:t>
      </w:r>
      <w:r w:rsidR="00DA45D0" w:rsidRPr="00827F40">
        <w:rPr>
          <w:lang w:val="en-US"/>
        </w:rPr>
        <w:t>Mr.</w:t>
      </w:r>
      <w:r w:rsidR="00DA45D0" w:rsidRPr="00827F40">
        <w:rPr>
          <w:lang w:val="en-US"/>
        </w:rPr>
        <w:t> </w:t>
      </w:r>
      <w:r w:rsidR="00DA45D0" w:rsidRPr="00827F40">
        <w:rPr>
          <w:lang w:val="en-US"/>
        </w:rPr>
        <w:t xml:space="preserve">Vladimir </w:t>
      </w:r>
      <w:proofErr w:type="spellStart"/>
      <w:r w:rsidR="00DA45D0" w:rsidRPr="00827F40">
        <w:rPr>
          <w:lang w:val="en-US"/>
        </w:rPr>
        <w:t>Budinsky</w:t>
      </w:r>
      <w:proofErr w:type="spellEnd"/>
      <w:r w:rsidR="00DA45D0" w:rsidRPr="00827F40">
        <w:rPr>
          <w:lang w:val="en-US"/>
        </w:rPr>
        <w:t xml:space="preserve"> </w:t>
      </w:r>
      <w:r w:rsidR="00DA45D0" w:rsidRPr="00827F40">
        <w:rPr>
          <w:lang w:val="en-US"/>
        </w:rPr>
        <w:t>(</w:t>
      </w:r>
      <w:r w:rsidR="00DA45D0" w:rsidRPr="00827F40">
        <w:t>ZSDNP</w:t>
      </w:r>
      <w:r w:rsidR="00DA45D0" w:rsidRPr="00827F40">
        <w:rPr>
          <w:lang w:val="en-US"/>
        </w:rPr>
        <w:t xml:space="preserve">) </w:t>
      </w:r>
      <w:r w:rsidR="00DA45D0" w:rsidRPr="00827F40">
        <w:rPr>
          <w:lang w:val="en-US"/>
        </w:rPr>
        <w:t>and Mr. Sylvain Clermont</w:t>
      </w:r>
      <w:r w:rsidR="00DA45D0" w:rsidRPr="00827F40">
        <w:rPr>
          <w:lang w:val="en-US"/>
        </w:rPr>
        <w:t xml:space="preserve"> (</w:t>
      </w:r>
      <w:proofErr w:type="spellStart"/>
      <w:r w:rsidR="00DA45D0" w:rsidRPr="00827F40">
        <w:t>DigiTransfo</w:t>
      </w:r>
      <w:proofErr w:type="spellEnd"/>
      <w:r w:rsidR="00DA45D0" w:rsidRPr="00827F40">
        <w:t xml:space="preserve"> Expertise</w:t>
      </w:r>
      <w:r w:rsidR="00DA45D0" w:rsidRPr="00827F40">
        <w:rPr>
          <w:lang w:val="en-US"/>
        </w:rPr>
        <w:t xml:space="preserve">) </w:t>
      </w:r>
      <w:r w:rsidR="00DA45D0" w:rsidRPr="00827F40">
        <w:rPr>
          <w:lang w:val="en-US"/>
        </w:rPr>
        <w:t>as Vice-Chairs</w:t>
      </w:r>
      <w:r w:rsidRPr="00827F40">
        <w:rPr>
          <w:iCs/>
          <w:lang w:val="en-US"/>
        </w:rPr>
        <w:t>.</w:t>
      </w:r>
    </w:p>
    <w:p w14:paraId="45B6EFF3" w14:textId="5CDB5841" w:rsidR="00704A4B" w:rsidRPr="00827F40" w:rsidRDefault="00704A4B" w:rsidP="00704A4B">
      <w:pPr>
        <w:pStyle w:val="SingleTxtG"/>
        <w:rPr>
          <w:lang w:val="en-US"/>
        </w:rPr>
      </w:pPr>
      <w:r w:rsidRPr="00827F40">
        <w:rPr>
          <w:lang w:val="en-US"/>
        </w:rPr>
        <w:t>4.</w:t>
      </w:r>
      <w:r w:rsidRPr="00827F40">
        <w:rPr>
          <w:lang w:val="en-US"/>
        </w:rPr>
        <w:tab/>
        <w:t xml:space="preserve">The Chair of the Group of Experts is </w:t>
      </w:r>
      <w:r w:rsidRPr="00827F40">
        <w:rPr>
          <w:i/>
          <w:iCs/>
          <w:lang w:val="en-US"/>
        </w:rPr>
        <w:t>ex officio</w:t>
      </w:r>
      <w:r w:rsidRPr="00827F40">
        <w:rPr>
          <w:lang w:val="en-US"/>
        </w:rPr>
        <w:t xml:space="preserve"> Vice-Chair of the Committee on Sustainable Energy.</w:t>
      </w:r>
    </w:p>
    <w:p w14:paraId="7F8C1458" w14:textId="0B6996B2" w:rsidR="00787217" w:rsidRPr="00827F40" w:rsidRDefault="00392397" w:rsidP="00787217">
      <w:pPr>
        <w:pStyle w:val="H1G"/>
        <w:rPr>
          <w:sz w:val="28"/>
        </w:rPr>
      </w:pPr>
      <w:r w:rsidRPr="00827F40">
        <w:rPr>
          <w:bCs/>
          <w:color w:val="000000"/>
          <w:sz w:val="28"/>
          <w:szCs w:val="28"/>
          <w:lang w:eastAsia="en-GB"/>
        </w:rPr>
        <w:tab/>
        <w:t>V.</w:t>
      </w:r>
      <w:r w:rsidRPr="00827F40">
        <w:rPr>
          <w:bCs/>
          <w:color w:val="000000"/>
          <w:sz w:val="28"/>
          <w:szCs w:val="28"/>
          <w:lang w:eastAsia="en-GB"/>
        </w:rPr>
        <w:tab/>
      </w:r>
      <w:r w:rsidR="00787217" w:rsidRPr="00827F40">
        <w:rPr>
          <w:bCs/>
          <w:color w:val="000000"/>
          <w:sz w:val="28"/>
          <w:szCs w:val="28"/>
          <w:lang w:val="en-US" w:eastAsia="en-GB"/>
        </w:rPr>
        <w:t>Activities and priorities of the Committee on Sustainable Energy and matters for consideration by the Group of Experts on Cleaner Electricity Systems</w:t>
      </w:r>
      <w:r w:rsidR="00787217" w:rsidRPr="00827F40">
        <w:rPr>
          <w:bCs/>
          <w:color w:val="000000"/>
          <w:sz w:val="28"/>
          <w:szCs w:val="28"/>
          <w:lang w:val="en-US" w:eastAsia="en-GB"/>
        </w:rPr>
        <w:t xml:space="preserve"> </w:t>
      </w:r>
      <w:r w:rsidR="00787217" w:rsidRPr="00827F40">
        <w:rPr>
          <w:sz w:val="28"/>
        </w:rPr>
        <w:t xml:space="preserve">(agenda item </w:t>
      </w:r>
      <w:r w:rsidR="00787217" w:rsidRPr="00827F40">
        <w:rPr>
          <w:sz w:val="28"/>
        </w:rPr>
        <w:t>4</w:t>
      </w:r>
      <w:r w:rsidR="00787217" w:rsidRPr="00827F40">
        <w:rPr>
          <w:sz w:val="28"/>
        </w:rPr>
        <w:t>)</w:t>
      </w:r>
    </w:p>
    <w:p w14:paraId="08C400A6" w14:textId="12540DB4" w:rsidR="00787217" w:rsidRPr="00827F40" w:rsidRDefault="00787217" w:rsidP="00787217">
      <w:pPr>
        <w:pStyle w:val="SingleTxtG"/>
        <w:rPr>
          <w:lang w:val="en-US"/>
        </w:rPr>
      </w:pPr>
      <w:r w:rsidRPr="00827F40">
        <w:rPr>
          <w:lang w:val="en-US"/>
        </w:rPr>
        <w:t>1</w:t>
      </w:r>
      <w:r w:rsidRPr="00827F40">
        <w:rPr>
          <w:lang w:val="en-US"/>
        </w:rPr>
        <w:t>2</w:t>
      </w:r>
      <w:r w:rsidRPr="00827F40">
        <w:rPr>
          <w:lang w:val="en-US"/>
        </w:rPr>
        <w:t>.</w:t>
      </w:r>
      <w:r w:rsidRPr="00827F40">
        <w:rPr>
          <w:lang w:val="en-US"/>
        </w:rPr>
        <w:tab/>
        <w:t>The secretariat provided an overview of recent activities of the Committee on Sustainable Energy following its thirty-second session, 13-15 September 2023, as well as decisions taken by the parent bodies related to the work of the Group of the Experts.</w:t>
      </w:r>
    </w:p>
    <w:p w14:paraId="74DC3876" w14:textId="30841386" w:rsidR="00FB2F08" w:rsidRPr="00827F40" w:rsidRDefault="00787217" w:rsidP="00FB2F08">
      <w:pPr>
        <w:pStyle w:val="SingleTxtG"/>
        <w:rPr>
          <w:lang w:val="en-US"/>
        </w:rPr>
      </w:pPr>
      <w:r w:rsidRPr="00827F40">
        <w:rPr>
          <w:lang w:val="en-US"/>
        </w:rPr>
        <w:t xml:space="preserve">13. The </w:t>
      </w:r>
      <w:r w:rsidRPr="00827F40">
        <w:rPr>
          <w:lang w:val="en-US"/>
        </w:rPr>
        <w:t xml:space="preserve">Regional </w:t>
      </w:r>
      <w:r w:rsidR="007237FA" w:rsidRPr="00827F40">
        <w:rPr>
          <w:lang w:val="en-US"/>
        </w:rPr>
        <w:t>A</w:t>
      </w:r>
      <w:r w:rsidRPr="00827F40">
        <w:rPr>
          <w:lang w:val="en-US"/>
        </w:rPr>
        <w:t xml:space="preserve">dvisor </w:t>
      </w:r>
      <w:r w:rsidRPr="00827F40">
        <w:rPr>
          <w:lang w:val="en-US"/>
        </w:rPr>
        <w:t xml:space="preserve">provided an overview of </w:t>
      </w:r>
      <w:r w:rsidR="006313F4" w:rsidRPr="00827F40">
        <w:rPr>
          <w:lang w:val="en-US"/>
        </w:rPr>
        <w:t>projects, studies,</w:t>
      </w:r>
      <w:r w:rsidRPr="00827F40">
        <w:rPr>
          <w:lang w:val="en-US"/>
        </w:rPr>
        <w:t xml:space="preserve"> </w:t>
      </w:r>
      <w:r w:rsidR="007237FA" w:rsidRPr="00827F40">
        <w:rPr>
          <w:lang w:val="en-US"/>
        </w:rPr>
        <w:t xml:space="preserve">meetings and events, </w:t>
      </w:r>
      <w:r w:rsidRPr="00827F40">
        <w:rPr>
          <w:lang w:val="en-US"/>
        </w:rPr>
        <w:t xml:space="preserve">and </w:t>
      </w:r>
      <w:r w:rsidR="006313F4" w:rsidRPr="00827F40">
        <w:rPr>
          <w:lang w:val="en-US"/>
        </w:rPr>
        <w:t xml:space="preserve">other </w:t>
      </w:r>
      <w:r w:rsidRPr="00827F40">
        <w:rPr>
          <w:lang w:val="en-US"/>
        </w:rPr>
        <w:t>collaboration activities</w:t>
      </w:r>
      <w:r w:rsidRPr="00827F40">
        <w:rPr>
          <w:lang w:val="en-US"/>
        </w:rPr>
        <w:t xml:space="preserve"> </w:t>
      </w:r>
      <w:r w:rsidR="00FB2F08" w:rsidRPr="00827F40">
        <w:rPr>
          <w:lang w:val="en-US"/>
        </w:rPr>
        <w:t>relevant</w:t>
      </w:r>
      <w:r w:rsidRPr="00827F40">
        <w:rPr>
          <w:lang w:val="en-US"/>
        </w:rPr>
        <w:t xml:space="preserve"> to the work of the Group of the Experts</w:t>
      </w:r>
      <w:r w:rsidR="00FB2F08" w:rsidRPr="00827F40">
        <w:rPr>
          <w:lang w:val="en-US"/>
        </w:rPr>
        <w:t>.</w:t>
      </w:r>
    </w:p>
    <w:p w14:paraId="71CF087E" w14:textId="77777777" w:rsidR="00FB2F08" w:rsidRPr="00827F40" w:rsidRDefault="00FB2F08" w:rsidP="00FB2F08">
      <w:pPr>
        <w:pStyle w:val="SingleTxtG"/>
        <w:rPr>
          <w:lang w:val="en-US" w:eastAsia="en-GB"/>
        </w:rPr>
      </w:pPr>
      <w:r w:rsidRPr="00827F40">
        <w:rPr>
          <w:lang w:val="en-US" w:eastAsia="en-GB"/>
        </w:rPr>
        <w:t>14</w:t>
      </w:r>
      <w:r w:rsidRPr="00827F40">
        <w:rPr>
          <w:lang w:val="en-US" w:eastAsia="en-GB"/>
        </w:rPr>
        <w:t>.</w:t>
      </w:r>
      <w:r w:rsidRPr="00827F40">
        <w:rPr>
          <w:lang w:val="en-US" w:eastAsia="en-GB"/>
        </w:rPr>
        <w:tab/>
        <w:t>The Group of Experts reconfirmed its intention to lead and/or to contribute, within its scope of expertise and in line with the United Nations Economic Commission for Europe Platform on Resilient Energy Systems Work Plan (ECE/ENERGY/2023/11), to activities related to:</w:t>
      </w:r>
    </w:p>
    <w:p w14:paraId="4C63216E" w14:textId="77777777" w:rsidR="00FB2F08" w:rsidRPr="00827F40" w:rsidRDefault="00FB2F08" w:rsidP="00FB2F08">
      <w:pPr>
        <w:pStyle w:val="SingleTxtG"/>
        <w:ind w:firstLine="567"/>
        <w:rPr>
          <w:lang w:val="en-US" w:eastAsia="en-GB"/>
        </w:rPr>
      </w:pPr>
      <w:r w:rsidRPr="00827F40">
        <w:rPr>
          <w:lang w:val="en-US" w:eastAsia="en-GB"/>
        </w:rPr>
        <w:lastRenderedPageBreak/>
        <w:t>(a)</w:t>
      </w:r>
      <w:r w:rsidRPr="00827F40">
        <w:rPr>
          <w:lang w:val="en-US" w:eastAsia="en-GB"/>
        </w:rPr>
        <w:tab/>
        <w:t xml:space="preserve">Sustainable resource management and access to critical raw materials to help countries understand what resources they have </w:t>
      </w:r>
      <w:proofErr w:type="gramStart"/>
      <w:r w:rsidRPr="00827F40">
        <w:rPr>
          <w:lang w:val="en-US" w:eastAsia="en-GB"/>
        </w:rPr>
        <w:t>available;</w:t>
      </w:r>
      <w:proofErr w:type="gramEnd"/>
    </w:p>
    <w:p w14:paraId="68CA584B" w14:textId="77777777" w:rsidR="00FB2F08" w:rsidRPr="00827F40" w:rsidRDefault="00FB2F08" w:rsidP="00FB2F08">
      <w:pPr>
        <w:pStyle w:val="SingleTxtG"/>
        <w:ind w:left="1701"/>
        <w:rPr>
          <w:lang w:val="en-US" w:eastAsia="en-GB"/>
        </w:rPr>
      </w:pPr>
      <w:r w:rsidRPr="00827F40">
        <w:rPr>
          <w:lang w:val="en-US" w:eastAsia="en-GB"/>
        </w:rPr>
        <w:t>(b)</w:t>
      </w:r>
      <w:r w:rsidRPr="00827F40">
        <w:rPr>
          <w:lang w:val="en-US" w:eastAsia="en-GB"/>
        </w:rPr>
        <w:tab/>
        <w:t xml:space="preserve">Low-, zero- and negative-carbon technology </w:t>
      </w:r>
      <w:proofErr w:type="gramStart"/>
      <w:r w:rsidRPr="00827F40">
        <w:rPr>
          <w:lang w:val="en-US" w:eastAsia="en-GB"/>
        </w:rPr>
        <w:t>interplay;</w:t>
      </w:r>
      <w:proofErr w:type="gramEnd"/>
    </w:p>
    <w:p w14:paraId="308785B0" w14:textId="77777777" w:rsidR="00FB2F08" w:rsidRPr="00827F40" w:rsidRDefault="00FB2F08" w:rsidP="00FB2F08">
      <w:pPr>
        <w:pStyle w:val="SingleTxtG"/>
        <w:ind w:left="1701"/>
        <w:rPr>
          <w:lang w:val="en-US" w:eastAsia="en-GB"/>
        </w:rPr>
      </w:pPr>
      <w:r w:rsidRPr="00827F40">
        <w:rPr>
          <w:lang w:val="en-US" w:eastAsia="en-GB"/>
        </w:rPr>
        <w:t>(c)</w:t>
      </w:r>
      <w:r w:rsidRPr="00827F40">
        <w:rPr>
          <w:lang w:val="en-US" w:eastAsia="en-GB"/>
        </w:rPr>
        <w:tab/>
        <w:t>Just Transition; and</w:t>
      </w:r>
    </w:p>
    <w:p w14:paraId="6CC6E388" w14:textId="71917CEB" w:rsidR="00787217" w:rsidRPr="00827F40" w:rsidRDefault="00FB2F08" w:rsidP="00FB2F08">
      <w:pPr>
        <w:pStyle w:val="SingleTxtG"/>
        <w:ind w:left="1701"/>
        <w:rPr>
          <w:lang w:val="en-US" w:eastAsia="en-GB"/>
        </w:rPr>
      </w:pPr>
      <w:r w:rsidRPr="00827F40">
        <w:rPr>
          <w:lang w:val="en-US" w:eastAsia="en-GB"/>
        </w:rPr>
        <w:t>(d)</w:t>
      </w:r>
      <w:r w:rsidRPr="00827F40">
        <w:rPr>
          <w:lang w:val="en-US" w:eastAsia="en-GB"/>
        </w:rPr>
        <w:tab/>
        <w:t>Urban planning and modelling of decentralized energy systems.</w:t>
      </w:r>
    </w:p>
    <w:p w14:paraId="75722F7D" w14:textId="1C091053" w:rsidR="007237FA" w:rsidRPr="00827F40" w:rsidRDefault="007237FA" w:rsidP="00FB2F08">
      <w:pPr>
        <w:pStyle w:val="SingleTxtG"/>
        <w:ind w:left="1701"/>
      </w:pPr>
      <w:r w:rsidRPr="00827F40">
        <w:rPr>
          <w:lang w:val="en-US" w:eastAsia="en-GB"/>
        </w:rPr>
        <w:t>(e)</w:t>
      </w:r>
      <w:r w:rsidRPr="00827F40">
        <w:rPr>
          <w:lang w:val="en-US" w:eastAsia="en-GB"/>
        </w:rPr>
        <w:tab/>
      </w:r>
      <w:r w:rsidRPr="00827F40">
        <w:rPr>
          <w:lang w:val="en-US" w:eastAsia="en-GB"/>
        </w:rPr>
        <w:t>Adequacy of proposed solutions to meet continuity of electricity supply.</w:t>
      </w:r>
    </w:p>
    <w:p w14:paraId="520BFA8A" w14:textId="0A2574F7" w:rsidR="00843267" w:rsidRPr="00827F40" w:rsidRDefault="00843267" w:rsidP="00843267">
      <w:pPr>
        <w:pStyle w:val="H1G"/>
        <w:rPr>
          <w:bCs/>
          <w:color w:val="000000"/>
          <w:sz w:val="28"/>
          <w:szCs w:val="28"/>
          <w:lang w:eastAsia="en-GB"/>
        </w:rPr>
      </w:pPr>
      <w:r w:rsidRPr="00827F40">
        <w:rPr>
          <w:bCs/>
          <w:color w:val="000000"/>
          <w:sz w:val="28"/>
          <w:szCs w:val="28"/>
          <w:lang w:eastAsia="en-GB"/>
        </w:rPr>
        <w:tab/>
        <w:t>V</w:t>
      </w:r>
      <w:r w:rsidR="001C6025" w:rsidRPr="00827F40">
        <w:rPr>
          <w:bCs/>
          <w:color w:val="000000"/>
          <w:sz w:val="28"/>
          <w:szCs w:val="28"/>
          <w:lang w:eastAsia="en-GB"/>
        </w:rPr>
        <w:t>I</w:t>
      </w:r>
      <w:r w:rsidRPr="00827F40">
        <w:rPr>
          <w:bCs/>
          <w:color w:val="000000"/>
          <w:sz w:val="28"/>
          <w:szCs w:val="28"/>
          <w:lang w:eastAsia="en-GB"/>
        </w:rPr>
        <w:t>.</w:t>
      </w:r>
      <w:r w:rsidRPr="00827F40">
        <w:rPr>
          <w:bCs/>
          <w:color w:val="000000"/>
          <w:sz w:val="28"/>
          <w:szCs w:val="28"/>
          <w:lang w:eastAsia="en-GB"/>
        </w:rPr>
        <w:tab/>
        <w:t>Plenary session (agenda item 5)</w:t>
      </w:r>
    </w:p>
    <w:p w14:paraId="29B65AFD" w14:textId="11665202" w:rsidR="0037054C" w:rsidRPr="00827F40" w:rsidRDefault="0037054C" w:rsidP="0037054C">
      <w:pPr>
        <w:pStyle w:val="SingleTxtG"/>
        <w:ind w:left="2829" w:hanging="1695"/>
      </w:pPr>
      <w:r w:rsidRPr="00827F40">
        <w:rPr>
          <w:i/>
        </w:rPr>
        <w:t>Documentation:</w:t>
      </w:r>
      <w:r w:rsidRPr="00827F40">
        <w:tab/>
      </w:r>
      <w:r w:rsidR="001C6025" w:rsidRPr="00827F40">
        <w:rPr>
          <w:rStyle w:val="normaltextrun"/>
          <w:color w:val="000000"/>
          <w:shd w:val="clear" w:color="auto" w:fill="FFFFFF"/>
        </w:rPr>
        <w:t>ECE/ENERGY/2023/11 – United Nations Economic Commission for Europe Platform on Resilient Energy Systems Work Plan</w:t>
      </w:r>
    </w:p>
    <w:p w14:paraId="7219C0A1" w14:textId="1A70DC40" w:rsidR="001C6025" w:rsidRPr="00827F40" w:rsidRDefault="001C6025" w:rsidP="001C6025">
      <w:pPr>
        <w:pStyle w:val="SingleTxtG"/>
        <w:ind w:right="1138"/>
      </w:pPr>
      <w:r w:rsidRPr="00827F40">
        <w:t>15</w:t>
      </w:r>
      <w:r w:rsidRPr="00827F40">
        <w:t>.</w:t>
      </w:r>
      <w:r w:rsidRPr="00827F40">
        <w:tab/>
        <w:t>The Group of Experts discussed and identified a set of aspects found crucial for reliable, resilient, and secure energy systems in the ECE region.</w:t>
      </w:r>
    </w:p>
    <w:p w14:paraId="60FFC950" w14:textId="724ED492" w:rsidR="001C6025" w:rsidRPr="00827F40" w:rsidRDefault="001C6025" w:rsidP="001C6025">
      <w:pPr>
        <w:pStyle w:val="SingleTxtG"/>
        <w:ind w:right="1138"/>
      </w:pPr>
      <w:r w:rsidRPr="00827F40">
        <w:t>16</w:t>
      </w:r>
      <w:r w:rsidRPr="00827F40">
        <w:t>.</w:t>
      </w:r>
      <w:r w:rsidRPr="00827F40">
        <w:tab/>
        <w:t>Such a set of aspects will align with the input made by the Committee on Sustainable Energy at its thirty-second session. In particular, work on resiliency will address aspects of improving electricity system resilience, including through deployment of energy storage options and increasing energy connectivity; assessing the impacts of changing patterns of energy end uses (including integration of e-mobility and other smart assets at the grid edge) on reliability of the energy system, unlocking the potential of energy system efficiency through digitalization including issues related to cybersecurity and data analytics including the use of Artificial Intelligence.</w:t>
      </w:r>
    </w:p>
    <w:p w14:paraId="4FDAE066" w14:textId="3E577DE6" w:rsidR="001C6025" w:rsidRPr="00827F40" w:rsidRDefault="001C6025" w:rsidP="001C6025">
      <w:pPr>
        <w:pStyle w:val="SingleTxtG"/>
        <w:ind w:right="1138"/>
      </w:pPr>
      <w:r w:rsidRPr="00827F40">
        <w:t>1</w:t>
      </w:r>
      <w:r w:rsidRPr="00827F40">
        <w:t>7</w:t>
      </w:r>
      <w:r w:rsidRPr="00827F40">
        <w:t>.</w:t>
      </w:r>
      <w:r w:rsidRPr="00827F40">
        <w:tab/>
        <w:t>The Group of Experts:</w:t>
      </w:r>
    </w:p>
    <w:p w14:paraId="1ADF76D5" w14:textId="77777777" w:rsidR="001C6025" w:rsidRPr="00827F40" w:rsidRDefault="001C6025" w:rsidP="001C6025">
      <w:pPr>
        <w:pStyle w:val="SingleTxtG"/>
        <w:ind w:right="1138" w:firstLine="567"/>
      </w:pPr>
      <w:r w:rsidRPr="00827F40">
        <w:t>(a)</w:t>
      </w:r>
      <w:r w:rsidRPr="00827F40">
        <w:tab/>
        <w:t>Requested the Bureau, with support from the secretariat, to consider and formulate activities that would further support efforts to increase the resiliency of the energy systems in the ECE region.</w:t>
      </w:r>
    </w:p>
    <w:p w14:paraId="11E86490" w14:textId="09DE91B0" w:rsidR="00843267" w:rsidRPr="00827F40" w:rsidRDefault="001C6025" w:rsidP="001C6025">
      <w:pPr>
        <w:pStyle w:val="SingleTxtG"/>
        <w:ind w:right="1138" w:firstLine="567"/>
      </w:pPr>
      <w:r w:rsidRPr="00827F40">
        <w:t>(b)</w:t>
      </w:r>
      <w:r w:rsidRPr="00827F40">
        <w:tab/>
        <w:t xml:space="preserve">Noted that the expanded scope of activities requires extrabudgetary funding and in-kind contributions from </w:t>
      </w:r>
      <w:proofErr w:type="gramStart"/>
      <w:r w:rsidRPr="00827F40">
        <w:t>stakeholders, and</w:t>
      </w:r>
      <w:proofErr w:type="gramEnd"/>
      <w:r w:rsidRPr="00827F40">
        <w:t xml:space="preserve"> called upon member States and other interested Parties to consider providing such support necessary for delivering on newly defined tasks.</w:t>
      </w:r>
    </w:p>
    <w:p w14:paraId="357278B7" w14:textId="4A2427B8" w:rsidR="007F509C" w:rsidRPr="00827F40" w:rsidRDefault="004D6E97" w:rsidP="004F0ABD">
      <w:pPr>
        <w:pStyle w:val="H1G"/>
        <w:rPr>
          <w:bCs/>
          <w:color w:val="000000"/>
          <w:sz w:val="28"/>
          <w:szCs w:val="28"/>
          <w:lang w:eastAsia="en-GB"/>
        </w:rPr>
      </w:pPr>
      <w:r w:rsidRPr="00827F40">
        <w:rPr>
          <w:bCs/>
          <w:color w:val="000000"/>
          <w:sz w:val="28"/>
          <w:szCs w:val="28"/>
          <w:lang w:eastAsia="en-GB"/>
        </w:rPr>
        <w:tab/>
        <w:t>VI</w:t>
      </w:r>
      <w:r w:rsidR="00801C0E" w:rsidRPr="00827F40">
        <w:rPr>
          <w:bCs/>
          <w:color w:val="000000"/>
          <w:sz w:val="28"/>
          <w:szCs w:val="28"/>
          <w:lang w:eastAsia="en-GB"/>
        </w:rPr>
        <w:t>I</w:t>
      </w:r>
      <w:r w:rsidRPr="00827F40">
        <w:rPr>
          <w:bCs/>
          <w:color w:val="000000"/>
          <w:sz w:val="28"/>
          <w:szCs w:val="28"/>
          <w:lang w:eastAsia="en-GB"/>
        </w:rPr>
        <w:t>.</w:t>
      </w:r>
      <w:r w:rsidRPr="00827F40">
        <w:rPr>
          <w:bCs/>
          <w:color w:val="000000"/>
          <w:sz w:val="28"/>
          <w:szCs w:val="28"/>
          <w:lang w:eastAsia="en-GB"/>
        </w:rPr>
        <w:tab/>
      </w:r>
      <w:r w:rsidR="00801C0E" w:rsidRPr="00827F40">
        <w:rPr>
          <w:bCs/>
          <w:color w:val="000000"/>
          <w:sz w:val="28"/>
          <w:szCs w:val="28"/>
          <w:lang w:eastAsia="en-GB"/>
        </w:rPr>
        <w:t>Achieving net-zero emissions power systems</w:t>
      </w:r>
      <w:r w:rsidR="00553033" w:rsidRPr="00827F40">
        <w:rPr>
          <w:bCs/>
          <w:color w:val="000000"/>
          <w:sz w:val="28"/>
          <w:szCs w:val="28"/>
          <w:lang w:eastAsia="en-GB"/>
        </w:rPr>
        <w:t xml:space="preserve"> (agenda item </w:t>
      </w:r>
      <w:r w:rsidR="00B25A6F" w:rsidRPr="00827F40">
        <w:rPr>
          <w:bCs/>
          <w:color w:val="000000"/>
          <w:sz w:val="28"/>
          <w:szCs w:val="28"/>
          <w:lang w:eastAsia="en-GB"/>
        </w:rPr>
        <w:t>6</w:t>
      </w:r>
      <w:r w:rsidR="00553033" w:rsidRPr="00827F40">
        <w:rPr>
          <w:bCs/>
          <w:color w:val="000000"/>
          <w:sz w:val="28"/>
          <w:szCs w:val="28"/>
          <w:lang w:eastAsia="en-GB"/>
        </w:rPr>
        <w:t>)</w:t>
      </w:r>
    </w:p>
    <w:p w14:paraId="394201A6" w14:textId="10989283" w:rsidR="00C75352" w:rsidRPr="00827F40" w:rsidRDefault="00993419" w:rsidP="00097229">
      <w:pPr>
        <w:pStyle w:val="SingleTxtG"/>
        <w:ind w:left="2829" w:hanging="1695"/>
        <w:rPr>
          <w:iCs/>
        </w:rPr>
      </w:pPr>
      <w:r w:rsidRPr="00827F40">
        <w:rPr>
          <w:i/>
        </w:rPr>
        <w:t>Documentation:</w:t>
      </w:r>
      <w:r w:rsidRPr="00827F40">
        <w:tab/>
      </w:r>
      <w:r w:rsidR="00097229" w:rsidRPr="00827F40">
        <w:rPr>
          <w:rStyle w:val="normaltextrun"/>
          <w:color w:val="000000"/>
          <w:shd w:val="clear" w:color="auto" w:fill="FFFFFF"/>
        </w:rPr>
        <w:t>ECE/ENERGY/GE.5/2023/5 – Transitioning to net-zero emissions power systems – common principles for reliability of supply</w:t>
      </w:r>
    </w:p>
    <w:p w14:paraId="52D3B743" w14:textId="5476AA80" w:rsidR="0043247F" w:rsidRPr="00827F40" w:rsidRDefault="00E50FB4" w:rsidP="00494AB2">
      <w:pPr>
        <w:pStyle w:val="SingleTxtG"/>
      </w:pPr>
      <w:r w:rsidRPr="00827F40">
        <w:rPr>
          <w:lang w:val="en-US"/>
        </w:rPr>
        <w:t>18</w:t>
      </w:r>
      <w:r w:rsidR="00A13010" w:rsidRPr="00827F40">
        <w:rPr>
          <w:lang w:val="en-US"/>
        </w:rPr>
        <w:t>.</w:t>
      </w:r>
      <w:r w:rsidR="00A13010" w:rsidRPr="00827F40">
        <w:rPr>
          <w:lang w:val="en-US"/>
        </w:rPr>
        <w:tab/>
      </w:r>
      <w:r w:rsidR="00A13010" w:rsidRPr="00827F40">
        <w:t xml:space="preserve">The </w:t>
      </w:r>
      <w:r w:rsidRPr="00827F40">
        <w:t xml:space="preserve">document </w:t>
      </w:r>
      <w:r w:rsidRPr="00827F40">
        <w:rPr>
          <w:rStyle w:val="normaltextrun"/>
          <w:color w:val="000000"/>
          <w:shd w:val="clear" w:color="auto" w:fill="FFFFFF"/>
        </w:rPr>
        <w:t>ECE/ENERGY/GE.5/2023/5 – Transitioning to net-zero emissions power systems – common principles for reliability of supply</w:t>
      </w:r>
      <w:r w:rsidRPr="00827F40">
        <w:t>, developed</w:t>
      </w:r>
      <w:r w:rsidR="00A13010" w:rsidRPr="00827F40">
        <w:t xml:space="preserve"> </w:t>
      </w:r>
      <w:r w:rsidRPr="00827F40">
        <w:t>in support of the activities of the Committee on Sustainable Energy</w:t>
      </w:r>
      <w:r w:rsidRPr="00827F40">
        <w:t xml:space="preserve">, </w:t>
      </w:r>
      <w:r w:rsidRPr="00827F40">
        <w:t>was presented. It explores the risks</w:t>
      </w:r>
      <w:r w:rsidRPr="00827F40">
        <w:t xml:space="preserve"> </w:t>
      </w:r>
      <w:r w:rsidRPr="00827F40">
        <w:t>of possible unintentional losses in system reliability</w:t>
      </w:r>
      <w:r w:rsidRPr="00827F40">
        <w:t xml:space="preserve"> during energy </w:t>
      </w:r>
      <w:proofErr w:type="gramStart"/>
      <w:r w:rsidRPr="00827F40">
        <w:t>transition, and</w:t>
      </w:r>
      <w:proofErr w:type="gramEnd"/>
      <w:r w:rsidRPr="00827F40">
        <w:t xml:space="preserve"> discusses the issue of retention of sufficient dispatchable capacity amid transitioning to net-zero emissions electricity systems, to maintain grid reliability and resilience</w:t>
      </w:r>
      <w:r w:rsidR="00A13010" w:rsidRPr="00827F40">
        <w:t>.</w:t>
      </w:r>
      <w:r w:rsidR="00494AB2" w:rsidRPr="00827F40">
        <w:t xml:space="preserve"> </w:t>
      </w:r>
      <w:r w:rsidR="00337376" w:rsidRPr="00827F40">
        <w:t xml:space="preserve">A subsequent panel discussion </w:t>
      </w:r>
      <w:r w:rsidRPr="00827F40">
        <w:t xml:space="preserve">further </w:t>
      </w:r>
      <w:r w:rsidR="00494AB2" w:rsidRPr="00827F40">
        <w:t>addressed</w:t>
      </w:r>
      <w:r w:rsidR="00F62881" w:rsidRPr="00827F40">
        <w:t xml:space="preserve"> the </w:t>
      </w:r>
      <w:r w:rsidRPr="00827F40">
        <w:t xml:space="preserve">related </w:t>
      </w:r>
      <w:r w:rsidR="00F62881" w:rsidRPr="00827F40">
        <w:t>matter</w:t>
      </w:r>
      <w:r w:rsidRPr="00827F40">
        <w:t>s</w:t>
      </w:r>
      <w:r w:rsidR="00811009" w:rsidRPr="00827F40">
        <w:t>.</w:t>
      </w:r>
    </w:p>
    <w:p w14:paraId="3A7872D2" w14:textId="51082B2D" w:rsidR="003D56F0" w:rsidRPr="00827F40" w:rsidRDefault="00494AB2" w:rsidP="0039283E">
      <w:pPr>
        <w:pStyle w:val="SingleTxtG"/>
        <w:ind w:right="1138"/>
      </w:pPr>
      <w:r w:rsidRPr="00827F40">
        <w:rPr>
          <w:lang w:val="en-US"/>
        </w:rPr>
        <w:t>19</w:t>
      </w:r>
      <w:r w:rsidR="0039283E" w:rsidRPr="00827F40">
        <w:rPr>
          <w:lang w:val="en-US"/>
        </w:rPr>
        <w:t>.</w:t>
      </w:r>
      <w:r w:rsidR="0039283E" w:rsidRPr="00827F40">
        <w:rPr>
          <w:lang w:val="en-US"/>
        </w:rPr>
        <w:tab/>
      </w:r>
      <w:r w:rsidR="00A93D1C" w:rsidRPr="00827F40">
        <w:t>The Group of Experts:</w:t>
      </w:r>
    </w:p>
    <w:p w14:paraId="0887ECE4" w14:textId="4CA638DC" w:rsidR="00E50FB4" w:rsidRPr="00827F40" w:rsidRDefault="004D3B9E" w:rsidP="0095228F">
      <w:pPr>
        <w:pStyle w:val="SingleTxtG"/>
        <w:ind w:left="1138" w:right="1138" w:firstLine="563"/>
      </w:pPr>
      <w:r w:rsidRPr="00827F40">
        <w:t>(</w:t>
      </w:r>
      <w:r w:rsidR="00AC3DF9" w:rsidRPr="00827F40">
        <w:t>a</w:t>
      </w:r>
      <w:r w:rsidRPr="00827F40">
        <w:t>)</w:t>
      </w:r>
      <w:r w:rsidRPr="00827F40">
        <w:tab/>
      </w:r>
      <w:r w:rsidR="0095228F" w:rsidRPr="00827F40">
        <w:t>Observed that ambitious climate mitigation and adaptation policies, advocating for rapid development and implementation of low-carbon power production options, can</w:t>
      </w:r>
      <w:r w:rsidR="00C407CB" w:rsidRPr="00827F40">
        <w:t xml:space="preserve"> </w:t>
      </w:r>
      <w:r w:rsidR="0095228F" w:rsidRPr="00827F40">
        <w:t>pose a significant challenge to the power generation sector of member States, if they do not have sufficient capacity for such quick and profound transformation</w:t>
      </w:r>
      <w:r w:rsidR="00E50FB4" w:rsidRPr="00827F40">
        <w:t>.</w:t>
      </w:r>
    </w:p>
    <w:p w14:paraId="61979CB3" w14:textId="77777777" w:rsidR="00E50FB4" w:rsidRPr="00827F40" w:rsidRDefault="00E50FB4" w:rsidP="00E50FB4">
      <w:pPr>
        <w:pStyle w:val="SingleTxtG"/>
        <w:ind w:left="1138" w:right="1138" w:firstLine="563"/>
      </w:pPr>
      <w:r w:rsidRPr="00827F40">
        <w:t>(b)</w:t>
      </w:r>
      <w:r w:rsidRPr="00827F40">
        <w:tab/>
        <w:t>Discussed the matters and challenges related to integration of renewables, distributed energy resources, energy storage, energy efficiency and conservation, role of energy end-users, and optimization of grid operations in the context of the electrification trend that requires a massive increase in the scale of the electricity grid.</w:t>
      </w:r>
    </w:p>
    <w:p w14:paraId="10636FDF" w14:textId="17523FD9" w:rsidR="00E50FB4" w:rsidRPr="00827F40" w:rsidRDefault="00E50FB4" w:rsidP="00E50FB4">
      <w:pPr>
        <w:pStyle w:val="SingleTxtG"/>
        <w:ind w:left="1138" w:right="1138" w:firstLine="563"/>
      </w:pPr>
      <w:r w:rsidRPr="00827F40">
        <w:lastRenderedPageBreak/>
        <w:t>(c)</w:t>
      </w:r>
      <w:r w:rsidRPr="00827F40">
        <w:tab/>
        <w:t>Noted that in certain member States retention of key fossil</w:t>
      </w:r>
      <w:r w:rsidR="0095228F" w:rsidRPr="00827F40">
        <w:t>-based</w:t>
      </w:r>
      <w:r w:rsidRPr="00827F40">
        <w:t xml:space="preserve"> generation assets for some period might be necessary to ensure reliability of supply to lessen the expected hardships, </w:t>
      </w:r>
      <w:proofErr w:type="gramStart"/>
      <w:r w:rsidRPr="00827F40">
        <w:t>in particular those</w:t>
      </w:r>
      <w:proofErr w:type="gramEnd"/>
      <w:r w:rsidRPr="00827F40">
        <w:t xml:space="preserve"> related to loss of employment, of transition by spreading its effects over time and thus allowing the process to be conducted in more gradual and equitable manner through job preservation. Even though those assets are likely to be generating much less energy (and concomitant carbon emissions), they will still be providing high-value reliability services.</w:t>
      </w:r>
    </w:p>
    <w:p w14:paraId="51C7869E" w14:textId="69204DB6" w:rsidR="00E50FB4" w:rsidRPr="00827F40" w:rsidRDefault="00E50FB4" w:rsidP="004B255F">
      <w:pPr>
        <w:pStyle w:val="SingleTxtG"/>
        <w:ind w:left="1138" w:right="1138" w:firstLine="563"/>
      </w:pPr>
      <w:r w:rsidRPr="00827F40">
        <w:t>(d)</w:t>
      </w:r>
      <w:r w:rsidRPr="00827F40">
        <w:tab/>
        <w:t>Acknowledging the investment requirement for the attainment of Sustainable Development Goal 7 and other Goals in relation to energy, recommended to continue exploring and assessing market mechanisms and financing conditions that could contribute to the transformation of the electricity systems toward the net-zero aspirations</w:t>
      </w:r>
      <w:r w:rsidR="004B255F" w:rsidRPr="00827F40">
        <w:t xml:space="preserve"> </w:t>
      </w:r>
      <w:r w:rsidR="004B255F" w:rsidRPr="00827F40">
        <w:t>while still maintaining reliability and affordability</w:t>
      </w:r>
      <w:r w:rsidRPr="00827F40">
        <w:t>.</w:t>
      </w:r>
    </w:p>
    <w:p w14:paraId="5CBF123B" w14:textId="3DE8345E" w:rsidR="00FA6385" w:rsidRPr="00827F40" w:rsidRDefault="00E50FB4" w:rsidP="00E50FB4">
      <w:pPr>
        <w:pStyle w:val="SingleTxtG"/>
        <w:ind w:left="1138" w:right="1138" w:firstLine="563"/>
        <w:rPr>
          <w:lang w:val="en-US"/>
        </w:rPr>
      </w:pPr>
      <w:r w:rsidRPr="00827F40">
        <w:t>(e)</w:t>
      </w:r>
      <w:r w:rsidRPr="00827F40">
        <w:tab/>
        <w:t>Observed that international standards governing grid support performance of inverter-based resources (solar photovoltaics, wind, battery energy storage, etc.), as well as modelling for their behaviour as they continue to grow on the electricity grid, are essential. Called, therefore, on the member States for the development of common international standards for the reliable operation of inverter-based resources.</w:t>
      </w:r>
    </w:p>
    <w:p w14:paraId="6D36B4D1" w14:textId="05EF7640" w:rsidR="00C75F61" w:rsidRPr="00827F40" w:rsidRDefault="00C75F61" w:rsidP="00C75F61">
      <w:pPr>
        <w:pStyle w:val="H1G"/>
        <w:rPr>
          <w:sz w:val="28"/>
        </w:rPr>
      </w:pPr>
      <w:r w:rsidRPr="00827F40">
        <w:rPr>
          <w:sz w:val="28"/>
        </w:rPr>
        <w:tab/>
        <w:t>V</w:t>
      </w:r>
      <w:r w:rsidR="0079650D" w:rsidRPr="00827F40">
        <w:rPr>
          <w:sz w:val="28"/>
        </w:rPr>
        <w:t>I</w:t>
      </w:r>
      <w:r w:rsidR="00553033" w:rsidRPr="00827F40">
        <w:rPr>
          <w:sz w:val="28"/>
        </w:rPr>
        <w:t>I</w:t>
      </w:r>
      <w:r w:rsidR="00530B31" w:rsidRPr="00827F40">
        <w:rPr>
          <w:sz w:val="28"/>
        </w:rPr>
        <w:t>I</w:t>
      </w:r>
      <w:r w:rsidRPr="00827F40">
        <w:rPr>
          <w:sz w:val="28"/>
        </w:rPr>
        <w:t>.</w:t>
      </w:r>
      <w:r w:rsidRPr="00827F40">
        <w:rPr>
          <w:sz w:val="28"/>
        </w:rPr>
        <w:tab/>
      </w:r>
      <w:r w:rsidR="00530B31" w:rsidRPr="00827F40">
        <w:rPr>
          <w:bCs/>
          <w:sz w:val="28"/>
        </w:rPr>
        <w:t>Reliability and cyber resiliency of smart integrated energy systems</w:t>
      </w:r>
      <w:r w:rsidR="00530B31" w:rsidRPr="00827F40">
        <w:rPr>
          <w:bCs/>
          <w:sz w:val="28"/>
        </w:rPr>
        <w:t xml:space="preserve"> </w:t>
      </w:r>
      <w:r w:rsidRPr="00827F40">
        <w:rPr>
          <w:sz w:val="28"/>
        </w:rPr>
        <w:t xml:space="preserve">(agenda item </w:t>
      </w:r>
      <w:r w:rsidR="0079650D" w:rsidRPr="00827F40">
        <w:rPr>
          <w:sz w:val="28"/>
        </w:rPr>
        <w:t>7</w:t>
      </w:r>
      <w:r w:rsidRPr="00827F40">
        <w:rPr>
          <w:sz w:val="28"/>
        </w:rPr>
        <w:t>)</w:t>
      </w:r>
    </w:p>
    <w:p w14:paraId="5A78B5B0" w14:textId="77777777" w:rsidR="00530B31" w:rsidRPr="00827F40" w:rsidRDefault="00580D6F" w:rsidP="00530B31">
      <w:pPr>
        <w:pStyle w:val="SingleTxtG"/>
        <w:ind w:left="2829" w:hanging="1695"/>
        <w:rPr>
          <w:rStyle w:val="normaltextrun"/>
          <w:color w:val="000000"/>
          <w:shd w:val="clear" w:color="auto" w:fill="FFFFFF"/>
        </w:rPr>
      </w:pPr>
      <w:r w:rsidRPr="00827F40">
        <w:rPr>
          <w:rStyle w:val="normaltextrun"/>
          <w:i/>
          <w:iCs/>
          <w:color w:val="000000"/>
          <w:shd w:val="clear" w:color="auto" w:fill="FFFFFF"/>
        </w:rPr>
        <w:t>Documentation:</w:t>
      </w:r>
      <w:r w:rsidRPr="00827F40">
        <w:rPr>
          <w:rStyle w:val="tabchar"/>
          <w:rFonts w:ascii="Calibri" w:hAnsi="Calibri" w:cs="Calibri"/>
          <w:color w:val="000000"/>
          <w:shd w:val="clear" w:color="auto" w:fill="FFFFFF"/>
        </w:rPr>
        <w:tab/>
      </w:r>
      <w:r w:rsidR="00530B31" w:rsidRPr="00827F40">
        <w:rPr>
          <w:rStyle w:val="normaltextrun"/>
          <w:color w:val="000000"/>
          <w:shd w:val="clear" w:color="auto" w:fill="FFFFFF"/>
        </w:rPr>
        <w:t>ECE/ENERGY/GE.6/2023/3-ECE/ENERGY/GE.5/2023/3 – Key considerations and solutions to ensure cyber resiliency in the smart integrated energy systems</w:t>
      </w:r>
    </w:p>
    <w:p w14:paraId="30A37FEB" w14:textId="3EC303E1" w:rsidR="00580D6F" w:rsidRPr="00827F40" w:rsidRDefault="00530B31" w:rsidP="00530B31">
      <w:pPr>
        <w:pStyle w:val="SingleTxtG"/>
        <w:ind w:left="2829"/>
        <w:rPr>
          <w:color w:val="000000"/>
          <w:shd w:val="clear" w:color="auto" w:fill="FFFFFF"/>
        </w:rPr>
      </w:pPr>
      <w:r w:rsidRPr="00827F40">
        <w:rPr>
          <w:rStyle w:val="normaltextrun"/>
          <w:color w:val="000000"/>
          <w:shd w:val="clear" w:color="auto" w:fill="FFFFFF"/>
        </w:rPr>
        <w:t xml:space="preserve">ECE/ENERGY/GE.6/2023/4-ECE/ENERGY/GE.5/2023/4 – Improving efficiency and reliability of energy systems by means of big data </w:t>
      </w:r>
      <w:proofErr w:type="gramStart"/>
      <w:r w:rsidRPr="00827F40">
        <w:rPr>
          <w:rStyle w:val="normaltextrun"/>
          <w:color w:val="000000"/>
          <w:shd w:val="clear" w:color="auto" w:fill="FFFFFF"/>
        </w:rPr>
        <w:t>analytics</w:t>
      </w:r>
      <w:proofErr w:type="gramEnd"/>
    </w:p>
    <w:p w14:paraId="559E57EF" w14:textId="69226E7A" w:rsidR="000F3F0F" w:rsidRPr="00827F40" w:rsidRDefault="00BC5F8D" w:rsidP="000F3F0F">
      <w:pPr>
        <w:pStyle w:val="SingleTxtG"/>
      </w:pPr>
      <w:r w:rsidRPr="00827F40">
        <w:rPr>
          <w:lang w:val="en-US"/>
        </w:rPr>
        <w:t>2</w:t>
      </w:r>
      <w:r w:rsidR="00494AB2" w:rsidRPr="00827F40">
        <w:rPr>
          <w:lang w:val="en-US"/>
        </w:rPr>
        <w:t>0</w:t>
      </w:r>
      <w:r w:rsidR="000F3F0F" w:rsidRPr="00827F40">
        <w:rPr>
          <w:lang w:val="en-US"/>
        </w:rPr>
        <w:t>.</w:t>
      </w:r>
      <w:r w:rsidR="000F3F0F" w:rsidRPr="00827F40">
        <w:rPr>
          <w:lang w:val="en-US"/>
        </w:rPr>
        <w:tab/>
      </w:r>
      <w:r w:rsidR="00494AB2" w:rsidRPr="00827F40">
        <w:t>The Group of Experts explored the contribution of digitalization to the reliability of energy systems, making them more connected and efficient. The focus was on cyber resiliency in smart integrated energy systems</w:t>
      </w:r>
      <w:r w:rsidR="000F3F0F" w:rsidRPr="00827F40">
        <w:t>.</w:t>
      </w:r>
    </w:p>
    <w:p w14:paraId="4D1DFFBA" w14:textId="64B43048" w:rsidR="00CD4728" w:rsidRPr="00827F40" w:rsidRDefault="00541CA6" w:rsidP="000F3F0F">
      <w:pPr>
        <w:pStyle w:val="SingleTxtG"/>
      </w:pPr>
      <w:r w:rsidRPr="00827F40">
        <w:rPr>
          <w:lang w:val="en-US"/>
        </w:rPr>
        <w:t>21</w:t>
      </w:r>
      <w:r w:rsidR="004D3B9E" w:rsidRPr="00827F40">
        <w:rPr>
          <w:lang w:val="en-US"/>
        </w:rPr>
        <w:t>.</w:t>
      </w:r>
      <w:r w:rsidR="004D3B9E" w:rsidRPr="00827F40">
        <w:rPr>
          <w:lang w:val="en-US"/>
        </w:rPr>
        <w:tab/>
      </w:r>
      <w:r w:rsidR="00A81903" w:rsidRPr="00827F40">
        <w:t>The Group of Experts:</w:t>
      </w:r>
    </w:p>
    <w:p w14:paraId="16C5DB35" w14:textId="77777777" w:rsidR="00494AB2" w:rsidRPr="00827F40" w:rsidRDefault="004D3B9E" w:rsidP="00494AB2">
      <w:pPr>
        <w:pStyle w:val="SingleTxtG"/>
        <w:ind w:firstLine="567"/>
        <w:rPr>
          <w:color w:val="000000" w:themeColor="text1"/>
        </w:rPr>
      </w:pPr>
      <w:r w:rsidRPr="00827F40">
        <w:t>(</w:t>
      </w:r>
      <w:r w:rsidR="00D42590" w:rsidRPr="00827F40">
        <w:t>a</w:t>
      </w:r>
      <w:r w:rsidRPr="00827F40">
        <w:t>)</w:t>
      </w:r>
      <w:r w:rsidRPr="00827F40">
        <w:tab/>
      </w:r>
      <w:r w:rsidR="00494AB2" w:rsidRPr="00827F40">
        <w:t xml:space="preserve">Expressed appreciation for the close and fruitful collaboration with the Group of Experts on Energy Efficiency and its Task Force on Digitalization in Energy on advancing the digitalization of electricity systems and took note of two documents developed in close collaboration between the two Groups of Experts: (i) ECE/ENERGY/GE.6/2023/3-ECE/ENERGY/GE.5/2023/3 – Key considerations and solutions to ensure cyber resiliency in the smart integrated </w:t>
      </w:r>
      <w:r w:rsidR="00494AB2" w:rsidRPr="00827F40">
        <w:rPr>
          <w:color w:val="000000" w:themeColor="text1"/>
        </w:rPr>
        <w:t>energy systems; (ii) ECE/ENERGY/GE.6/2023/4-ECE/ENERGY/GE.5/2023/4 – Improving efficiency and reliability of energy systems by means of big data analytics.</w:t>
      </w:r>
    </w:p>
    <w:p w14:paraId="3F774770" w14:textId="20D0A287" w:rsidR="00494AB2" w:rsidRPr="00827F40" w:rsidRDefault="00494AB2" w:rsidP="00494AB2">
      <w:pPr>
        <w:pStyle w:val="SingleTxtG"/>
        <w:ind w:firstLine="567"/>
        <w:rPr>
          <w:color w:val="000000" w:themeColor="text1"/>
        </w:rPr>
      </w:pPr>
      <w:r w:rsidRPr="00827F40">
        <w:rPr>
          <w:color w:val="000000" w:themeColor="text1"/>
        </w:rPr>
        <w:t>(</w:t>
      </w:r>
      <w:r w:rsidRPr="00827F40">
        <w:rPr>
          <w:color w:val="000000" w:themeColor="text1"/>
        </w:rPr>
        <w:t>b</w:t>
      </w:r>
      <w:r w:rsidRPr="00827F40">
        <w:rPr>
          <w:color w:val="000000" w:themeColor="text1"/>
        </w:rPr>
        <w:t>)</w:t>
      </w:r>
      <w:r w:rsidRPr="00827F40">
        <w:rPr>
          <w:color w:val="000000" w:themeColor="text1"/>
        </w:rPr>
        <w:tab/>
        <w:t>Discussed considerations and solutions to ensure cyber resiliency in smart and digitally integrated energy systems. Supporting the discussion, the Group of Experts noted the work of the Task Force on Digitalization in Energy, namely the document Key considerations and solutions to ensure cyber resiliency in the smart integrated energy systems (ECE/ENERGY/GE.6/2023/3-ECE/ENERGY/GE.5/2023/3). Acknowledging that cybersecurity is a challenge for critical infrastructure like energy systems, recommendations to mitigate cybersecurity risks were noted. It was noted that best practices exist for operators of critical infrastructure and contribute to a more cyber-resilient system.</w:t>
      </w:r>
    </w:p>
    <w:p w14:paraId="5DFC5C97" w14:textId="04CE513B" w:rsidR="00494AB2" w:rsidRPr="00827F40" w:rsidRDefault="00494AB2" w:rsidP="00494AB2">
      <w:pPr>
        <w:pStyle w:val="SingleTxtG"/>
        <w:ind w:firstLine="567"/>
        <w:rPr>
          <w:color w:val="000000" w:themeColor="text1"/>
        </w:rPr>
      </w:pPr>
      <w:r w:rsidRPr="00827F40">
        <w:rPr>
          <w:color w:val="000000" w:themeColor="text1"/>
        </w:rPr>
        <w:t>(</w:t>
      </w:r>
      <w:r w:rsidRPr="00827F40">
        <w:rPr>
          <w:color w:val="000000" w:themeColor="text1"/>
        </w:rPr>
        <w:t>c</w:t>
      </w:r>
      <w:r w:rsidRPr="00827F40">
        <w:rPr>
          <w:color w:val="000000" w:themeColor="text1"/>
        </w:rPr>
        <w:t>)</w:t>
      </w:r>
      <w:r w:rsidRPr="00827F40">
        <w:rPr>
          <w:color w:val="000000" w:themeColor="text1"/>
        </w:rPr>
        <w:tab/>
        <w:t>Discussed framework, considerations, and recommendations on how to ensure security of the energy system through cyber and physical integration into planning, design, and operational practices.</w:t>
      </w:r>
    </w:p>
    <w:p w14:paraId="357902F2" w14:textId="2BC7F1A1" w:rsidR="00494AB2" w:rsidRPr="00827F40" w:rsidRDefault="00494AB2" w:rsidP="00494AB2">
      <w:pPr>
        <w:pStyle w:val="SingleTxtG"/>
        <w:ind w:firstLine="567"/>
        <w:rPr>
          <w:color w:val="000000" w:themeColor="text1"/>
        </w:rPr>
      </w:pPr>
      <w:r w:rsidRPr="00827F40">
        <w:rPr>
          <w:color w:val="000000" w:themeColor="text1"/>
        </w:rPr>
        <w:t>(</w:t>
      </w:r>
      <w:r w:rsidRPr="00827F40">
        <w:rPr>
          <w:color w:val="000000" w:themeColor="text1"/>
        </w:rPr>
        <w:t>d</w:t>
      </w:r>
      <w:r w:rsidRPr="00827F40">
        <w:rPr>
          <w:color w:val="000000" w:themeColor="text1"/>
        </w:rPr>
        <w:t>)</w:t>
      </w:r>
      <w:r w:rsidRPr="00827F40">
        <w:rPr>
          <w:color w:val="000000" w:themeColor="text1"/>
        </w:rPr>
        <w:tab/>
        <w:t xml:space="preserve">Encouraged continued cooperation with the Group of Experts on Energy Efficiency and its Task Force on Digitalization in Energy and proposed to join forces to further explore the contribution of digitalization to a more reliable, </w:t>
      </w:r>
      <w:proofErr w:type="gramStart"/>
      <w:r w:rsidRPr="00827F40">
        <w:rPr>
          <w:color w:val="000000" w:themeColor="text1"/>
        </w:rPr>
        <w:t>resilient</w:t>
      </w:r>
      <w:proofErr w:type="gramEnd"/>
      <w:r w:rsidRPr="00827F40">
        <w:rPr>
          <w:color w:val="000000" w:themeColor="text1"/>
        </w:rPr>
        <w:t xml:space="preserve"> and cleaner energy system, to expand outreach through the organization of, and active participation in </w:t>
      </w:r>
      <w:r w:rsidRPr="00827F40">
        <w:rPr>
          <w:color w:val="000000" w:themeColor="text1"/>
        </w:rPr>
        <w:lastRenderedPageBreak/>
        <w:t>seminars, technical conferences and other events and to further collaborate with industry groups and other UN regions. The Group of Experts will seek to complement content in cybersecurity and artificial intelligence use.</w:t>
      </w:r>
    </w:p>
    <w:p w14:paraId="775E2201" w14:textId="3A42B37E" w:rsidR="006F7083" w:rsidRPr="00827F40" w:rsidRDefault="00494AB2" w:rsidP="00494AB2">
      <w:pPr>
        <w:pStyle w:val="SingleTxtG"/>
        <w:ind w:firstLine="567"/>
        <w:rPr>
          <w:lang w:val="en-US"/>
        </w:rPr>
      </w:pPr>
      <w:r w:rsidRPr="00827F40">
        <w:rPr>
          <w:color w:val="000000" w:themeColor="text1"/>
        </w:rPr>
        <w:t>(</w:t>
      </w:r>
      <w:r w:rsidRPr="00827F40">
        <w:rPr>
          <w:color w:val="000000" w:themeColor="text1"/>
        </w:rPr>
        <w:t>e</w:t>
      </w:r>
      <w:r w:rsidRPr="00827F40">
        <w:rPr>
          <w:color w:val="000000" w:themeColor="text1"/>
        </w:rPr>
        <w:t>)</w:t>
      </w:r>
      <w:r w:rsidRPr="00827F40">
        <w:rPr>
          <w:color w:val="000000" w:themeColor="text1"/>
        </w:rPr>
        <w:tab/>
        <w:t>Agreed, in line with its mandate, to initiate an in</w:t>
      </w:r>
      <w:r w:rsidR="00C407CB" w:rsidRPr="00827F40">
        <w:rPr>
          <w:color w:val="000000" w:themeColor="text1"/>
        </w:rPr>
        <w:t>-</w:t>
      </w:r>
      <w:r w:rsidRPr="00827F40">
        <w:rPr>
          <w:color w:val="000000" w:themeColor="text1"/>
        </w:rPr>
        <w:t>depth work on electricity system resilience, as well as on the importance of transmission and distribution grid modernization and digitalization to mitigate the impacts of climate change. The Group of Experts agreed to also look at the role of electrification of the transportation sector, its impact on the electricity system, and at technology compatibility issues.</w:t>
      </w:r>
    </w:p>
    <w:p w14:paraId="6BD78E71" w14:textId="4BF50AD5" w:rsidR="0077305C" w:rsidRPr="00827F40" w:rsidRDefault="00D9468E" w:rsidP="00D9468E">
      <w:pPr>
        <w:pStyle w:val="H1G"/>
        <w:rPr>
          <w:sz w:val="28"/>
        </w:rPr>
      </w:pPr>
      <w:r w:rsidRPr="00827F40">
        <w:rPr>
          <w:sz w:val="28"/>
        </w:rPr>
        <w:tab/>
      </w:r>
      <w:r w:rsidR="00541CA6" w:rsidRPr="00827F40">
        <w:rPr>
          <w:sz w:val="28"/>
        </w:rPr>
        <w:t>IX</w:t>
      </w:r>
      <w:r w:rsidRPr="00827F40">
        <w:rPr>
          <w:sz w:val="28"/>
        </w:rPr>
        <w:t>.</w:t>
      </w:r>
      <w:r w:rsidRPr="00827F40">
        <w:rPr>
          <w:sz w:val="28"/>
        </w:rPr>
        <w:tab/>
      </w:r>
      <w:r w:rsidR="00541CA6" w:rsidRPr="00827F40">
        <w:rPr>
          <w:sz w:val="28"/>
        </w:rPr>
        <w:t>Exploring pathways for a balanced integration of electric mobility into power systems</w:t>
      </w:r>
      <w:r w:rsidR="00C51E69" w:rsidRPr="00827F40">
        <w:rPr>
          <w:sz w:val="28"/>
        </w:rPr>
        <w:t xml:space="preserve"> </w:t>
      </w:r>
      <w:r w:rsidR="00863180" w:rsidRPr="00827F40">
        <w:rPr>
          <w:sz w:val="28"/>
        </w:rPr>
        <w:t xml:space="preserve">(agenda item </w:t>
      </w:r>
      <w:r w:rsidR="00C732A3" w:rsidRPr="00827F40">
        <w:rPr>
          <w:sz w:val="28"/>
        </w:rPr>
        <w:t>8</w:t>
      </w:r>
      <w:r w:rsidR="00863180" w:rsidRPr="00827F40">
        <w:rPr>
          <w:sz w:val="28"/>
        </w:rPr>
        <w:t>)</w:t>
      </w:r>
    </w:p>
    <w:p w14:paraId="203EF346" w14:textId="53FC7840" w:rsidR="00F70CC8" w:rsidRPr="00827F40" w:rsidRDefault="00541CA6" w:rsidP="00541CA6">
      <w:pPr>
        <w:pStyle w:val="SingleTxtG"/>
      </w:pPr>
      <w:r w:rsidRPr="00827F40">
        <w:rPr>
          <w:lang w:val="en-US"/>
        </w:rPr>
        <w:t>22</w:t>
      </w:r>
      <w:r w:rsidR="007E2D92" w:rsidRPr="00827F40">
        <w:rPr>
          <w:lang w:val="en-US"/>
        </w:rPr>
        <w:t>.</w:t>
      </w:r>
      <w:r w:rsidR="007E2D92" w:rsidRPr="00827F40">
        <w:rPr>
          <w:lang w:val="en-US"/>
        </w:rPr>
        <w:tab/>
      </w:r>
      <w:r w:rsidR="00F70CC8" w:rsidRPr="00827F40">
        <w:t>The Group of Experts:</w:t>
      </w:r>
    </w:p>
    <w:p w14:paraId="4C76C523" w14:textId="5EB2ECA1" w:rsidR="00541CA6" w:rsidRPr="00827F40" w:rsidRDefault="0030582F" w:rsidP="00541CA6">
      <w:pPr>
        <w:pStyle w:val="SingleTxtG"/>
        <w:ind w:firstLine="567"/>
      </w:pPr>
      <w:r w:rsidRPr="00827F40">
        <w:t>(</w:t>
      </w:r>
      <w:r w:rsidR="00D42590" w:rsidRPr="00827F40">
        <w:t>a</w:t>
      </w:r>
      <w:r w:rsidRPr="00827F40">
        <w:t>)</w:t>
      </w:r>
      <w:r w:rsidRPr="00827F40">
        <w:tab/>
      </w:r>
      <w:r w:rsidR="00541CA6" w:rsidRPr="00827F40">
        <w:t>Reconfirmed that e-mobility will have as much impact on the design and operation of the electric grid as it will have on transportation systems themselves. Electric loads will grow significantly, and therefore location and operation of Electrical Vehicles (EV) chargers (private or public) need to be integrated with grid and resource planning.</w:t>
      </w:r>
    </w:p>
    <w:p w14:paraId="0375ACA1" w14:textId="41249C4D" w:rsidR="00541CA6" w:rsidRPr="00827F40" w:rsidRDefault="00541CA6" w:rsidP="00541CA6">
      <w:pPr>
        <w:pStyle w:val="SingleTxtG"/>
        <w:ind w:firstLine="567"/>
      </w:pPr>
      <w:r w:rsidRPr="00827F40">
        <w:t>(b)</w:t>
      </w:r>
      <w:r w:rsidRPr="00827F40">
        <w:tab/>
        <w:t>Recognized, in keeping with the observations made at the ECE Working Party on Transport Trends and Economics (WP.5) at its 36th session, that facilitating progress in electric mobility calls for the establishment of a dedicated informal task force focusing on coordinating efforts related to developments of EVs and their charging infrastructure both within ECE and beyond, in collaboration with other concerned institutions. Expressed readiness to work in close consultation with WP.5 and subsidiary bodies of the Committee on Sustainable Energy, notably the Group of Experts on Energy Efficiency, on the development of draft terms of reference for such a task force.</w:t>
      </w:r>
    </w:p>
    <w:p w14:paraId="231152AD" w14:textId="546C58F4" w:rsidR="00FA6385" w:rsidRPr="00827F40" w:rsidRDefault="00541CA6" w:rsidP="00541CA6">
      <w:pPr>
        <w:pStyle w:val="SingleTxtG"/>
        <w:ind w:firstLine="567"/>
      </w:pPr>
      <w:r w:rsidRPr="00827F40">
        <w:t>(c)</w:t>
      </w:r>
      <w:r w:rsidRPr="00827F40">
        <w:tab/>
        <w:t>Agreed to continue explore opportunities for securing in-kind contributions and extrabudgetary funding including from partner organizations for specific projects, notably focused on activities related to (i) consideration on the degree of integration of e-mobility into electricity systems and its impact on design and operations, (ii) charging management and (iii) workshops and seminars to better understand issues and share findings.</w:t>
      </w:r>
    </w:p>
    <w:p w14:paraId="7A2A5CD7" w14:textId="49555BB8" w:rsidR="00D9468E" w:rsidRPr="00827F40" w:rsidRDefault="00D9468E" w:rsidP="00E317F6">
      <w:pPr>
        <w:pStyle w:val="H1G"/>
        <w:rPr>
          <w:sz w:val="28"/>
          <w:szCs w:val="28"/>
        </w:rPr>
      </w:pPr>
      <w:r w:rsidRPr="00827F40">
        <w:rPr>
          <w:sz w:val="28"/>
        </w:rPr>
        <w:tab/>
      </w:r>
      <w:r w:rsidR="00D2318F" w:rsidRPr="00827F40">
        <w:rPr>
          <w:sz w:val="28"/>
        </w:rPr>
        <w:t>X</w:t>
      </w:r>
      <w:r w:rsidRPr="00827F40">
        <w:rPr>
          <w:sz w:val="28"/>
        </w:rPr>
        <w:t>.</w:t>
      </w:r>
      <w:r w:rsidRPr="00827F40">
        <w:rPr>
          <w:sz w:val="28"/>
        </w:rPr>
        <w:tab/>
      </w:r>
      <w:r w:rsidR="001D358D" w:rsidRPr="00827F40">
        <w:rPr>
          <w:sz w:val="28"/>
          <w:szCs w:val="28"/>
        </w:rPr>
        <w:t>Implementation of the Work Plan of the Group of Experts on Cleaner Electricity Systems for 2024-2025</w:t>
      </w:r>
      <w:r w:rsidR="001D358D" w:rsidRPr="00827F40">
        <w:rPr>
          <w:sz w:val="28"/>
          <w:szCs w:val="28"/>
        </w:rPr>
        <w:t xml:space="preserve"> </w:t>
      </w:r>
      <w:r w:rsidR="00F91A55" w:rsidRPr="00827F40">
        <w:rPr>
          <w:sz w:val="28"/>
          <w:szCs w:val="28"/>
        </w:rPr>
        <w:t xml:space="preserve">(agenda item </w:t>
      </w:r>
      <w:r w:rsidR="00D20EA6" w:rsidRPr="00827F40">
        <w:rPr>
          <w:sz w:val="28"/>
          <w:szCs w:val="28"/>
        </w:rPr>
        <w:t>9</w:t>
      </w:r>
      <w:r w:rsidR="00F91A55" w:rsidRPr="00827F40">
        <w:rPr>
          <w:sz w:val="28"/>
          <w:szCs w:val="28"/>
        </w:rPr>
        <w:t>)</w:t>
      </w:r>
    </w:p>
    <w:p w14:paraId="38427F0F" w14:textId="5DC802A9" w:rsidR="001D358D" w:rsidRPr="00827F40" w:rsidRDefault="001D358D" w:rsidP="00CF1D4B">
      <w:pPr>
        <w:pStyle w:val="SingleTxtG"/>
        <w:rPr>
          <w:lang w:val="en-US"/>
        </w:rPr>
      </w:pPr>
      <w:r w:rsidRPr="00827F40">
        <w:rPr>
          <w:rStyle w:val="normaltextrun"/>
          <w:i/>
          <w:iCs/>
          <w:color w:val="000000"/>
          <w:shd w:val="clear" w:color="auto" w:fill="FFFFFF"/>
        </w:rPr>
        <w:t>Documentation:</w:t>
      </w:r>
      <w:r w:rsidRPr="00827F40">
        <w:rPr>
          <w:rStyle w:val="tabchar"/>
          <w:rFonts w:ascii="Calibri" w:hAnsi="Calibri" w:cs="Calibri"/>
          <w:color w:val="000000"/>
          <w:shd w:val="clear" w:color="auto" w:fill="FFFFFF"/>
        </w:rPr>
        <w:tab/>
      </w:r>
      <w:r w:rsidRPr="00827F40">
        <w:rPr>
          <w:lang w:val="en-US"/>
        </w:rPr>
        <w:t>ECE/ENERGY/2023/9 – Work Plan of the Group of Experts on Cleaner Electricity Systems for 2024-2025</w:t>
      </w:r>
    </w:p>
    <w:p w14:paraId="7823C832" w14:textId="28837E76" w:rsidR="00B44535" w:rsidRPr="00827F40" w:rsidRDefault="00B44535" w:rsidP="00B44535">
      <w:pPr>
        <w:pStyle w:val="SingleTxtG"/>
      </w:pPr>
      <w:r w:rsidRPr="00827F40">
        <w:rPr>
          <w:lang w:val="en-US"/>
        </w:rPr>
        <w:t>23</w:t>
      </w:r>
      <w:r w:rsidRPr="00827F40">
        <w:t>.</w:t>
      </w:r>
      <w:r w:rsidRPr="00827F40">
        <w:tab/>
        <w:t>The Vice-Chair provided an update on the progress in implementation of the Work Plan of the Group of Experts for 2022-2023 (ECE/ENERGY/2021/8). The main thematic areas that formed the basis for the Group of Experts’ work in the 2022-2023 period include: (A) Electricity as a driver for achieving deep transformation of the energy system; (B) Technology interplay under a carbon neutral energy system; (C) Modernization and decarbonization of electric power systems in ECE subregions; (D) Digitalizing electricity systems.</w:t>
      </w:r>
    </w:p>
    <w:p w14:paraId="0FC4125E" w14:textId="7AE90C9D" w:rsidR="00B44535" w:rsidRPr="00827F40" w:rsidRDefault="00B44535" w:rsidP="00B44535">
      <w:pPr>
        <w:pStyle w:val="SingleTxtG"/>
      </w:pPr>
      <w:r w:rsidRPr="00827F40">
        <w:t>24</w:t>
      </w:r>
      <w:r w:rsidRPr="00827F40">
        <w:t>.</w:t>
      </w:r>
      <w:r w:rsidRPr="00827F40">
        <w:tab/>
        <w:t>The Group of Experts:</w:t>
      </w:r>
    </w:p>
    <w:p w14:paraId="70014F6D" w14:textId="77777777" w:rsidR="00B44535" w:rsidRPr="00827F40" w:rsidRDefault="00B44535" w:rsidP="00B44535">
      <w:pPr>
        <w:pStyle w:val="SingleTxtG"/>
        <w:ind w:firstLine="567"/>
      </w:pPr>
      <w:r w:rsidRPr="00827F40">
        <w:t>(a)</w:t>
      </w:r>
      <w:r w:rsidRPr="00827F40">
        <w:tab/>
        <w:t xml:space="preserve">Took note of the results achieved </w:t>
      </w:r>
      <w:proofErr w:type="gramStart"/>
      <w:r w:rsidRPr="00827F40">
        <w:t>in the course of</w:t>
      </w:r>
      <w:proofErr w:type="gramEnd"/>
      <w:r w:rsidRPr="00827F40">
        <w:t xml:space="preserve"> implementation of the Work Plan of the Group of Experts for 2022-2023.</w:t>
      </w:r>
    </w:p>
    <w:p w14:paraId="7D50FA09" w14:textId="77777777" w:rsidR="00B44535" w:rsidRPr="00827F40" w:rsidRDefault="00B44535" w:rsidP="00B44535">
      <w:pPr>
        <w:pStyle w:val="SingleTxtG"/>
        <w:ind w:firstLine="567"/>
      </w:pPr>
      <w:r w:rsidRPr="00827F40">
        <w:t>(b)</w:t>
      </w:r>
      <w:r w:rsidRPr="00827F40">
        <w:tab/>
        <w:t xml:space="preserve">Welcomed approval by the Committee on Sustainable Energy at its thirty-second session (13-15 September 2023) of the Work Plan of the Group of Experts for 2024-2025 (ECE/ENERGY/2023/9), which contains the following four sections: (A) Improving electricity system resiliency as an enabler for transformation of the energy system; (B) Supporting the creation of favourable power market design and financing conditions for the transformation of the electricity systems; (C) Assessing the contribution of digitalization to designing cleaner electricity systems; (D) Exploring the impact of e-mobility integration on </w:t>
      </w:r>
      <w:r w:rsidRPr="00827F40">
        <w:lastRenderedPageBreak/>
        <w:t>the electric system design and operation. The work plan identifies clear deliverables and timeline.</w:t>
      </w:r>
    </w:p>
    <w:p w14:paraId="26952BC6" w14:textId="77777777" w:rsidR="00B44535" w:rsidRPr="00827F40" w:rsidRDefault="00B44535" w:rsidP="00B44535">
      <w:pPr>
        <w:pStyle w:val="SingleTxtG"/>
        <w:ind w:firstLine="567"/>
      </w:pPr>
      <w:r w:rsidRPr="00827F40">
        <w:t>(c)</w:t>
      </w:r>
      <w:r w:rsidRPr="00827F40">
        <w:tab/>
        <w:t>Recognized that collaboration across the subsidiary bodies of the Committee on Sustainable Energy, the other ECE subprogrammes, and engagement of relevant external groups is key to ensure timely and quality deliverables.</w:t>
      </w:r>
    </w:p>
    <w:p w14:paraId="2EA6328D" w14:textId="43BD1230" w:rsidR="00863180" w:rsidRPr="00827F40" w:rsidRDefault="00B44535" w:rsidP="00B44535">
      <w:pPr>
        <w:pStyle w:val="SingleTxtG"/>
        <w:ind w:firstLine="567"/>
      </w:pPr>
      <w:r w:rsidRPr="00827F40">
        <w:t>(d)</w:t>
      </w:r>
      <w:r w:rsidRPr="00827F40">
        <w:tab/>
        <w:t xml:space="preserve">Deemed securing extrabudgetary resources critical for attainment of the objectives set forward in the Work Plan for </w:t>
      </w:r>
      <w:proofErr w:type="gramStart"/>
      <w:r w:rsidRPr="00827F40">
        <w:t>2024-2025, and</w:t>
      </w:r>
      <w:proofErr w:type="gramEnd"/>
      <w:r w:rsidRPr="00827F40">
        <w:t xml:space="preserve"> encouraged the Bureau to make efforts to explore funding opportunities through extrabudgetary projects.</w:t>
      </w:r>
    </w:p>
    <w:p w14:paraId="0B99C72A" w14:textId="777418F2" w:rsidR="000C0422" w:rsidRPr="00827F40" w:rsidRDefault="000C0422" w:rsidP="000C0422">
      <w:pPr>
        <w:pStyle w:val="H1G"/>
        <w:rPr>
          <w:sz w:val="28"/>
        </w:rPr>
      </w:pPr>
      <w:r w:rsidRPr="00827F40">
        <w:rPr>
          <w:sz w:val="28"/>
        </w:rPr>
        <w:tab/>
        <w:t>X</w:t>
      </w:r>
      <w:r w:rsidR="00093CB9" w:rsidRPr="00827F40">
        <w:rPr>
          <w:sz w:val="28"/>
        </w:rPr>
        <w:t>I</w:t>
      </w:r>
      <w:r w:rsidRPr="00827F40">
        <w:rPr>
          <w:sz w:val="28"/>
        </w:rPr>
        <w:t>.</w:t>
      </w:r>
      <w:r w:rsidRPr="00827F40">
        <w:rPr>
          <w:sz w:val="28"/>
        </w:rPr>
        <w:tab/>
        <w:t>Other business (agenda item 10)</w:t>
      </w:r>
    </w:p>
    <w:p w14:paraId="7AFE5F45" w14:textId="3399E23A" w:rsidR="000C0422" w:rsidRPr="00827F40" w:rsidRDefault="00D6507C" w:rsidP="000C0422">
      <w:pPr>
        <w:pStyle w:val="SingleTxtG"/>
      </w:pPr>
      <w:r w:rsidRPr="00827F40">
        <w:t>25</w:t>
      </w:r>
      <w:r w:rsidR="00656F48" w:rsidRPr="00827F40">
        <w:t>.</w:t>
      </w:r>
      <w:r w:rsidR="00656F48" w:rsidRPr="00827F40">
        <w:tab/>
      </w:r>
      <w:r w:rsidR="00D632A5" w:rsidRPr="00827F40">
        <w:t>At the time the draft report was prepared,</w:t>
      </w:r>
      <w:r w:rsidR="00D632A5" w:rsidRPr="00827F40" w:rsidDel="1D5FC60C">
        <w:t xml:space="preserve"> </w:t>
      </w:r>
      <w:r w:rsidR="00D632A5" w:rsidRPr="00827F40">
        <w:t>no issues were raised under this agenda item.</w:t>
      </w:r>
    </w:p>
    <w:p w14:paraId="6F754A4E" w14:textId="3BEDE364" w:rsidR="003A7EC1" w:rsidRPr="00827F40" w:rsidRDefault="003A7EC1" w:rsidP="003A7EC1">
      <w:pPr>
        <w:pStyle w:val="H1G"/>
        <w:rPr>
          <w:sz w:val="28"/>
        </w:rPr>
      </w:pPr>
      <w:r w:rsidRPr="00827F40">
        <w:rPr>
          <w:sz w:val="28"/>
        </w:rPr>
        <w:tab/>
        <w:t>XI</w:t>
      </w:r>
      <w:r w:rsidR="00093CB9" w:rsidRPr="00827F40">
        <w:rPr>
          <w:sz w:val="28"/>
        </w:rPr>
        <w:t>I</w:t>
      </w:r>
      <w:r w:rsidRPr="00827F40">
        <w:rPr>
          <w:sz w:val="28"/>
        </w:rPr>
        <w:t>.</w:t>
      </w:r>
      <w:r w:rsidRPr="00827F40">
        <w:rPr>
          <w:sz w:val="28"/>
        </w:rPr>
        <w:tab/>
        <w:t>Dates of the next meeting (agenda item 11)</w:t>
      </w:r>
    </w:p>
    <w:p w14:paraId="01B07ADD" w14:textId="19DD59AC" w:rsidR="003A7EC1" w:rsidRPr="00827F40" w:rsidRDefault="00D6507C" w:rsidP="003A7EC1">
      <w:pPr>
        <w:pStyle w:val="SingleTxtG"/>
      </w:pPr>
      <w:r w:rsidRPr="00827F40">
        <w:rPr>
          <w:lang w:val="en-US"/>
        </w:rPr>
        <w:t>26</w:t>
      </w:r>
      <w:r w:rsidR="003A7EC1" w:rsidRPr="00827F40">
        <w:rPr>
          <w:lang w:val="en-US"/>
        </w:rPr>
        <w:t>.</w:t>
      </w:r>
      <w:r w:rsidR="003A7EC1" w:rsidRPr="00827F40">
        <w:rPr>
          <w:lang w:val="en-US"/>
        </w:rPr>
        <w:tab/>
      </w:r>
      <w:r w:rsidR="00093CB9" w:rsidRPr="00827F40">
        <w:t>The twentieth session of the Group of Experts is scheduled to take place in Geneva on 16 and 17 September 2024.</w:t>
      </w:r>
    </w:p>
    <w:p w14:paraId="6A6632BF" w14:textId="4E95882A" w:rsidR="003A7EC1" w:rsidRPr="00827F40" w:rsidRDefault="003A7EC1" w:rsidP="003A7EC1">
      <w:pPr>
        <w:pStyle w:val="H1G"/>
        <w:rPr>
          <w:sz w:val="28"/>
        </w:rPr>
      </w:pPr>
      <w:r w:rsidRPr="00827F40">
        <w:rPr>
          <w:sz w:val="28"/>
        </w:rPr>
        <w:tab/>
        <w:t>XII.</w:t>
      </w:r>
      <w:r w:rsidRPr="00827F40">
        <w:rPr>
          <w:sz w:val="28"/>
        </w:rPr>
        <w:tab/>
      </w:r>
      <w:r w:rsidR="00D6507C" w:rsidRPr="00827F40">
        <w:rPr>
          <w:sz w:val="28"/>
        </w:rPr>
        <w:t>Adoption of conclusions and recommendations</w:t>
      </w:r>
      <w:r w:rsidR="00D6507C" w:rsidRPr="00827F40">
        <w:rPr>
          <w:sz w:val="28"/>
        </w:rPr>
        <w:t xml:space="preserve"> </w:t>
      </w:r>
      <w:r w:rsidRPr="00827F40">
        <w:rPr>
          <w:sz w:val="28"/>
        </w:rPr>
        <w:t>(agenda</w:t>
      </w:r>
      <w:r w:rsidR="00F35E9E" w:rsidRPr="00827F40">
        <w:rPr>
          <w:sz w:val="28"/>
        </w:rPr>
        <w:t xml:space="preserve"> </w:t>
      </w:r>
      <w:r w:rsidRPr="00827F40">
        <w:rPr>
          <w:sz w:val="28"/>
        </w:rPr>
        <w:t>item</w:t>
      </w:r>
      <w:r w:rsidR="00F35E9E" w:rsidRPr="00827F40">
        <w:rPr>
          <w:sz w:val="28"/>
        </w:rPr>
        <w:t xml:space="preserve"> </w:t>
      </w:r>
      <w:r w:rsidRPr="00827F40">
        <w:rPr>
          <w:sz w:val="28"/>
        </w:rPr>
        <w:t>12)</w:t>
      </w:r>
    </w:p>
    <w:p w14:paraId="3E1FED35" w14:textId="2B4F12F1" w:rsidR="00E84791" w:rsidRPr="00827F40" w:rsidRDefault="003A7EC1" w:rsidP="003A7EC1">
      <w:pPr>
        <w:pStyle w:val="SingleTxtG"/>
        <w:ind w:left="2829" w:hanging="1695"/>
      </w:pPr>
      <w:r w:rsidRPr="00827F40">
        <w:rPr>
          <w:i/>
          <w:iCs/>
        </w:rPr>
        <w:t>Documentation:</w:t>
      </w:r>
      <w:r w:rsidRPr="00827F40">
        <w:tab/>
      </w:r>
      <w:r w:rsidR="636AAC1B" w:rsidRPr="00827F40">
        <w:t>GECES-19/2023</w:t>
      </w:r>
      <w:r w:rsidR="00E84791" w:rsidRPr="00827F40">
        <w:t>/INF.1</w:t>
      </w:r>
      <w:r w:rsidR="00E84791" w:rsidRPr="00827F40">
        <w:t xml:space="preserve"> – Draft conclusions and recommendations arising from the ninth session of the Group of Experts on </w:t>
      </w:r>
      <w:r w:rsidR="7CB263BB" w:rsidRPr="00827F40">
        <w:t>Cleaner Electricity Systems</w:t>
      </w:r>
    </w:p>
    <w:p w14:paraId="4E0E1234" w14:textId="228A9167" w:rsidR="00002C37" w:rsidRPr="00827F40" w:rsidRDefault="00002C37" w:rsidP="00002C37">
      <w:pPr>
        <w:pStyle w:val="SingleTxtG"/>
      </w:pPr>
      <w:r w:rsidRPr="00827F40">
        <w:rPr>
          <w:lang w:val="en-US"/>
        </w:rPr>
        <w:t>27</w:t>
      </w:r>
      <w:r w:rsidRPr="00827F40">
        <w:rPr>
          <w:lang w:val="en-US"/>
        </w:rPr>
        <w:t>.</w:t>
      </w:r>
      <w:r w:rsidRPr="00827F40">
        <w:tab/>
        <w:t xml:space="preserve">Draft conclusions and recommendations arising from the </w:t>
      </w:r>
      <w:r w:rsidRPr="00827F40">
        <w:t>nin</w:t>
      </w:r>
      <w:r w:rsidR="2A78FBBB" w:rsidRPr="00827F40">
        <w:t>eteenth</w:t>
      </w:r>
      <w:r w:rsidRPr="00827F40">
        <w:t xml:space="preserve"> session of the Group of Experts on </w:t>
      </w:r>
      <w:r w:rsidR="65FF4E0F" w:rsidRPr="00827F40">
        <w:t>Cleaner Electricity Systems</w:t>
      </w:r>
      <w:r w:rsidRPr="00827F40">
        <w:t xml:space="preserve"> (GECES-19/2023/INF.1) were circulated to participants and Geneva Permanent Representations.</w:t>
      </w:r>
    </w:p>
    <w:p w14:paraId="5E97547F" w14:textId="38F8CE2C" w:rsidR="00D6507C" w:rsidRPr="00827F40" w:rsidRDefault="00D6507C" w:rsidP="00D6507C">
      <w:pPr>
        <w:pStyle w:val="SingleTxtG"/>
      </w:pPr>
      <w:r w:rsidRPr="00827F40">
        <w:t>2</w:t>
      </w:r>
      <w:r w:rsidR="00002C37" w:rsidRPr="00827F40">
        <w:t>8</w:t>
      </w:r>
      <w:r w:rsidRPr="00827F40">
        <w:t>.</w:t>
      </w:r>
      <w:r w:rsidRPr="00827F40">
        <w:tab/>
        <w:t xml:space="preserve">The Group of Experts adopted the conclusions and recommendations arising from </w:t>
      </w:r>
      <w:r w:rsidR="00002C37" w:rsidRPr="00827F40">
        <w:t>its</w:t>
      </w:r>
      <w:r w:rsidRPr="00827F40">
        <w:t xml:space="preserve"> nineteenth session</w:t>
      </w:r>
      <w:r w:rsidR="00ED5249" w:rsidRPr="00827F40">
        <w:t xml:space="preserve">, </w:t>
      </w:r>
      <w:r w:rsidR="00ED5249" w:rsidRPr="00827F40">
        <w:t xml:space="preserve">which </w:t>
      </w:r>
      <w:r w:rsidR="00ED5249" w:rsidRPr="00827F40">
        <w:rPr>
          <w:rStyle w:val="SingleTxtGCar"/>
          <w:color w:val="000000" w:themeColor="text1"/>
        </w:rPr>
        <w:t>are included under the relevant agenda items highlighted in this report</w:t>
      </w:r>
      <w:r w:rsidRPr="00827F40">
        <w:t>.</w:t>
      </w:r>
    </w:p>
    <w:p w14:paraId="7B7CB8E6" w14:textId="7697CD48" w:rsidR="00D6507C" w:rsidRPr="00827F40" w:rsidRDefault="00D6507C" w:rsidP="00D6507C">
      <w:pPr>
        <w:pStyle w:val="H1G"/>
        <w:rPr>
          <w:sz w:val="28"/>
        </w:rPr>
      </w:pPr>
      <w:r w:rsidRPr="00827F40">
        <w:rPr>
          <w:sz w:val="28"/>
        </w:rPr>
        <w:tab/>
        <w:t>XII</w:t>
      </w:r>
      <w:r w:rsidRPr="00827F40">
        <w:rPr>
          <w:sz w:val="28"/>
        </w:rPr>
        <w:t>I</w:t>
      </w:r>
      <w:r w:rsidRPr="00827F40">
        <w:rPr>
          <w:sz w:val="28"/>
        </w:rPr>
        <w:t>.</w:t>
      </w:r>
      <w:r w:rsidRPr="00827F40">
        <w:rPr>
          <w:sz w:val="28"/>
        </w:rPr>
        <w:tab/>
        <w:t>Adoption of the report and close of the meeting</w:t>
      </w:r>
      <w:r w:rsidRPr="00827F40">
        <w:rPr>
          <w:sz w:val="28"/>
        </w:rPr>
        <w:t xml:space="preserve"> </w:t>
      </w:r>
      <w:r w:rsidRPr="00827F40">
        <w:rPr>
          <w:sz w:val="28"/>
        </w:rPr>
        <w:t>(agenda item 1</w:t>
      </w:r>
      <w:r w:rsidRPr="00827F40">
        <w:rPr>
          <w:sz w:val="28"/>
        </w:rPr>
        <w:t>3</w:t>
      </w:r>
      <w:r w:rsidRPr="00827F40">
        <w:rPr>
          <w:sz w:val="28"/>
        </w:rPr>
        <w:t>)</w:t>
      </w:r>
    </w:p>
    <w:p w14:paraId="6DB5A7A5" w14:textId="3FFE7361" w:rsidR="003A7EC1" w:rsidRPr="00827F40" w:rsidRDefault="009011F3" w:rsidP="009011F3">
      <w:pPr>
        <w:pStyle w:val="SingleTxtG"/>
        <w:ind w:left="2829" w:hanging="1695"/>
      </w:pPr>
      <w:r w:rsidRPr="00827F40">
        <w:rPr>
          <w:i/>
        </w:rPr>
        <w:t>Documentation:</w:t>
      </w:r>
      <w:r w:rsidRPr="00827F40">
        <w:tab/>
      </w:r>
      <w:r w:rsidR="003A7EC1" w:rsidRPr="00827F40">
        <w:t>ECE/ENERGY/GE.</w:t>
      </w:r>
      <w:r w:rsidR="00ED5249" w:rsidRPr="00827F40">
        <w:t>5</w:t>
      </w:r>
      <w:r w:rsidR="003A7EC1" w:rsidRPr="00827F40">
        <w:t>/202</w:t>
      </w:r>
      <w:r w:rsidR="00ED5249" w:rsidRPr="00827F40">
        <w:t>3</w:t>
      </w:r>
      <w:r w:rsidR="003A7EC1" w:rsidRPr="00827F40">
        <w:t xml:space="preserve">/2 – Report of the Group of Experts on </w:t>
      </w:r>
      <w:r w:rsidR="00ED5249" w:rsidRPr="00827F40">
        <w:t>Cleaner Electricity Systems</w:t>
      </w:r>
      <w:r w:rsidR="003A7EC1" w:rsidRPr="00827F40">
        <w:t xml:space="preserve"> on its </w:t>
      </w:r>
      <w:r w:rsidR="00ED5249" w:rsidRPr="00827F40">
        <w:t>nineteenth</w:t>
      </w:r>
      <w:r w:rsidR="003A7EC1" w:rsidRPr="00827F40">
        <w:t xml:space="preserve"> session</w:t>
      </w:r>
    </w:p>
    <w:p w14:paraId="6AE66742" w14:textId="6F335530" w:rsidR="003A7EC1" w:rsidRPr="00827F40" w:rsidRDefault="00ED5249" w:rsidP="003A7EC1">
      <w:pPr>
        <w:pStyle w:val="SingleTxtG"/>
      </w:pPr>
      <w:r w:rsidRPr="00827F40">
        <w:t>29</w:t>
      </w:r>
      <w:r w:rsidR="003A7EC1" w:rsidRPr="00827F40">
        <w:rPr>
          <w:lang w:val="en-US"/>
        </w:rPr>
        <w:t>.</w:t>
      </w:r>
      <w:r w:rsidR="003A7EC1" w:rsidRPr="00827F40">
        <w:rPr>
          <w:lang w:val="en-US"/>
        </w:rPr>
        <w:tab/>
      </w:r>
      <w:r w:rsidR="003A7EC1" w:rsidRPr="00827F40">
        <w:t xml:space="preserve">The </w:t>
      </w:r>
      <w:r w:rsidRPr="00827F40">
        <w:t>Vice-</w:t>
      </w:r>
      <w:r w:rsidR="003A7EC1" w:rsidRPr="00827F40">
        <w:t>Chair of the Group of Experts, with the assistance of the secretariat, summarized the discussions</w:t>
      </w:r>
      <w:r w:rsidR="0087746F" w:rsidRPr="00827F40">
        <w:t xml:space="preserve"> in a report</w:t>
      </w:r>
      <w:r w:rsidR="003A7EC1" w:rsidRPr="00827F40">
        <w:t>, reflecting in a concise and factual manner the views expressed by participants.</w:t>
      </w:r>
    </w:p>
    <w:p w14:paraId="65030E11" w14:textId="077F094A" w:rsidR="0087746F" w:rsidRPr="00827F40" w:rsidRDefault="0087746F" w:rsidP="00A02ED0">
      <w:pPr>
        <w:pStyle w:val="SingleTxtG"/>
      </w:pPr>
      <w:r w:rsidRPr="00827F40">
        <w:t>30</w:t>
      </w:r>
      <w:r w:rsidR="003A7EC1" w:rsidRPr="00827F40">
        <w:t>.</w:t>
      </w:r>
      <w:r w:rsidR="003A7EC1" w:rsidRPr="00827F40">
        <w:tab/>
      </w:r>
      <w:r w:rsidR="000964C6" w:rsidRPr="00827F40">
        <w:t xml:space="preserve">The report of the </w:t>
      </w:r>
      <w:r w:rsidRPr="00827F40">
        <w:t>session</w:t>
      </w:r>
      <w:r w:rsidR="000964C6" w:rsidRPr="00827F40">
        <w:t xml:space="preserve"> was adopted subject to any necessary editing and formatting</w:t>
      </w:r>
      <w:r w:rsidR="003A7EC1" w:rsidRPr="00827F40">
        <w:t>.</w:t>
      </w:r>
    </w:p>
    <w:p w14:paraId="0E8BA53A" w14:textId="0DC7D23F" w:rsidR="003A7EC1" w:rsidRDefault="0087746F" w:rsidP="00A02ED0">
      <w:pPr>
        <w:pStyle w:val="SingleTxtG"/>
      </w:pPr>
      <w:r w:rsidRPr="00827F40">
        <w:t>31.</w:t>
      </w:r>
      <w:r w:rsidRPr="00827F40">
        <w:tab/>
      </w:r>
      <w:r w:rsidR="003A7EC1" w:rsidRPr="00827F40">
        <w:t xml:space="preserve">Following that, the </w:t>
      </w:r>
      <w:r w:rsidR="00851273" w:rsidRPr="00827F40">
        <w:t>session</w:t>
      </w:r>
      <w:r w:rsidR="00677422" w:rsidRPr="00827F40">
        <w:t xml:space="preserve"> was closed</w:t>
      </w:r>
      <w:r w:rsidR="003A7EC1" w:rsidRPr="00827F40">
        <w:t>.</w:t>
      </w:r>
    </w:p>
    <w:p w14:paraId="7D4587BD" w14:textId="77777777" w:rsidR="003A7EC1" w:rsidRDefault="003A7EC1" w:rsidP="005C01DD">
      <w:pPr>
        <w:pStyle w:val="SingleTxtG"/>
        <w:ind w:firstLine="567"/>
      </w:pPr>
    </w:p>
    <w:p w14:paraId="73EDBF05" w14:textId="77777777" w:rsidR="00D9468E" w:rsidRPr="00D9468E" w:rsidRDefault="00D9468E" w:rsidP="00D9468E">
      <w:pPr>
        <w:spacing w:before="240"/>
        <w:jc w:val="center"/>
        <w:rPr>
          <w:u w:val="single"/>
        </w:rPr>
      </w:pPr>
      <w:r>
        <w:rPr>
          <w:u w:val="single"/>
        </w:rPr>
        <w:tab/>
      </w:r>
      <w:r>
        <w:rPr>
          <w:u w:val="single"/>
        </w:rPr>
        <w:tab/>
      </w:r>
      <w:r>
        <w:rPr>
          <w:u w:val="single"/>
        </w:rPr>
        <w:tab/>
      </w:r>
    </w:p>
    <w:sectPr w:rsidR="00D9468E" w:rsidRPr="00D9468E" w:rsidSect="00C75F6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0E5E1" w14:textId="77777777" w:rsidR="005A4D1F" w:rsidRDefault="005A4D1F"/>
  </w:endnote>
  <w:endnote w:type="continuationSeparator" w:id="0">
    <w:p w14:paraId="101E5A4A" w14:textId="77777777" w:rsidR="005A4D1F" w:rsidRDefault="005A4D1F"/>
  </w:endnote>
  <w:endnote w:type="continuationNotice" w:id="1">
    <w:p w14:paraId="329414FD" w14:textId="77777777" w:rsidR="005A4D1F" w:rsidRDefault="005A4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5A7E" w14:textId="77777777" w:rsidR="00900C6A" w:rsidRPr="00865748" w:rsidRDefault="00900C6A" w:rsidP="00865748">
    <w:pPr>
      <w:pStyle w:val="Footer"/>
      <w:tabs>
        <w:tab w:val="right" w:pos="9638"/>
      </w:tabs>
      <w:rPr>
        <w:sz w:val="18"/>
      </w:rPr>
    </w:pPr>
    <w:r w:rsidRPr="00865748">
      <w:rPr>
        <w:b/>
        <w:sz w:val="18"/>
      </w:rPr>
      <w:fldChar w:fldCharType="begin"/>
    </w:r>
    <w:r w:rsidRPr="00865748">
      <w:rPr>
        <w:b/>
        <w:sz w:val="18"/>
      </w:rPr>
      <w:instrText xml:space="preserve"> PAGE  \* MERGEFORMAT </w:instrText>
    </w:r>
    <w:r w:rsidRPr="00865748">
      <w:rPr>
        <w:b/>
        <w:sz w:val="18"/>
      </w:rPr>
      <w:fldChar w:fldCharType="separate"/>
    </w:r>
    <w:r w:rsidRPr="00865748">
      <w:rPr>
        <w:b/>
        <w:noProof/>
        <w:sz w:val="18"/>
      </w:rPr>
      <w:t>2</w:t>
    </w:r>
    <w:r w:rsidRPr="0086574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BDDE" w14:textId="77777777" w:rsidR="00900C6A" w:rsidRPr="00865748" w:rsidRDefault="00900C6A" w:rsidP="00865748">
    <w:pPr>
      <w:pStyle w:val="Footer"/>
      <w:tabs>
        <w:tab w:val="right" w:pos="9638"/>
      </w:tabs>
      <w:rPr>
        <w:b/>
        <w:sz w:val="18"/>
      </w:rPr>
    </w:pPr>
    <w:r>
      <w:tab/>
    </w:r>
    <w:r w:rsidRPr="00865748">
      <w:rPr>
        <w:b/>
        <w:sz w:val="18"/>
      </w:rPr>
      <w:fldChar w:fldCharType="begin"/>
    </w:r>
    <w:r w:rsidRPr="00865748">
      <w:rPr>
        <w:b/>
        <w:sz w:val="18"/>
      </w:rPr>
      <w:instrText xml:space="preserve"> PAGE  \* MERGEFORMAT </w:instrText>
    </w:r>
    <w:r w:rsidRPr="00865748">
      <w:rPr>
        <w:b/>
        <w:sz w:val="18"/>
      </w:rPr>
      <w:fldChar w:fldCharType="separate"/>
    </w:r>
    <w:r w:rsidRPr="00865748">
      <w:rPr>
        <w:b/>
        <w:noProof/>
        <w:sz w:val="18"/>
      </w:rPr>
      <w:t>3</w:t>
    </w:r>
    <w:r w:rsidRPr="008657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949B" w14:textId="77777777" w:rsidR="00900C6A" w:rsidRPr="00865748" w:rsidRDefault="00900C6A">
    <w:pPr>
      <w:pStyle w:val="Footer"/>
      <w:rPr>
        <w:sz w:val="20"/>
      </w:rPr>
    </w:pPr>
    <w:r>
      <w:rPr>
        <w:noProof/>
        <w:lang w:val="fr-CH" w:eastAsia="fr-CH"/>
      </w:rPr>
      <w:drawing>
        <wp:anchor distT="0" distB="0" distL="114300" distR="114300" simplePos="0" relativeHeight="251658240" behindDoc="0" locked="1" layoutInCell="1" allowOverlap="1" wp14:anchorId="53E4BE0F" wp14:editId="095C1F84">
          <wp:simplePos x="0" y="0"/>
          <wp:positionH relativeFrom="margin">
            <wp:posOffset>5147945</wp:posOffset>
          </wp:positionH>
          <wp:positionV relativeFrom="margin">
            <wp:posOffset>9071610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CA6DA" w14:textId="77777777" w:rsidR="005A4D1F" w:rsidRPr="000B175B" w:rsidRDefault="005A4D1F" w:rsidP="000B175B">
      <w:pPr>
        <w:tabs>
          <w:tab w:val="right" w:pos="2155"/>
        </w:tabs>
        <w:spacing w:after="80"/>
        <w:ind w:left="680"/>
        <w:rPr>
          <w:u w:val="single"/>
        </w:rPr>
      </w:pPr>
      <w:r>
        <w:rPr>
          <w:u w:val="single"/>
        </w:rPr>
        <w:tab/>
      </w:r>
    </w:p>
  </w:footnote>
  <w:footnote w:type="continuationSeparator" w:id="0">
    <w:p w14:paraId="4B658B5D" w14:textId="77777777" w:rsidR="005A4D1F" w:rsidRPr="00FC68B7" w:rsidRDefault="005A4D1F" w:rsidP="00FC68B7">
      <w:pPr>
        <w:tabs>
          <w:tab w:val="left" w:pos="2155"/>
        </w:tabs>
        <w:spacing w:after="80"/>
        <w:ind w:left="680"/>
        <w:rPr>
          <w:u w:val="single"/>
        </w:rPr>
      </w:pPr>
      <w:r>
        <w:rPr>
          <w:u w:val="single"/>
        </w:rPr>
        <w:tab/>
      </w:r>
    </w:p>
  </w:footnote>
  <w:footnote w:type="continuationNotice" w:id="1">
    <w:p w14:paraId="4B3D48BF" w14:textId="77777777" w:rsidR="005A4D1F" w:rsidRDefault="005A4D1F"/>
  </w:footnote>
  <w:footnote w:id="2">
    <w:p w14:paraId="1A7A941A" w14:textId="2425B8D6" w:rsidR="005E082A" w:rsidRPr="009E6DAA" w:rsidRDefault="005E082A" w:rsidP="005E082A">
      <w:pPr>
        <w:pStyle w:val="FootnoteText"/>
        <w:widowControl w:val="0"/>
        <w:tabs>
          <w:tab w:val="clear" w:pos="1021"/>
          <w:tab w:val="right" w:pos="1020"/>
        </w:tabs>
        <w:ind w:right="1089"/>
        <w:jc w:val="both"/>
      </w:pPr>
      <w:r>
        <w:tab/>
      </w:r>
      <w:r>
        <w:rPr>
          <w:rStyle w:val="FootnoteReference"/>
        </w:rPr>
        <w:footnoteRef/>
      </w:r>
      <w:r w:rsidRPr="00481479">
        <w:tab/>
      </w:r>
      <w:r w:rsidRPr="009856E0">
        <w:t>Official documents</w:t>
      </w:r>
      <w:r>
        <w:t xml:space="preserve">, </w:t>
      </w:r>
      <w:r w:rsidRPr="009856E0">
        <w:t>room documents</w:t>
      </w:r>
      <w:r>
        <w:t>,</w:t>
      </w:r>
      <w:r w:rsidRPr="009856E0">
        <w:t xml:space="preserve"> presentations</w:t>
      </w:r>
      <w:r w:rsidR="00D82251">
        <w:t xml:space="preserve"> and video addresses</w:t>
      </w:r>
      <w:r w:rsidRPr="009856E0">
        <w:t xml:space="preserve"> delivered at the meeting</w:t>
      </w:r>
      <w:r w:rsidR="006C3B1D">
        <w:t xml:space="preserve">, </w:t>
      </w:r>
      <w:r w:rsidR="007916B3">
        <w:t>as well as</w:t>
      </w:r>
      <w:r w:rsidR="006C3B1D">
        <w:t xml:space="preserve"> other relevant materials</w:t>
      </w:r>
      <w:r w:rsidRPr="009856E0">
        <w:t xml:space="preserve"> are available on the ECE website </w:t>
      </w:r>
      <w:r>
        <w:t xml:space="preserve">(see </w:t>
      </w:r>
      <w:hyperlink r:id="rId1" w:history="1">
        <w:r w:rsidR="00FB10DC" w:rsidRPr="004E5641">
          <w:rPr>
            <w:rStyle w:val="Hyperlink"/>
          </w:rPr>
          <w:t>https://unece.org/sustainable-energy/events/group-experts-cleaner-electricity-systems-nineteenth-session</w:t>
        </w:r>
      </w:hyperlink>
      <w:r>
        <w:t xml:space="preserve">). </w:t>
      </w:r>
      <w:r w:rsidRPr="009856E0">
        <w:t xml:space="preserve">Official documents of the session are </w:t>
      </w:r>
      <w:r>
        <w:t xml:space="preserve">also </w:t>
      </w:r>
      <w:r w:rsidRPr="009856E0">
        <w:t>available at</w:t>
      </w:r>
      <w:r>
        <w:t xml:space="preserve"> </w:t>
      </w:r>
      <w:r w:rsidRPr="005B72E1">
        <w:t>Official Document System of the United Nations</w:t>
      </w:r>
      <w:r>
        <w:t xml:space="preserve"> (see</w:t>
      </w:r>
      <w:r w:rsidRPr="005B72E1">
        <w:t xml:space="preserve"> </w:t>
      </w:r>
      <w:hyperlink r:id="rId2" w:history="1">
        <w:r w:rsidRPr="00BB372C">
          <w:rPr>
            <w:rStyle w:val="Hyperlink"/>
          </w:rPr>
          <w:t>http://documents.un.org/</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93C9" w14:textId="409745B3" w:rsidR="00900C6A" w:rsidRPr="00865748" w:rsidRDefault="0037054C">
    <w:pPr>
      <w:pStyle w:val="Header"/>
    </w:pPr>
    <w:r w:rsidRPr="0037054C">
      <w:rPr>
        <w:color w:val="FF0000"/>
      </w:rPr>
      <w:t xml:space="preserve">DRAFT </w:t>
    </w:r>
    <w:r w:rsidR="00C700BA">
      <w:fldChar w:fldCharType="begin"/>
    </w:r>
    <w:r w:rsidR="00C700BA">
      <w:instrText>TITLE  \* MERGEFORMAT</w:instrText>
    </w:r>
    <w:r w:rsidR="00C700BA">
      <w:fldChar w:fldCharType="separate"/>
    </w:r>
    <w:r w:rsidR="00900C6A">
      <w:t>GE</w:t>
    </w:r>
    <w:r w:rsidR="00B63860">
      <w:t>C</w:t>
    </w:r>
    <w:r w:rsidR="00C51E69">
      <w:t>E</w:t>
    </w:r>
    <w:r w:rsidR="00B63860">
      <w:t>S</w:t>
    </w:r>
    <w:r w:rsidR="00C51E69">
      <w:t>-</w:t>
    </w:r>
    <w:r w:rsidR="00B63860">
      <w:t>1</w:t>
    </w:r>
    <w:r w:rsidR="009F1C58">
      <w:t>9</w:t>
    </w:r>
    <w:r w:rsidR="00900C6A">
      <w:t>/</w:t>
    </w:r>
    <w:r w:rsidR="009F1C58">
      <w:t>202</w:t>
    </w:r>
    <w:r w:rsidR="00B63860">
      <w:t>3</w:t>
    </w:r>
    <w:r w:rsidR="00900C6A">
      <w:t>/INF.1</w:t>
    </w:r>
    <w:r w:rsidR="00C700BA">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8CDA" w14:textId="3645C644" w:rsidR="00900C6A" w:rsidRPr="00865748" w:rsidRDefault="0037054C" w:rsidP="00865748">
    <w:pPr>
      <w:pStyle w:val="Header"/>
      <w:jc w:val="right"/>
    </w:pPr>
    <w:r w:rsidRPr="0037054C">
      <w:rPr>
        <w:color w:val="FF0000"/>
      </w:rPr>
      <w:t xml:space="preserve">DRAFT </w:t>
    </w:r>
    <w:r w:rsidR="00C700BA">
      <w:fldChar w:fldCharType="begin"/>
    </w:r>
    <w:r w:rsidR="00C700BA">
      <w:instrText>TITLE  \* MERGEFORMAT</w:instrText>
    </w:r>
    <w:r w:rsidR="00C700BA">
      <w:fldChar w:fldCharType="separate"/>
    </w:r>
    <w:r w:rsidR="00900C6A">
      <w:t>GE</w:t>
    </w:r>
    <w:r w:rsidR="00B63860">
      <w:t>C</w:t>
    </w:r>
    <w:r w:rsidR="009F5BE2">
      <w:t>E</w:t>
    </w:r>
    <w:r w:rsidR="00B63860">
      <w:t>S</w:t>
    </w:r>
    <w:r w:rsidR="009F5BE2">
      <w:t>-</w:t>
    </w:r>
    <w:r w:rsidR="00B63860">
      <w:t>1</w:t>
    </w:r>
    <w:r w:rsidR="006F525A">
      <w:t>9</w:t>
    </w:r>
    <w:r w:rsidR="00900C6A">
      <w:t>/202</w:t>
    </w:r>
    <w:r w:rsidR="00B63860">
      <w:t>3</w:t>
    </w:r>
    <w:r w:rsidR="00900C6A">
      <w:t>/INF.1</w:t>
    </w:r>
    <w:r w:rsidR="00C700B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E89A" w14:textId="1834A502" w:rsidR="009F1C58" w:rsidRPr="00680289" w:rsidRDefault="009F1C58" w:rsidP="00680289">
    <w:pPr>
      <w:pStyle w:val="Header"/>
      <w:ind w:righ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88C753A"/>
    <w:multiLevelType w:val="multilevel"/>
    <w:tmpl w:val="032A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03A14"/>
    <w:multiLevelType w:val="multilevel"/>
    <w:tmpl w:val="0EE001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9006" w:hanging="360"/>
      </w:pPr>
      <w:rPr>
        <w:rFonts w:ascii="Times New Roman" w:eastAsia="SimSu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04A5A5B"/>
    <w:multiLevelType w:val="multilevel"/>
    <w:tmpl w:val="4718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6F4E3F"/>
    <w:multiLevelType w:val="hybridMultilevel"/>
    <w:tmpl w:val="04325F5E"/>
    <w:lvl w:ilvl="0" w:tplc="EDC66CEE">
      <w:start w:val="1"/>
      <w:numFmt w:val="lowerLetter"/>
      <w:lvlText w:val="(%1)"/>
      <w:lvlJc w:val="left"/>
      <w:pPr>
        <w:ind w:left="2421" w:hanging="360"/>
      </w:pPr>
      <w:rPr>
        <w:rFonts w:ascii="Times New Roman" w:eastAsia="Times New Roman" w:hAnsi="Times New Roman" w:cs="Times New Roman"/>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E473B1"/>
    <w:multiLevelType w:val="multilevel"/>
    <w:tmpl w:val="5E8E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0071917">
    <w:abstractNumId w:val="1"/>
  </w:num>
  <w:num w:numId="2" w16cid:durableId="2028828477">
    <w:abstractNumId w:val="0"/>
  </w:num>
  <w:num w:numId="3" w16cid:durableId="498618702">
    <w:abstractNumId w:val="2"/>
  </w:num>
  <w:num w:numId="4" w16cid:durableId="216405028">
    <w:abstractNumId w:val="3"/>
  </w:num>
  <w:num w:numId="5" w16cid:durableId="675153520">
    <w:abstractNumId w:val="8"/>
  </w:num>
  <w:num w:numId="6" w16cid:durableId="1755205680">
    <w:abstractNumId w:val="9"/>
  </w:num>
  <w:num w:numId="7" w16cid:durableId="40520656">
    <w:abstractNumId w:val="7"/>
  </w:num>
  <w:num w:numId="8" w16cid:durableId="1144085973">
    <w:abstractNumId w:val="6"/>
  </w:num>
  <w:num w:numId="9" w16cid:durableId="193152449">
    <w:abstractNumId w:val="5"/>
  </w:num>
  <w:num w:numId="10" w16cid:durableId="1962876107">
    <w:abstractNumId w:val="4"/>
  </w:num>
  <w:num w:numId="11" w16cid:durableId="2034648629">
    <w:abstractNumId w:val="17"/>
  </w:num>
  <w:num w:numId="12" w16cid:durableId="404575169">
    <w:abstractNumId w:val="15"/>
  </w:num>
  <w:num w:numId="13" w16cid:durableId="1416901624">
    <w:abstractNumId w:val="10"/>
  </w:num>
  <w:num w:numId="14" w16cid:durableId="1008797316">
    <w:abstractNumId w:val="13"/>
  </w:num>
  <w:num w:numId="15" w16cid:durableId="333068216">
    <w:abstractNumId w:val="18"/>
  </w:num>
  <w:num w:numId="16" w16cid:durableId="682972794">
    <w:abstractNumId w:val="14"/>
  </w:num>
  <w:num w:numId="17" w16cid:durableId="601036359">
    <w:abstractNumId w:val="21"/>
  </w:num>
  <w:num w:numId="18" w16cid:durableId="626473723">
    <w:abstractNumId w:val="22"/>
  </w:num>
  <w:num w:numId="19" w16cid:durableId="1600332432">
    <w:abstractNumId w:val="11"/>
  </w:num>
  <w:num w:numId="20" w16cid:durableId="743995504">
    <w:abstractNumId w:val="20"/>
  </w:num>
  <w:num w:numId="21" w16cid:durableId="1510752835">
    <w:abstractNumId w:val="23"/>
  </w:num>
  <w:num w:numId="22" w16cid:durableId="828792460">
    <w:abstractNumId w:val="19"/>
  </w:num>
  <w:num w:numId="23" w16cid:durableId="686297062">
    <w:abstractNumId w:val="12"/>
  </w:num>
  <w:num w:numId="24" w16cid:durableId="45187194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48"/>
    <w:rsid w:val="00002580"/>
    <w:rsid w:val="00002A7D"/>
    <w:rsid w:val="00002C37"/>
    <w:rsid w:val="000038A8"/>
    <w:rsid w:val="00004208"/>
    <w:rsid w:val="000048F3"/>
    <w:rsid w:val="00005E57"/>
    <w:rsid w:val="0000609B"/>
    <w:rsid w:val="00006790"/>
    <w:rsid w:val="00007D8D"/>
    <w:rsid w:val="00012A48"/>
    <w:rsid w:val="0001407A"/>
    <w:rsid w:val="00014C42"/>
    <w:rsid w:val="00015AFC"/>
    <w:rsid w:val="00017949"/>
    <w:rsid w:val="00027624"/>
    <w:rsid w:val="0003656F"/>
    <w:rsid w:val="00040A3E"/>
    <w:rsid w:val="00040C58"/>
    <w:rsid w:val="00047B2A"/>
    <w:rsid w:val="00047F86"/>
    <w:rsid w:val="00050F6B"/>
    <w:rsid w:val="00055FA2"/>
    <w:rsid w:val="00060676"/>
    <w:rsid w:val="0006125D"/>
    <w:rsid w:val="000615C9"/>
    <w:rsid w:val="00063ACA"/>
    <w:rsid w:val="00064AC9"/>
    <w:rsid w:val="00064C11"/>
    <w:rsid w:val="000678CD"/>
    <w:rsid w:val="00071F68"/>
    <w:rsid w:val="00072C8C"/>
    <w:rsid w:val="000752C6"/>
    <w:rsid w:val="00075633"/>
    <w:rsid w:val="00081482"/>
    <w:rsid w:val="00081CE0"/>
    <w:rsid w:val="00084D30"/>
    <w:rsid w:val="00085A7A"/>
    <w:rsid w:val="00090320"/>
    <w:rsid w:val="00090B45"/>
    <w:rsid w:val="00092686"/>
    <w:rsid w:val="000931C0"/>
    <w:rsid w:val="00093CB9"/>
    <w:rsid w:val="000952BD"/>
    <w:rsid w:val="000963FA"/>
    <w:rsid w:val="000964C6"/>
    <w:rsid w:val="0009651E"/>
    <w:rsid w:val="00097229"/>
    <w:rsid w:val="000A0524"/>
    <w:rsid w:val="000A2E09"/>
    <w:rsid w:val="000A3A29"/>
    <w:rsid w:val="000A76CE"/>
    <w:rsid w:val="000B175B"/>
    <w:rsid w:val="000B2779"/>
    <w:rsid w:val="000B3A0F"/>
    <w:rsid w:val="000B6170"/>
    <w:rsid w:val="000C0422"/>
    <w:rsid w:val="000C1E4C"/>
    <w:rsid w:val="000C2F88"/>
    <w:rsid w:val="000C3205"/>
    <w:rsid w:val="000C36F7"/>
    <w:rsid w:val="000C63F7"/>
    <w:rsid w:val="000D1FD8"/>
    <w:rsid w:val="000D5403"/>
    <w:rsid w:val="000D5DCA"/>
    <w:rsid w:val="000E0415"/>
    <w:rsid w:val="000E2996"/>
    <w:rsid w:val="000E796B"/>
    <w:rsid w:val="000E7B2F"/>
    <w:rsid w:val="000F2066"/>
    <w:rsid w:val="000F3F0F"/>
    <w:rsid w:val="000F3FC6"/>
    <w:rsid w:val="000F7715"/>
    <w:rsid w:val="000F7FFC"/>
    <w:rsid w:val="00102049"/>
    <w:rsid w:val="00102FD7"/>
    <w:rsid w:val="00104FAE"/>
    <w:rsid w:val="00105464"/>
    <w:rsid w:val="001056CB"/>
    <w:rsid w:val="0010608A"/>
    <w:rsid w:val="001071BE"/>
    <w:rsid w:val="001075FC"/>
    <w:rsid w:val="00111294"/>
    <w:rsid w:val="0011281E"/>
    <w:rsid w:val="00112A55"/>
    <w:rsid w:val="00112DE6"/>
    <w:rsid w:val="00113E16"/>
    <w:rsid w:val="00127514"/>
    <w:rsid w:val="00127828"/>
    <w:rsid w:val="001310C0"/>
    <w:rsid w:val="00131161"/>
    <w:rsid w:val="001329E8"/>
    <w:rsid w:val="00132DA8"/>
    <w:rsid w:val="001350EA"/>
    <w:rsid w:val="001352A0"/>
    <w:rsid w:val="00135DC1"/>
    <w:rsid w:val="00136C08"/>
    <w:rsid w:val="00142002"/>
    <w:rsid w:val="001426B3"/>
    <w:rsid w:val="00143480"/>
    <w:rsid w:val="00144F02"/>
    <w:rsid w:val="00146818"/>
    <w:rsid w:val="0015139B"/>
    <w:rsid w:val="001527A5"/>
    <w:rsid w:val="00153962"/>
    <w:rsid w:val="00153989"/>
    <w:rsid w:val="00154286"/>
    <w:rsid w:val="0015442D"/>
    <w:rsid w:val="00154487"/>
    <w:rsid w:val="00156B99"/>
    <w:rsid w:val="00156DD9"/>
    <w:rsid w:val="001649BE"/>
    <w:rsid w:val="00166124"/>
    <w:rsid w:val="00166FA8"/>
    <w:rsid w:val="00170779"/>
    <w:rsid w:val="00177239"/>
    <w:rsid w:val="0017781F"/>
    <w:rsid w:val="00184DAF"/>
    <w:rsid w:val="00184DDA"/>
    <w:rsid w:val="00187CFD"/>
    <w:rsid w:val="001900CD"/>
    <w:rsid w:val="00191535"/>
    <w:rsid w:val="00193424"/>
    <w:rsid w:val="0019728F"/>
    <w:rsid w:val="00197C41"/>
    <w:rsid w:val="001A0452"/>
    <w:rsid w:val="001A16ED"/>
    <w:rsid w:val="001A1A6D"/>
    <w:rsid w:val="001A24C5"/>
    <w:rsid w:val="001A5351"/>
    <w:rsid w:val="001A7E1C"/>
    <w:rsid w:val="001B091D"/>
    <w:rsid w:val="001B314B"/>
    <w:rsid w:val="001B4B04"/>
    <w:rsid w:val="001B5875"/>
    <w:rsid w:val="001B6F98"/>
    <w:rsid w:val="001C3643"/>
    <w:rsid w:val="001C4B9C"/>
    <w:rsid w:val="001C4EE7"/>
    <w:rsid w:val="001C5BA5"/>
    <w:rsid w:val="001C6025"/>
    <w:rsid w:val="001C6663"/>
    <w:rsid w:val="001C7895"/>
    <w:rsid w:val="001C78DF"/>
    <w:rsid w:val="001C79ED"/>
    <w:rsid w:val="001D26DF"/>
    <w:rsid w:val="001D358D"/>
    <w:rsid w:val="001D6BF5"/>
    <w:rsid w:val="001E230F"/>
    <w:rsid w:val="001E5835"/>
    <w:rsid w:val="001E6700"/>
    <w:rsid w:val="001E6AAD"/>
    <w:rsid w:val="001E6E13"/>
    <w:rsid w:val="001F1599"/>
    <w:rsid w:val="001F19C4"/>
    <w:rsid w:val="001F3BDC"/>
    <w:rsid w:val="001F5164"/>
    <w:rsid w:val="001F5C31"/>
    <w:rsid w:val="00201488"/>
    <w:rsid w:val="002022C5"/>
    <w:rsid w:val="0020262C"/>
    <w:rsid w:val="002043F0"/>
    <w:rsid w:val="00207813"/>
    <w:rsid w:val="00211E0B"/>
    <w:rsid w:val="0021726B"/>
    <w:rsid w:val="00221E19"/>
    <w:rsid w:val="00227E14"/>
    <w:rsid w:val="00232575"/>
    <w:rsid w:val="002340E8"/>
    <w:rsid w:val="002405D8"/>
    <w:rsid w:val="00241C74"/>
    <w:rsid w:val="00243DF5"/>
    <w:rsid w:val="00247258"/>
    <w:rsid w:val="002519B3"/>
    <w:rsid w:val="00254D4D"/>
    <w:rsid w:val="00256E34"/>
    <w:rsid w:val="00257CAC"/>
    <w:rsid w:val="002611E6"/>
    <w:rsid w:val="00261A41"/>
    <w:rsid w:val="00266385"/>
    <w:rsid w:val="00266FE1"/>
    <w:rsid w:val="002701B5"/>
    <w:rsid w:val="0027237A"/>
    <w:rsid w:val="00277B16"/>
    <w:rsid w:val="002807F0"/>
    <w:rsid w:val="00282A56"/>
    <w:rsid w:val="00282A67"/>
    <w:rsid w:val="00284C64"/>
    <w:rsid w:val="002868D8"/>
    <w:rsid w:val="00290D2B"/>
    <w:rsid w:val="00292336"/>
    <w:rsid w:val="00297051"/>
    <w:rsid w:val="002972DD"/>
    <w:rsid w:val="002974E9"/>
    <w:rsid w:val="00297EC1"/>
    <w:rsid w:val="002A7505"/>
    <w:rsid w:val="002A7F94"/>
    <w:rsid w:val="002B109A"/>
    <w:rsid w:val="002B3E60"/>
    <w:rsid w:val="002B6274"/>
    <w:rsid w:val="002C01DC"/>
    <w:rsid w:val="002C2751"/>
    <w:rsid w:val="002C6D45"/>
    <w:rsid w:val="002C6FEC"/>
    <w:rsid w:val="002C7F39"/>
    <w:rsid w:val="002D0D49"/>
    <w:rsid w:val="002D1314"/>
    <w:rsid w:val="002D1E98"/>
    <w:rsid w:val="002D448A"/>
    <w:rsid w:val="002D6E53"/>
    <w:rsid w:val="002D7682"/>
    <w:rsid w:val="002E144D"/>
    <w:rsid w:val="002E2DAA"/>
    <w:rsid w:val="002E71FC"/>
    <w:rsid w:val="002E75CE"/>
    <w:rsid w:val="002F046D"/>
    <w:rsid w:val="002F19B8"/>
    <w:rsid w:val="002F3023"/>
    <w:rsid w:val="00300609"/>
    <w:rsid w:val="00301764"/>
    <w:rsid w:val="00301F66"/>
    <w:rsid w:val="003033FC"/>
    <w:rsid w:val="00304796"/>
    <w:rsid w:val="0030582F"/>
    <w:rsid w:val="00306500"/>
    <w:rsid w:val="00306B0D"/>
    <w:rsid w:val="00310088"/>
    <w:rsid w:val="00313018"/>
    <w:rsid w:val="00313263"/>
    <w:rsid w:val="0031329D"/>
    <w:rsid w:val="00314B35"/>
    <w:rsid w:val="003212E1"/>
    <w:rsid w:val="00321E87"/>
    <w:rsid w:val="003229D8"/>
    <w:rsid w:val="00322FCB"/>
    <w:rsid w:val="00323F18"/>
    <w:rsid w:val="00324264"/>
    <w:rsid w:val="00331F62"/>
    <w:rsid w:val="00334723"/>
    <w:rsid w:val="003355FD"/>
    <w:rsid w:val="00336C97"/>
    <w:rsid w:val="00337376"/>
    <w:rsid w:val="00337643"/>
    <w:rsid w:val="00337F88"/>
    <w:rsid w:val="00342432"/>
    <w:rsid w:val="003430AB"/>
    <w:rsid w:val="003431CF"/>
    <w:rsid w:val="00344BB8"/>
    <w:rsid w:val="00346768"/>
    <w:rsid w:val="00347BBA"/>
    <w:rsid w:val="0035223F"/>
    <w:rsid w:val="00352D4B"/>
    <w:rsid w:val="00353B07"/>
    <w:rsid w:val="0035638C"/>
    <w:rsid w:val="0035698A"/>
    <w:rsid w:val="00361F35"/>
    <w:rsid w:val="00363F29"/>
    <w:rsid w:val="0036530B"/>
    <w:rsid w:val="0036703B"/>
    <w:rsid w:val="003671C7"/>
    <w:rsid w:val="0037054C"/>
    <w:rsid w:val="003732B0"/>
    <w:rsid w:val="00377AC0"/>
    <w:rsid w:val="00382E52"/>
    <w:rsid w:val="003839E5"/>
    <w:rsid w:val="0038520C"/>
    <w:rsid w:val="00385817"/>
    <w:rsid w:val="00386115"/>
    <w:rsid w:val="00386CC2"/>
    <w:rsid w:val="00392397"/>
    <w:rsid w:val="0039283E"/>
    <w:rsid w:val="00393500"/>
    <w:rsid w:val="00396638"/>
    <w:rsid w:val="003A2087"/>
    <w:rsid w:val="003A46BB"/>
    <w:rsid w:val="003A4EC7"/>
    <w:rsid w:val="003A7295"/>
    <w:rsid w:val="003A7EC1"/>
    <w:rsid w:val="003B1F60"/>
    <w:rsid w:val="003B4211"/>
    <w:rsid w:val="003C2CC4"/>
    <w:rsid w:val="003C3272"/>
    <w:rsid w:val="003C5940"/>
    <w:rsid w:val="003C5E45"/>
    <w:rsid w:val="003C67C6"/>
    <w:rsid w:val="003D0670"/>
    <w:rsid w:val="003D2CEA"/>
    <w:rsid w:val="003D2E88"/>
    <w:rsid w:val="003D4A10"/>
    <w:rsid w:val="003D4B23"/>
    <w:rsid w:val="003D56F0"/>
    <w:rsid w:val="003D6F75"/>
    <w:rsid w:val="003D7102"/>
    <w:rsid w:val="003E278A"/>
    <w:rsid w:val="003F09D4"/>
    <w:rsid w:val="003F173A"/>
    <w:rsid w:val="003F6146"/>
    <w:rsid w:val="004004A6"/>
    <w:rsid w:val="004023A9"/>
    <w:rsid w:val="004050D4"/>
    <w:rsid w:val="004056FB"/>
    <w:rsid w:val="00406B39"/>
    <w:rsid w:val="00413520"/>
    <w:rsid w:val="00413A08"/>
    <w:rsid w:val="00415BBE"/>
    <w:rsid w:val="00416393"/>
    <w:rsid w:val="00430A18"/>
    <w:rsid w:val="004312F6"/>
    <w:rsid w:val="0043247F"/>
    <w:rsid w:val="004324E1"/>
    <w:rsid w:val="004325CB"/>
    <w:rsid w:val="00433601"/>
    <w:rsid w:val="00433950"/>
    <w:rsid w:val="00435E9A"/>
    <w:rsid w:val="00437308"/>
    <w:rsid w:val="00440A07"/>
    <w:rsid w:val="00442CB8"/>
    <w:rsid w:val="00443A20"/>
    <w:rsid w:val="00443FC4"/>
    <w:rsid w:val="00450249"/>
    <w:rsid w:val="00450379"/>
    <w:rsid w:val="00454881"/>
    <w:rsid w:val="004570AC"/>
    <w:rsid w:val="00462880"/>
    <w:rsid w:val="00463949"/>
    <w:rsid w:val="004647FE"/>
    <w:rsid w:val="00467416"/>
    <w:rsid w:val="00470490"/>
    <w:rsid w:val="00472A2F"/>
    <w:rsid w:val="004737DA"/>
    <w:rsid w:val="00475ACD"/>
    <w:rsid w:val="00476F24"/>
    <w:rsid w:val="004814C3"/>
    <w:rsid w:val="00481C4C"/>
    <w:rsid w:val="00487B83"/>
    <w:rsid w:val="00487FE9"/>
    <w:rsid w:val="0049194A"/>
    <w:rsid w:val="00492DE4"/>
    <w:rsid w:val="0049303C"/>
    <w:rsid w:val="00494AB2"/>
    <w:rsid w:val="00494B17"/>
    <w:rsid w:val="004A0D43"/>
    <w:rsid w:val="004A1D24"/>
    <w:rsid w:val="004A39BB"/>
    <w:rsid w:val="004A6EC7"/>
    <w:rsid w:val="004B255F"/>
    <w:rsid w:val="004B4C1E"/>
    <w:rsid w:val="004B5814"/>
    <w:rsid w:val="004B5E18"/>
    <w:rsid w:val="004B7A4D"/>
    <w:rsid w:val="004C375A"/>
    <w:rsid w:val="004C55B0"/>
    <w:rsid w:val="004D0F4B"/>
    <w:rsid w:val="004D1C54"/>
    <w:rsid w:val="004D20AD"/>
    <w:rsid w:val="004D3B9E"/>
    <w:rsid w:val="004D5618"/>
    <w:rsid w:val="004D61CE"/>
    <w:rsid w:val="004D669F"/>
    <w:rsid w:val="004D6BFA"/>
    <w:rsid w:val="004D6C95"/>
    <w:rsid w:val="004D6E41"/>
    <w:rsid w:val="004D6E97"/>
    <w:rsid w:val="004E333A"/>
    <w:rsid w:val="004E475F"/>
    <w:rsid w:val="004E784C"/>
    <w:rsid w:val="004E7F84"/>
    <w:rsid w:val="004F0ABD"/>
    <w:rsid w:val="004F5664"/>
    <w:rsid w:val="004F597C"/>
    <w:rsid w:val="004F59F9"/>
    <w:rsid w:val="004F6BA0"/>
    <w:rsid w:val="004F76B0"/>
    <w:rsid w:val="0050167A"/>
    <w:rsid w:val="00501995"/>
    <w:rsid w:val="00502EFB"/>
    <w:rsid w:val="00503346"/>
    <w:rsid w:val="00503995"/>
    <w:rsid w:val="00503BEA"/>
    <w:rsid w:val="005053C8"/>
    <w:rsid w:val="00506713"/>
    <w:rsid w:val="005075DE"/>
    <w:rsid w:val="005109E3"/>
    <w:rsid w:val="00513A52"/>
    <w:rsid w:val="00515CA5"/>
    <w:rsid w:val="005168FB"/>
    <w:rsid w:val="00516E64"/>
    <w:rsid w:val="00522965"/>
    <w:rsid w:val="00522E86"/>
    <w:rsid w:val="005231A2"/>
    <w:rsid w:val="00526A26"/>
    <w:rsid w:val="00527958"/>
    <w:rsid w:val="00530B31"/>
    <w:rsid w:val="005317E2"/>
    <w:rsid w:val="00533199"/>
    <w:rsid w:val="00533616"/>
    <w:rsid w:val="00534952"/>
    <w:rsid w:val="005356AD"/>
    <w:rsid w:val="00535ABA"/>
    <w:rsid w:val="0053650E"/>
    <w:rsid w:val="00537101"/>
    <w:rsid w:val="0053768B"/>
    <w:rsid w:val="00541CA6"/>
    <w:rsid w:val="005420F2"/>
    <w:rsid w:val="0054285C"/>
    <w:rsid w:val="00542B31"/>
    <w:rsid w:val="00542E72"/>
    <w:rsid w:val="00543FF9"/>
    <w:rsid w:val="00544A88"/>
    <w:rsid w:val="00553033"/>
    <w:rsid w:val="00553150"/>
    <w:rsid w:val="0055626E"/>
    <w:rsid w:val="00562D8F"/>
    <w:rsid w:val="005720F4"/>
    <w:rsid w:val="00580022"/>
    <w:rsid w:val="00580D6F"/>
    <w:rsid w:val="00582EAA"/>
    <w:rsid w:val="00584173"/>
    <w:rsid w:val="00586070"/>
    <w:rsid w:val="00592B66"/>
    <w:rsid w:val="005938F7"/>
    <w:rsid w:val="00594B46"/>
    <w:rsid w:val="00595520"/>
    <w:rsid w:val="00595B93"/>
    <w:rsid w:val="00596E37"/>
    <w:rsid w:val="005A0863"/>
    <w:rsid w:val="005A2538"/>
    <w:rsid w:val="005A360C"/>
    <w:rsid w:val="005A44B9"/>
    <w:rsid w:val="005A4A0C"/>
    <w:rsid w:val="005A4D1F"/>
    <w:rsid w:val="005A4E05"/>
    <w:rsid w:val="005B1202"/>
    <w:rsid w:val="005B1804"/>
    <w:rsid w:val="005B1BA0"/>
    <w:rsid w:val="005B252E"/>
    <w:rsid w:val="005B3DB3"/>
    <w:rsid w:val="005B72AF"/>
    <w:rsid w:val="005C01DD"/>
    <w:rsid w:val="005C0F46"/>
    <w:rsid w:val="005C7962"/>
    <w:rsid w:val="005D0BF0"/>
    <w:rsid w:val="005D14BB"/>
    <w:rsid w:val="005D15CA"/>
    <w:rsid w:val="005D7328"/>
    <w:rsid w:val="005D76B4"/>
    <w:rsid w:val="005E082A"/>
    <w:rsid w:val="005E1AC0"/>
    <w:rsid w:val="005E310C"/>
    <w:rsid w:val="005E4FFF"/>
    <w:rsid w:val="005E6F88"/>
    <w:rsid w:val="005F08DF"/>
    <w:rsid w:val="005F0D60"/>
    <w:rsid w:val="005F1153"/>
    <w:rsid w:val="005F3066"/>
    <w:rsid w:val="005F3E61"/>
    <w:rsid w:val="005F450F"/>
    <w:rsid w:val="005F675F"/>
    <w:rsid w:val="005F6A25"/>
    <w:rsid w:val="005F7CA1"/>
    <w:rsid w:val="00604DDD"/>
    <w:rsid w:val="00606A14"/>
    <w:rsid w:val="00607044"/>
    <w:rsid w:val="006115CC"/>
    <w:rsid w:val="00611FC4"/>
    <w:rsid w:val="00614643"/>
    <w:rsid w:val="00615C1F"/>
    <w:rsid w:val="006176FB"/>
    <w:rsid w:val="00630FCB"/>
    <w:rsid w:val="006313F4"/>
    <w:rsid w:val="00634931"/>
    <w:rsid w:val="00637436"/>
    <w:rsid w:val="006402C4"/>
    <w:rsid w:val="00640B26"/>
    <w:rsid w:val="006420EA"/>
    <w:rsid w:val="0064236B"/>
    <w:rsid w:val="0064492C"/>
    <w:rsid w:val="00654751"/>
    <w:rsid w:val="006555EE"/>
    <w:rsid w:val="00655D75"/>
    <w:rsid w:val="00656F48"/>
    <w:rsid w:val="0065766B"/>
    <w:rsid w:val="0066029A"/>
    <w:rsid w:val="00661859"/>
    <w:rsid w:val="00665276"/>
    <w:rsid w:val="006675DA"/>
    <w:rsid w:val="00667EC4"/>
    <w:rsid w:val="00671AA5"/>
    <w:rsid w:val="00672694"/>
    <w:rsid w:val="00673176"/>
    <w:rsid w:val="00674B54"/>
    <w:rsid w:val="00674EE5"/>
    <w:rsid w:val="00675CAC"/>
    <w:rsid w:val="0067607F"/>
    <w:rsid w:val="006764CF"/>
    <w:rsid w:val="006770B2"/>
    <w:rsid w:val="00677422"/>
    <w:rsid w:val="00680289"/>
    <w:rsid w:val="006813DC"/>
    <w:rsid w:val="006836B3"/>
    <w:rsid w:val="006840D6"/>
    <w:rsid w:val="00685DD0"/>
    <w:rsid w:val="00686A48"/>
    <w:rsid w:val="00692D64"/>
    <w:rsid w:val="006940E1"/>
    <w:rsid w:val="00695906"/>
    <w:rsid w:val="006A0017"/>
    <w:rsid w:val="006A3C72"/>
    <w:rsid w:val="006A4667"/>
    <w:rsid w:val="006A4B21"/>
    <w:rsid w:val="006A56CC"/>
    <w:rsid w:val="006A6064"/>
    <w:rsid w:val="006A7392"/>
    <w:rsid w:val="006B03A1"/>
    <w:rsid w:val="006B19D1"/>
    <w:rsid w:val="006B1BC5"/>
    <w:rsid w:val="006B30C5"/>
    <w:rsid w:val="006B32F5"/>
    <w:rsid w:val="006B67D9"/>
    <w:rsid w:val="006B7687"/>
    <w:rsid w:val="006B7E90"/>
    <w:rsid w:val="006C369B"/>
    <w:rsid w:val="006C3B1D"/>
    <w:rsid w:val="006C5535"/>
    <w:rsid w:val="006C579C"/>
    <w:rsid w:val="006C728A"/>
    <w:rsid w:val="006D0481"/>
    <w:rsid w:val="006D0589"/>
    <w:rsid w:val="006D0729"/>
    <w:rsid w:val="006D2237"/>
    <w:rsid w:val="006E0764"/>
    <w:rsid w:val="006E11E2"/>
    <w:rsid w:val="006E1612"/>
    <w:rsid w:val="006E285A"/>
    <w:rsid w:val="006E564B"/>
    <w:rsid w:val="006E7154"/>
    <w:rsid w:val="006E73C5"/>
    <w:rsid w:val="006F02C8"/>
    <w:rsid w:val="006F2A98"/>
    <w:rsid w:val="006F3F82"/>
    <w:rsid w:val="006F525A"/>
    <w:rsid w:val="006F7083"/>
    <w:rsid w:val="007003CD"/>
    <w:rsid w:val="00701BD0"/>
    <w:rsid w:val="00704A4B"/>
    <w:rsid w:val="007061C1"/>
    <w:rsid w:val="0070701E"/>
    <w:rsid w:val="007104E1"/>
    <w:rsid w:val="00713983"/>
    <w:rsid w:val="00714C64"/>
    <w:rsid w:val="00715664"/>
    <w:rsid w:val="00716899"/>
    <w:rsid w:val="00720612"/>
    <w:rsid w:val="007237FA"/>
    <w:rsid w:val="00725555"/>
    <w:rsid w:val="0072632A"/>
    <w:rsid w:val="00732AC4"/>
    <w:rsid w:val="00735674"/>
    <w:rsid w:val="007358E8"/>
    <w:rsid w:val="00736ECE"/>
    <w:rsid w:val="00741D52"/>
    <w:rsid w:val="00744147"/>
    <w:rsid w:val="0074533B"/>
    <w:rsid w:val="00754762"/>
    <w:rsid w:val="00756A9C"/>
    <w:rsid w:val="0076353A"/>
    <w:rsid w:val="007643BC"/>
    <w:rsid w:val="00767348"/>
    <w:rsid w:val="00767776"/>
    <w:rsid w:val="00771889"/>
    <w:rsid w:val="00772F6D"/>
    <w:rsid w:val="0077305C"/>
    <w:rsid w:val="00776E1C"/>
    <w:rsid w:val="00780C68"/>
    <w:rsid w:val="00785F90"/>
    <w:rsid w:val="00786BC2"/>
    <w:rsid w:val="00787217"/>
    <w:rsid w:val="007916B3"/>
    <w:rsid w:val="00792F3F"/>
    <w:rsid w:val="00795988"/>
    <w:rsid w:val="007959FE"/>
    <w:rsid w:val="0079650D"/>
    <w:rsid w:val="00796AD2"/>
    <w:rsid w:val="007974DF"/>
    <w:rsid w:val="007A0CF1"/>
    <w:rsid w:val="007A0D22"/>
    <w:rsid w:val="007A3F77"/>
    <w:rsid w:val="007A53C3"/>
    <w:rsid w:val="007A6644"/>
    <w:rsid w:val="007A725E"/>
    <w:rsid w:val="007B6BA5"/>
    <w:rsid w:val="007C0A82"/>
    <w:rsid w:val="007C1732"/>
    <w:rsid w:val="007C2965"/>
    <w:rsid w:val="007C3390"/>
    <w:rsid w:val="007C42D8"/>
    <w:rsid w:val="007C4F4B"/>
    <w:rsid w:val="007D1404"/>
    <w:rsid w:val="007D4B1B"/>
    <w:rsid w:val="007D606C"/>
    <w:rsid w:val="007D7362"/>
    <w:rsid w:val="007E2D92"/>
    <w:rsid w:val="007E2FD3"/>
    <w:rsid w:val="007E36AF"/>
    <w:rsid w:val="007E573C"/>
    <w:rsid w:val="007E7A94"/>
    <w:rsid w:val="007F3989"/>
    <w:rsid w:val="007F4D0F"/>
    <w:rsid w:val="007F509C"/>
    <w:rsid w:val="007F522D"/>
    <w:rsid w:val="007F5B8A"/>
    <w:rsid w:val="007F5CE2"/>
    <w:rsid w:val="007F6611"/>
    <w:rsid w:val="00801C0E"/>
    <w:rsid w:val="008054FB"/>
    <w:rsid w:val="008067BB"/>
    <w:rsid w:val="00810346"/>
    <w:rsid w:val="00810BAC"/>
    <w:rsid w:val="00811009"/>
    <w:rsid w:val="00816E81"/>
    <w:rsid w:val="008175E9"/>
    <w:rsid w:val="0082102D"/>
    <w:rsid w:val="008223BF"/>
    <w:rsid w:val="008242D7"/>
    <w:rsid w:val="00824C67"/>
    <w:rsid w:val="00825577"/>
    <w:rsid w:val="0082577B"/>
    <w:rsid w:val="00827F40"/>
    <w:rsid w:val="008322A2"/>
    <w:rsid w:val="00832489"/>
    <w:rsid w:val="008331FB"/>
    <w:rsid w:val="00833C9C"/>
    <w:rsid w:val="0083529D"/>
    <w:rsid w:val="008361DB"/>
    <w:rsid w:val="00836881"/>
    <w:rsid w:val="00843267"/>
    <w:rsid w:val="00843920"/>
    <w:rsid w:val="008511B1"/>
    <w:rsid w:val="00851273"/>
    <w:rsid w:val="00853E40"/>
    <w:rsid w:val="0085443E"/>
    <w:rsid w:val="00854FA1"/>
    <w:rsid w:val="00855EE1"/>
    <w:rsid w:val="00863180"/>
    <w:rsid w:val="00864DA6"/>
    <w:rsid w:val="00865748"/>
    <w:rsid w:val="00865ED6"/>
    <w:rsid w:val="00866843"/>
    <w:rsid w:val="00866893"/>
    <w:rsid w:val="00866F02"/>
    <w:rsid w:val="00867D18"/>
    <w:rsid w:val="00871F9A"/>
    <w:rsid w:val="00871FD5"/>
    <w:rsid w:val="008771B4"/>
    <w:rsid w:val="0087746F"/>
    <w:rsid w:val="0088172E"/>
    <w:rsid w:val="00881EFA"/>
    <w:rsid w:val="008825EA"/>
    <w:rsid w:val="008843EF"/>
    <w:rsid w:val="00884D5A"/>
    <w:rsid w:val="008872CD"/>
    <w:rsid w:val="0088792B"/>
    <w:rsid w:val="008879CB"/>
    <w:rsid w:val="00887B48"/>
    <w:rsid w:val="008979B1"/>
    <w:rsid w:val="008A09B8"/>
    <w:rsid w:val="008A0AFE"/>
    <w:rsid w:val="008A28FA"/>
    <w:rsid w:val="008A4D75"/>
    <w:rsid w:val="008A4F3F"/>
    <w:rsid w:val="008A66B6"/>
    <w:rsid w:val="008A6B25"/>
    <w:rsid w:val="008A6C4C"/>
    <w:rsid w:val="008A6C4F"/>
    <w:rsid w:val="008B389E"/>
    <w:rsid w:val="008B39B3"/>
    <w:rsid w:val="008B5F43"/>
    <w:rsid w:val="008B6E1F"/>
    <w:rsid w:val="008C157D"/>
    <w:rsid w:val="008C1A5C"/>
    <w:rsid w:val="008C2F6A"/>
    <w:rsid w:val="008C4D0C"/>
    <w:rsid w:val="008C518A"/>
    <w:rsid w:val="008C62C5"/>
    <w:rsid w:val="008D0260"/>
    <w:rsid w:val="008D045E"/>
    <w:rsid w:val="008D0D6F"/>
    <w:rsid w:val="008D3F25"/>
    <w:rsid w:val="008D4D82"/>
    <w:rsid w:val="008D50AF"/>
    <w:rsid w:val="008D5A33"/>
    <w:rsid w:val="008E0DD5"/>
    <w:rsid w:val="008E0E46"/>
    <w:rsid w:val="008E0FAD"/>
    <w:rsid w:val="008E18CC"/>
    <w:rsid w:val="008E1A4A"/>
    <w:rsid w:val="008E2821"/>
    <w:rsid w:val="008E33B5"/>
    <w:rsid w:val="008E4036"/>
    <w:rsid w:val="008E47C7"/>
    <w:rsid w:val="008E7116"/>
    <w:rsid w:val="008F143B"/>
    <w:rsid w:val="008F1471"/>
    <w:rsid w:val="008F1811"/>
    <w:rsid w:val="008F181D"/>
    <w:rsid w:val="008F3882"/>
    <w:rsid w:val="008F4B7C"/>
    <w:rsid w:val="008F5578"/>
    <w:rsid w:val="008F65D0"/>
    <w:rsid w:val="008F68D6"/>
    <w:rsid w:val="008F6FE0"/>
    <w:rsid w:val="00900C6A"/>
    <w:rsid w:val="009011F3"/>
    <w:rsid w:val="00911277"/>
    <w:rsid w:val="00912B60"/>
    <w:rsid w:val="00912FFB"/>
    <w:rsid w:val="009210A4"/>
    <w:rsid w:val="00926DE2"/>
    <w:rsid w:val="00926E47"/>
    <w:rsid w:val="00927E5B"/>
    <w:rsid w:val="0093182C"/>
    <w:rsid w:val="00935FB4"/>
    <w:rsid w:val="009363BF"/>
    <w:rsid w:val="00937BFA"/>
    <w:rsid w:val="00943848"/>
    <w:rsid w:val="00947162"/>
    <w:rsid w:val="00947CA0"/>
    <w:rsid w:val="0095228F"/>
    <w:rsid w:val="0095269A"/>
    <w:rsid w:val="009545FA"/>
    <w:rsid w:val="00954FE1"/>
    <w:rsid w:val="009571CB"/>
    <w:rsid w:val="009610D0"/>
    <w:rsid w:val="0096375C"/>
    <w:rsid w:val="009662E6"/>
    <w:rsid w:val="009663E6"/>
    <w:rsid w:val="0097095E"/>
    <w:rsid w:val="009710FB"/>
    <w:rsid w:val="00971D6F"/>
    <w:rsid w:val="00981C02"/>
    <w:rsid w:val="0098374D"/>
    <w:rsid w:val="009850D8"/>
    <w:rsid w:val="0098592B"/>
    <w:rsid w:val="00985B56"/>
    <w:rsid w:val="00985FC4"/>
    <w:rsid w:val="009869FA"/>
    <w:rsid w:val="00990766"/>
    <w:rsid w:val="00991261"/>
    <w:rsid w:val="00993419"/>
    <w:rsid w:val="00995CBD"/>
    <w:rsid w:val="009964C4"/>
    <w:rsid w:val="009973C6"/>
    <w:rsid w:val="009A0C72"/>
    <w:rsid w:val="009A7B81"/>
    <w:rsid w:val="009B24E9"/>
    <w:rsid w:val="009B2E1C"/>
    <w:rsid w:val="009B42E9"/>
    <w:rsid w:val="009B79D5"/>
    <w:rsid w:val="009C1557"/>
    <w:rsid w:val="009C2076"/>
    <w:rsid w:val="009C2611"/>
    <w:rsid w:val="009C54B1"/>
    <w:rsid w:val="009D01C0"/>
    <w:rsid w:val="009D57C2"/>
    <w:rsid w:val="009D6A08"/>
    <w:rsid w:val="009E0A16"/>
    <w:rsid w:val="009E4016"/>
    <w:rsid w:val="009E4142"/>
    <w:rsid w:val="009E6411"/>
    <w:rsid w:val="009E6C3B"/>
    <w:rsid w:val="009E6CB7"/>
    <w:rsid w:val="009E6DF6"/>
    <w:rsid w:val="009E74CE"/>
    <w:rsid w:val="009E7970"/>
    <w:rsid w:val="009F11DF"/>
    <w:rsid w:val="009F1C58"/>
    <w:rsid w:val="009F2EAC"/>
    <w:rsid w:val="009F57E3"/>
    <w:rsid w:val="009F5BE2"/>
    <w:rsid w:val="009F7780"/>
    <w:rsid w:val="00A00B8E"/>
    <w:rsid w:val="00A02ED0"/>
    <w:rsid w:val="00A044E5"/>
    <w:rsid w:val="00A1067C"/>
    <w:rsid w:val="00A10F4F"/>
    <w:rsid w:val="00A11067"/>
    <w:rsid w:val="00A13010"/>
    <w:rsid w:val="00A13704"/>
    <w:rsid w:val="00A13FFE"/>
    <w:rsid w:val="00A1627E"/>
    <w:rsid w:val="00A16606"/>
    <w:rsid w:val="00A16A4E"/>
    <w:rsid w:val="00A1704A"/>
    <w:rsid w:val="00A171DD"/>
    <w:rsid w:val="00A1721D"/>
    <w:rsid w:val="00A21650"/>
    <w:rsid w:val="00A21BA3"/>
    <w:rsid w:val="00A25D0E"/>
    <w:rsid w:val="00A272A1"/>
    <w:rsid w:val="00A27C79"/>
    <w:rsid w:val="00A322E1"/>
    <w:rsid w:val="00A36489"/>
    <w:rsid w:val="00A405A2"/>
    <w:rsid w:val="00A4208B"/>
    <w:rsid w:val="00A425EB"/>
    <w:rsid w:val="00A437DB"/>
    <w:rsid w:val="00A47E98"/>
    <w:rsid w:val="00A54588"/>
    <w:rsid w:val="00A57A45"/>
    <w:rsid w:val="00A57B43"/>
    <w:rsid w:val="00A61D32"/>
    <w:rsid w:val="00A706BE"/>
    <w:rsid w:val="00A708E4"/>
    <w:rsid w:val="00A70FF5"/>
    <w:rsid w:val="00A7242C"/>
    <w:rsid w:val="00A72F22"/>
    <w:rsid w:val="00A733BC"/>
    <w:rsid w:val="00A748A6"/>
    <w:rsid w:val="00A75A7F"/>
    <w:rsid w:val="00A76A69"/>
    <w:rsid w:val="00A7793B"/>
    <w:rsid w:val="00A81903"/>
    <w:rsid w:val="00A834EF"/>
    <w:rsid w:val="00A879A4"/>
    <w:rsid w:val="00A90E0D"/>
    <w:rsid w:val="00A912D7"/>
    <w:rsid w:val="00A93640"/>
    <w:rsid w:val="00A93D1C"/>
    <w:rsid w:val="00A94EFA"/>
    <w:rsid w:val="00AA0732"/>
    <w:rsid w:val="00AA0E68"/>
    <w:rsid w:val="00AA0FF8"/>
    <w:rsid w:val="00AA129B"/>
    <w:rsid w:val="00AA3D72"/>
    <w:rsid w:val="00AA4B9B"/>
    <w:rsid w:val="00AA573E"/>
    <w:rsid w:val="00AA7A9D"/>
    <w:rsid w:val="00AB0290"/>
    <w:rsid w:val="00AB2818"/>
    <w:rsid w:val="00AB312A"/>
    <w:rsid w:val="00AB5EB7"/>
    <w:rsid w:val="00AB7444"/>
    <w:rsid w:val="00AC05E9"/>
    <w:rsid w:val="00AC0F2C"/>
    <w:rsid w:val="00AC2C04"/>
    <w:rsid w:val="00AC3DF9"/>
    <w:rsid w:val="00AC46B0"/>
    <w:rsid w:val="00AC502A"/>
    <w:rsid w:val="00AC66B5"/>
    <w:rsid w:val="00AD0BAF"/>
    <w:rsid w:val="00AD1534"/>
    <w:rsid w:val="00AD4D16"/>
    <w:rsid w:val="00AD7484"/>
    <w:rsid w:val="00AD7577"/>
    <w:rsid w:val="00AE675D"/>
    <w:rsid w:val="00AE6E2A"/>
    <w:rsid w:val="00AE761A"/>
    <w:rsid w:val="00AF58C1"/>
    <w:rsid w:val="00AF5CBB"/>
    <w:rsid w:val="00AF7DF3"/>
    <w:rsid w:val="00B00F5D"/>
    <w:rsid w:val="00B0205A"/>
    <w:rsid w:val="00B03844"/>
    <w:rsid w:val="00B04A3F"/>
    <w:rsid w:val="00B06643"/>
    <w:rsid w:val="00B0772E"/>
    <w:rsid w:val="00B15055"/>
    <w:rsid w:val="00B15839"/>
    <w:rsid w:val="00B16129"/>
    <w:rsid w:val="00B17534"/>
    <w:rsid w:val="00B20551"/>
    <w:rsid w:val="00B22BB5"/>
    <w:rsid w:val="00B23B97"/>
    <w:rsid w:val="00B2449A"/>
    <w:rsid w:val="00B25A6F"/>
    <w:rsid w:val="00B26936"/>
    <w:rsid w:val="00B2695A"/>
    <w:rsid w:val="00B30179"/>
    <w:rsid w:val="00B30EF6"/>
    <w:rsid w:val="00B33A2A"/>
    <w:rsid w:val="00B33FC7"/>
    <w:rsid w:val="00B36107"/>
    <w:rsid w:val="00B37B15"/>
    <w:rsid w:val="00B424B1"/>
    <w:rsid w:val="00B42A29"/>
    <w:rsid w:val="00B431CF"/>
    <w:rsid w:val="00B43C22"/>
    <w:rsid w:val="00B443D8"/>
    <w:rsid w:val="00B44535"/>
    <w:rsid w:val="00B45C02"/>
    <w:rsid w:val="00B46CAD"/>
    <w:rsid w:val="00B542C0"/>
    <w:rsid w:val="00B60B3B"/>
    <w:rsid w:val="00B63860"/>
    <w:rsid w:val="00B648DD"/>
    <w:rsid w:val="00B65C58"/>
    <w:rsid w:val="00B70B63"/>
    <w:rsid w:val="00B719EF"/>
    <w:rsid w:val="00B72A1E"/>
    <w:rsid w:val="00B748D4"/>
    <w:rsid w:val="00B752D5"/>
    <w:rsid w:val="00B76C08"/>
    <w:rsid w:val="00B81E12"/>
    <w:rsid w:val="00B825C4"/>
    <w:rsid w:val="00B8426C"/>
    <w:rsid w:val="00B92389"/>
    <w:rsid w:val="00B9245D"/>
    <w:rsid w:val="00B928E6"/>
    <w:rsid w:val="00B96A91"/>
    <w:rsid w:val="00BA339B"/>
    <w:rsid w:val="00BA635C"/>
    <w:rsid w:val="00BA675B"/>
    <w:rsid w:val="00BA7311"/>
    <w:rsid w:val="00BB05F5"/>
    <w:rsid w:val="00BB1323"/>
    <w:rsid w:val="00BB373E"/>
    <w:rsid w:val="00BB3BE1"/>
    <w:rsid w:val="00BB4031"/>
    <w:rsid w:val="00BB5909"/>
    <w:rsid w:val="00BB613F"/>
    <w:rsid w:val="00BB6C1D"/>
    <w:rsid w:val="00BC1E7E"/>
    <w:rsid w:val="00BC343B"/>
    <w:rsid w:val="00BC57FB"/>
    <w:rsid w:val="00BC5F8D"/>
    <w:rsid w:val="00BC6702"/>
    <w:rsid w:val="00BC74E9"/>
    <w:rsid w:val="00BD27DA"/>
    <w:rsid w:val="00BD316A"/>
    <w:rsid w:val="00BD7E94"/>
    <w:rsid w:val="00BE27FA"/>
    <w:rsid w:val="00BE36A9"/>
    <w:rsid w:val="00BE556E"/>
    <w:rsid w:val="00BE5919"/>
    <w:rsid w:val="00BE618E"/>
    <w:rsid w:val="00BE7B76"/>
    <w:rsid w:val="00BE7BEC"/>
    <w:rsid w:val="00BF0A5A"/>
    <w:rsid w:val="00BF0E63"/>
    <w:rsid w:val="00BF12A3"/>
    <w:rsid w:val="00BF16D7"/>
    <w:rsid w:val="00BF2373"/>
    <w:rsid w:val="00BF29F2"/>
    <w:rsid w:val="00BF3B65"/>
    <w:rsid w:val="00BF4B6A"/>
    <w:rsid w:val="00BF7F8F"/>
    <w:rsid w:val="00C00430"/>
    <w:rsid w:val="00C01D8F"/>
    <w:rsid w:val="00C035F1"/>
    <w:rsid w:val="00C04161"/>
    <w:rsid w:val="00C044E2"/>
    <w:rsid w:val="00C048CB"/>
    <w:rsid w:val="00C04BDD"/>
    <w:rsid w:val="00C066F3"/>
    <w:rsid w:val="00C076C5"/>
    <w:rsid w:val="00C11B8D"/>
    <w:rsid w:val="00C174C3"/>
    <w:rsid w:val="00C175BA"/>
    <w:rsid w:val="00C2218B"/>
    <w:rsid w:val="00C23EF8"/>
    <w:rsid w:val="00C242C5"/>
    <w:rsid w:val="00C2514A"/>
    <w:rsid w:val="00C25967"/>
    <w:rsid w:val="00C25A99"/>
    <w:rsid w:val="00C25C09"/>
    <w:rsid w:val="00C300ED"/>
    <w:rsid w:val="00C30E6F"/>
    <w:rsid w:val="00C35A64"/>
    <w:rsid w:val="00C36F3F"/>
    <w:rsid w:val="00C407CB"/>
    <w:rsid w:val="00C41581"/>
    <w:rsid w:val="00C41BE9"/>
    <w:rsid w:val="00C427BC"/>
    <w:rsid w:val="00C44CD9"/>
    <w:rsid w:val="00C463DD"/>
    <w:rsid w:val="00C47ECD"/>
    <w:rsid w:val="00C51E69"/>
    <w:rsid w:val="00C54C58"/>
    <w:rsid w:val="00C63F84"/>
    <w:rsid w:val="00C661DB"/>
    <w:rsid w:val="00C66603"/>
    <w:rsid w:val="00C700BA"/>
    <w:rsid w:val="00C72690"/>
    <w:rsid w:val="00C732A3"/>
    <w:rsid w:val="00C745C3"/>
    <w:rsid w:val="00C752A3"/>
    <w:rsid w:val="00C75352"/>
    <w:rsid w:val="00C75F61"/>
    <w:rsid w:val="00C76A44"/>
    <w:rsid w:val="00C76C90"/>
    <w:rsid w:val="00C80065"/>
    <w:rsid w:val="00C8194E"/>
    <w:rsid w:val="00C81EDF"/>
    <w:rsid w:val="00C85BFE"/>
    <w:rsid w:val="00C914A7"/>
    <w:rsid w:val="00C93ECE"/>
    <w:rsid w:val="00C93F38"/>
    <w:rsid w:val="00C94A0C"/>
    <w:rsid w:val="00C9652B"/>
    <w:rsid w:val="00C978F5"/>
    <w:rsid w:val="00CA087C"/>
    <w:rsid w:val="00CA24A4"/>
    <w:rsid w:val="00CA32CC"/>
    <w:rsid w:val="00CA64C4"/>
    <w:rsid w:val="00CA64EC"/>
    <w:rsid w:val="00CB01BE"/>
    <w:rsid w:val="00CB161D"/>
    <w:rsid w:val="00CB1FAE"/>
    <w:rsid w:val="00CB28D6"/>
    <w:rsid w:val="00CB31CA"/>
    <w:rsid w:val="00CB348D"/>
    <w:rsid w:val="00CB7956"/>
    <w:rsid w:val="00CC23E1"/>
    <w:rsid w:val="00CC31B1"/>
    <w:rsid w:val="00CC4882"/>
    <w:rsid w:val="00CC4B7F"/>
    <w:rsid w:val="00CD3474"/>
    <w:rsid w:val="00CD44B0"/>
    <w:rsid w:val="00CD46F5"/>
    <w:rsid w:val="00CD4728"/>
    <w:rsid w:val="00CD533B"/>
    <w:rsid w:val="00CD6652"/>
    <w:rsid w:val="00CE2762"/>
    <w:rsid w:val="00CE4691"/>
    <w:rsid w:val="00CE4A8F"/>
    <w:rsid w:val="00CE7566"/>
    <w:rsid w:val="00CE7950"/>
    <w:rsid w:val="00CE7E20"/>
    <w:rsid w:val="00CF0454"/>
    <w:rsid w:val="00CF071D"/>
    <w:rsid w:val="00CF1D4B"/>
    <w:rsid w:val="00CF2312"/>
    <w:rsid w:val="00CF46DD"/>
    <w:rsid w:val="00CF5381"/>
    <w:rsid w:val="00D0123D"/>
    <w:rsid w:val="00D039E6"/>
    <w:rsid w:val="00D06873"/>
    <w:rsid w:val="00D068C7"/>
    <w:rsid w:val="00D06C42"/>
    <w:rsid w:val="00D10987"/>
    <w:rsid w:val="00D15B04"/>
    <w:rsid w:val="00D2031B"/>
    <w:rsid w:val="00D20A53"/>
    <w:rsid w:val="00D20EA6"/>
    <w:rsid w:val="00D21E14"/>
    <w:rsid w:val="00D2318F"/>
    <w:rsid w:val="00D25FE2"/>
    <w:rsid w:val="00D30281"/>
    <w:rsid w:val="00D33440"/>
    <w:rsid w:val="00D34DDA"/>
    <w:rsid w:val="00D37042"/>
    <w:rsid w:val="00D378F8"/>
    <w:rsid w:val="00D37DA9"/>
    <w:rsid w:val="00D406A7"/>
    <w:rsid w:val="00D42590"/>
    <w:rsid w:val="00D43252"/>
    <w:rsid w:val="00D43B6B"/>
    <w:rsid w:val="00D448CD"/>
    <w:rsid w:val="00D44D86"/>
    <w:rsid w:val="00D45BB0"/>
    <w:rsid w:val="00D508FE"/>
    <w:rsid w:val="00D50B7D"/>
    <w:rsid w:val="00D514BA"/>
    <w:rsid w:val="00D52012"/>
    <w:rsid w:val="00D5229B"/>
    <w:rsid w:val="00D53E71"/>
    <w:rsid w:val="00D60686"/>
    <w:rsid w:val="00D607FB"/>
    <w:rsid w:val="00D61EC9"/>
    <w:rsid w:val="00D632A5"/>
    <w:rsid w:val="00D6507C"/>
    <w:rsid w:val="00D704E5"/>
    <w:rsid w:val="00D72727"/>
    <w:rsid w:val="00D73421"/>
    <w:rsid w:val="00D75664"/>
    <w:rsid w:val="00D778C6"/>
    <w:rsid w:val="00D77C80"/>
    <w:rsid w:val="00D82251"/>
    <w:rsid w:val="00D83B9E"/>
    <w:rsid w:val="00D8499A"/>
    <w:rsid w:val="00D85C7E"/>
    <w:rsid w:val="00D86A7F"/>
    <w:rsid w:val="00D87DE3"/>
    <w:rsid w:val="00D9468E"/>
    <w:rsid w:val="00D978C6"/>
    <w:rsid w:val="00DA0956"/>
    <w:rsid w:val="00DA0FF7"/>
    <w:rsid w:val="00DA0FFD"/>
    <w:rsid w:val="00DA357F"/>
    <w:rsid w:val="00DA3E12"/>
    <w:rsid w:val="00DA4256"/>
    <w:rsid w:val="00DA45D0"/>
    <w:rsid w:val="00DA4CFB"/>
    <w:rsid w:val="00DB08EA"/>
    <w:rsid w:val="00DB34B2"/>
    <w:rsid w:val="00DB7757"/>
    <w:rsid w:val="00DC10DD"/>
    <w:rsid w:val="00DC18AD"/>
    <w:rsid w:val="00DC1BFF"/>
    <w:rsid w:val="00DC3353"/>
    <w:rsid w:val="00DD083F"/>
    <w:rsid w:val="00DD11B1"/>
    <w:rsid w:val="00DD18A0"/>
    <w:rsid w:val="00DE1F50"/>
    <w:rsid w:val="00DE2D2B"/>
    <w:rsid w:val="00DE30D6"/>
    <w:rsid w:val="00DE37E6"/>
    <w:rsid w:val="00DE4C1E"/>
    <w:rsid w:val="00DE561A"/>
    <w:rsid w:val="00DF0CE4"/>
    <w:rsid w:val="00DF1950"/>
    <w:rsid w:val="00DF4AE6"/>
    <w:rsid w:val="00DF5707"/>
    <w:rsid w:val="00DF7CAE"/>
    <w:rsid w:val="00E00FAD"/>
    <w:rsid w:val="00E02449"/>
    <w:rsid w:val="00E02569"/>
    <w:rsid w:val="00E02FDD"/>
    <w:rsid w:val="00E0335F"/>
    <w:rsid w:val="00E0354C"/>
    <w:rsid w:val="00E04631"/>
    <w:rsid w:val="00E04FB6"/>
    <w:rsid w:val="00E05918"/>
    <w:rsid w:val="00E201C0"/>
    <w:rsid w:val="00E222C2"/>
    <w:rsid w:val="00E236DD"/>
    <w:rsid w:val="00E24A29"/>
    <w:rsid w:val="00E256A7"/>
    <w:rsid w:val="00E277D9"/>
    <w:rsid w:val="00E317F6"/>
    <w:rsid w:val="00E35AEF"/>
    <w:rsid w:val="00E37954"/>
    <w:rsid w:val="00E41B98"/>
    <w:rsid w:val="00E423C0"/>
    <w:rsid w:val="00E50FB4"/>
    <w:rsid w:val="00E51DDB"/>
    <w:rsid w:val="00E52D02"/>
    <w:rsid w:val="00E54217"/>
    <w:rsid w:val="00E543B1"/>
    <w:rsid w:val="00E5791B"/>
    <w:rsid w:val="00E60A6C"/>
    <w:rsid w:val="00E61BCA"/>
    <w:rsid w:val="00E625E5"/>
    <w:rsid w:val="00E6414C"/>
    <w:rsid w:val="00E64397"/>
    <w:rsid w:val="00E65C8F"/>
    <w:rsid w:val="00E6644D"/>
    <w:rsid w:val="00E7260F"/>
    <w:rsid w:val="00E74AA8"/>
    <w:rsid w:val="00E80E35"/>
    <w:rsid w:val="00E827AA"/>
    <w:rsid w:val="00E82DB8"/>
    <w:rsid w:val="00E84791"/>
    <w:rsid w:val="00E8523E"/>
    <w:rsid w:val="00E86413"/>
    <w:rsid w:val="00E8702D"/>
    <w:rsid w:val="00E905F4"/>
    <w:rsid w:val="00E9108F"/>
    <w:rsid w:val="00E916A9"/>
    <w:rsid w:val="00E916DE"/>
    <w:rsid w:val="00E925AD"/>
    <w:rsid w:val="00E95379"/>
    <w:rsid w:val="00E963D3"/>
    <w:rsid w:val="00E96630"/>
    <w:rsid w:val="00EA1409"/>
    <w:rsid w:val="00EA34F4"/>
    <w:rsid w:val="00EA464D"/>
    <w:rsid w:val="00EA6F34"/>
    <w:rsid w:val="00EC0D06"/>
    <w:rsid w:val="00EC10A2"/>
    <w:rsid w:val="00EC1760"/>
    <w:rsid w:val="00EC4520"/>
    <w:rsid w:val="00ED07FA"/>
    <w:rsid w:val="00ED13B4"/>
    <w:rsid w:val="00ED18DC"/>
    <w:rsid w:val="00ED1BBE"/>
    <w:rsid w:val="00ED5249"/>
    <w:rsid w:val="00ED5F83"/>
    <w:rsid w:val="00ED6201"/>
    <w:rsid w:val="00ED7A2A"/>
    <w:rsid w:val="00EE37FB"/>
    <w:rsid w:val="00EE738F"/>
    <w:rsid w:val="00EE7DCF"/>
    <w:rsid w:val="00EF1D7F"/>
    <w:rsid w:val="00EF3D72"/>
    <w:rsid w:val="00EF573D"/>
    <w:rsid w:val="00EF5B94"/>
    <w:rsid w:val="00F0137E"/>
    <w:rsid w:val="00F069A1"/>
    <w:rsid w:val="00F1195F"/>
    <w:rsid w:val="00F14A3A"/>
    <w:rsid w:val="00F15AD4"/>
    <w:rsid w:val="00F169CD"/>
    <w:rsid w:val="00F21786"/>
    <w:rsid w:val="00F21CDD"/>
    <w:rsid w:val="00F23A61"/>
    <w:rsid w:val="00F245C1"/>
    <w:rsid w:val="00F24F62"/>
    <w:rsid w:val="00F30EA7"/>
    <w:rsid w:val="00F320B9"/>
    <w:rsid w:val="00F35E9E"/>
    <w:rsid w:val="00F3742B"/>
    <w:rsid w:val="00F37EC8"/>
    <w:rsid w:val="00F4015F"/>
    <w:rsid w:val="00F40247"/>
    <w:rsid w:val="00F41FDB"/>
    <w:rsid w:val="00F42448"/>
    <w:rsid w:val="00F43344"/>
    <w:rsid w:val="00F44D17"/>
    <w:rsid w:val="00F45553"/>
    <w:rsid w:val="00F468D1"/>
    <w:rsid w:val="00F47BC8"/>
    <w:rsid w:val="00F56D63"/>
    <w:rsid w:val="00F609A9"/>
    <w:rsid w:val="00F62881"/>
    <w:rsid w:val="00F641C8"/>
    <w:rsid w:val="00F64474"/>
    <w:rsid w:val="00F64C24"/>
    <w:rsid w:val="00F66C2A"/>
    <w:rsid w:val="00F67217"/>
    <w:rsid w:val="00F70CC8"/>
    <w:rsid w:val="00F71044"/>
    <w:rsid w:val="00F73EEC"/>
    <w:rsid w:val="00F742C9"/>
    <w:rsid w:val="00F80C78"/>
    <w:rsid w:val="00F80C99"/>
    <w:rsid w:val="00F83C3E"/>
    <w:rsid w:val="00F867EC"/>
    <w:rsid w:val="00F9154F"/>
    <w:rsid w:val="00F91A55"/>
    <w:rsid w:val="00F91B2B"/>
    <w:rsid w:val="00F941F1"/>
    <w:rsid w:val="00F94A9C"/>
    <w:rsid w:val="00FA56BC"/>
    <w:rsid w:val="00FA6221"/>
    <w:rsid w:val="00FA62F6"/>
    <w:rsid w:val="00FA6385"/>
    <w:rsid w:val="00FB10DC"/>
    <w:rsid w:val="00FB238F"/>
    <w:rsid w:val="00FB2F08"/>
    <w:rsid w:val="00FB510E"/>
    <w:rsid w:val="00FC03BA"/>
    <w:rsid w:val="00FC03CD"/>
    <w:rsid w:val="00FC0619"/>
    <w:rsid w:val="00FC0646"/>
    <w:rsid w:val="00FC264D"/>
    <w:rsid w:val="00FC3704"/>
    <w:rsid w:val="00FC3BB6"/>
    <w:rsid w:val="00FC58C9"/>
    <w:rsid w:val="00FC68B7"/>
    <w:rsid w:val="00FC7664"/>
    <w:rsid w:val="00FC7F16"/>
    <w:rsid w:val="00FD105B"/>
    <w:rsid w:val="00FD36BE"/>
    <w:rsid w:val="00FD3C33"/>
    <w:rsid w:val="00FD593C"/>
    <w:rsid w:val="00FD5B7B"/>
    <w:rsid w:val="00FD5C4E"/>
    <w:rsid w:val="00FD6F13"/>
    <w:rsid w:val="00FE26DB"/>
    <w:rsid w:val="00FE2940"/>
    <w:rsid w:val="00FE5647"/>
    <w:rsid w:val="00FE6985"/>
    <w:rsid w:val="00FF270D"/>
    <w:rsid w:val="00FF3312"/>
    <w:rsid w:val="00FF35EB"/>
    <w:rsid w:val="14DAEF79"/>
    <w:rsid w:val="2A78FBBB"/>
    <w:rsid w:val="51B04ECF"/>
    <w:rsid w:val="53A0B93D"/>
    <w:rsid w:val="636AAC1B"/>
    <w:rsid w:val="65FF4E0F"/>
    <w:rsid w:val="6A4AB095"/>
    <w:rsid w:val="72BA01B1"/>
    <w:rsid w:val="7CB263B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32637"/>
  <w15:docId w15:val="{1810F4F3-0A0E-471C-B413-20A3ACEF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tref"/>
    <w:basedOn w:val="DefaultParagraphFont"/>
    <w:qFormat/>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f"/>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C452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EC452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E8523E"/>
    <w:pPr>
      <w:numPr>
        <w:numId w:val="19"/>
      </w:numPr>
      <w:suppressAutoHyphens w:val="0"/>
    </w:pPr>
  </w:style>
  <w:style w:type="character" w:customStyle="1" w:styleId="H1GChar">
    <w:name w:val="_ H_1_G Char"/>
    <w:link w:val="H1G"/>
    <w:rsid w:val="002C2751"/>
    <w:rPr>
      <w:b/>
      <w:sz w:val="24"/>
      <w:lang w:val="en-GB"/>
    </w:rPr>
  </w:style>
  <w:style w:type="character" w:customStyle="1" w:styleId="SingleTxtGChar">
    <w:name w:val="_ Single Txt_G Char"/>
    <w:link w:val="SingleTxtG"/>
    <w:rsid w:val="00435E9A"/>
    <w:rPr>
      <w:lang w:val="en-GB"/>
    </w:r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basedOn w:val="DefaultParagraphFont"/>
    <w:link w:val="FootnoteText"/>
    <w:locked/>
    <w:rsid w:val="00C75F61"/>
    <w:rPr>
      <w:sz w:val="18"/>
      <w:lang w:val="en-GB"/>
    </w:rPr>
  </w:style>
  <w:style w:type="character" w:styleId="CommentReference">
    <w:name w:val="annotation reference"/>
    <w:basedOn w:val="DefaultParagraphFont"/>
    <w:semiHidden/>
    <w:unhideWhenUsed/>
    <w:rsid w:val="004A39BB"/>
    <w:rPr>
      <w:sz w:val="16"/>
      <w:szCs w:val="16"/>
    </w:rPr>
  </w:style>
  <w:style w:type="paragraph" w:styleId="CommentText">
    <w:name w:val="annotation text"/>
    <w:basedOn w:val="Normal"/>
    <w:link w:val="CommentTextChar"/>
    <w:semiHidden/>
    <w:unhideWhenUsed/>
    <w:rsid w:val="004A39BB"/>
    <w:pPr>
      <w:spacing w:line="240" w:lineRule="auto"/>
    </w:pPr>
  </w:style>
  <w:style w:type="character" w:customStyle="1" w:styleId="CommentTextChar">
    <w:name w:val="Comment Text Char"/>
    <w:basedOn w:val="DefaultParagraphFont"/>
    <w:link w:val="CommentText"/>
    <w:semiHidden/>
    <w:rsid w:val="004A39BB"/>
    <w:rPr>
      <w:lang w:val="en-GB"/>
    </w:rPr>
  </w:style>
  <w:style w:type="paragraph" w:styleId="CommentSubject">
    <w:name w:val="annotation subject"/>
    <w:basedOn w:val="CommentText"/>
    <w:next w:val="CommentText"/>
    <w:link w:val="CommentSubjectChar"/>
    <w:semiHidden/>
    <w:unhideWhenUsed/>
    <w:rsid w:val="004A39BB"/>
    <w:rPr>
      <w:b/>
      <w:bCs/>
    </w:rPr>
  </w:style>
  <w:style w:type="character" w:customStyle="1" w:styleId="CommentSubjectChar">
    <w:name w:val="Comment Subject Char"/>
    <w:basedOn w:val="CommentTextChar"/>
    <w:link w:val="CommentSubject"/>
    <w:semiHidden/>
    <w:rsid w:val="004A39BB"/>
    <w:rPr>
      <w:b/>
      <w:bCs/>
      <w:lang w:val="en-GB"/>
    </w:rPr>
  </w:style>
  <w:style w:type="character" w:customStyle="1" w:styleId="SingleTxtGCar">
    <w:name w:val="_ Single Txt_G Car"/>
    <w:locked/>
    <w:rsid w:val="00300609"/>
    <w:rPr>
      <w:lang w:val="en-GB"/>
    </w:rPr>
  </w:style>
  <w:style w:type="character" w:styleId="UnresolvedMention">
    <w:name w:val="Unresolved Mention"/>
    <w:basedOn w:val="DefaultParagraphFont"/>
    <w:uiPriority w:val="99"/>
    <w:semiHidden/>
    <w:unhideWhenUsed/>
    <w:rsid w:val="004F597C"/>
    <w:rPr>
      <w:color w:val="605E5C"/>
      <w:shd w:val="clear" w:color="auto" w:fill="E1DFDD"/>
    </w:rPr>
  </w:style>
  <w:style w:type="paragraph" w:styleId="Revision">
    <w:name w:val="Revision"/>
    <w:hidden/>
    <w:uiPriority w:val="99"/>
    <w:semiHidden/>
    <w:rsid w:val="00334723"/>
    <w:rPr>
      <w:lang w:val="en-GB"/>
    </w:rPr>
  </w:style>
  <w:style w:type="paragraph" w:customStyle="1" w:styleId="paragraph">
    <w:name w:val="paragraph"/>
    <w:basedOn w:val="Normal"/>
    <w:rsid w:val="006D0729"/>
    <w:pPr>
      <w:suppressAutoHyphens w:val="0"/>
      <w:spacing w:before="100" w:beforeAutospacing="1" w:after="100" w:afterAutospacing="1" w:line="240" w:lineRule="auto"/>
    </w:pPr>
    <w:rPr>
      <w:sz w:val="24"/>
      <w:szCs w:val="24"/>
      <w:lang w:eastAsia="zh-CN"/>
    </w:rPr>
  </w:style>
  <w:style w:type="character" w:customStyle="1" w:styleId="normaltextrun">
    <w:name w:val="normaltextrun"/>
    <w:basedOn w:val="DefaultParagraphFont"/>
    <w:rsid w:val="006D0729"/>
  </w:style>
  <w:style w:type="character" w:customStyle="1" w:styleId="tabchar">
    <w:name w:val="tabchar"/>
    <w:basedOn w:val="DefaultParagraphFont"/>
    <w:rsid w:val="006D0729"/>
  </w:style>
  <w:style w:type="character" w:customStyle="1" w:styleId="eop">
    <w:name w:val="eop"/>
    <w:basedOn w:val="DefaultParagraphFont"/>
    <w:rsid w:val="006D0729"/>
  </w:style>
  <w:style w:type="character" w:customStyle="1" w:styleId="jlqj4b">
    <w:name w:val="jlqj4b"/>
    <w:basedOn w:val="DefaultParagraphFont"/>
    <w:rsid w:val="00F23A61"/>
  </w:style>
  <w:style w:type="paragraph" w:styleId="NormalWeb">
    <w:name w:val="Normal (Web)"/>
    <w:basedOn w:val="Normal"/>
    <w:uiPriority w:val="99"/>
    <w:semiHidden/>
    <w:unhideWhenUsed/>
    <w:rsid w:val="00E60A6C"/>
    <w:pPr>
      <w:suppressAutoHyphens w:val="0"/>
      <w:spacing w:before="100" w:beforeAutospacing="1" w:after="100" w:afterAutospacing="1" w:line="240" w:lineRule="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2314">
      <w:bodyDiv w:val="1"/>
      <w:marLeft w:val="0"/>
      <w:marRight w:val="0"/>
      <w:marTop w:val="0"/>
      <w:marBottom w:val="0"/>
      <w:divBdr>
        <w:top w:val="none" w:sz="0" w:space="0" w:color="auto"/>
        <w:left w:val="none" w:sz="0" w:space="0" w:color="auto"/>
        <w:bottom w:val="none" w:sz="0" w:space="0" w:color="auto"/>
        <w:right w:val="none" w:sz="0" w:space="0" w:color="auto"/>
      </w:divBdr>
    </w:div>
    <w:div w:id="42221890">
      <w:bodyDiv w:val="1"/>
      <w:marLeft w:val="0"/>
      <w:marRight w:val="0"/>
      <w:marTop w:val="0"/>
      <w:marBottom w:val="0"/>
      <w:divBdr>
        <w:top w:val="none" w:sz="0" w:space="0" w:color="auto"/>
        <w:left w:val="none" w:sz="0" w:space="0" w:color="auto"/>
        <w:bottom w:val="none" w:sz="0" w:space="0" w:color="auto"/>
        <w:right w:val="none" w:sz="0" w:space="0" w:color="auto"/>
      </w:divBdr>
    </w:div>
    <w:div w:id="380179485">
      <w:bodyDiv w:val="1"/>
      <w:marLeft w:val="0"/>
      <w:marRight w:val="0"/>
      <w:marTop w:val="0"/>
      <w:marBottom w:val="0"/>
      <w:divBdr>
        <w:top w:val="none" w:sz="0" w:space="0" w:color="auto"/>
        <w:left w:val="none" w:sz="0" w:space="0" w:color="auto"/>
        <w:bottom w:val="none" w:sz="0" w:space="0" w:color="auto"/>
        <w:right w:val="none" w:sz="0" w:space="0" w:color="auto"/>
      </w:divBdr>
    </w:div>
    <w:div w:id="392655002">
      <w:bodyDiv w:val="1"/>
      <w:marLeft w:val="0"/>
      <w:marRight w:val="0"/>
      <w:marTop w:val="0"/>
      <w:marBottom w:val="0"/>
      <w:divBdr>
        <w:top w:val="none" w:sz="0" w:space="0" w:color="auto"/>
        <w:left w:val="none" w:sz="0" w:space="0" w:color="auto"/>
        <w:bottom w:val="none" w:sz="0" w:space="0" w:color="auto"/>
        <w:right w:val="none" w:sz="0" w:space="0" w:color="auto"/>
      </w:divBdr>
    </w:div>
    <w:div w:id="434130346">
      <w:bodyDiv w:val="1"/>
      <w:marLeft w:val="0"/>
      <w:marRight w:val="0"/>
      <w:marTop w:val="0"/>
      <w:marBottom w:val="0"/>
      <w:divBdr>
        <w:top w:val="none" w:sz="0" w:space="0" w:color="auto"/>
        <w:left w:val="none" w:sz="0" w:space="0" w:color="auto"/>
        <w:bottom w:val="none" w:sz="0" w:space="0" w:color="auto"/>
        <w:right w:val="none" w:sz="0" w:space="0" w:color="auto"/>
      </w:divBdr>
    </w:div>
    <w:div w:id="434443104">
      <w:bodyDiv w:val="1"/>
      <w:marLeft w:val="0"/>
      <w:marRight w:val="0"/>
      <w:marTop w:val="0"/>
      <w:marBottom w:val="0"/>
      <w:divBdr>
        <w:top w:val="none" w:sz="0" w:space="0" w:color="auto"/>
        <w:left w:val="none" w:sz="0" w:space="0" w:color="auto"/>
        <w:bottom w:val="none" w:sz="0" w:space="0" w:color="auto"/>
        <w:right w:val="none" w:sz="0" w:space="0" w:color="auto"/>
      </w:divBdr>
    </w:div>
    <w:div w:id="437603014">
      <w:bodyDiv w:val="1"/>
      <w:marLeft w:val="0"/>
      <w:marRight w:val="0"/>
      <w:marTop w:val="0"/>
      <w:marBottom w:val="0"/>
      <w:divBdr>
        <w:top w:val="none" w:sz="0" w:space="0" w:color="auto"/>
        <w:left w:val="none" w:sz="0" w:space="0" w:color="auto"/>
        <w:bottom w:val="none" w:sz="0" w:space="0" w:color="auto"/>
        <w:right w:val="none" w:sz="0" w:space="0" w:color="auto"/>
      </w:divBdr>
      <w:divsChild>
        <w:div w:id="28798422">
          <w:marLeft w:val="0"/>
          <w:marRight w:val="0"/>
          <w:marTop w:val="0"/>
          <w:marBottom w:val="0"/>
          <w:divBdr>
            <w:top w:val="none" w:sz="0" w:space="0" w:color="auto"/>
            <w:left w:val="none" w:sz="0" w:space="0" w:color="auto"/>
            <w:bottom w:val="none" w:sz="0" w:space="0" w:color="auto"/>
            <w:right w:val="none" w:sz="0" w:space="0" w:color="auto"/>
          </w:divBdr>
        </w:div>
        <w:div w:id="604463121">
          <w:marLeft w:val="0"/>
          <w:marRight w:val="0"/>
          <w:marTop w:val="0"/>
          <w:marBottom w:val="0"/>
          <w:divBdr>
            <w:top w:val="none" w:sz="0" w:space="0" w:color="auto"/>
            <w:left w:val="none" w:sz="0" w:space="0" w:color="auto"/>
            <w:bottom w:val="none" w:sz="0" w:space="0" w:color="auto"/>
            <w:right w:val="none" w:sz="0" w:space="0" w:color="auto"/>
          </w:divBdr>
        </w:div>
        <w:div w:id="1086879211">
          <w:marLeft w:val="0"/>
          <w:marRight w:val="0"/>
          <w:marTop w:val="0"/>
          <w:marBottom w:val="0"/>
          <w:divBdr>
            <w:top w:val="none" w:sz="0" w:space="0" w:color="auto"/>
            <w:left w:val="none" w:sz="0" w:space="0" w:color="auto"/>
            <w:bottom w:val="none" w:sz="0" w:space="0" w:color="auto"/>
            <w:right w:val="none" w:sz="0" w:space="0" w:color="auto"/>
          </w:divBdr>
        </w:div>
        <w:div w:id="1279533563">
          <w:marLeft w:val="0"/>
          <w:marRight w:val="0"/>
          <w:marTop w:val="0"/>
          <w:marBottom w:val="0"/>
          <w:divBdr>
            <w:top w:val="none" w:sz="0" w:space="0" w:color="auto"/>
            <w:left w:val="none" w:sz="0" w:space="0" w:color="auto"/>
            <w:bottom w:val="none" w:sz="0" w:space="0" w:color="auto"/>
            <w:right w:val="none" w:sz="0" w:space="0" w:color="auto"/>
          </w:divBdr>
        </w:div>
        <w:div w:id="1298754309">
          <w:marLeft w:val="0"/>
          <w:marRight w:val="0"/>
          <w:marTop w:val="0"/>
          <w:marBottom w:val="0"/>
          <w:divBdr>
            <w:top w:val="none" w:sz="0" w:space="0" w:color="auto"/>
            <w:left w:val="none" w:sz="0" w:space="0" w:color="auto"/>
            <w:bottom w:val="none" w:sz="0" w:space="0" w:color="auto"/>
            <w:right w:val="none" w:sz="0" w:space="0" w:color="auto"/>
          </w:divBdr>
        </w:div>
        <w:div w:id="1375424295">
          <w:marLeft w:val="0"/>
          <w:marRight w:val="0"/>
          <w:marTop w:val="0"/>
          <w:marBottom w:val="0"/>
          <w:divBdr>
            <w:top w:val="none" w:sz="0" w:space="0" w:color="auto"/>
            <w:left w:val="none" w:sz="0" w:space="0" w:color="auto"/>
            <w:bottom w:val="none" w:sz="0" w:space="0" w:color="auto"/>
            <w:right w:val="none" w:sz="0" w:space="0" w:color="auto"/>
          </w:divBdr>
        </w:div>
        <w:div w:id="1841969431">
          <w:marLeft w:val="0"/>
          <w:marRight w:val="0"/>
          <w:marTop w:val="0"/>
          <w:marBottom w:val="0"/>
          <w:divBdr>
            <w:top w:val="none" w:sz="0" w:space="0" w:color="auto"/>
            <w:left w:val="none" w:sz="0" w:space="0" w:color="auto"/>
            <w:bottom w:val="none" w:sz="0" w:space="0" w:color="auto"/>
            <w:right w:val="none" w:sz="0" w:space="0" w:color="auto"/>
          </w:divBdr>
        </w:div>
      </w:divsChild>
    </w:div>
    <w:div w:id="481578595">
      <w:bodyDiv w:val="1"/>
      <w:marLeft w:val="0"/>
      <w:marRight w:val="0"/>
      <w:marTop w:val="0"/>
      <w:marBottom w:val="0"/>
      <w:divBdr>
        <w:top w:val="none" w:sz="0" w:space="0" w:color="auto"/>
        <w:left w:val="none" w:sz="0" w:space="0" w:color="auto"/>
        <w:bottom w:val="none" w:sz="0" w:space="0" w:color="auto"/>
        <w:right w:val="none" w:sz="0" w:space="0" w:color="auto"/>
      </w:divBdr>
    </w:div>
    <w:div w:id="499584086">
      <w:bodyDiv w:val="1"/>
      <w:marLeft w:val="0"/>
      <w:marRight w:val="0"/>
      <w:marTop w:val="0"/>
      <w:marBottom w:val="0"/>
      <w:divBdr>
        <w:top w:val="none" w:sz="0" w:space="0" w:color="auto"/>
        <w:left w:val="none" w:sz="0" w:space="0" w:color="auto"/>
        <w:bottom w:val="none" w:sz="0" w:space="0" w:color="auto"/>
        <w:right w:val="none" w:sz="0" w:space="0" w:color="auto"/>
      </w:divBdr>
    </w:div>
    <w:div w:id="519703623">
      <w:bodyDiv w:val="1"/>
      <w:marLeft w:val="0"/>
      <w:marRight w:val="0"/>
      <w:marTop w:val="0"/>
      <w:marBottom w:val="0"/>
      <w:divBdr>
        <w:top w:val="none" w:sz="0" w:space="0" w:color="auto"/>
        <w:left w:val="none" w:sz="0" w:space="0" w:color="auto"/>
        <w:bottom w:val="none" w:sz="0" w:space="0" w:color="auto"/>
        <w:right w:val="none" w:sz="0" w:space="0" w:color="auto"/>
      </w:divBdr>
      <w:divsChild>
        <w:div w:id="628974329">
          <w:marLeft w:val="0"/>
          <w:marRight w:val="0"/>
          <w:marTop w:val="0"/>
          <w:marBottom w:val="0"/>
          <w:divBdr>
            <w:top w:val="none" w:sz="0" w:space="0" w:color="auto"/>
            <w:left w:val="none" w:sz="0" w:space="0" w:color="auto"/>
            <w:bottom w:val="none" w:sz="0" w:space="0" w:color="auto"/>
            <w:right w:val="none" w:sz="0" w:space="0" w:color="auto"/>
          </w:divBdr>
        </w:div>
        <w:div w:id="768935997">
          <w:marLeft w:val="0"/>
          <w:marRight w:val="0"/>
          <w:marTop w:val="0"/>
          <w:marBottom w:val="0"/>
          <w:divBdr>
            <w:top w:val="none" w:sz="0" w:space="0" w:color="auto"/>
            <w:left w:val="none" w:sz="0" w:space="0" w:color="auto"/>
            <w:bottom w:val="none" w:sz="0" w:space="0" w:color="auto"/>
            <w:right w:val="none" w:sz="0" w:space="0" w:color="auto"/>
          </w:divBdr>
        </w:div>
      </w:divsChild>
    </w:div>
    <w:div w:id="587881952">
      <w:bodyDiv w:val="1"/>
      <w:marLeft w:val="0"/>
      <w:marRight w:val="0"/>
      <w:marTop w:val="0"/>
      <w:marBottom w:val="0"/>
      <w:divBdr>
        <w:top w:val="none" w:sz="0" w:space="0" w:color="auto"/>
        <w:left w:val="none" w:sz="0" w:space="0" w:color="auto"/>
        <w:bottom w:val="none" w:sz="0" w:space="0" w:color="auto"/>
        <w:right w:val="none" w:sz="0" w:space="0" w:color="auto"/>
      </w:divBdr>
    </w:div>
    <w:div w:id="616834447">
      <w:bodyDiv w:val="1"/>
      <w:marLeft w:val="0"/>
      <w:marRight w:val="0"/>
      <w:marTop w:val="0"/>
      <w:marBottom w:val="0"/>
      <w:divBdr>
        <w:top w:val="none" w:sz="0" w:space="0" w:color="auto"/>
        <w:left w:val="none" w:sz="0" w:space="0" w:color="auto"/>
        <w:bottom w:val="none" w:sz="0" w:space="0" w:color="auto"/>
        <w:right w:val="none" w:sz="0" w:space="0" w:color="auto"/>
      </w:divBdr>
    </w:div>
    <w:div w:id="662784669">
      <w:bodyDiv w:val="1"/>
      <w:marLeft w:val="0"/>
      <w:marRight w:val="0"/>
      <w:marTop w:val="0"/>
      <w:marBottom w:val="0"/>
      <w:divBdr>
        <w:top w:val="none" w:sz="0" w:space="0" w:color="auto"/>
        <w:left w:val="none" w:sz="0" w:space="0" w:color="auto"/>
        <w:bottom w:val="none" w:sz="0" w:space="0" w:color="auto"/>
        <w:right w:val="none" w:sz="0" w:space="0" w:color="auto"/>
      </w:divBdr>
      <w:divsChild>
        <w:div w:id="818041018">
          <w:marLeft w:val="0"/>
          <w:marRight w:val="0"/>
          <w:marTop w:val="0"/>
          <w:marBottom w:val="0"/>
          <w:divBdr>
            <w:top w:val="none" w:sz="0" w:space="0" w:color="auto"/>
            <w:left w:val="none" w:sz="0" w:space="0" w:color="auto"/>
            <w:bottom w:val="none" w:sz="0" w:space="0" w:color="auto"/>
            <w:right w:val="none" w:sz="0" w:space="0" w:color="auto"/>
          </w:divBdr>
        </w:div>
        <w:div w:id="1465733346">
          <w:marLeft w:val="0"/>
          <w:marRight w:val="0"/>
          <w:marTop w:val="0"/>
          <w:marBottom w:val="0"/>
          <w:divBdr>
            <w:top w:val="none" w:sz="0" w:space="0" w:color="auto"/>
            <w:left w:val="none" w:sz="0" w:space="0" w:color="auto"/>
            <w:bottom w:val="none" w:sz="0" w:space="0" w:color="auto"/>
            <w:right w:val="none" w:sz="0" w:space="0" w:color="auto"/>
          </w:divBdr>
        </w:div>
        <w:div w:id="1970354995">
          <w:marLeft w:val="0"/>
          <w:marRight w:val="0"/>
          <w:marTop w:val="0"/>
          <w:marBottom w:val="0"/>
          <w:divBdr>
            <w:top w:val="none" w:sz="0" w:space="0" w:color="auto"/>
            <w:left w:val="none" w:sz="0" w:space="0" w:color="auto"/>
            <w:bottom w:val="none" w:sz="0" w:space="0" w:color="auto"/>
            <w:right w:val="none" w:sz="0" w:space="0" w:color="auto"/>
          </w:divBdr>
        </w:div>
        <w:div w:id="2030836251">
          <w:marLeft w:val="0"/>
          <w:marRight w:val="0"/>
          <w:marTop w:val="0"/>
          <w:marBottom w:val="0"/>
          <w:divBdr>
            <w:top w:val="none" w:sz="0" w:space="0" w:color="auto"/>
            <w:left w:val="none" w:sz="0" w:space="0" w:color="auto"/>
            <w:bottom w:val="none" w:sz="0" w:space="0" w:color="auto"/>
            <w:right w:val="none" w:sz="0" w:space="0" w:color="auto"/>
          </w:divBdr>
        </w:div>
        <w:div w:id="2094204839">
          <w:marLeft w:val="0"/>
          <w:marRight w:val="0"/>
          <w:marTop w:val="0"/>
          <w:marBottom w:val="0"/>
          <w:divBdr>
            <w:top w:val="none" w:sz="0" w:space="0" w:color="auto"/>
            <w:left w:val="none" w:sz="0" w:space="0" w:color="auto"/>
            <w:bottom w:val="none" w:sz="0" w:space="0" w:color="auto"/>
            <w:right w:val="none" w:sz="0" w:space="0" w:color="auto"/>
          </w:divBdr>
        </w:div>
        <w:div w:id="2098594402">
          <w:marLeft w:val="0"/>
          <w:marRight w:val="0"/>
          <w:marTop w:val="0"/>
          <w:marBottom w:val="0"/>
          <w:divBdr>
            <w:top w:val="none" w:sz="0" w:space="0" w:color="auto"/>
            <w:left w:val="none" w:sz="0" w:space="0" w:color="auto"/>
            <w:bottom w:val="none" w:sz="0" w:space="0" w:color="auto"/>
            <w:right w:val="none" w:sz="0" w:space="0" w:color="auto"/>
          </w:divBdr>
        </w:div>
        <w:div w:id="2135099098">
          <w:marLeft w:val="0"/>
          <w:marRight w:val="0"/>
          <w:marTop w:val="0"/>
          <w:marBottom w:val="0"/>
          <w:divBdr>
            <w:top w:val="none" w:sz="0" w:space="0" w:color="auto"/>
            <w:left w:val="none" w:sz="0" w:space="0" w:color="auto"/>
            <w:bottom w:val="none" w:sz="0" w:space="0" w:color="auto"/>
            <w:right w:val="none" w:sz="0" w:space="0" w:color="auto"/>
          </w:divBdr>
        </w:div>
      </w:divsChild>
    </w:div>
    <w:div w:id="1008366824">
      <w:bodyDiv w:val="1"/>
      <w:marLeft w:val="0"/>
      <w:marRight w:val="0"/>
      <w:marTop w:val="0"/>
      <w:marBottom w:val="0"/>
      <w:divBdr>
        <w:top w:val="none" w:sz="0" w:space="0" w:color="auto"/>
        <w:left w:val="none" w:sz="0" w:space="0" w:color="auto"/>
        <w:bottom w:val="none" w:sz="0" w:space="0" w:color="auto"/>
        <w:right w:val="none" w:sz="0" w:space="0" w:color="auto"/>
      </w:divBdr>
    </w:div>
    <w:div w:id="1013799937">
      <w:bodyDiv w:val="1"/>
      <w:marLeft w:val="0"/>
      <w:marRight w:val="0"/>
      <w:marTop w:val="0"/>
      <w:marBottom w:val="0"/>
      <w:divBdr>
        <w:top w:val="none" w:sz="0" w:space="0" w:color="auto"/>
        <w:left w:val="none" w:sz="0" w:space="0" w:color="auto"/>
        <w:bottom w:val="none" w:sz="0" w:space="0" w:color="auto"/>
        <w:right w:val="none" w:sz="0" w:space="0" w:color="auto"/>
      </w:divBdr>
    </w:div>
    <w:div w:id="1097600402">
      <w:bodyDiv w:val="1"/>
      <w:marLeft w:val="0"/>
      <w:marRight w:val="0"/>
      <w:marTop w:val="0"/>
      <w:marBottom w:val="0"/>
      <w:divBdr>
        <w:top w:val="none" w:sz="0" w:space="0" w:color="auto"/>
        <w:left w:val="none" w:sz="0" w:space="0" w:color="auto"/>
        <w:bottom w:val="none" w:sz="0" w:space="0" w:color="auto"/>
        <w:right w:val="none" w:sz="0" w:space="0" w:color="auto"/>
      </w:divBdr>
    </w:div>
    <w:div w:id="1134524332">
      <w:bodyDiv w:val="1"/>
      <w:marLeft w:val="0"/>
      <w:marRight w:val="0"/>
      <w:marTop w:val="0"/>
      <w:marBottom w:val="0"/>
      <w:divBdr>
        <w:top w:val="none" w:sz="0" w:space="0" w:color="auto"/>
        <w:left w:val="none" w:sz="0" w:space="0" w:color="auto"/>
        <w:bottom w:val="none" w:sz="0" w:space="0" w:color="auto"/>
        <w:right w:val="none" w:sz="0" w:space="0" w:color="auto"/>
      </w:divBdr>
    </w:div>
    <w:div w:id="1180512046">
      <w:bodyDiv w:val="1"/>
      <w:marLeft w:val="0"/>
      <w:marRight w:val="0"/>
      <w:marTop w:val="0"/>
      <w:marBottom w:val="0"/>
      <w:divBdr>
        <w:top w:val="none" w:sz="0" w:space="0" w:color="auto"/>
        <w:left w:val="none" w:sz="0" w:space="0" w:color="auto"/>
        <w:bottom w:val="none" w:sz="0" w:space="0" w:color="auto"/>
        <w:right w:val="none" w:sz="0" w:space="0" w:color="auto"/>
      </w:divBdr>
    </w:div>
    <w:div w:id="1210267008">
      <w:bodyDiv w:val="1"/>
      <w:marLeft w:val="0"/>
      <w:marRight w:val="0"/>
      <w:marTop w:val="0"/>
      <w:marBottom w:val="0"/>
      <w:divBdr>
        <w:top w:val="none" w:sz="0" w:space="0" w:color="auto"/>
        <w:left w:val="none" w:sz="0" w:space="0" w:color="auto"/>
        <w:bottom w:val="none" w:sz="0" w:space="0" w:color="auto"/>
        <w:right w:val="none" w:sz="0" w:space="0" w:color="auto"/>
      </w:divBdr>
    </w:div>
    <w:div w:id="1238049604">
      <w:bodyDiv w:val="1"/>
      <w:marLeft w:val="0"/>
      <w:marRight w:val="0"/>
      <w:marTop w:val="0"/>
      <w:marBottom w:val="0"/>
      <w:divBdr>
        <w:top w:val="none" w:sz="0" w:space="0" w:color="auto"/>
        <w:left w:val="none" w:sz="0" w:space="0" w:color="auto"/>
        <w:bottom w:val="none" w:sz="0" w:space="0" w:color="auto"/>
        <w:right w:val="none" w:sz="0" w:space="0" w:color="auto"/>
      </w:divBdr>
    </w:div>
    <w:div w:id="1371227345">
      <w:bodyDiv w:val="1"/>
      <w:marLeft w:val="0"/>
      <w:marRight w:val="0"/>
      <w:marTop w:val="0"/>
      <w:marBottom w:val="0"/>
      <w:divBdr>
        <w:top w:val="none" w:sz="0" w:space="0" w:color="auto"/>
        <w:left w:val="none" w:sz="0" w:space="0" w:color="auto"/>
        <w:bottom w:val="none" w:sz="0" w:space="0" w:color="auto"/>
        <w:right w:val="none" w:sz="0" w:space="0" w:color="auto"/>
      </w:divBdr>
    </w:div>
    <w:div w:id="1382903069">
      <w:bodyDiv w:val="1"/>
      <w:marLeft w:val="0"/>
      <w:marRight w:val="0"/>
      <w:marTop w:val="0"/>
      <w:marBottom w:val="0"/>
      <w:divBdr>
        <w:top w:val="none" w:sz="0" w:space="0" w:color="auto"/>
        <w:left w:val="none" w:sz="0" w:space="0" w:color="auto"/>
        <w:bottom w:val="none" w:sz="0" w:space="0" w:color="auto"/>
        <w:right w:val="none" w:sz="0" w:space="0" w:color="auto"/>
      </w:divBdr>
    </w:div>
    <w:div w:id="1421948405">
      <w:bodyDiv w:val="1"/>
      <w:marLeft w:val="0"/>
      <w:marRight w:val="0"/>
      <w:marTop w:val="0"/>
      <w:marBottom w:val="0"/>
      <w:divBdr>
        <w:top w:val="none" w:sz="0" w:space="0" w:color="auto"/>
        <w:left w:val="none" w:sz="0" w:space="0" w:color="auto"/>
        <w:bottom w:val="none" w:sz="0" w:space="0" w:color="auto"/>
        <w:right w:val="none" w:sz="0" w:space="0" w:color="auto"/>
      </w:divBdr>
    </w:div>
    <w:div w:id="1503202588">
      <w:bodyDiv w:val="1"/>
      <w:marLeft w:val="0"/>
      <w:marRight w:val="0"/>
      <w:marTop w:val="0"/>
      <w:marBottom w:val="0"/>
      <w:divBdr>
        <w:top w:val="none" w:sz="0" w:space="0" w:color="auto"/>
        <w:left w:val="none" w:sz="0" w:space="0" w:color="auto"/>
        <w:bottom w:val="none" w:sz="0" w:space="0" w:color="auto"/>
        <w:right w:val="none" w:sz="0" w:space="0" w:color="auto"/>
      </w:divBdr>
    </w:div>
    <w:div w:id="1510218997">
      <w:bodyDiv w:val="1"/>
      <w:marLeft w:val="0"/>
      <w:marRight w:val="0"/>
      <w:marTop w:val="0"/>
      <w:marBottom w:val="0"/>
      <w:divBdr>
        <w:top w:val="none" w:sz="0" w:space="0" w:color="auto"/>
        <w:left w:val="none" w:sz="0" w:space="0" w:color="auto"/>
        <w:bottom w:val="none" w:sz="0" w:space="0" w:color="auto"/>
        <w:right w:val="none" w:sz="0" w:space="0" w:color="auto"/>
      </w:divBdr>
    </w:div>
    <w:div w:id="1708799819">
      <w:bodyDiv w:val="1"/>
      <w:marLeft w:val="0"/>
      <w:marRight w:val="0"/>
      <w:marTop w:val="0"/>
      <w:marBottom w:val="0"/>
      <w:divBdr>
        <w:top w:val="none" w:sz="0" w:space="0" w:color="auto"/>
        <w:left w:val="none" w:sz="0" w:space="0" w:color="auto"/>
        <w:bottom w:val="none" w:sz="0" w:space="0" w:color="auto"/>
        <w:right w:val="none" w:sz="0" w:space="0" w:color="auto"/>
      </w:divBdr>
    </w:div>
    <w:div w:id="1743793673">
      <w:bodyDiv w:val="1"/>
      <w:marLeft w:val="0"/>
      <w:marRight w:val="0"/>
      <w:marTop w:val="0"/>
      <w:marBottom w:val="0"/>
      <w:divBdr>
        <w:top w:val="none" w:sz="0" w:space="0" w:color="auto"/>
        <w:left w:val="none" w:sz="0" w:space="0" w:color="auto"/>
        <w:bottom w:val="none" w:sz="0" w:space="0" w:color="auto"/>
        <w:right w:val="none" w:sz="0" w:space="0" w:color="auto"/>
      </w:divBdr>
    </w:div>
    <w:div w:id="1773276905">
      <w:bodyDiv w:val="1"/>
      <w:marLeft w:val="0"/>
      <w:marRight w:val="0"/>
      <w:marTop w:val="0"/>
      <w:marBottom w:val="0"/>
      <w:divBdr>
        <w:top w:val="none" w:sz="0" w:space="0" w:color="auto"/>
        <w:left w:val="none" w:sz="0" w:space="0" w:color="auto"/>
        <w:bottom w:val="none" w:sz="0" w:space="0" w:color="auto"/>
        <w:right w:val="none" w:sz="0" w:space="0" w:color="auto"/>
      </w:divBdr>
    </w:div>
    <w:div w:id="1930311926">
      <w:bodyDiv w:val="1"/>
      <w:marLeft w:val="0"/>
      <w:marRight w:val="0"/>
      <w:marTop w:val="0"/>
      <w:marBottom w:val="0"/>
      <w:divBdr>
        <w:top w:val="none" w:sz="0" w:space="0" w:color="auto"/>
        <w:left w:val="none" w:sz="0" w:space="0" w:color="auto"/>
        <w:bottom w:val="none" w:sz="0" w:space="0" w:color="auto"/>
        <w:right w:val="none" w:sz="0" w:space="0" w:color="auto"/>
      </w:divBdr>
      <w:divsChild>
        <w:div w:id="176045843">
          <w:marLeft w:val="0"/>
          <w:marRight w:val="0"/>
          <w:marTop w:val="0"/>
          <w:marBottom w:val="0"/>
          <w:divBdr>
            <w:top w:val="none" w:sz="0" w:space="0" w:color="auto"/>
            <w:left w:val="none" w:sz="0" w:space="0" w:color="auto"/>
            <w:bottom w:val="none" w:sz="0" w:space="0" w:color="auto"/>
            <w:right w:val="none" w:sz="0" w:space="0" w:color="auto"/>
          </w:divBdr>
        </w:div>
        <w:div w:id="254285136">
          <w:marLeft w:val="0"/>
          <w:marRight w:val="0"/>
          <w:marTop w:val="0"/>
          <w:marBottom w:val="0"/>
          <w:divBdr>
            <w:top w:val="none" w:sz="0" w:space="0" w:color="auto"/>
            <w:left w:val="none" w:sz="0" w:space="0" w:color="auto"/>
            <w:bottom w:val="none" w:sz="0" w:space="0" w:color="auto"/>
            <w:right w:val="none" w:sz="0" w:space="0" w:color="auto"/>
          </w:divBdr>
        </w:div>
        <w:div w:id="319623103">
          <w:marLeft w:val="0"/>
          <w:marRight w:val="0"/>
          <w:marTop w:val="0"/>
          <w:marBottom w:val="0"/>
          <w:divBdr>
            <w:top w:val="none" w:sz="0" w:space="0" w:color="auto"/>
            <w:left w:val="none" w:sz="0" w:space="0" w:color="auto"/>
            <w:bottom w:val="none" w:sz="0" w:space="0" w:color="auto"/>
            <w:right w:val="none" w:sz="0" w:space="0" w:color="auto"/>
          </w:divBdr>
        </w:div>
        <w:div w:id="872108038">
          <w:marLeft w:val="0"/>
          <w:marRight w:val="0"/>
          <w:marTop w:val="0"/>
          <w:marBottom w:val="0"/>
          <w:divBdr>
            <w:top w:val="none" w:sz="0" w:space="0" w:color="auto"/>
            <w:left w:val="none" w:sz="0" w:space="0" w:color="auto"/>
            <w:bottom w:val="none" w:sz="0" w:space="0" w:color="auto"/>
            <w:right w:val="none" w:sz="0" w:space="0" w:color="auto"/>
          </w:divBdr>
        </w:div>
        <w:div w:id="965085925">
          <w:marLeft w:val="0"/>
          <w:marRight w:val="0"/>
          <w:marTop w:val="0"/>
          <w:marBottom w:val="0"/>
          <w:divBdr>
            <w:top w:val="none" w:sz="0" w:space="0" w:color="auto"/>
            <w:left w:val="none" w:sz="0" w:space="0" w:color="auto"/>
            <w:bottom w:val="none" w:sz="0" w:space="0" w:color="auto"/>
            <w:right w:val="none" w:sz="0" w:space="0" w:color="auto"/>
          </w:divBdr>
        </w:div>
        <w:div w:id="1146505876">
          <w:marLeft w:val="0"/>
          <w:marRight w:val="0"/>
          <w:marTop w:val="0"/>
          <w:marBottom w:val="0"/>
          <w:divBdr>
            <w:top w:val="none" w:sz="0" w:space="0" w:color="auto"/>
            <w:left w:val="none" w:sz="0" w:space="0" w:color="auto"/>
            <w:bottom w:val="none" w:sz="0" w:space="0" w:color="auto"/>
            <w:right w:val="none" w:sz="0" w:space="0" w:color="auto"/>
          </w:divBdr>
        </w:div>
        <w:div w:id="1186364248">
          <w:marLeft w:val="0"/>
          <w:marRight w:val="0"/>
          <w:marTop w:val="0"/>
          <w:marBottom w:val="0"/>
          <w:divBdr>
            <w:top w:val="none" w:sz="0" w:space="0" w:color="auto"/>
            <w:left w:val="none" w:sz="0" w:space="0" w:color="auto"/>
            <w:bottom w:val="none" w:sz="0" w:space="0" w:color="auto"/>
            <w:right w:val="none" w:sz="0" w:space="0" w:color="auto"/>
          </w:divBdr>
        </w:div>
      </w:divsChild>
    </w:div>
    <w:div w:id="1960185719">
      <w:bodyDiv w:val="1"/>
      <w:marLeft w:val="0"/>
      <w:marRight w:val="0"/>
      <w:marTop w:val="0"/>
      <w:marBottom w:val="0"/>
      <w:divBdr>
        <w:top w:val="none" w:sz="0" w:space="0" w:color="auto"/>
        <w:left w:val="none" w:sz="0" w:space="0" w:color="auto"/>
        <w:bottom w:val="none" w:sz="0" w:space="0" w:color="auto"/>
        <w:right w:val="none" w:sz="0" w:space="0" w:color="auto"/>
      </w:divBdr>
    </w:div>
    <w:div w:id="1973748749">
      <w:bodyDiv w:val="1"/>
      <w:marLeft w:val="0"/>
      <w:marRight w:val="0"/>
      <w:marTop w:val="0"/>
      <w:marBottom w:val="0"/>
      <w:divBdr>
        <w:top w:val="none" w:sz="0" w:space="0" w:color="auto"/>
        <w:left w:val="none" w:sz="0" w:space="0" w:color="auto"/>
        <w:bottom w:val="none" w:sz="0" w:space="0" w:color="auto"/>
        <w:right w:val="none" w:sz="0" w:space="0" w:color="auto"/>
      </w:divBdr>
    </w:div>
    <w:div w:id="1987583443">
      <w:bodyDiv w:val="1"/>
      <w:marLeft w:val="0"/>
      <w:marRight w:val="0"/>
      <w:marTop w:val="0"/>
      <w:marBottom w:val="0"/>
      <w:divBdr>
        <w:top w:val="none" w:sz="0" w:space="0" w:color="auto"/>
        <w:left w:val="none" w:sz="0" w:space="0" w:color="auto"/>
        <w:bottom w:val="none" w:sz="0" w:space="0" w:color="auto"/>
        <w:right w:val="none" w:sz="0" w:space="0" w:color="auto"/>
      </w:divBdr>
    </w:div>
    <w:div w:id="21353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documents.un.org/" TargetMode="External"/><Relationship Id="rId1" Type="http://schemas.openxmlformats.org/officeDocument/2006/relationships/hyperlink" Target="https://unece.org/sustainable-energy/events/group-experts-cleaner-electricity-systems-nineteenth-ses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ENERGY\ENERGY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ED112D2B38947A84F9587AE4D557F" ma:contentTypeVersion="19" ma:contentTypeDescription="Create a new document." ma:contentTypeScope="" ma:versionID="c93d248aff132747573a809283283056">
  <xsd:schema xmlns:xsd="http://www.w3.org/2001/XMLSchema" xmlns:xs="http://www.w3.org/2001/XMLSchema" xmlns:p="http://schemas.microsoft.com/office/2006/metadata/properties" xmlns:ns2="2321ae59-7bd5-4fd6-baee-ebb54b863058" xmlns:ns3="b7523eb9-e124-4391-9ef4-252df2216ceb" xmlns:ns4="985ec44e-1bab-4c0b-9df0-6ba128686fc9" targetNamespace="http://schemas.microsoft.com/office/2006/metadata/properties" ma:root="true" ma:fieldsID="54e8a2e9f211f3a7159404b6dd9c5916" ns2:_="" ns3:_="" ns4:_="">
    <xsd:import namespace="2321ae59-7bd5-4fd6-baee-ebb54b863058"/>
    <xsd:import namespace="b7523eb9-e124-4391-9ef4-252df2216ceb"/>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Date_x002f_Tim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1ae59-7bd5-4fd6-baee-ebb54b863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_x002f_Time" ma:index="21" nillable="true" ma:displayName="Date/ Time" ma:format="DateOnly" ma:internalName="Date_x002f_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23eb9-e124-4391-9ef4-252df2216c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d2f19f-48f8-487d-a93e-14c83bc3213d}" ma:internalName="TaxCatchAll" ma:showField="CatchAllData" ma:web="b7523eb9-e124-4391-9ef4-252df2216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_x002f_Time xmlns="2321ae59-7bd5-4fd6-baee-ebb54b863058" xsi:nil="true"/>
    <lcf76f155ced4ddcb4097134ff3c332f xmlns="2321ae59-7bd5-4fd6-baee-ebb54b863058">
      <Terms xmlns="http://schemas.microsoft.com/office/infopath/2007/PartnerControls"/>
    </lcf76f155ced4ddcb4097134ff3c332f>
    <TaxCatchAll xmlns="985ec44e-1bab-4c0b-9df0-6ba128686fc9" xsi:nil="true"/>
    <SharedWithUsers xmlns="b7523eb9-e124-4391-9ef4-252df2216ceb">
      <UserInfo>
        <DisplayName>Gianluca Sambucini</DisplayName>
        <AccountId>68</AccountId>
        <AccountType/>
      </UserInfo>
    </SharedWithUsers>
  </documentManagement>
</p:properties>
</file>

<file path=customXml/itemProps1.xml><?xml version="1.0" encoding="utf-8"?>
<ds:datastoreItem xmlns:ds="http://schemas.openxmlformats.org/officeDocument/2006/customXml" ds:itemID="{0186FED9-9105-4F18-BD2D-EA5806B0B0F2}"/>
</file>

<file path=customXml/itemProps2.xml><?xml version="1.0" encoding="utf-8"?>
<ds:datastoreItem xmlns:ds="http://schemas.openxmlformats.org/officeDocument/2006/customXml" ds:itemID="{6F4CE6D9-81A3-459E-A4B8-C7C78F4E7CAF}">
  <ds:schemaRefs>
    <ds:schemaRef ds:uri="http://schemas.microsoft.com/sharepoint/v3/contenttype/forms"/>
  </ds:schemaRefs>
</ds:datastoreItem>
</file>

<file path=customXml/itemProps3.xml><?xml version="1.0" encoding="utf-8"?>
<ds:datastoreItem xmlns:ds="http://schemas.openxmlformats.org/officeDocument/2006/customXml" ds:itemID="{E3801C1B-5FA8-4DC4-B001-6C49BD26CE56}">
  <ds:schemaRefs>
    <ds:schemaRef ds:uri="http://schemas.openxmlformats.org/officeDocument/2006/bibliography"/>
  </ds:schemaRefs>
</ds:datastoreItem>
</file>

<file path=customXml/itemProps4.xml><?xml version="1.0" encoding="utf-8"?>
<ds:datastoreItem xmlns:ds="http://schemas.openxmlformats.org/officeDocument/2006/customXml" ds:itemID="{E3725135-C527-4C52-8E14-3059E992CDA0}">
  <ds:schemaRefs>
    <ds:schemaRef ds:uri="http://schemas.microsoft.com/office/2006/metadata/properties"/>
    <ds:schemaRef ds:uri="http://schemas.microsoft.com/office/infopath/2007/PartnerControls"/>
    <ds:schemaRef ds:uri="2321ae59-7bd5-4fd6-baee-ebb54b863058"/>
    <ds:schemaRef ds:uri="985ec44e-1bab-4c0b-9df0-6ba128686fc9"/>
    <ds:schemaRef ds:uri="b7523eb9-e124-4391-9ef4-252df2216ceb"/>
  </ds:schemaRefs>
</ds:datastoreItem>
</file>

<file path=docProps/app.xml><?xml version="1.0" encoding="utf-8"?>
<Properties xmlns="http://schemas.openxmlformats.org/officeDocument/2006/extended-properties" xmlns:vt="http://schemas.openxmlformats.org/officeDocument/2006/docPropsVTypes">
  <Template>ENERGY_E.dotm</Template>
  <TotalTime>9</TotalTime>
  <Pages>6</Pages>
  <Words>2568</Words>
  <Characters>15205</Characters>
  <Application>Microsoft Office Word</Application>
  <DocSecurity>0</DocSecurity>
  <Lines>345</Lines>
  <Paragraphs>90</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ECE/ENERGY/GE.6/2019/2</vt:lpstr>
      <vt:lpstr>ECE/ENERGY/GE.6/2019/2</vt:lpstr>
    </vt:vector>
  </TitlesOfParts>
  <Company>CSD</Company>
  <LinksUpToDate>false</LinksUpToDate>
  <CharactersWithSpaces>17683</CharactersWithSpaces>
  <SharedDoc>false</SharedDoc>
  <HLinks>
    <vt:vector size="18" baseType="variant">
      <vt:variant>
        <vt:i4>786507</vt:i4>
      </vt:variant>
      <vt:variant>
        <vt:i4>6</vt:i4>
      </vt:variant>
      <vt:variant>
        <vt:i4>0</vt:i4>
      </vt:variant>
      <vt:variant>
        <vt:i4>5</vt:i4>
      </vt:variant>
      <vt:variant>
        <vt:lpwstr>https://unece.org/sustainable-energy/regional-advisory-services/about-project</vt:lpwstr>
      </vt:variant>
      <vt:variant>
        <vt:lpwstr/>
      </vt:variant>
      <vt:variant>
        <vt:i4>5898314</vt:i4>
      </vt:variant>
      <vt:variant>
        <vt:i4>3</vt:i4>
      </vt:variant>
      <vt:variant>
        <vt:i4>0</vt:i4>
      </vt:variant>
      <vt:variant>
        <vt:i4>5</vt:i4>
      </vt:variant>
      <vt:variant>
        <vt:lpwstr>http://documents.un.org/</vt:lpwstr>
      </vt:variant>
      <vt:variant>
        <vt:lpwstr/>
      </vt:variant>
      <vt:variant>
        <vt:i4>1048663</vt:i4>
      </vt:variant>
      <vt:variant>
        <vt:i4>0</vt:i4>
      </vt:variant>
      <vt:variant>
        <vt:i4>0</vt:i4>
      </vt:variant>
      <vt:variant>
        <vt:i4>5</vt:i4>
      </vt:variant>
      <vt:variant>
        <vt:lpwstr>https://unece.org/sustainable-energy/events/ninth-session-group-experts-energy-efficiency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ECE/ENERGY/GE.6/2019/2</dc:title>
  <dc:subject/>
  <dc:creator>Laurence Rotta</dc:creator>
  <cp:keywords/>
  <cp:lastModifiedBy>Igor Litvinyuk</cp:lastModifiedBy>
  <cp:revision>9</cp:revision>
  <cp:lastPrinted>2019-11-30T01:11:00Z</cp:lastPrinted>
  <dcterms:created xsi:type="dcterms:W3CDTF">2023-10-04T16:09:00Z</dcterms:created>
  <dcterms:modified xsi:type="dcterms:W3CDTF">2023-10-04T16:18:00Z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0x0101001EFED112D2B38947A84F9587AE4D557F</vt:lpwstr>
  </property>
  <property fmtid="{D5CDD505-2E9C-101B-9397-08002B2CF9AE}" pid="3" name="Order">
    <vt:r8>246600</vt:r8>
  </property>
  <property fmtid="{D5CDD505-2E9C-101B-9397-08002B2CF9AE}" pid="4" name="MediaServiceImageTags">
    <vt:lpwstr/>
  </property>
</Properties>
</file>