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5D45D" w14:textId="57BC251E" w:rsidR="00F042F2" w:rsidRPr="00E55A51" w:rsidRDefault="00A159EF" w:rsidP="00995704">
      <w:pPr>
        <w:pStyle w:val="HChG"/>
        <w:tabs>
          <w:tab w:val="clear" w:pos="851"/>
        </w:tabs>
        <w:ind w:left="567" w:right="566" w:firstLine="0"/>
        <w:jc w:val="center"/>
      </w:pPr>
      <w:r>
        <w:t xml:space="preserve">GRVA comments on the ITC strategy on </w:t>
      </w:r>
      <w:r w:rsidR="00995704">
        <w:t>reducing GHG emissions</w:t>
      </w:r>
    </w:p>
    <w:p w14:paraId="29AAE4B6" w14:textId="10CB3076" w:rsidR="00D01667" w:rsidRDefault="00D01667" w:rsidP="00D01667">
      <w:pPr>
        <w:pStyle w:val="HChG"/>
      </w:pPr>
      <w:r>
        <w:tab/>
        <w:t>I.</w:t>
      </w:r>
      <w:r>
        <w:tab/>
        <w:t>Preamble</w:t>
      </w:r>
    </w:p>
    <w:p w14:paraId="6548CA1B" w14:textId="7B86CFBF" w:rsidR="00D16DC9" w:rsidRPr="00D16DC9" w:rsidRDefault="00AD3BEE" w:rsidP="00D16DC9">
      <w:pPr>
        <w:pStyle w:val="SingleTxtG"/>
        <w:ind w:right="566"/>
        <w:rPr>
          <w:spacing w:val="-4"/>
        </w:rPr>
      </w:pPr>
      <w:r w:rsidRPr="00D16DC9">
        <w:rPr>
          <w:spacing w:val="-4"/>
        </w:rPr>
        <w:t>1.</w:t>
      </w:r>
      <w:r w:rsidRPr="00D16DC9">
        <w:rPr>
          <w:spacing w:val="-4"/>
        </w:rPr>
        <w:tab/>
      </w:r>
      <w:r w:rsidR="00055C78" w:rsidRPr="00D16DC9">
        <w:rPr>
          <w:spacing w:val="-4"/>
        </w:rPr>
        <w:t>GRVA received</w:t>
      </w:r>
      <w:r w:rsidR="00FD298B" w:rsidRPr="00D16DC9">
        <w:rPr>
          <w:spacing w:val="-4"/>
        </w:rPr>
        <w:t>, at its May 2023 session,</w:t>
      </w:r>
      <w:r w:rsidR="00055C78" w:rsidRPr="00D16DC9">
        <w:rPr>
          <w:spacing w:val="-4"/>
        </w:rPr>
        <w:t xml:space="preserve"> a presentation from the ITC </w:t>
      </w:r>
      <w:r w:rsidR="0076742A">
        <w:rPr>
          <w:spacing w:val="-4"/>
        </w:rPr>
        <w:t>S</w:t>
      </w:r>
      <w:r w:rsidR="00055C78" w:rsidRPr="00D16DC9">
        <w:rPr>
          <w:spacing w:val="-4"/>
        </w:rPr>
        <w:t>ecretary on the development of the ITC Strategy on reducing greenhouse gas emissions in inland transport, in line with the decisions of ITC in February 2023</w:t>
      </w:r>
      <w:r w:rsidR="00FD298B" w:rsidRPr="00D16DC9">
        <w:rPr>
          <w:spacing w:val="-4"/>
        </w:rPr>
        <w:t xml:space="preserve"> (See GRVA-16-</w:t>
      </w:r>
      <w:r w:rsidR="00D16DC9" w:rsidRPr="00D16DC9">
        <w:rPr>
          <w:spacing w:val="-4"/>
        </w:rPr>
        <w:t>46</w:t>
      </w:r>
      <w:r w:rsidR="00FD298B" w:rsidRPr="00D16DC9">
        <w:rPr>
          <w:spacing w:val="-4"/>
        </w:rPr>
        <w:t>)</w:t>
      </w:r>
      <w:r w:rsidR="00055C78" w:rsidRPr="00D16DC9">
        <w:rPr>
          <w:spacing w:val="-4"/>
        </w:rPr>
        <w:t>.</w:t>
      </w:r>
      <w:r w:rsidR="00D16DC9" w:rsidRPr="00D16DC9">
        <w:rPr>
          <w:spacing w:val="-4"/>
        </w:rPr>
        <w:t xml:space="preserve"> </w:t>
      </w:r>
      <w:r w:rsidR="00643E43" w:rsidRPr="00D16DC9">
        <w:rPr>
          <w:spacing w:val="-4"/>
        </w:rPr>
        <w:t>GRPE established a task force to deal with ITC’s request. WP.29 agreed</w:t>
      </w:r>
      <w:r w:rsidR="00FD298B" w:rsidRPr="00D16DC9">
        <w:rPr>
          <w:spacing w:val="-4"/>
        </w:rPr>
        <w:t xml:space="preserve">, at its June 2023 session, </w:t>
      </w:r>
      <w:r w:rsidR="00643E43" w:rsidRPr="00D16DC9">
        <w:rPr>
          <w:spacing w:val="-4"/>
        </w:rPr>
        <w:t>that all GR’s could contribute to this task force.</w:t>
      </w:r>
    </w:p>
    <w:p w14:paraId="3B5360C4" w14:textId="2C14D860" w:rsidR="00C66B0C" w:rsidRPr="00D16DC9" w:rsidRDefault="00D16DC9" w:rsidP="00D16DC9">
      <w:pPr>
        <w:pStyle w:val="SingleTxtG"/>
        <w:ind w:right="566"/>
        <w:rPr>
          <w:spacing w:val="-4"/>
        </w:rPr>
      </w:pPr>
      <w:r w:rsidRPr="00D16DC9">
        <w:rPr>
          <w:spacing w:val="-4"/>
        </w:rPr>
        <w:t>2</w:t>
      </w:r>
      <w:r w:rsidR="00643E43" w:rsidRPr="00D16DC9">
        <w:rPr>
          <w:spacing w:val="-4"/>
        </w:rPr>
        <w:t>.</w:t>
      </w:r>
      <w:r w:rsidR="00643E43" w:rsidRPr="00D16DC9">
        <w:rPr>
          <w:spacing w:val="-4"/>
        </w:rPr>
        <w:tab/>
        <w:t xml:space="preserve">The following paper provides </w:t>
      </w:r>
      <w:r w:rsidRPr="00D16DC9">
        <w:rPr>
          <w:spacing w:val="-4"/>
        </w:rPr>
        <w:t xml:space="preserve">draft </w:t>
      </w:r>
      <w:r w:rsidR="00064E02" w:rsidRPr="00D16DC9">
        <w:rPr>
          <w:spacing w:val="-4"/>
        </w:rPr>
        <w:t xml:space="preserve">suggestions </w:t>
      </w:r>
      <w:r w:rsidRPr="00D16DC9">
        <w:rPr>
          <w:spacing w:val="-4"/>
        </w:rPr>
        <w:t>from GRVA to inform the development of the</w:t>
      </w:r>
      <w:r w:rsidR="00064E02" w:rsidRPr="00D16DC9">
        <w:rPr>
          <w:spacing w:val="-4"/>
        </w:rPr>
        <w:t xml:space="preserve"> ITC strategy </w:t>
      </w:r>
      <w:r w:rsidR="00FD298B" w:rsidRPr="00D16DC9">
        <w:rPr>
          <w:spacing w:val="-4"/>
        </w:rPr>
        <w:t>as well as very brief context elements in the field of automated and connected vehicles having some relevance for this exercise</w:t>
      </w:r>
      <w:r w:rsidRPr="00D16DC9">
        <w:rPr>
          <w:spacing w:val="-4"/>
        </w:rPr>
        <w:t>, in</w:t>
      </w:r>
      <w:r w:rsidR="0076742A">
        <w:rPr>
          <w:spacing w:val="-4"/>
        </w:rPr>
        <w:t xml:space="preserve"> the</w:t>
      </w:r>
      <w:r w:rsidRPr="00D16DC9">
        <w:rPr>
          <w:spacing w:val="-4"/>
        </w:rPr>
        <w:t xml:space="preserve"> annex</w:t>
      </w:r>
      <w:r w:rsidR="00643E43" w:rsidRPr="00D16DC9">
        <w:rPr>
          <w:spacing w:val="-4"/>
        </w:rPr>
        <w:t>.</w:t>
      </w:r>
    </w:p>
    <w:p w14:paraId="06871B5B" w14:textId="7ED7174A" w:rsidR="00F322B5" w:rsidRDefault="00C66B0C" w:rsidP="00C66B0C">
      <w:pPr>
        <w:pStyle w:val="HChG"/>
      </w:pPr>
      <w:r>
        <w:tab/>
      </w:r>
      <w:r w:rsidR="00F322B5">
        <w:t>II.</w:t>
      </w:r>
      <w:r w:rsidR="00F322B5">
        <w:tab/>
        <w:t>Draft GRVA comments on the proposed outline</w:t>
      </w:r>
    </w:p>
    <w:p w14:paraId="1CA5771C" w14:textId="5B05D182" w:rsidR="00F322B5" w:rsidRPr="00F322B5" w:rsidRDefault="00F322B5" w:rsidP="00F322B5">
      <w:pPr>
        <w:pStyle w:val="SingleTxtG"/>
      </w:pPr>
      <w:r>
        <w:tab/>
      </w:r>
      <w:r w:rsidR="003B4BED" w:rsidRPr="003B4BED">
        <w:rPr>
          <w:i/>
          <w:iCs/>
        </w:rPr>
        <w:t>Documentation</w:t>
      </w:r>
      <w:r w:rsidR="003B4BED">
        <w:t xml:space="preserve">: </w:t>
      </w:r>
      <w:r w:rsidR="003B4BED">
        <w:tab/>
        <w:t xml:space="preserve">Presentation </w:t>
      </w:r>
      <w:hyperlink r:id="rId11" w:history="1">
        <w:r w:rsidR="003B4BED" w:rsidRPr="003B4BED">
          <w:rPr>
            <w:rStyle w:val="Hyperlink"/>
          </w:rPr>
          <w:t>GRVA-16-46</w:t>
        </w:r>
      </w:hyperlink>
    </w:p>
    <w:p w14:paraId="268AF1F2" w14:textId="7BDDD886" w:rsidR="00F322B5" w:rsidRDefault="00D16DC9" w:rsidP="006E1BC1">
      <w:pPr>
        <w:pStyle w:val="SingleTxtG"/>
        <w:ind w:right="566"/>
      </w:pPr>
      <w:r>
        <w:t>3</w:t>
      </w:r>
      <w:r w:rsidR="003B4BED">
        <w:t>.</w:t>
      </w:r>
      <w:r w:rsidR="003B4BED">
        <w:tab/>
        <w:t>The ITC strategy outline reads:</w:t>
      </w:r>
    </w:p>
    <w:p w14:paraId="56D475CD" w14:textId="445C962A" w:rsidR="003B4BED" w:rsidRDefault="00D00DC6" w:rsidP="006E1BC1">
      <w:pPr>
        <w:pStyle w:val="SingleTxtG"/>
        <w:spacing w:after="0" w:line="240" w:lineRule="auto"/>
        <w:ind w:right="566"/>
      </w:pPr>
      <w:r>
        <w:tab/>
      </w:r>
      <w:r>
        <w:tab/>
      </w:r>
      <w:r w:rsidR="003B4BED">
        <w:t>I.</w:t>
      </w:r>
      <w:r w:rsidR="00846386">
        <w:tab/>
      </w:r>
      <w:r w:rsidR="003B4BED">
        <w:t>Inland transport and climate</w:t>
      </w:r>
      <w:r w:rsidR="006945A2">
        <w:t>;</w:t>
      </w:r>
      <w:r w:rsidR="003B4BED">
        <w:t xml:space="preserve"> </w:t>
      </w:r>
    </w:p>
    <w:p w14:paraId="3E75976B" w14:textId="5AF000D3" w:rsidR="003B4BED" w:rsidRDefault="00D00DC6" w:rsidP="006E1BC1">
      <w:pPr>
        <w:pStyle w:val="SingleTxtG"/>
        <w:spacing w:after="0" w:line="240" w:lineRule="auto"/>
        <w:ind w:right="566"/>
      </w:pPr>
      <w:r>
        <w:tab/>
      </w:r>
      <w:r>
        <w:tab/>
      </w:r>
      <w:r w:rsidR="003B4BED">
        <w:t>II.</w:t>
      </w:r>
      <w:r>
        <w:tab/>
      </w:r>
      <w:r w:rsidR="003B4BED">
        <w:t>ITC vision and mission on climate action</w:t>
      </w:r>
      <w:r w:rsidR="006945A2">
        <w:t>;</w:t>
      </w:r>
      <w:r w:rsidR="003B4BED">
        <w:t xml:space="preserve"> </w:t>
      </w:r>
    </w:p>
    <w:p w14:paraId="3FFE37F0" w14:textId="6F1A31A9" w:rsidR="003B4BED" w:rsidRDefault="00D00DC6" w:rsidP="006E1BC1">
      <w:pPr>
        <w:pStyle w:val="SingleTxtG"/>
        <w:spacing w:after="0" w:line="240" w:lineRule="auto"/>
        <w:ind w:right="566"/>
      </w:pPr>
      <w:r>
        <w:tab/>
      </w:r>
      <w:r>
        <w:tab/>
      </w:r>
      <w:r w:rsidR="003B4BED">
        <w:t>III.</w:t>
      </w:r>
      <w:r>
        <w:tab/>
      </w:r>
      <w:r w:rsidR="003B4BED">
        <w:t>Strategic objectives</w:t>
      </w:r>
      <w:r w:rsidR="006945A2">
        <w:t>;</w:t>
      </w:r>
      <w:r w:rsidR="003B4BED">
        <w:t xml:space="preserve"> </w:t>
      </w:r>
    </w:p>
    <w:p w14:paraId="32430BDC" w14:textId="4A6DBDE1" w:rsidR="003B4BED" w:rsidRDefault="00D00DC6" w:rsidP="006E1BC1">
      <w:pPr>
        <w:pStyle w:val="SingleTxtG"/>
        <w:spacing w:after="0" w:line="240" w:lineRule="auto"/>
        <w:ind w:right="566"/>
      </w:pPr>
      <w:r>
        <w:tab/>
      </w:r>
      <w:r>
        <w:tab/>
      </w:r>
      <w:r w:rsidR="003B4BED">
        <w:t>IV.</w:t>
      </w:r>
      <w:r>
        <w:tab/>
      </w:r>
      <w:r w:rsidR="003B4BED">
        <w:t>ITC-administered instruments to assist in mitigating climate change</w:t>
      </w:r>
      <w:r w:rsidR="006945A2">
        <w:t>;</w:t>
      </w:r>
      <w:r w:rsidR="003B4BED">
        <w:t xml:space="preserve"> </w:t>
      </w:r>
    </w:p>
    <w:p w14:paraId="72F6763E" w14:textId="47BD763C" w:rsidR="003B4BED" w:rsidRDefault="00D00DC6" w:rsidP="006E1BC1">
      <w:pPr>
        <w:pStyle w:val="SingleTxtG"/>
        <w:spacing w:after="0" w:line="240" w:lineRule="auto"/>
        <w:ind w:right="566"/>
      </w:pPr>
      <w:r>
        <w:tab/>
      </w:r>
      <w:r>
        <w:tab/>
      </w:r>
      <w:r w:rsidR="003B4BED">
        <w:t>V.</w:t>
      </w:r>
      <w:r>
        <w:tab/>
      </w:r>
      <w:r w:rsidR="003B4BED">
        <w:t>ITC Climate Action Plan with milestones–ITC to help deliver on climate goals</w:t>
      </w:r>
      <w:r w:rsidR="006945A2">
        <w:t>;</w:t>
      </w:r>
      <w:r w:rsidR="003B4BED">
        <w:t xml:space="preserve"> </w:t>
      </w:r>
    </w:p>
    <w:p w14:paraId="00AAFE41" w14:textId="04AEFA1A" w:rsidR="003B4BED" w:rsidRDefault="00D00DC6" w:rsidP="006E1BC1">
      <w:pPr>
        <w:pStyle w:val="SingleTxtG"/>
        <w:spacing w:after="0" w:line="240" w:lineRule="auto"/>
        <w:ind w:right="566"/>
      </w:pPr>
      <w:r>
        <w:tab/>
      </w:r>
      <w:r>
        <w:tab/>
      </w:r>
      <w:r w:rsidR="003B4BED">
        <w:t>VI.</w:t>
      </w:r>
      <w:r>
        <w:tab/>
      </w:r>
      <w:r w:rsidR="003B4BED">
        <w:t>List of priorities</w:t>
      </w:r>
      <w:r w:rsidR="006945A2">
        <w:t>;</w:t>
      </w:r>
      <w:r w:rsidR="003B4BED">
        <w:t xml:space="preserve"> </w:t>
      </w:r>
      <w:r>
        <w:tab/>
      </w:r>
    </w:p>
    <w:p w14:paraId="2E9D4113" w14:textId="77777777" w:rsidR="0041561B" w:rsidRDefault="00D00DC6" w:rsidP="006E1BC1">
      <w:pPr>
        <w:pStyle w:val="SingleTxtG"/>
        <w:spacing w:after="0" w:line="240" w:lineRule="auto"/>
        <w:ind w:right="566"/>
      </w:pPr>
      <w:r>
        <w:tab/>
      </w:r>
      <w:r>
        <w:tab/>
      </w:r>
      <w:r w:rsidR="003B4BED">
        <w:t>VII.</w:t>
      </w:r>
      <w:r>
        <w:tab/>
      </w:r>
      <w:r w:rsidR="003B4BED">
        <w:t xml:space="preserve">Resource mobilization for the delivery of the strategy </w:t>
      </w:r>
    </w:p>
    <w:p w14:paraId="7BD7BC00" w14:textId="50AEE2DD" w:rsidR="003B4BED" w:rsidRDefault="0041561B" w:rsidP="006E1BC1">
      <w:pPr>
        <w:pStyle w:val="SingleTxtG"/>
        <w:spacing w:line="240" w:lineRule="auto"/>
        <w:ind w:right="566"/>
      </w:pPr>
      <w:r>
        <w:tab/>
      </w:r>
      <w:r>
        <w:tab/>
      </w:r>
      <w:r w:rsidR="003B4BED">
        <w:t>VIII.</w:t>
      </w:r>
      <w:r>
        <w:tab/>
      </w:r>
      <w:r w:rsidR="003B4BED">
        <w:t>Strategic partnerships for the delivery of this Strategy</w:t>
      </w:r>
      <w:r w:rsidR="006945A2">
        <w:t>.</w:t>
      </w:r>
    </w:p>
    <w:p w14:paraId="2A267F1F" w14:textId="7DDCD416" w:rsidR="00241CBF" w:rsidRPr="00D16DC9" w:rsidRDefault="00D16DC9" w:rsidP="006E1BC1">
      <w:pPr>
        <w:pStyle w:val="SingleTxtG"/>
        <w:ind w:right="566"/>
        <w:rPr>
          <w:spacing w:val="-4"/>
        </w:rPr>
      </w:pPr>
      <w:r w:rsidRPr="00D16DC9">
        <w:rPr>
          <w:spacing w:val="-4"/>
        </w:rPr>
        <w:t>4</w:t>
      </w:r>
      <w:r w:rsidR="00FD298B" w:rsidRPr="00D16DC9">
        <w:rPr>
          <w:spacing w:val="-4"/>
        </w:rPr>
        <w:t>.</w:t>
      </w:r>
      <w:r w:rsidR="00FD298B" w:rsidRPr="00D16DC9">
        <w:rPr>
          <w:spacing w:val="-4"/>
        </w:rPr>
        <w:tab/>
      </w:r>
      <w:r w:rsidR="00241CBF" w:rsidRPr="00D16DC9">
        <w:rPr>
          <w:spacing w:val="-4"/>
        </w:rPr>
        <w:t>This paper does not propose comments for each sections, only general comments that may inform the development of the strategy</w:t>
      </w:r>
      <w:r w:rsidR="00023244" w:rsidRPr="00D16DC9">
        <w:rPr>
          <w:spacing w:val="-4"/>
        </w:rPr>
        <w:t>:</w:t>
      </w:r>
    </w:p>
    <w:p w14:paraId="3FD59B9F" w14:textId="54B188D4" w:rsidR="00A81B64" w:rsidRPr="00D16DC9" w:rsidRDefault="00023244" w:rsidP="006E1BC1">
      <w:pPr>
        <w:pStyle w:val="SingleTxtG"/>
        <w:ind w:right="566"/>
        <w:rPr>
          <w:spacing w:val="-4"/>
        </w:rPr>
      </w:pPr>
      <w:r w:rsidRPr="00D16DC9">
        <w:rPr>
          <w:spacing w:val="-4"/>
        </w:rPr>
        <w:t>(a)</w:t>
      </w:r>
      <w:r w:rsidR="00A81B64" w:rsidRPr="00D16DC9">
        <w:rPr>
          <w:spacing w:val="-4"/>
        </w:rPr>
        <w:tab/>
      </w:r>
      <w:r w:rsidR="00EF355F" w:rsidRPr="00D16DC9">
        <w:rPr>
          <w:spacing w:val="-4"/>
        </w:rPr>
        <w:t>N</w:t>
      </w:r>
      <w:r w:rsidR="00A81B64" w:rsidRPr="00D16DC9">
        <w:rPr>
          <w:spacing w:val="-4"/>
        </w:rPr>
        <w:t xml:space="preserve">either the preparatory documents from ITC nor the ITC strategy outline includes a </w:t>
      </w:r>
      <w:r w:rsidRPr="00D16DC9">
        <w:rPr>
          <w:spacing w:val="-4"/>
        </w:rPr>
        <w:t>review of</w:t>
      </w:r>
      <w:r w:rsidR="00A81B64" w:rsidRPr="00D16DC9">
        <w:rPr>
          <w:spacing w:val="-4"/>
        </w:rPr>
        <w:t xml:space="preserve"> what has been </w:t>
      </w:r>
      <w:r w:rsidRPr="00D16DC9">
        <w:rPr>
          <w:spacing w:val="-4"/>
        </w:rPr>
        <w:t>achieved d</w:t>
      </w:r>
      <w:r w:rsidR="00A81B64" w:rsidRPr="00D16DC9">
        <w:rPr>
          <w:spacing w:val="-4"/>
        </w:rPr>
        <w:t>uring the last decades, what w</w:t>
      </w:r>
      <w:r w:rsidRPr="00D16DC9">
        <w:rPr>
          <w:spacing w:val="-4"/>
        </w:rPr>
        <w:t>ere</w:t>
      </w:r>
      <w:r w:rsidR="00A81B64" w:rsidRPr="00D16DC9">
        <w:rPr>
          <w:spacing w:val="-4"/>
        </w:rPr>
        <w:t xml:space="preserve"> the result</w:t>
      </w:r>
      <w:r w:rsidRPr="00D16DC9">
        <w:rPr>
          <w:spacing w:val="-4"/>
        </w:rPr>
        <w:t>s</w:t>
      </w:r>
      <w:r w:rsidR="00A81B64" w:rsidRPr="00D16DC9">
        <w:rPr>
          <w:spacing w:val="-4"/>
        </w:rPr>
        <w:t xml:space="preserve"> and the potential lessons learnt. </w:t>
      </w:r>
      <w:r w:rsidR="00A81B64" w:rsidRPr="00D16DC9">
        <w:rPr>
          <w:b/>
          <w:bCs/>
          <w:spacing w:val="-4"/>
        </w:rPr>
        <w:t>These elements could potentially inform the development of the ITC strategy</w:t>
      </w:r>
      <w:r w:rsidR="003B6A78">
        <w:rPr>
          <w:b/>
          <w:bCs/>
          <w:spacing w:val="-4"/>
        </w:rPr>
        <w:t xml:space="preserve"> and GRVA activities</w:t>
      </w:r>
      <w:r w:rsidR="00A81B64" w:rsidRPr="00D16DC9">
        <w:rPr>
          <w:spacing w:val="-4"/>
        </w:rPr>
        <w:t>.</w:t>
      </w:r>
    </w:p>
    <w:p w14:paraId="59790936" w14:textId="392E5353" w:rsidR="00841F7D" w:rsidRPr="00D16DC9" w:rsidRDefault="00023244" w:rsidP="006E1BC1">
      <w:pPr>
        <w:pStyle w:val="SingleTxtG"/>
        <w:ind w:right="566"/>
        <w:rPr>
          <w:spacing w:val="-4"/>
        </w:rPr>
      </w:pPr>
      <w:r w:rsidRPr="00D16DC9">
        <w:rPr>
          <w:spacing w:val="-4"/>
        </w:rPr>
        <w:t>(b)</w:t>
      </w:r>
      <w:r w:rsidR="00241CBF" w:rsidRPr="00D16DC9">
        <w:rPr>
          <w:spacing w:val="-4"/>
        </w:rPr>
        <w:tab/>
      </w:r>
      <w:r w:rsidR="00FD298B" w:rsidRPr="00D16DC9">
        <w:rPr>
          <w:spacing w:val="-4"/>
        </w:rPr>
        <w:t>The CO2 emissions related to automated and connected vehicles may differ from the typical CO2 emission of traditional road vehicles in their whole life cycle especially during their development and their use.</w:t>
      </w:r>
      <w:r w:rsidR="00841F7D" w:rsidRPr="00D16DC9">
        <w:rPr>
          <w:spacing w:val="-4"/>
        </w:rPr>
        <w:t xml:space="preserve"> </w:t>
      </w:r>
      <w:r w:rsidR="00841F7D" w:rsidRPr="00D16DC9">
        <w:rPr>
          <w:b/>
          <w:bCs/>
          <w:spacing w:val="-4"/>
        </w:rPr>
        <w:t xml:space="preserve">It may be </w:t>
      </w:r>
      <w:r w:rsidR="006E1BC1" w:rsidRPr="00D16DC9">
        <w:rPr>
          <w:b/>
          <w:bCs/>
          <w:spacing w:val="-4"/>
        </w:rPr>
        <w:t>expected</w:t>
      </w:r>
      <w:r w:rsidR="00841F7D" w:rsidRPr="00D16DC9">
        <w:rPr>
          <w:b/>
          <w:bCs/>
          <w:spacing w:val="-4"/>
        </w:rPr>
        <w:t xml:space="preserve"> that the </w:t>
      </w:r>
      <w:r w:rsidR="00D16DC9" w:rsidRPr="00D16DC9">
        <w:rPr>
          <w:b/>
          <w:bCs/>
          <w:spacing w:val="-4"/>
        </w:rPr>
        <w:t>GHG/</w:t>
      </w:r>
      <w:r w:rsidR="00841F7D" w:rsidRPr="00D16DC9">
        <w:rPr>
          <w:b/>
          <w:bCs/>
          <w:spacing w:val="-4"/>
        </w:rPr>
        <w:t xml:space="preserve">CO2 emissions (or </w:t>
      </w:r>
      <w:r w:rsidR="00AA0EF2" w:rsidRPr="00D16DC9">
        <w:rPr>
          <w:b/>
          <w:bCs/>
          <w:spacing w:val="-4"/>
        </w:rPr>
        <w:t>fuel/</w:t>
      </w:r>
      <w:r w:rsidR="00841F7D" w:rsidRPr="00D16DC9">
        <w:rPr>
          <w:b/>
          <w:bCs/>
          <w:spacing w:val="-4"/>
        </w:rPr>
        <w:t>energy consumption) will be optimized and will not provide the same variability that drivers may cause</w:t>
      </w:r>
      <w:r w:rsidR="00841F7D" w:rsidRPr="00D16DC9">
        <w:rPr>
          <w:spacing w:val="-4"/>
        </w:rPr>
        <w:t>.</w:t>
      </w:r>
    </w:p>
    <w:p w14:paraId="11DE20AB" w14:textId="3EC34C74" w:rsidR="006E1BC1" w:rsidRPr="00D16DC9" w:rsidRDefault="00023244" w:rsidP="006E1BC1">
      <w:pPr>
        <w:pStyle w:val="SingleTxtG"/>
        <w:ind w:right="566"/>
        <w:rPr>
          <w:spacing w:val="-4"/>
        </w:rPr>
      </w:pPr>
      <w:r w:rsidRPr="00D16DC9">
        <w:rPr>
          <w:spacing w:val="-4"/>
        </w:rPr>
        <w:t>(</w:t>
      </w:r>
      <w:r w:rsidR="00AA0EF2" w:rsidRPr="00D16DC9">
        <w:rPr>
          <w:spacing w:val="-4"/>
        </w:rPr>
        <w:t>c</w:t>
      </w:r>
      <w:r w:rsidRPr="00D16DC9">
        <w:rPr>
          <w:spacing w:val="-4"/>
        </w:rPr>
        <w:t>)</w:t>
      </w:r>
      <w:r w:rsidR="00241CBF" w:rsidRPr="00D16DC9">
        <w:rPr>
          <w:spacing w:val="-4"/>
        </w:rPr>
        <w:tab/>
        <w:t>GRVA is aware of the trials and measures implemented in various place of the world</w:t>
      </w:r>
      <w:r w:rsidRPr="00D16DC9">
        <w:rPr>
          <w:spacing w:val="-4"/>
        </w:rPr>
        <w:t xml:space="preserve"> in </w:t>
      </w:r>
      <w:r w:rsidR="008B58E5">
        <w:rPr>
          <w:spacing w:val="-4"/>
        </w:rPr>
        <w:t>line with</w:t>
      </w:r>
      <w:r w:rsidR="006E44F9">
        <w:rPr>
          <w:spacing w:val="-4"/>
        </w:rPr>
        <w:t xml:space="preserve"> </w:t>
      </w:r>
      <w:r w:rsidRPr="00D16DC9">
        <w:rPr>
          <w:spacing w:val="-4"/>
        </w:rPr>
        <w:t>the Avoid/Shift/Improve principle</w:t>
      </w:r>
      <w:r w:rsidR="00241CBF" w:rsidRPr="00D16DC9">
        <w:rPr>
          <w:spacing w:val="-4"/>
        </w:rPr>
        <w:t xml:space="preserve">. </w:t>
      </w:r>
      <w:r w:rsidRPr="00D16DC9">
        <w:rPr>
          <w:spacing w:val="-4"/>
        </w:rPr>
        <w:t>T</w:t>
      </w:r>
      <w:r w:rsidR="0041561B" w:rsidRPr="00D16DC9">
        <w:rPr>
          <w:spacing w:val="-4"/>
        </w:rPr>
        <w:t xml:space="preserve">he diversity of measures in place or envisaged for </w:t>
      </w:r>
      <w:r w:rsidR="00AA0EF2" w:rsidRPr="00D16DC9">
        <w:rPr>
          <w:spacing w:val="-4"/>
        </w:rPr>
        <w:t>transforming the transport system</w:t>
      </w:r>
      <w:r w:rsidRPr="00D16DC9">
        <w:rPr>
          <w:spacing w:val="-4"/>
        </w:rPr>
        <w:t xml:space="preserve"> is significant</w:t>
      </w:r>
      <w:r w:rsidR="0041561B" w:rsidRPr="00D16DC9">
        <w:rPr>
          <w:spacing w:val="-4"/>
        </w:rPr>
        <w:t xml:space="preserve">. ITC is recognized for establishing provisions supporting harmonization and uniform application by the contracting parties. </w:t>
      </w:r>
      <w:r w:rsidR="006E1BC1" w:rsidRPr="00D16DC9">
        <w:rPr>
          <w:b/>
          <w:bCs/>
          <w:spacing w:val="-4"/>
        </w:rPr>
        <w:t xml:space="preserve">The ITC strategy may wish to consider addressing unnecessary diversities and variabilities </w:t>
      </w:r>
      <w:r w:rsidR="00D16DC9" w:rsidRPr="00D16DC9">
        <w:rPr>
          <w:b/>
          <w:bCs/>
          <w:spacing w:val="-4"/>
        </w:rPr>
        <w:t xml:space="preserve">in terms of transport policies that could </w:t>
      </w:r>
      <w:r w:rsidR="006E1BC1" w:rsidRPr="00D16DC9">
        <w:rPr>
          <w:b/>
          <w:bCs/>
          <w:spacing w:val="-4"/>
        </w:rPr>
        <w:t>lead to</w:t>
      </w:r>
      <w:r w:rsidR="0076742A">
        <w:rPr>
          <w:b/>
          <w:bCs/>
          <w:spacing w:val="-4"/>
        </w:rPr>
        <w:t xml:space="preserve"> a</w:t>
      </w:r>
      <w:r w:rsidR="006E1BC1" w:rsidRPr="00D16DC9">
        <w:rPr>
          <w:b/>
          <w:bCs/>
          <w:spacing w:val="-4"/>
        </w:rPr>
        <w:t xml:space="preserve"> sub-optimum use of automated transport.</w:t>
      </w:r>
      <w:r w:rsidR="006E1BC1" w:rsidRPr="00D16DC9">
        <w:rPr>
          <w:spacing w:val="-4"/>
        </w:rPr>
        <w:t xml:space="preserve"> </w:t>
      </w:r>
    </w:p>
    <w:p w14:paraId="7069B029" w14:textId="2EE88132" w:rsidR="00C07C55" w:rsidRPr="00D16DC9" w:rsidRDefault="006E1BC1" w:rsidP="006E1BC1">
      <w:pPr>
        <w:pStyle w:val="SingleTxtG"/>
        <w:ind w:right="566"/>
        <w:rPr>
          <w:spacing w:val="-4"/>
        </w:rPr>
      </w:pPr>
      <w:r w:rsidRPr="00D16DC9">
        <w:rPr>
          <w:spacing w:val="-4"/>
        </w:rPr>
        <w:t>(d)</w:t>
      </w:r>
      <w:r w:rsidRPr="00D16DC9">
        <w:rPr>
          <w:spacing w:val="-4"/>
        </w:rPr>
        <w:tab/>
        <w:t>T</w:t>
      </w:r>
      <w:r w:rsidR="00C07C55" w:rsidRPr="00D16DC9">
        <w:rPr>
          <w:spacing w:val="-4"/>
        </w:rPr>
        <w:t xml:space="preserve">he automotive sector has already informed </w:t>
      </w:r>
      <w:r w:rsidRPr="00D16DC9">
        <w:rPr>
          <w:spacing w:val="-4"/>
        </w:rPr>
        <w:t>GRVA</w:t>
      </w:r>
      <w:r w:rsidR="00C07C55" w:rsidRPr="00D16DC9">
        <w:rPr>
          <w:spacing w:val="-4"/>
        </w:rPr>
        <w:t xml:space="preserve"> of the impact of small variations that occurred in the </w:t>
      </w:r>
      <w:r w:rsidRPr="00D16DC9">
        <w:rPr>
          <w:spacing w:val="-4"/>
        </w:rPr>
        <w:t xml:space="preserve">local </w:t>
      </w:r>
      <w:r w:rsidR="00C07C55" w:rsidRPr="00D16DC9">
        <w:rPr>
          <w:spacing w:val="-4"/>
        </w:rPr>
        <w:t>implementation</w:t>
      </w:r>
      <w:r w:rsidRPr="00D16DC9">
        <w:rPr>
          <w:spacing w:val="-4"/>
        </w:rPr>
        <w:t>s</w:t>
      </w:r>
      <w:r w:rsidR="00C07C55" w:rsidRPr="00D16DC9">
        <w:rPr>
          <w:spacing w:val="-4"/>
        </w:rPr>
        <w:t xml:space="preserve"> of </w:t>
      </w:r>
      <w:r w:rsidRPr="00D16DC9">
        <w:rPr>
          <w:spacing w:val="-4"/>
        </w:rPr>
        <w:t>international</w:t>
      </w:r>
      <w:r w:rsidR="00C07C55" w:rsidRPr="00D16DC9">
        <w:rPr>
          <w:spacing w:val="-4"/>
        </w:rPr>
        <w:t xml:space="preserve"> traffic rules </w:t>
      </w:r>
      <w:r w:rsidR="003B6A78">
        <w:rPr>
          <w:spacing w:val="-4"/>
        </w:rPr>
        <w:t xml:space="preserve">set </w:t>
      </w:r>
      <w:r w:rsidR="00C07C55" w:rsidRPr="00D16DC9">
        <w:rPr>
          <w:spacing w:val="-4"/>
        </w:rPr>
        <w:t>in road transport conventions.</w:t>
      </w:r>
      <w:r w:rsidR="00A81B64" w:rsidRPr="00D16DC9">
        <w:rPr>
          <w:spacing w:val="-4"/>
        </w:rPr>
        <w:t xml:space="preserve"> By comparison, i</w:t>
      </w:r>
      <w:r w:rsidR="00C07C55" w:rsidRPr="00D16DC9">
        <w:rPr>
          <w:spacing w:val="-4"/>
        </w:rPr>
        <w:t xml:space="preserve">t may already be anticipated that strategic differences in terms of transport management </w:t>
      </w:r>
      <w:r w:rsidR="00A81B64" w:rsidRPr="00D16DC9">
        <w:rPr>
          <w:spacing w:val="-4"/>
        </w:rPr>
        <w:t xml:space="preserve">and rules </w:t>
      </w:r>
      <w:r w:rsidR="00C07C55" w:rsidRPr="00D16DC9">
        <w:rPr>
          <w:spacing w:val="-4"/>
        </w:rPr>
        <w:t>may have a strong impact on harmonizatio</w:t>
      </w:r>
      <w:r w:rsidR="00A81B64" w:rsidRPr="00D16DC9">
        <w:rPr>
          <w:spacing w:val="-4"/>
        </w:rPr>
        <w:t>n and performance optimization.</w:t>
      </w:r>
      <w:r w:rsidRPr="00D16DC9">
        <w:rPr>
          <w:spacing w:val="-4"/>
        </w:rPr>
        <w:t xml:space="preserve"> </w:t>
      </w:r>
      <w:r w:rsidRPr="00D16DC9">
        <w:rPr>
          <w:b/>
          <w:bCs/>
          <w:spacing w:val="-4"/>
        </w:rPr>
        <w:t>The impact of the vehicle environment on the vehicle performance may increase and might need to be considered.</w:t>
      </w:r>
    </w:p>
    <w:p w14:paraId="02A38DF1" w14:textId="0486DFCC" w:rsidR="00D16DC9" w:rsidRDefault="00AA0EF2" w:rsidP="006E1BC1">
      <w:pPr>
        <w:pStyle w:val="SingleTxtG"/>
        <w:ind w:right="566"/>
        <w:rPr>
          <w:spacing w:val="-4"/>
        </w:rPr>
      </w:pPr>
      <w:r w:rsidRPr="00D16DC9">
        <w:rPr>
          <w:spacing w:val="-4"/>
        </w:rPr>
        <w:t>(d)</w:t>
      </w:r>
      <w:r w:rsidRPr="00D16DC9">
        <w:rPr>
          <w:spacing w:val="-4"/>
        </w:rPr>
        <w:tab/>
      </w:r>
      <w:r w:rsidR="00995704">
        <w:rPr>
          <w:spacing w:val="-4"/>
        </w:rPr>
        <w:t xml:space="preserve">Specifically on Chapters VII and VIII, </w:t>
      </w:r>
      <w:r w:rsidR="00D16DC9">
        <w:rPr>
          <w:spacing w:val="-4"/>
        </w:rPr>
        <w:t xml:space="preserve">GRVA </w:t>
      </w:r>
      <w:r w:rsidR="00995704">
        <w:rPr>
          <w:spacing w:val="-4"/>
        </w:rPr>
        <w:t xml:space="preserve">recommends, learning from the coordination challenges posed by the number of partnerships and projects on </w:t>
      </w:r>
      <w:r w:rsidR="00D908A7">
        <w:rPr>
          <w:spacing w:val="-4"/>
        </w:rPr>
        <w:t>Automated Driving Systems (</w:t>
      </w:r>
      <w:r w:rsidR="00995704">
        <w:rPr>
          <w:spacing w:val="-4"/>
        </w:rPr>
        <w:t>ADS</w:t>
      </w:r>
      <w:r w:rsidR="00D908A7">
        <w:rPr>
          <w:spacing w:val="-4"/>
        </w:rPr>
        <w:t>)</w:t>
      </w:r>
      <w:r w:rsidR="00995704">
        <w:rPr>
          <w:spacing w:val="-4"/>
        </w:rPr>
        <w:t xml:space="preserve">, to carefully implement </w:t>
      </w:r>
      <w:r w:rsidR="00995704" w:rsidRPr="007C6A45">
        <w:rPr>
          <w:b/>
          <w:bCs/>
          <w:spacing w:val="-4"/>
        </w:rPr>
        <w:t>partnership projects</w:t>
      </w:r>
      <w:r w:rsidR="00995704">
        <w:rPr>
          <w:spacing w:val="-4"/>
        </w:rPr>
        <w:t xml:space="preserve"> to </w:t>
      </w:r>
      <w:r w:rsidR="008E2324">
        <w:rPr>
          <w:spacing w:val="-4"/>
        </w:rPr>
        <w:t>facilitate</w:t>
      </w:r>
      <w:r w:rsidR="00995704">
        <w:rPr>
          <w:spacing w:val="-4"/>
        </w:rPr>
        <w:t xml:space="preserve"> implementation and maximize benefits.</w:t>
      </w:r>
    </w:p>
    <w:p w14:paraId="315C6523" w14:textId="6301051F" w:rsidR="00A159EF" w:rsidRDefault="00D16DC9" w:rsidP="00995704">
      <w:pPr>
        <w:pStyle w:val="SingleTxtG"/>
        <w:ind w:right="566"/>
        <w:rPr>
          <w:b/>
          <w:sz w:val="28"/>
        </w:rPr>
      </w:pPr>
      <w:r>
        <w:rPr>
          <w:spacing w:val="-4"/>
        </w:rPr>
        <w:t>(e)</w:t>
      </w:r>
      <w:r>
        <w:rPr>
          <w:spacing w:val="-4"/>
        </w:rPr>
        <w:tab/>
      </w:r>
      <w:r w:rsidR="00AA0EF2" w:rsidRPr="00D16DC9">
        <w:rPr>
          <w:spacing w:val="-4"/>
        </w:rPr>
        <w:t xml:space="preserve">The development and innovation in the field of </w:t>
      </w:r>
      <w:r w:rsidR="00F85DCE">
        <w:rPr>
          <w:spacing w:val="-4"/>
        </w:rPr>
        <w:t>a</w:t>
      </w:r>
      <w:r w:rsidR="00F85DCE" w:rsidRPr="00D16DC9">
        <w:rPr>
          <w:spacing w:val="-4"/>
        </w:rPr>
        <w:t xml:space="preserve">utomated </w:t>
      </w:r>
      <w:r w:rsidR="00AA0EF2" w:rsidRPr="00D16DC9">
        <w:rPr>
          <w:spacing w:val="-4"/>
        </w:rPr>
        <w:t xml:space="preserve">and </w:t>
      </w:r>
      <w:r w:rsidR="00F85DCE">
        <w:rPr>
          <w:spacing w:val="-4"/>
        </w:rPr>
        <w:t>c</w:t>
      </w:r>
      <w:r w:rsidR="00F85DCE" w:rsidRPr="00D16DC9">
        <w:rPr>
          <w:spacing w:val="-4"/>
        </w:rPr>
        <w:t xml:space="preserve">onnected </w:t>
      </w:r>
      <w:r w:rsidR="00AA0EF2" w:rsidRPr="00D16DC9">
        <w:rPr>
          <w:spacing w:val="-4"/>
        </w:rPr>
        <w:t xml:space="preserve">vehicles is ongoing. </w:t>
      </w:r>
      <w:r w:rsidR="00AA0EF2" w:rsidRPr="00D16DC9">
        <w:rPr>
          <w:b/>
          <w:bCs/>
          <w:spacing w:val="-4"/>
        </w:rPr>
        <w:t xml:space="preserve">GRVA’s input, actions and milestones might need to be revised, recognizing the nascent nature of the </w:t>
      </w:r>
      <w:r w:rsidR="00227579" w:rsidRPr="00D16DC9">
        <w:rPr>
          <w:b/>
          <w:bCs/>
          <w:spacing w:val="-4"/>
        </w:rPr>
        <w:t xml:space="preserve">ADS </w:t>
      </w:r>
      <w:r w:rsidR="00AA0EF2" w:rsidRPr="00D16DC9">
        <w:rPr>
          <w:b/>
          <w:bCs/>
          <w:spacing w:val="-4"/>
        </w:rPr>
        <w:t>technology</w:t>
      </w:r>
      <w:r w:rsidR="00AA0EF2" w:rsidRPr="00D16DC9">
        <w:rPr>
          <w:spacing w:val="-4"/>
        </w:rPr>
        <w:t xml:space="preserve"> and the high level of uncertainty regarding the ADS performance and impact (see annex</w:t>
      </w:r>
      <w:r w:rsidR="003B6A78">
        <w:rPr>
          <w:spacing w:val="-4"/>
        </w:rPr>
        <w:t>, chapter II</w:t>
      </w:r>
      <w:r w:rsidR="00AA0EF2" w:rsidRPr="00D16DC9">
        <w:rPr>
          <w:spacing w:val="-4"/>
        </w:rPr>
        <w:t>).</w:t>
      </w:r>
      <w:r w:rsidR="00A159EF">
        <w:br w:type="page"/>
      </w:r>
    </w:p>
    <w:p w14:paraId="7B383F82" w14:textId="53EC7549" w:rsidR="00F322B5" w:rsidRDefault="00F322B5" w:rsidP="00C66B0C">
      <w:pPr>
        <w:pStyle w:val="HChG"/>
      </w:pPr>
      <w:r>
        <w:lastRenderedPageBreak/>
        <w:t>Annex</w:t>
      </w:r>
    </w:p>
    <w:p w14:paraId="3A4CDE51" w14:textId="562A10B4" w:rsidR="00C66B0C" w:rsidRDefault="00F322B5" w:rsidP="00C66B0C">
      <w:pPr>
        <w:pStyle w:val="HChG"/>
      </w:pPr>
      <w:r>
        <w:tab/>
      </w:r>
      <w:r w:rsidR="00C66B0C">
        <w:t>I.</w:t>
      </w:r>
      <w:r w:rsidR="00C66B0C">
        <w:tab/>
      </w:r>
      <w:r w:rsidR="007C6A45">
        <w:t xml:space="preserve">Benchmarking - </w:t>
      </w:r>
      <w:r w:rsidR="00C66B0C">
        <w:t>IMO and ICAO strategies</w:t>
      </w:r>
    </w:p>
    <w:p w14:paraId="05D0DBC0" w14:textId="05EACF71" w:rsidR="00C66B0C" w:rsidRPr="00C66B0C" w:rsidRDefault="00C66B0C" w:rsidP="00C66B0C">
      <w:pPr>
        <w:pStyle w:val="H1G"/>
        <w:spacing w:before="240" w:line="240" w:lineRule="auto"/>
        <w:rPr>
          <w:szCs w:val="24"/>
        </w:rPr>
      </w:pPr>
      <w:r>
        <w:rPr>
          <w:szCs w:val="24"/>
        </w:rPr>
        <w:tab/>
      </w:r>
      <w:r w:rsidRPr="00C66B0C">
        <w:rPr>
          <w:szCs w:val="24"/>
        </w:rPr>
        <w:t>A.</w:t>
      </w:r>
      <w:r w:rsidRPr="00C66B0C">
        <w:rPr>
          <w:szCs w:val="24"/>
        </w:rPr>
        <w:tab/>
        <w:t>IMO</w:t>
      </w:r>
    </w:p>
    <w:p w14:paraId="49A4C0C9" w14:textId="533E7E74" w:rsidR="00C66B0C" w:rsidRDefault="00F85DCE" w:rsidP="002242A2">
      <w:pPr>
        <w:pStyle w:val="SingleTxtG"/>
      </w:pPr>
      <w:r>
        <w:t>5</w:t>
      </w:r>
      <w:r w:rsidR="00C66B0C">
        <w:t>.</w:t>
      </w:r>
      <w:r w:rsidR="00C66B0C">
        <w:tab/>
      </w:r>
      <w:r w:rsidR="00E94A5E" w:rsidRPr="00E94A5E">
        <w:t>The International Maritime Organization (IMO</w:t>
      </w:r>
      <w:r w:rsidR="00E94A5E">
        <w:t>)</w:t>
      </w:r>
      <w:r w:rsidR="00E94A5E" w:rsidRPr="00E94A5E">
        <w:t xml:space="preserve"> is a specialised agency of the United Nations responsible for regulating shipping. IMO was established following agreement at a UN conference held in Geneva in 1948 and came into existence ten years later, meeting for the first time </w:t>
      </w:r>
      <w:r w:rsidR="00167D04">
        <w:t>o</w:t>
      </w:r>
      <w:r w:rsidR="00E94A5E" w:rsidRPr="00E94A5E">
        <w:t>n 17 March 1958. Headquartered in London, United Kingdom, IMO currently has 175 Member States and three Associate Members</w:t>
      </w:r>
      <w:r w:rsidR="00E94A5E">
        <w:t xml:space="preserve">. </w:t>
      </w:r>
    </w:p>
    <w:p w14:paraId="6F4E42FE" w14:textId="1A18243E" w:rsidR="00E94A5E" w:rsidRDefault="00F85DCE" w:rsidP="00064E02">
      <w:pPr>
        <w:pStyle w:val="SingleTxtG"/>
      </w:pPr>
      <w:r>
        <w:t>6</w:t>
      </w:r>
      <w:r w:rsidR="00E94A5E">
        <w:t>.</w:t>
      </w:r>
      <w:r w:rsidR="00E94A5E">
        <w:tab/>
      </w:r>
      <w:r w:rsidR="00064E02">
        <w:t xml:space="preserve">Member States of IMO, meeting at the Marine Environment Protection Committee (MEPC 80), have adopted the 2023 IMO Strategy on Reduction of GHG Emissions from Ships, with enhanced targets to tackle harmful emissions. The revised IMO GHG Strategy includes an enhanced common ambition to reach net-zero GHG emissions from international shipping close to 2050. IMO’s strategy includes a commitment to ensure an uptake of alternative zero and near-zero GHG fuels by 2030, as well as indicative </w:t>
      </w:r>
      <w:r w:rsidR="006E44F9">
        <w:t>checkpoints</w:t>
      </w:r>
      <w:r w:rsidR="00064E02">
        <w:t xml:space="preserve"> for 2030 and 2040,</w:t>
      </w:r>
      <w:r w:rsidR="00064E02" w:rsidRPr="00064E02">
        <w:t xml:space="preserve"> both relative to 2008.</w:t>
      </w:r>
      <w:r w:rsidR="009A27E8">
        <w:t xml:space="preserve"> It includes a b</w:t>
      </w:r>
      <w:r w:rsidR="009A27E8" w:rsidRPr="009A27E8">
        <w:t>asket of candidate mid-term GHG reduction measures</w:t>
      </w:r>
      <w:r w:rsidR="009A27E8">
        <w:t xml:space="preserve"> as well as measures addressing the needs of </w:t>
      </w:r>
      <w:r w:rsidR="009A27E8" w:rsidRPr="009A27E8">
        <w:t>SIDS and LDCs</w:t>
      </w:r>
      <w:r w:rsidR="009A27E8">
        <w:t>.</w:t>
      </w:r>
    </w:p>
    <w:p w14:paraId="557CB51D" w14:textId="78C40F73" w:rsidR="00C66B0C" w:rsidRPr="00C66B0C" w:rsidRDefault="00C66B0C" w:rsidP="00C66B0C">
      <w:pPr>
        <w:pStyle w:val="H1G"/>
        <w:spacing w:before="240" w:line="240" w:lineRule="auto"/>
        <w:rPr>
          <w:szCs w:val="24"/>
        </w:rPr>
      </w:pPr>
      <w:r>
        <w:rPr>
          <w:szCs w:val="24"/>
        </w:rPr>
        <w:tab/>
      </w:r>
      <w:r w:rsidRPr="00C66B0C">
        <w:rPr>
          <w:szCs w:val="24"/>
        </w:rPr>
        <w:t>B.</w:t>
      </w:r>
      <w:r w:rsidRPr="00C66B0C">
        <w:rPr>
          <w:szCs w:val="24"/>
        </w:rPr>
        <w:tab/>
        <w:t>ICAO</w:t>
      </w:r>
    </w:p>
    <w:p w14:paraId="20E2A622" w14:textId="3E532117" w:rsidR="00C66B0C" w:rsidRDefault="00F85DCE" w:rsidP="00366D10">
      <w:pPr>
        <w:pStyle w:val="SingleTxtG"/>
      </w:pPr>
      <w:r>
        <w:t>7</w:t>
      </w:r>
      <w:r w:rsidR="00C66B0C">
        <w:t>.</w:t>
      </w:r>
      <w:r w:rsidR="00C66B0C">
        <w:tab/>
      </w:r>
      <w:r w:rsidR="00366D10">
        <w:t xml:space="preserve">The International Civil Aviation Organization (ICAO) assists the 193 Contracting States to the Chicago Convention as they cooperate to adopt standards, practices, and policies for international civilian flight. </w:t>
      </w:r>
    </w:p>
    <w:p w14:paraId="1F237EAD" w14:textId="36C9DA7C" w:rsidR="00E66DD6" w:rsidRDefault="00F85DCE" w:rsidP="00E66DD6">
      <w:pPr>
        <w:pStyle w:val="SingleTxtG"/>
      </w:pPr>
      <w:r>
        <w:t>8</w:t>
      </w:r>
      <w:r w:rsidR="00E66DD6">
        <w:t>.</w:t>
      </w:r>
      <w:r w:rsidR="00E66DD6">
        <w:tab/>
        <w:t>The ICAO Assembly adopted the collective long-term global aspirational goal for international aviation (LTAG) of net-zero carbon emissions by 2050, in support of the Paris Agreement’s temperature goal. To achieve the global aspirational goals and to promote sustainable growth of international aviation, ICAO is pursuing a basket of measures including aircraft technology improvements, operational improvements, sustainable aviation fuels, and market-based measures (CORSIA).</w:t>
      </w:r>
    </w:p>
    <w:p w14:paraId="5AF135CE" w14:textId="72AA0F2D" w:rsidR="00E66DD6" w:rsidRDefault="00E66DD6" w:rsidP="00E66DD6">
      <w:pPr>
        <w:pStyle w:val="SingleTxtG"/>
      </w:pPr>
    </w:p>
    <w:p w14:paraId="01152E68" w14:textId="4D6F808C" w:rsidR="00E66DD6" w:rsidRDefault="00E66DD6" w:rsidP="00E66DD6">
      <w:pPr>
        <w:pStyle w:val="SingleTxtG"/>
        <w:jc w:val="center"/>
      </w:pPr>
      <w:r>
        <w:rPr>
          <w:noProof/>
        </w:rPr>
        <w:drawing>
          <wp:inline distT="0" distB="0" distL="0" distR="0" wp14:anchorId="3F5DBDCD" wp14:editId="6524BCE5">
            <wp:extent cx="4400550" cy="21564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2439"/>
                    <a:stretch/>
                  </pic:blipFill>
                  <pic:spPr bwMode="auto">
                    <a:xfrm>
                      <a:off x="0" y="0"/>
                      <a:ext cx="4428356" cy="2170104"/>
                    </a:xfrm>
                    <a:prstGeom prst="rect">
                      <a:avLst/>
                    </a:prstGeom>
                    <a:noFill/>
                    <a:ln>
                      <a:noFill/>
                    </a:ln>
                    <a:extLst>
                      <a:ext uri="{53640926-AAD7-44D8-BBD7-CCE9431645EC}">
                        <a14:shadowObscured xmlns:a14="http://schemas.microsoft.com/office/drawing/2010/main"/>
                      </a:ext>
                    </a:extLst>
                  </pic:spPr>
                </pic:pic>
              </a:graphicData>
            </a:graphic>
          </wp:inline>
        </w:drawing>
      </w:r>
    </w:p>
    <w:p w14:paraId="49A34F27" w14:textId="224F1718" w:rsidR="00E66DD6" w:rsidRPr="003A2640" w:rsidRDefault="00E66DD6" w:rsidP="00E66DD6">
      <w:pPr>
        <w:pStyle w:val="SingleTxtG"/>
        <w:rPr>
          <w:lang w:val="fr-CH"/>
        </w:rPr>
      </w:pPr>
      <w:r w:rsidRPr="003A2640">
        <w:rPr>
          <w:lang w:val="fr-CH"/>
        </w:rPr>
        <w:t xml:space="preserve">(Source: </w:t>
      </w:r>
      <w:hyperlink r:id="rId13" w:history="1">
        <w:r w:rsidR="00A159EF" w:rsidRPr="003A2640">
          <w:rPr>
            <w:rStyle w:val="Hyperlink"/>
            <w:lang w:val="fr-CH"/>
          </w:rPr>
          <w:t>https://www.icao.int/environmental-protection/Pages/climate-change.aspx</w:t>
        </w:r>
      </w:hyperlink>
      <w:r w:rsidRPr="003A2640">
        <w:rPr>
          <w:lang w:val="fr-CH"/>
        </w:rPr>
        <w:t>)</w:t>
      </w:r>
    </w:p>
    <w:p w14:paraId="5FA87D1E" w14:textId="56B8DB7A" w:rsidR="00A159EF" w:rsidRPr="00A159EF" w:rsidRDefault="00A159EF" w:rsidP="00A159EF">
      <w:pPr>
        <w:pStyle w:val="H1G"/>
        <w:spacing w:before="240" w:line="240" w:lineRule="auto"/>
        <w:rPr>
          <w:szCs w:val="24"/>
        </w:rPr>
      </w:pPr>
      <w:r w:rsidRPr="003A2640">
        <w:rPr>
          <w:szCs w:val="24"/>
          <w:lang w:val="fr-CH"/>
        </w:rPr>
        <w:tab/>
      </w:r>
      <w:r w:rsidRPr="00A159EF">
        <w:rPr>
          <w:szCs w:val="24"/>
        </w:rPr>
        <w:t>C.</w:t>
      </w:r>
      <w:r w:rsidRPr="00A159EF">
        <w:rPr>
          <w:szCs w:val="24"/>
        </w:rPr>
        <w:tab/>
        <w:t>Remarks</w:t>
      </w:r>
    </w:p>
    <w:p w14:paraId="45ED0051" w14:textId="35C902D8" w:rsidR="00A159EF" w:rsidRDefault="00F85DCE" w:rsidP="00E66DD6">
      <w:pPr>
        <w:pStyle w:val="SingleTxtG"/>
      </w:pPr>
      <w:r>
        <w:t>9</w:t>
      </w:r>
      <w:r w:rsidR="00A159EF">
        <w:t>.</w:t>
      </w:r>
      <w:r w:rsidR="00A159EF">
        <w:tab/>
        <w:t>The strategies of the two sister organizations of UNECE/ITC have in common that they predominantly address the “improve”, more than the “shift” or “avoid” of the ASI</w:t>
      </w:r>
      <w:r w:rsidR="00167D04">
        <w:t xml:space="preserve"> principle</w:t>
      </w:r>
      <w:r w:rsidR="00A159EF">
        <w:t xml:space="preserve">. </w:t>
      </w:r>
    </w:p>
    <w:p w14:paraId="4E5250B1" w14:textId="0F512E48" w:rsidR="00C66B0C" w:rsidRPr="002242A2" w:rsidRDefault="00C66B0C" w:rsidP="00C66B0C">
      <w:pPr>
        <w:pStyle w:val="HChG"/>
      </w:pPr>
      <w:r>
        <w:lastRenderedPageBreak/>
        <w:tab/>
        <w:t>I</w:t>
      </w:r>
      <w:r w:rsidR="00550980">
        <w:t>I</w:t>
      </w:r>
      <w:r>
        <w:t>.</w:t>
      </w:r>
      <w:r>
        <w:tab/>
      </w:r>
      <w:r w:rsidR="00550980">
        <w:t>IPCC about automated vehicles</w:t>
      </w:r>
    </w:p>
    <w:p w14:paraId="77BEB4F6" w14:textId="3376D7BE" w:rsidR="00DF0119" w:rsidRPr="00A159EF" w:rsidRDefault="00BB19B9" w:rsidP="00A159EF">
      <w:pPr>
        <w:pStyle w:val="H1G"/>
        <w:spacing w:before="240" w:line="240" w:lineRule="auto"/>
        <w:ind w:right="566"/>
        <w:rPr>
          <w:sz w:val="20"/>
        </w:rPr>
      </w:pPr>
      <w:r>
        <w:rPr>
          <w:noProof/>
        </w:rPr>
        <w:drawing>
          <wp:inline distT="0" distB="0" distL="0" distR="0" wp14:anchorId="67FD26BC" wp14:editId="6AD3C28D">
            <wp:extent cx="6120130" cy="49288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0130" cy="4928870"/>
                    </a:xfrm>
                    <a:prstGeom prst="rect">
                      <a:avLst/>
                    </a:prstGeom>
                  </pic:spPr>
                </pic:pic>
              </a:graphicData>
            </a:graphic>
          </wp:inline>
        </w:drawing>
      </w:r>
      <w:r w:rsidRPr="00BB19B9">
        <w:rPr>
          <w:b w:val="0"/>
          <w:bCs/>
          <w:sz w:val="20"/>
        </w:rPr>
        <w:t>Source: https://www.ipcc.ch/report/ar6/wg3/downloads/report/IPCC_AR6_WGIII_Chapter10.pdf</w:t>
      </w:r>
      <w:r w:rsidR="00DF0119">
        <w:t xml:space="preserve"> </w:t>
      </w:r>
    </w:p>
    <w:p w14:paraId="02314575" w14:textId="1AF9B6A4" w:rsidR="00385512" w:rsidRPr="00731E38" w:rsidRDefault="006E44F9" w:rsidP="006E44F9">
      <w:pPr>
        <w:pStyle w:val="SingleTxtG"/>
        <w:ind w:right="566"/>
        <w:jc w:val="center"/>
      </w:pPr>
      <w:r>
        <w:t>____________</w:t>
      </w:r>
    </w:p>
    <w:sectPr w:rsidR="00385512" w:rsidRPr="00731E38" w:rsidSect="00AA0EF2">
      <w:footerReference w:type="default" r:id="rId15"/>
      <w:headerReference w:type="first" r:id="rId16"/>
      <w:pgSz w:w="11906" w:h="16838"/>
      <w:pgMar w:top="1418" w:right="1134" w:bottom="1134" w:left="1134" w:header="426" w:footer="2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3ED02" w14:textId="77777777" w:rsidR="002B0AB2" w:rsidRDefault="002B0AB2" w:rsidP="00C81D86">
      <w:pPr>
        <w:spacing w:line="240" w:lineRule="auto"/>
      </w:pPr>
      <w:r>
        <w:separator/>
      </w:r>
    </w:p>
  </w:endnote>
  <w:endnote w:type="continuationSeparator" w:id="0">
    <w:p w14:paraId="055A2BE0" w14:textId="77777777" w:rsidR="002B0AB2" w:rsidRDefault="002B0AB2" w:rsidP="00C81D86">
      <w:pPr>
        <w:spacing w:line="240" w:lineRule="auto"/>
      </w:pPr>
      <w:r>
        <w:continuationSeparator/>
      </w:r>
    </w:p>
  </w:endnote>
  <w:endnote w:type="continuationNotice" w:id="1">
    <w:p w14:paraId="3520228A" w14:textId="77777777" w:rsidR="002B0AB2" w:rsidRDefault="002B0AB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908320"/>
      <w:docPartObj>
        <w:docPartGallery w:val="Page Numbers (Bottom of Page)"/>
        <w:docPartUnique/>
      </w:docPartObj>
    </w:sdtPr>
    <w:sdtEndPr/>
    <w:sdtContent>
      <w:p w14:paraId="3884EB28" w14:textId="506E2986" w:rsidR="00300E3D" w:rsidRDefault="00300E3D" w:rsidP="00652689">
        <w:pPr>
          <w:pStyle w:val="Footer"/>
          <w:jc w:val="right"/>
        </w:pPr>
        <w:r>
          <w:fldChar w:fldCharType="begin"/>
        </w:r>
        <w:r>
          <w:instrText>PAGE   \* MERGEFORMAT</w:instrText>
        </w:r>
        <w:r>
          <w:fldChar w:fldCharType="separate"/>
        </w:r>
        <w:r>
          <w:rPr>
            <w:lang w:val="de-DE"/>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3D08E" w14:textId="77777777" w:rsidR="002B0AB2" w:rsidRDefault="002B0AB2" w:rsidP="00C81D86">
      <w:pPr>
        <w:spacing w:line="240" w:lineRule="auto"/>
      </w:pPr>
      <w:r>
        <w:separator/>
      </w:r>
    </w:p>
  </w:footnote>
  <w:footnote w:type="continuationSeparator" w:id="0">
    <w:p w14:paraId="6591F6BE" w14:textId="77777777" w:rsidR="002B0AB2" w:rsidRDefault="002B0AB2" w:rsidP="00C81D86">
      <w:pPr>
        <w:spacing w:line="240" w:lineRule="auto"/>
      </w:pPr>
      <w:r>
        <w:continuationSeparator/>
      </w:r>
    </w:p>
  </w:footnote>
  <w:footnote w:type="continuationNotice" w:id="1">
    <w:p w14:paraId="28BFD282" w14:textId="77777777" w:rsidR="002B0AB2" w:rsidRDefault="002B0AB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532"/>
    </w:tblGrid>
    <w:tr w:rsidR="002A2AC7" w:rsidRPr="001B340F" w14:paraId="14F4E46D" w14:textId="77777777" w:rsidTr="007F767D">
      <w:trPr>
        <w:trHeight w:val="426"/>
      </w:trPr>
      <w:tc>
        <w:tcPr>
          <w:tcW w:w="6096" w:type="dxa"/>
        </w:tcPr>
        <w:p w14:paraId="25A6F2D9" w14:textId="57F7BBA1" w:rsidR="002A2AC7" w:rsidRPr="00E55A51" w:rsidRDefault="00212B1E" w:rsidP="002A2AC7">
          <w:pPr>
            <w:pStyle w:val="Header"/>
            <w:rPr>
              <w:lang w:val="en-GB"/>
            </w:rPr>
          </w:pPr>
          <w:r w:rsidRPr="00B83823">
            <w:rPr>
              <w:lang w:val="en-GB"/>
            </w:rPr>
            <w:t xml:space="preserve">Note </w:t>
          </w:r>
          <w:r w:rsidR="003B6A78">
            <w:rPr>
              <w:lang w:val="en-GB"/>
            </w:rPr>
            <w:t>by the secretariat</w:t>
          </w:r>
        </w:p>
      </w:tc>
      <w:tc>
        <w:tcPr>
          <w:tcW w:w="3532" w:type="dxa"/>
        </w:tcPr>
        <w:p w14:paraId="472350F9" w14:textId="601423F7" w:rsidR="00D4516E" w:rsidRDefault="002A2AC7" w:rsidP="001B340F">
          <w:pPr>
            <w:pStyle w:val="Header"/>
          </w:pPr>
          <w:r w:rsidRPr="001B340F">
            <w:rPr>
              <w:u w:val="single"/>
            </w:rPr>
            <w:t xml:space="preserve">Informal document </w:t>
          </w:r>
          <w:r w:rsidR="003A2640">
            <w:rPr>
              <w:b/>
              <w:bCs/>
            </w:rPr>
            <w:t>GRVA-17-14</w:t>
          </w:r>
        </w:p>
        <w:p w14:paraId="30E64670" w14:textId="0DB9AD35" w:rsidR="00D4516E" w:rsidRPr="001B340F" w:rsidRDefault="001B340F" w:rsidP="001B340F">
          <w:pPr>
            <w:pStyle w:val="Header"/>
            <w:rPr>
              <w:lang w:val="en-GB"/>
            </w:rPr>
          </w:pPr>
          <w:r w:rsidRPr="001B340F">
            <w:rPr>
              <w:lang w:val="en-GB"/>
            </w:rPr>
            <w:t>17th GRVA, 25-29 S</w:t>
          </w:r>
          <w:r>
            <w:rPr>
              <w:lang w:val="en-GB"/>
            </w:rPr>
            <w:t>eptember 2023</w:t>
          </w:r>
        </w:p>
        <w:p w14:paraId="10BF4634" w14:textId="2DB2D11B" w:rsidR="00721625" w:rsidRPr="001B340F" w:rsidRDefault="001B340F" w:rsidP="001B340F">
          <w:pPr>
            <w:pStyle w:val="Header"/>
            <w:rPr>
              <w:lang w:val="en-GB"/>
            </w:rPr>
          </w:pPr>
          <w:r>
            <w:rPr>
              <w:lang w:val="en-GB"/>
            </w:rPr>
            <w:t xml:space="preserve">Provisional agenda item </w:t>
          </w:r>
          <w:r w:rsidR="009C3BB1">
            <w:rPr>
              <w:lang w:val="en-GB"/>
            </w:rPr>
            <w:t>14(a)</w:t>
          </w:r>
        </w:p>
      </w:tc>
    </w:tr>
  </w:tbl>
  <w:p w14:paraId="398E2DC9" w14:textId="77777777" w:rsidR="002A2AC7" w:rsidRPr="001B340F" w:rsidRDefault="002A2A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966D2"/>
    <w:multiLevelType w:val="hybridMultilevel"/>
    <w:tmpl w:val="C728CCF0"/>
    <w:lvl w:ilvl="0" w:tplc="040C0013">
      <w:start w:val="1"/>
      <w:numFmt w:val="upperRoman"/>
      <w:pStyle w:val="Heading1"/>
      <w:lvlText w:val="%1."/>
      <w:lvlJc w:val="right"/>
      <w:pPr>
        <w:ind w:left="0" w:firstLine="0"/>
      </w:pPr>
      <w:rPr>
        <w:b/>
        <w:bCs/>
        <w:i w:val="0"/>
        <w:strike w:val="0"/>
        <w:dstrike w:val="0"/>
        <w:color w:val="000000"/>
        <w:sz w:val="28"/>
        <w:szCs w:val="28"/>
        <w:u w:val="none" w:color="000000"/>
        <w:effect w:val="none"/>
        <w:bdr w:val="none" w:sz="0" w:space="0" w:color="auto" w:frame="1"/>
        <w:vertAlign w:val="baseline"/>
      </w:rPr>
    </w:lvl>
    <w:lvl w:ilvl="1" w:tplc="67B86186">
      <w:start w:val="1"/>
      <w:numFmt w:val="lowerLetter"/>
      <w:lvlText w:val="%2"/>
      <w:lvlJc w:val="left"/>
      <w:pPr>
        <w:ind w:left="169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2" w:tplc="D5F26304">
      <w:start w:val="1"/>
      <w:numFmt w:val="lowerRoman"/>
      <w:lvlText w:val="%3"/>
      <w:lvlJc w:val="left"/>
      <w:pPr>
        <w:ind w:left="241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3" w:tplc="EAA0BC58">
      <w:start w:val="1"/>
      <w:numFmt w:val="decimal"/>
      <w:lvlText w:val="%4"/>
      <w:lvlJc w:val="left"/>
      <w:pPr>
        <w:ind w:left="313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4" w:tplc="2BB2B230">
      <w:start w:val="1"/>
      <w:numFmt w:val="lowerLetter"/>
      <w:lvlText w:val="%5"/>
      <w:lvlJc w:val="left"/>
      <w:pPr>
        <w:ind w:left="385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5" w:tplc="496C24C6">
      <w:start w:val="1"/>
      <w:numFmt w:val="lowerRoman"/>
      <w:lvlText w:val="%6"/>
      <w:lvlJc w:val="left"/>
      <w:pPr>
        <w:ind w:left="457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6" w:tplc="1CAE829E">
      <w:start w:val="1"/>
      <w:numFmt w:val="decimal"/>
      <w:lvlText w:val="%7"/>
      <w:lvlJc w:val="left"/>
      <w:pPr>
        <w:ind w:left="529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7" w:tplc="5C00C586">
      <w:start w:val="1"/>
      <w:numFmt w:val="lowerLetter"/>
      <w:lvlText w:val="%8"/>
      <w:lvlJc w:val="left"/>
      <w:pPr>
        <w:ind w:left="601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8" w:tplc="56CAE448">
      <w:start w:val="1"/>
      <w:numFmt w:val="lowerRoman"/>
      <w:lvlText w:val="%9"/>
      <w:lvlJc w:val="left"/>
      <w:pPr>
        <w:ind w:left="673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abstractNum>
  <w:abstractNum w:abstractNumId="2" w15:restartNumberingAfterBreak="0">
    <w:nsid w:val="11EC45B1"/>
    <w:multiLevelType w:val="hybridMultilevel"/>
    <w:tmpl w:val="9FA63B56"/>
    <w:lvl w:ilvl="0" w:tplc="645A5588">
      <w:start w:val="1"/>
      <w:numFmt w:val="lowerLetter"/>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2BB325F5"/>
    <w:multiLevelType w:val="hybridMultilevel"/>
    <w:tmpl w:val="B8D66A04"/>
    <w:lvl w:ilvl="0" w:tplc="BE10E9FA">
      <w:start w:val="1"/>
      <w:numFmt w:val="upperLetter"/>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4" w15:restartNumberingAfterBreak="0">
    <w:nsid w:val="2ED4264C"/>
    <w:multiLevelType w:val="hybridMultilevel"/>
    <w:tmpl w:val="7D943238"/>
    <w:lvl w:ilvl="0" w:tplc="E7540BB4">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4E3B7B48"/>
    <w:multiLevelType w:val="multilevel"/>
    <w:tmpl w:val="AABEB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37039785">
    <w:abstractNumId w:val="0"/>
  </w:num>
  <w:num w:numId="2" w16cid:durableId="1558784061">
    <w:abstractNumId w:val="6"/>
  </w:num>
  <w:num w:numId="3" w16cid:durableId="1052267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5186531">
    <w:abstractNumId w:val="4"/>
  </w:num>
  <w:num w:numId="5" w16cid:durableId="491676537">
    <w:abstractNumId w:val="3"/>
  </w:num>
  <w:num w:numId="6" w16cid:durableId="1461798838">
    <w:abstractNumId w:val="5"/>
  </w:num>
  <w:num w:numId="7" w16cid:durableId="436145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28C"/>
    <w:rsid w:val="00000B23"/>
    <w:rsid w:val="000059E4"/>
    <w:rsid w:val="000155D4"/>
    <w:rsid w:val="00022384"/>
    <w:rsid w:val="00023244"/>
    <w:rsid w:val="00023B06"/>
    <w:rsid w:val="000315BF"/>
    <w:rsid w:val="000331CE"/>
    <w:rsid w:val="0003575B"/>
    <w:rsid w:val="00041D1E"/>
    <w:rsid w:val="000432F9"/>
    <w:rsid w:val="00055C78"/>
    <w:rsid w:val="00064864"/>
    <w:rsid w:val="00064E02"/>
    <w:rsid w:val="00067DC8"/>
    <w:rsid w:val="000731C1"/>
    <w:rsid w:val="00081BF6"/>
    <w:rsid w:val="00093B61"/>
    <w:rsid w:val="000A1F8E"/>
    <w:rsid w:val="000A3D37"/>
    <w:rsid w:val="000A4F07"/>
    <w:rsid w:val="000A62BD"/>
    <w:rsid w:val="000B3671"/>
    <w:rsid w:val="000C075A"/>
    <w:rsid w:val="000C198D"/>
    <w:rsid w:val="000C5277"/>
    <w:rsid w:val="000E583F"/>
    <w:rsid w:val="000E7189"/>
    <w:rsid w:val="000E7BC5"/>
    <w:rsid w:val="000F5341"/>
    <w:rsid w:val="00106A5E"/>
    <w:rsid w:val="0011666B"/>
    <w:rsid w:val="0012190C"/>
    <w:rsid w:val="00122E98"/>
    <w:rsid w:val="0014094B"/>
    <w:rsid w:val="001507E0"/>
    <w:rsid w:val="00167D04"/>
    <w:rsid w:val="00173890"/>
    <w:rsid w:val="00175204"/>
    <w:rsid w:val="00182B50"/>
    <w:rsid w:val="00190436"/>
    <w:rsid w:val="001955E4"/>
    <w:rsid w:val="00197F59"/>
    <w:rsid w:val="001A393C"/>
    <w:rsid w:val="001A463F"/>
    <w:rsid w:val="001A58AF"/>
    <w:rsid w:val="001A67B4"/>
    <w:rsid w:val="001B340F"/>
    <w:rsid w:val="001B3C45"/>
    <w:rsid w:val="001D18AA"/>
    <w:rsid w:val="001D360E"/>
    <w:rsid w:val="001F19B4"/>
    <w:rsid w:val="001F5505"/>
    <w:rsid w:val="001F7BB1"/>
    <w:rsid w:val="0021083A"/>
    <w:rsid w:val="002112A6"/>
    <w:rsid w:val="0021239C"/>
    <w:rsid w:val="00212B1E"/>
    <w:rsid w:val="00213D54"/>
    <w:rsid w:val="00216FE1"/>
    <w:rsid w:val="002242A2"/>
    <w:rsid w:val="00224D48"/>
    <w:rsid w:val="00226360"/>
    <w:rsid w:val="00227579"/>
    <w:rsid w:val="00233624"/>
    <w:rsid w:val="00240FCE"/>
    <w:rsid w:val="00241CBF"/>
    <w:rsid w:val="00251AA5"/>
    <w:rsid w:val="002607C5"/>
    <w:rsid w:val="00265800"/>
    <w:rsid w:val="00273DA6"/>
    <w:rsid w:val="00274677"/>
    <w:rsid w:val="00275138"/>
    <w:rsid w:val="0028196F"/>
    <w:rsid w:val="00285B6D"/>
    <w:rsid w:val="00294037"/>
    <w:rsid w:val="0029593A"/>
    <w:rsid w:val="002A2AC7"/>
    <w:rsid w:val="002A32DA"/>
    <w:rsid w:val="002A40F0"/>
    <w:rsid w:val="002B0AB2"/>
    <w:rsid w:val="002B40A3"/>
    <w:rsid w:val="002B5E87"/>
    <w:rsid w:val="002B6BE2"/>
    <w:rsid w:val="002C11BD"/>
    <w:rsid w:val="002C1356"/>
    <w:rsid w:val="002C6B2C"/>
    <w:rsid w:val="002D39FA"/>
    <w:rsid w:val="002D6A9E"/>
    <w:rsid w:val="002D77D9"/>
    <w:rsid w:val="002F19BA"/>
    <w:rsid w:val="002F3518"/>
    <w:rsid w:val="002F4A3D"/>
    <w:rsid w:val="002F4C36"/>
    <w:rsid w:val="00300E3D"/>
    <w:rsid w:val="00307B7F"/>
    <w:rsid w:val="003117A0"/>
    <w:rsid w:val="0031366E"/>
    <w:rsid w:val="0032004C"/>
    <w:rsid w:val="00323142"/>
    <w:rsid w:val="00323D67"/>
    <w:rsid w:val="003334B6"/>
    <w:rsid w:val="00334619"/>
    <w:rsid w:val="00340C06"/>
    <w:rsid w:val="0034434C"/>
    <w:rsid w:val="00346078"/>
    <w:rsid w:val="00351ACF"/>
    <w:rsid w:val="0035621C"/>
    <w:rsid w:val="0036096E"/>
    <w:rsid w:val="00366D10"/>
    <w:rsid w:val="00366FD2"/>
    <w:rsid w:val="00367541"/>
    <w:rsid w:val="00367C23"/>
    <w:rsid w:val="00367FDF"/>
    <w:rsid w:val="003837B8"/>
    <w:rsid w:val="00385512"/>
    <w:rsid w:val="00385AA8"/>
    <w:rsid w:val="003936C4"/>
    <w:rsid w:val="00394267"/>
    <w:rsid w:val="003A2640"/>
    <w:rsid w:val="003B4294"/>
    <w:rsid w:val="003B498B"/>
    <w:rsid w:val="003B4BED"/>
    <w:rsid w:val="003B6A78"/>
    <w:rsid w:val="003C0792"/>
    <w:rsid w:val="003D2AED"/>
    <w:rsid w:val="003E1FB9"/>
    <w:rsid w:val="003E22A2"/>
    <w:rsid w:val="004039B8"/>
    <w:rsid w:val="00414AEB"/>
    <w:rsid w:val="00414F92"/>
    <w:rsid w:val="0041561B"/>
    <w:rsid w:val="00425951"/>
    <w:rsid w:val="00433E1C"/>
    <w:rsid w:val="00443A25"/>
    <w:rsid w:val="00447280"/>
    <w:rsid w:val="004543A0"/>
    <w:rsid w:val="004563BB"/>
    <w:rsid w:val="00466484"/>
    <w:rsid w:val="0047326B"/>
    <w:rsid w:val="00485417"/>
    <w:rsid w:val="00490956"/>
    <w:rsid w:val="00491CFC"/>
    <w:rsid w:val="00493A1F"/>
    <w:rsid w:val="00494B85"/>
    <w:rsid w:val="004960FC"/>
    <w:rsid w:val="004963A0"/>
    <w:rsid w:val="004B0FC8"/>
    <w:rsid w:val="004B1CDA"/>
    <w:rsid w:val="004B20F6"/>
    <w:rsid w:val="004B3036"/>
    <w:rsid w:val="004C0EAF"/>
    <w:rsid w:val="004C2DF5"/>
    <w:rsid w:val="004C33E4"/>
    <w:rsid w:val="004C409E"/>
    <w:rsid w:val="004D5FFD"/>
    <w:rsid w:val="004E0F99"/>
    <w:rsid w:val="004E6FC4"/>
    <w:rsid w:val="00510A0B"/>
    <w:rsid w:val="00520E09"/>
    <w:rsid w:val="00532DDE"/>
    <w:rsid w:val="00544012"/>
    <w:rsid w:val="005463EC"/>
    <w:rsid w:val="00550980"/>
    <w:rsid w:val="00555465"/>
    <w:rsid w:val="00557E54"/>
    <w:rsid w:val="00564DAB"/>
    <w:rsid w:val="00567B58"/>
    <w:rsid w:val="00571C4F"/>
    <w:rsid w:val="00574D01"/>
    <w:rsid w:val="00585BE7"/>
    <w:rsid w:val="005877E4"/>
    <w:rsid w:val="00590891"/>
    <w:rsid w:val="00591FC9"/>
    <w:rsid w:val="00593013"/>
    <w:rsid w:val="005957AF"/>
    <w:rsid w:val="00596EB9"/>
    <w:rsid w:val="005A4BC4"/>
    <w:rsid w:val="005A7AEB"/>
    <w:rsid w:val="005B0073"/>
    <w:rsid w:val="005B3CEF"/>
    <w:rsid w:val="005B525D"/>
    <w:rsid w:val="005B5FFF"/>
    <w:rsid w:val="005C19EE"/>
    <w:rsid w:val="005C6862"/>
    <w:rsid w:val="005C73DC"/>
    <w:rsid w:val="005D71A9"/>
    <w:rsid w:val="005D748A"/>
    <w:rsid w:val="005D7C17"/>
    <w:rsid w:val="005E22FC"/>
    <w:rsid w:val="005E3250"/>
    <w:rsid w:val="005F18CE"/>
    <w:rsid w:val="005F26BD"/>
    <w:rsid w:val="00602FB5"/>
    <w:rsid w:val="006042B0"/>
    <w:rsid w:val="00611D0E"/>
    <w:rsid w:val="00615904"/>
    <w:rsid w:val="00616281"/>
    <w:rsid w:val="00617C84"/>
    <w:rsid w:val="00625A59"/>
    <w:rsid w:val="006275DD"/>
    <w:rsid w:val="00630835"/>
    <w:rsid w:val="00637232"/>
    <w:rsid w:val="0064201D"/>
    <w:rsid w:val="00643E43"/>
    <w:rsid w:val="00644E08"/>
    <w:rsid w:val="0064505E"/>
    <w:rsid w:val="00645146"/>
    <w:rsid w:val="00652689"/>
    <w:rsid w:val="006619C2"/>
    <w:rsid w:val="00664947"/>
    <w:rsid w:val="00673453"/>
    <w:rsid w:val="006743BF"/>
    <w:rsid w:val="006900B3"/>
    <w:rsid w:val="006945A2"/>
    <w:rsid w:val="006A3E17"/>
    <w:rsid w:val="006A6AF1"/>
    <w:rsid w:val="006B0DD9"/>
    <w:rsid w:val="006C5857"/>
    <w:rsid w:val="006D1CF6"/>
    <w:rsid w:val="006E1BC1"/>
    <w:rsid w:val="006E44F9"/>
    <w:rsid w:val="006E72E4"/>
    <w:rsid w:val="006E786B"/>
    <w:rsid w:val="006F3C55"/>
    <w:rsid w:val="006F40B3"/>
    <w:rsid w:val="007022AE"/>
    <w:rsid w:val="00703941"/>
    <w:rsid w:val="00707C66"/>
    <w:rsid w:val="00707DEE"/>
    <w:rsid w:val="007155F4"/>
    <w:rsid w:val="00721625"/>
    <w:rsid w:val="0072231D"/>
    <w:rsid w:val="00727DD8"/>
    <w:rsid w:val="00731E38"/>
    <w:rsid w:val="00747CB7"/>
    <w:rsid w:val="00753149"/>
    <w:rsid w:val="0076254B"/>
    <w:rsid w:val="0076742A"/>
    <w:rsid w:val="007731CD"/>
    <w:rsid w:val="00776DAA"/>
    <w:rsid w:val="007836AC"/>
    <w:rsid w:val="00792A99"/>
    <w:rsid w:val="007946DE"/>
    <w:rsid w:val="007A4AE7"/>
    <w:rsid w:val="007A5182"/>
    <w:rsid w:val="007A7BCF"/>
    <w:rsid w:val="007C1F0B"/>
    <w:rsid w:val="007C582B"/>
    <w:rsid w:val="007C6107"/>
    <w:rsid w:val="007C6A45"/>
    <w:rsid w:val="007D1E8A"/>
    <w:rsid w:val="007D5D2D"/>
    <w:rsid w:val="007E078A"/>
    <w:rsid w:val="007E3BF5"/>
    <w:rsid w:val="007E6372"/>
    <w:rsid w:val="007F205F"/>
    <w:rsid w:val="007F767D"/>
    <w:rsid w:val="00800D46"/>
    <w:rsid w:val="008018D1"/>
    <w:rsid w:val="008106EC"/>
    <w:rsid w:val="00810B03"/>
    <w:rsid w:val="008246C6"/>
    <w:rsid w:val="0083698E"/>
    <w:rsid w:val="00840FE3"/>
    <w:rsid w:val="00841F7D"/>
    <w:rsid w:val="00843B2F"/>
    <w:rsid w:val="00846386"/>
    <w:rsid w:val="00850EEA"/>
    <w:rsid w:val="00872DC8"/>
    <w:rsid w:val="008732C0"/>
    <w:rsid w:val="008779DF"/>
    <w:rsid w:val="00877B13"/>
    <w:rsid w:val="008803CD"/>
    <w:rsid w:val="008832E7"/>
    <w:rsid w:val="00886617"/>
    <w:rsid w:val="008A0146"/>
    <w:rsid w:val="008A089C"/>
    <w:rsid w:val="008A1671"/>
    <w:rsid w:val="008B20C5"/>
    <w:rsid w:val="008B58E5"/>
    <w:rsid w:val="008C5AD9"/>
    <w:rsid w:val="008D522B"/>
    <w:rsid w:val="008E2324"/>
    <w:rsid w:val="008E57B7"/>
    <w:rsid w:val="008E7155"/>
    <w:rsid w:val="008F1BDE"/>
    <w:rsid w:val="008F252A"/>
    <w:rsid w:val="00906703"/>
    <w:rsid w:val="00920C6C"/>
    <w:rsid w:val="0092444E"/>
    <w:rsid w:val="00925491"/>
    <w:rsid w:val="00925A34"/>
    <w:rsid w:val="00927E11"/>
    <w:rsid w:val="00931506"/>
    <w:rsid w:val="00931AC3"/>
    <w:rsid w:val="0093224E"/>
    <w:rsid w:val="00936490"/>
    <w:rsid w:val="00940B82"/>
    <w:rsid w:val="009435D7"/>
    <w:rsid w:val="00947C6F"/>
    <w:rsid w:val="009550A1"/>
    <w:rsid w:val="00956694"/>
    <w:rsid w:val="00962699"/>
    <w:rsid w:val="00967213"/>
    <w:rsid w:val="00967CC3"/>
    <w:rsid w:val="0097367C"/>
    <w:rsid w:val="00983886"/>
    <w:rsid w:val="00990490"/>
    <w:rsid w:val="00990699"/>
    <w:rsid w:val="00990C98"/>
    <w:rsid w:val="00995704"/>
    <w:rsid w:val="009A27E8"/>
    <w:rsid w:val="009A4D79"/>
    <w:rsid w:val="009B4CF8"/>
    <w:rsid w:val="009B6A50"/>
    <w:rsid w:val="009C3911"/>
    <w:rsid w:val="009C3BB1"/>
    <w:rsid w:val="009E0D7D"/>
    <w:rsid w:val="009E7862"/>
    <w:rsid w:val="009F5A51"/>
    <w:rsid w:val="00A12AE7"/>
    <w:rsid w:val="00A14EF0"/>
    <w:rsid w:val="00A159EF"/>
    <w:rsid w:val="00A24AD8"/>
    <w:rsid w:val="00A24D2B"/>
    <w:rsid w:val="00A25EAE"/>
    <w:rsid w:val="00A42832"/>
    <w:rsid w:val="00A43252"/>
    <w:rsid w:val="00A440AD"/>
    <w:rsid w:val="00A46A5B"/>
    <w:rsid w:val="00A51254"/>
    <w:rsid w:val="00A574D6"/>
    <w:rsid w:val="00A57BEC"/>
    <w:rsid w:val="00A621B1"/>
    <w:rsid w:val="00A6792C"/>
    <w:rsid w:val="00A7176C"/>
    <w:rsid w:val="00A74BAA"/>
    <w:rsid w:val="00A75C8A"/>
    <w:rsid w:val="00A81B64"/>
    <w:rsid w:val="00A84E40"/>
    <w:rsid w:val="00A90916"/>
    <w:rsid w:val="00A95394"/>
    <w:rsid w:val="00AA0EF2"/>
    <w:rsid w:val="00AB1602"/>
    <w:rsid w:val="00AB3BD1"/>
    <w:rsid w:val="00AC0DB1"/>
    <w:rsid w:val="00AD3BEE"/>
    <w:rsid w:val="00AD5CA3"/>
    <w:rsid w:val="00AD7D9B"/>
    <w:rsid w:val="00AF7918"/>
    <w:rsid w:val="00B05D12"/>
    <w:rsid w:val="00B157CC"/>
    <w:rsid w:val="00B17656"/>
    <w:rsid w:val="00B17715"/>
    <w:rsid w:val="00B206EE"/>
    <w:rsid w:val="00B25A0A"/>
    <w:rsid w:val="00B26E6D"/>
    <w:rsid w:val="00B27DD2"/>
    <w:rsid w:val="00B35972"/>
    <w:rsid w:val="00B36F3C"/>
    <w:rsid w:val="00B375B9"/>
    <w:rsid w:val="00B414F5"/>
    <w:rsid w:val="00B50B3E"/>
    <w:rsid w:val="00B51D10"/>
    <w:rsid w:val="00B53A0B"/>
    <w:rsid w:val="00B75D7E"/>
    <w:rsid w:val="00B83823"/>
    <w:rsid w:val="00B867FD"/>
    <w:rsid w:val="00B92405"/>
    <w:rsid w:val="00B92FE5"/>
    <w:rsid w:val="00B95B43"/>
    <w:rsid w:val="00BA0BB3"/>
    <w:rsid w:val="00BA7EC1"/>
    <w:rsid w:val="00BB0783"/>
    <w:rsid w:val="00BB19B9"/>
    <w:rsid w:val="00BB1CF2"/>
    <w:rsid w:val="00BB3F8C"/>
    <w:rsid w:val="00BC187A"/>
    <w:rsid w:val="00BC4897"/>
    <w:rsid w:val="00BC52EC"/>
    <w:rsid w:val="00BD36C2"/>
    <w:rsid w:val="00BD5E65"/>
    <w:rsid w:val="00BE34F8"/>
    <w:rsid w:val="00BE45F1"/>
    <w:rsid w:val="00BE709B"/>
    <w:rsid w:val="00BF0899"/>
    <w:rsid w:val="00C01E69"/>
    <w:rsid w:val="00C07C55"/>
    <w:rsid w:val="00C1525B"/>
    <w:rsid w:val="00C23EE8"/>
    <w:rsid w:val="00C2605C"/>
    <w:rsid w:val="00C3012E"/>
    <w:rsid w:val="00C32982"/>
    <w:rsid w:val="00C37692"/>
    <w:rsid w:val="00C457D2"/>
    <w:rsid w:val="00C50A2E"/>
    <w:rsid w:val="00C528B1"/>
    <w:rsid w:val="00C54049"/>
    <w:rsid w:val="00C5609D"/>
    <w:rsid w:val="00C60E87"/>
    <w:rsid w:val="00C624F0"/>
    <w:rsid w:val="00C66B0C"/>
    <w:rsid w:val="00C67A65"/>
    <w:rsid w:val="00C81D86"/>
    <w:rsid w:val="00C85AF0"/>
    <w:rsid w:val="00C8612A"/>
    <w:rsid w:val="00C93654"/>
    <w:rsid w:val="00C9420C"/>
    <w:rsid w:val="00C94BB4"/>
    <w:rsid w:val="00C96826"/>
    <w:rsid w:val="00CA218A"/>
    <w:rsid w:val="00CA699D"/>
    <w:rsid w:val="00CA738F"/>
    <w:rsid w:val="00CB6AAD"/>
    <w:rsid w:val="00CC2005"/>
    <w:rsid w:val="00CC51FB"/>
    <w:rsid w:val="00CC5616"/>
    <w:rsid w:val="00CC65F9"/>
    <w:rsid w:val="00CC6D9C"/>
    <w:rsid w:val="00CD4281"/>
    <w:rsid w:val="00CF1E40"/>
    <w:rsid w:val="00CF50BC"/>
    <w:rsid w:val="00D00DC6"/>
    <w:rsid w:val="00D01667"/>
    <w:rsid w:val="00D1360D"/>
    <w:rsid w:val="00D139E7"/>
    <w:rsid w:val="00D154F2"/>
    <w:rsid w:val="00D16DC9"/>
    <w:rsid w:val="00D2056C"/>
    <w:rsid w:val="00D24D0D"/>
    <w:rsid w:val="00D25910"/>
    <w:rsid w:val="00D4516E"/>
    <w:rsid w:val="00D656A3"/>
    <w:rsid w:val="00D76FB8"/>
    <w:rsid w:val="00D84392"/>
    <w:rsid w:val="00D8718C"/>
    <w:rsid w:val="00D908A7"/>
    <w:rsid w:val="00D93326"/>
    <w:rsid w:val="00DA09C8"/>
    <w:rsid w:val="00DA16C4"/>
    <w:rsid w:val="00DA5684"/>
    <w:rsid w:val="00DB25C4"/>
    <w:rsid w:val="00DC5F9F"/>
    <w:rsid w:val="00DC7C34"/>
    <w:rsid w:val="00DE0682"/>
    <w:rsid w:val="00DE102F"/>
    <w:rsid w:val="00DE3FC9"/>
    <w:rsid w:val="00DE62D8"/>
    <w:rsid w:val="00DF0119"/>
    <w:rsid w:val="00E003F6"/>
    <w:rsid w:val="00E1109A"/>
    <w:rsid w:val="00E13EDD"/>
    <w:rsid w:val="00E15B08"/>
    <w:rsid w:val="00E176CF"/>
    <w:rsid w:val="00E2495E"/>
    <w:rsid w:val="00E31718"/>
    <w:rsid w:val="00E43914"/>
    <w:rsid w:val="00E54202"/>
    <w:rsid w:val="00E54B24"/>
    <w:rsid w:val="00E558F2"/>
    <w:rsid w:val="00E55A51"/>
    <w:rsid w:val="00E66DD6"/>
    <w:rsid w:val="00E70580"/>
    <w:rsid w:val="00E74486"/>
    <w:rsid w:val="00E8759C"/>
    <w:rsid w:val="00E90A38"/>
    <w:rsid w:val="00E93AA0"/>
    <w:rsid w:val="00E94A5E"/>
    <w:rsid w:val="00E964BA"/>
    <w:rsid w:val="00EA7C7D"/>
    <w:rsid w:val="00EB3778"/>
    <w:rsid w:val="00EB53BF"/>
    <w:rsid w:val="00EC204A"/>
    <w:rsid w:val="00EC3DFE"/>
    <w:rsid w:val="00ED0017"/>
    <w:rsid w:val="00ED14C8"/>
    <w:rsid w:val="00ED75BA"/>
    <w:rsid w:val="00EF077F"/>
    <w:rsid w:val="00EF31CE"/>
    <w:rsid w:val="00EF355F"/>
    <w:rsid w:val="00EF528C"/>
    <w:rsid w:val="00F042F2"/>
    <w:rsid w:val="00F1003C"/>
    <w:rsid w:val="00F138B2"/>
    <w:rsid w:val="00F13957"/>
    <w:rsid w:val="00F13F26"/>
    <w:rsid w:val="00F322B5"/>
    <w:rsid w:val="00F32788"/>
    <w:rsid w:val="00F41937"/>
    <w:rsid w:val="00F52F7F"/>
    <w:rsid w:val="00F53991"/>
    <w:rsid w:val="00F615D3"/>
    <w:rsid w:val="00F65F8B"/>
    <w:rsid w:val="00F72317"/>
    <w:rsid w:val="00F7708D"/>
    <w:rsid w:val="00F80CBA"/>
    <w:rsid w:val="00F85DCE"/>
    <w:rsid w:val="00F96CB4"/>
    <w:rsid w:val="00F976C9"/>
    <w:rsid w:val="00FA1898"/>
    <w:rsid w:val="00FA1DD9"/>
    <w:rsid w:val="00FA3581"/>
    <w:rsid w:val="00FA696B"/>
    <w:rsid w:val="00FB2B6F"/>
    <w:rsid w:val="00FB6031"/>
    <w:rsid w:val="00FD0A6B"/>
    <w:rsid w:val="00FD0EFE"/>
    <w:rsid w:val="00FD298B"/>
    <w:rsid w:val="00FD6680"/>
    <w:rsid w:val="00FF059D"/>
    <w:rsid w:val="00FF40C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1521B"/>
  <w15:chartTrackingRefBased/>
  <w15:docId w15:val="{AC698449-EF22-404C-AAC1-817014FF1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28C"/>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next w:val="Normal"/>
    <w:link w:val="Heading1Char"/>
    <w:uiPriority w:val="9"/>
    <w:qFormat/>
    <w:rsid w:val="00EF528C"/>
    <w:pPr>
      <w:keepNext/>
      <w:keepLines/>
      <w:numPr>
        <w:numId w:val="3"/>
      </w:numPr>
      <w:spacing w:after="154" w:line="256" w:lineRule="auto"/>
      <w:outlineLvl w:val="0"/>
    </w:pPr>
    <w:rPr>
      <w:rFonts w:ascii="Times New Roman" w:eastAsia="Times New Roman" w:hAnsi="Times New Roman" w:cs="Times New Roman"/>
      <w:b/>
      <w:color w:val="000000"/>
      <w:sz w:val="28"/>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EF528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EF528C"/>
    <w:rPr>
      <w:rFonts w:ascii="Times New Roman" w:eastAsia="Times New Roman" w:hAnsi="Times New Roman" w:cs="Times New Roman"/>
      <w:b/>
      <w:sz w:val="28"/>
      <w:szCs w:val="20"/>
      <w:lang w:eastAsia="en-US"/>
    </w:rPr>
  </w:style>
  <w:style w:type="paragraph" w:customStyle="1" w:styleId="HMG">
    <w:name w:val="_ H __M_G"/>
    <w:basedOn w:val="Normal"/>
    <w:next w:val="Normal"/>
    <w:rsid w:val="00EF528C"/>
    <w:pPr>
      <w:keepNext/>
      <w:keepLines/>
      <w:tabs>
        <w:tab w:val="right" w:pos="851"/>
      </w:tabs>
      <w:spacing w:before="240" w:after="240" w:line="360" w:lineRule="exact"/>
      <w:ind w:left="1134" w:right="1134" w:hanging="1134"/>
    </w:pPr>
    <w:rPr>
      <w:b/>
      <w:sz w:val="34"/>
    </w:rPr>
  </w:style>
  <w:style w:type="paragraph" w:customStyle="1" w:styleId="H1G">
    <w:name w:val="_ H_1_G"/>
    <w:basedOn w:val="Normal"/>
    <w:next w:val="Normal"/>
    <w:link w:val="H1GChar"/>
    <w:qFormat/>
    <w:rsid w:val="00EF528C"/>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EF528C"/>
    <w:rPr>
      <w:rFonts w:ascii="Times New Roman" w:eastAsia="Times New Roman" w:hAnsi="Times New Roman" w:cs="Times New Roman"/>
      <w:b/>
      <w:sz w:val="24"/>
      <w:szCs w:val="20"/>
      <w:lang w:eastAsia="en-US"/>
    </w:rPr>
  </w:style>
  <w:style w:type="paragraph" w:customStyle="1" w:styleId="H23G">
    <w:name w:val="_ H_2/3_G"/>
    <w:basedOn w:val="Normal"/>
    <w:next w:val="Normal"/>
    <w:rsid w:val="00EF528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F528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F528C"/>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F528C"/>
    <w:pPr>
      <w:spacing w:after="120"/>
      <w:ind w:left="1134" w:right="1134"/>
      <w:jc w:val="both"/>
    </w:pPr>
  </w:style>
  <w:style w:type="character" w:customStyle="1" w:styleId="SingleTxtGChar">
    <w:name w:val="_ Single Txt_G Char"/>
    <w:link w:val="SingleTxtG"/>
    <w:qFormat/>
    <w:rsid w:val="00EF528C"/>
    <w:rPr>
      <w:rFonts w:ascii="Times New Roman" w:eastAsia="Times New Roman" w:hAnsi="Times New Roman" w:cs="Times New Roman"/>
      <w:sz w:val="20"/>
      <w:szCs w:val="20"/>
      <w:lang w:eastAsia="en-US"/>
    </w:rPr>
  </w:style>
  <w:style w:type="paragraph" w:customStyle="1" w:styleId="SLG">
    <w:name w:val="__S_L_G"/>
    <w:basedOn w:val="Normal"/>
    <w:next w:val="Normal"/>
    <w:rsid w:val="00EF528C"/>
    <w:pPr>
      <w:keepNext/>
      <w:keepLines/>
      <w:spacing w:before="240" w:after="240" w:line="580" w:lineRule="exact"/>
      <w:ind w:left="1134" w:right="1134"/>
    </w:pPr>
    <w:rPr>
      <w:b/>
      <w:sz w:val="56"/>
    </w:rPr>
  </w:style>
  <w:style w:type="paragraph" w:customStyle="1" w:styleId="SMG">
    <w:name w:val="__S_M_G"/>
    <w:basedOn w:val="Normal"/>
    <w:next w:val="Normal"/>
    <w:rsid w:val="00EF528C"/>
    <w:pPr>
      <w:keepNext/>
      <w:keepLines/>
      <w:spacing w:before="240" w:after="240" w:line="420" w:lineRule="exact"/>
      <w:ind w:left="1134" w:right="1134"/>
    </w:pPr>
    <w:rPr>
      <w:b/>
      <w:sz w:val="40"/>
    </w:rPr>
  </w:style>
  <w:style w:type="paragraph" w:customStyle="1" w:styleId="SSG">
    <w:name w:val="__S_S_G"/>
    <w:basedOn w:val="Normal"/>
    <w:next w:val="Normal"/>
    <w:rsid w:val="00EF528C"/>
    <w:pPr>
      <w:keepNext/>
      <w:keepLines/>
      <w:spacing w:before="240" w:after="240" w:line="300" w:lineRule="exact"/>
      <w:ind w:left="1134" w:right="1134"/>
    </w:pPr>
    <w:rPr>
      <w:b/>
      <w:sz w:val="28"/>
    </w:rPr>
  </w:style>
  <w:style w:type="paragraph" w:customStyle="1" w:styleId="XLargeG">
    <w:name w:val="__XLarge_G"/>
    <w:basedOn w:val="Normal"/>
    <w:next w:val="Normal"/>
    <w:rsid w:val="00EF528C"/>
    <w:pPr>
      <w:keepNext/>
      <w:keepLines/>
      <w:spacing w:before="240" w:after="240" w:line="420" w:lineRule="exact"/>
      <w:ind w:left="1134" w:right="1134"/>
    </w:pPr>
    <w:rPr>
      <w:b/>
      <w:sz w:val="40"/>
    </w:rPr>
  </w:style>
  <w:style w:type="paragraph" w:customStyle="1" w:styleId="Bullet1G">
    <w:name w:val="_Bullet 1_G"/>
    <w:basedOn w:val="Normal"/>
    <w:rsid w:val="00EF528C"/>
    <w:pPr>
      <w:numPr>
        <w:numId w:val="1"/>
      </w:numPr>
      <w:spacing w:after="120"/>
      <w:ind w:right="1134"/>
      <w:jc w:val="both"/>
    </w:pPr>
  </w:style>
  <w:style w:type="paragraph" w:customStyle="1" w:styleId="Bullet2G">
    <w:name w:val="_Bullet 2_G"/>
    <w:basedOn w:val="Normal"/>
    <w:rsid w:val="00EF528C"/>
    <w:pPr>
      <w:numPr>
        <w:numId w:val="2"/>
      </w:numPr>
      <w:spacing w:after="120"/>
      <w:ind w:right="1134"/>
      <w:jc w:val="both"/>
    </w:pPr>
  </w:style>
  <w:style w:type="paragraph" w:styleId="BalloonText">
    <w:name w:val="Balloon Text"/>
    <w:basedOn w:val="Normal"/>
    <w:link w:val="BalloonTextChar"/>
    <w:rsid w:val="00EF528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528C"/>
    <w:rPr>
      <w:rFonts w:ascii="Tahoma" w:eastAsia="Times New Roman" w:hAnsi="Tahoma" w:cs="Tahoma"/>
      <w:sz w:val="16"/>
      <w:szCs w:val="16"/>
      <w:lang w:eastAsia="en-US"/>
    </w:rPr>
  </w:style>
  <w:style w:type="paragraph" w:styleId="BodyText">
    <w:name w:val="Body Text"/>
    <w:basedOn w:val="Normal"/>
    <w:link w:val="BodyTextChar"/>
    <w:rsid w:val="00EF528C"/>
    <w:pPr>
      <w:suppressAutoHyphens w:val="0"/>
      <w:spacing w:after="60" w:line="240" w:lineRule="auto"/>
    </w:pPr>
    <w:rPr>
      <w:sz w:val="18"/>
      <w:szCs w:val="24"/>
    </w:rPr>
  </w:style>
  <w:style w:type="character" w:customStyle="1" w:styleId="BodyTextChar">
    <w:name w:val="Body Text Char"/>
    <w:basedOn w:val="DefaultParagraphFont"/>
    <w:link w:val="BodyText"/>
    <w:rsid w:val="00EF528C"/>
    <w:rPr>
      <w:rFonts w:ascii="Times New Roman" w:eastAsia="Times New Roman" w:hAnsi="Times New Roman" w:cs="Times New Roman"/>
      <w:sz w:val="18"/>
      <w:szCs w:val="24"/>
      <w:lang w:eastAsia="en-US"/>
    </w:rPr>
  </w:style>
  <w:style w:type="paragraph" w:styleId="BodyTextIndent">
    <w:name w:val="Body Text Indent"/>
    <w:basedOn w:val="Normal"/>
    <w:link w:val="BodyTextIndentChar"/>
    <w:rsid w:val="00EF528C"/>
    <w:pPr>
      <w:spacing w:after="120"/>
      <w:ind w:left="283"/>
    </w:pPr>
  </w:style>
  <w:style w:type="character" w:customStyle="1" w:styleId="BodyTextIndentChar">
    <w:name w:val="Body Text Indent Char"/>
    <w:basedOn w:val="DefaultParagraphFont"/>
    <w:link w:val="BodyTextIndent"/>
    <w:rsid w:val="00EF528C"/>
    <w:rPr>
      <w:rFonts w:ascii="Times New Roman" w:eastAsia="Times New Roman" w:hAnsi="Times New Roman" w:cs="Times New Roman"/>
      <w:sz w:val="20"/>
      <w:szCs w:val="20"/>
      <w:lang w:eastAsia="en-US"/>
    </w:rPr>
  </w:style>
  <w:style w:type="paragraph" w:styleId="BodyTextIndent2">
    <w:name w:val="Body Text Indent 2"/>
    <w:basedOn w:val="Normal"/>
    <w:link w:val="BodyTextIndent2Char"/>
    <w:rsid w:val="00EF528C"/>
    <w:pPr>
      <w:spacing w:after="120" w:line="480" w:lineRule="auto"/>
      <w:ind w:left="283"/>
    </w:pPr>
  </w:style>
  <w:style w:type="character" w:customStyle="1" w:styleId="BodyTextIndent2Char">
    <w:name w:val="Body Text Indent 2 Char"/>
    <w:basedOn w:val="DefaultParagraphFont"/>
    <w:link w:val="BodyTextIndent2"/>
    <w:rsid w:val="00EF528C"/>
    <w:rPr>
      <w:rFonts w:ascii="Times New Roman" w:eastAsia="Times New Roman" w:hAnsi="Times New Roman" w:cs="Times New Roman"/>
      <w:sz w:val="20"/>
      <w:szCs w:val="20"/>
      <w:lang w:eastAsia="en-US"/>
    </w:rPr>
  </w:style>
  <w:style w:type="character" w:styleId="CommentReference">
    <w:name w:val="annotation reference"/>
    <w:basedOn w:val="DefaultParagraphFont"/>
    <w:rsid w:val="00EF528C"/>
    <w:rPr>
      <w:sz w:val="16"/>
      <w:szCs w:val="16"/>
    </w:rPr>
  </w:style>
  <w:style w:type="paragraph" w:styleId="CommentText">
    <w:name w:val="annotation text"/>
    <w:basedOn w:val="Normal"/>
    <w:link w:val="CommentTextChar"/>
    <w:rsid w:val="00EF528C"/>
    <w:pPr>
      <w:spacing w:line="240" w:lineRule="auto"/>
    </w:pPr>
  </w:style>
  <w:style w:type="character" w:customStyle="1" w:styleId="CommentTextChar">
    <w:name w:val="Comment Text Char"/>
    <w:basedOn w:val="DefaultParagraphFont"/>
    <w:link w:val="CommentText"/>
    <w:rsid w:val="00EF528C"/>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rsid w:val="00EF528C"/>
    <w:rPr>
      <w:b/>
      <w:bCs/>
    </w:rPr>
  </w:style>
  <w:style w:type="character" w:customStyle="1" w:styleId="CommentSubjectChar">
    <w:name w:val="Comment Subject Char"/>
    <w:basedOn w:val="CommentTextChar"/>
    <w:link w:val="CommentSubject"/>
    <w:rsid w:val="00EF528C"/>
    <w:rPr>
      <w:rFonts w:ascii="Times New Roman" w:eastAsia="Times New Roman" w:hAnsi="Times New Roman" w:cs="Times New Roman"/>
      <w:b/>
      <w:bCs/>
      <w:sz w:val="20"/>
      <w:szCs w:val="20"/>
      <w:lang w:eastAsia="en-US"/>
    </w:rPr>
  </w:style>
  <w:style w:type="character" w:styleId="FootnoteReference">
    <w:name w:val="footnote reference"/>
    <w:aliases w:val="4_G,(Footnote Reference),-E Fußnotenzeichen,BVI fnr,Footnote symbol,Footnote,Footnote Reference Superscript,SUPERS, BVI fnr"/>
    <w:basedOn w:val="DefaultParagraphFont"/>
    <w:rsid w:val="00EF528C"/>
    <w:rPr>
      <w:rFonts w:ascii="Times New Roman" w:hAnsi="Times New Roman"/>
      <w:sz w:val="18"/>
      <w:vertAlign w:val="superscript"/>
    </w:rPr>
  </w:style>
  <w:style w:type="character" w:styleId="EndnoteReference">
    <w:name w:val="endnote reference"/>
    <w:aliases w:val="1_G"/>
    <w:basedOn w:val="FootnoteReference"/>
    <w:rsid w:val="00EF528C"/>
    <w:rPr>
      <w:rFonts w:ascii="Times New Roman" w:hAnsi="Times New Roman"/>
      <w:sz w:val="18"/>
      <w:vertAlign w:val="superscript"/>
    </w:rPr>
  </w:style>
  <w:style w:type="paragraph" w:styleId="Footer">
    <w:name w:val="footer"/>
    <w:basedOn w:val="Normal"/>
    <w:link w:val="FooterChar"/>
    <w:uiPriority w:val="99"/>
    <w:unhideWhenUsed/>
    <w:rsid w:val="00EF528C"/>
    <w:pPr>
      <w:tabs>
        <w:tab w:val="center" w:pos="4513"/>
        <w:tab w:val="right" w:pos="9026"/>
      </w:tabs>
      <w:spacing w:line="240" w:lineRule="auto"/>
    </w:pPr>
  </w:style>
  <w:style w:type="character" w:customStyle="1" w:styleId="FooterChar">
    <w:name w:val="Footer Char"/>
    <w:basedOn w:val="DefaultParagraphFont"/>
    <w:link w:val="Footer"/>
    <w:uiPriority w:val="99"/>
    <w:rsid w:val="00EF528C"/>
    <w:rPr>
      <w:rFonts w:ascii="Times New Roman" w:eastAsia="Times New Roman" w:hAnsi="Times New Roman" w:cs="Times New Roman"/>
      <w:sz w:val="20"/>
      <w:szCs w:val="20"/>
      <w:lang w:eastAsia="en-US"/>
    </w:rPr>
  </w:style>
  <w:style w:type="character" w:customStyle="1" w:styleId="FootnoteTextChar">
    <w:name w:val="Footnote Text Char"/>
    <w:rsid w:val="00EF528C"/>
    <w:rPr>
      <w:sz w:val="18"/>
      <w:lang w:eastAsia="en-US"/>
    </w:rPr>
  </w:style>
  <w:style w:type="paragraph" w:styleId="FootnoteText">
    <w:name w:val="footnote text"/>
    <w:aliases w:val="5_G,PP,5_G_6"/>
    <w:basedOn w:val="Normal"/>
    <w:link w:val="FootnoteTextChar1"/>
    <w:qFormat/>
    <w:rsid w:val="00EF528C"/>
    <w:pPr>
      <w:tabs>
        <w:tab w:val="right" w:pos="1021"/>
      </w:tabs>
      <w:spacing w:line="220" w:lineRule="exact"/>
      <w:ind w:left="1134" w:right="1134" w:hanging="1134"/>
    </w:pPr>
    <w:rPr>
      <w:sz w:val="18"/>
    </w:rPr>
  </w:style>
  <w:style w:type="character" w:customStyle="1" w:styleId="FootnoteTextChar1">
    <w:name w:val="Footnote Text Char1"/>
    <w:aliases w:val="5_G Char,PP Char,5_G_6 Char"/>
    <w:link w:val="FootnoteText"/>
    <w:rsid w:val="00EF528C"/>
    <w:rPr>
      <w:rFonts w:ascii="Times New Roman" w:eastAsia="Times New Roman" w:hAnsi="Times New Roman" w:cs="Times New Roman"/>
      <w:sz w:val="18"/>
      <w:szCs w:val="20"/>
      <w:lang w:eastAsia="en-US"/>
    </w:rPr>
  </w:style>
  <w:style w:type="paragraph" w:styleId="Header">
    <w:name w:val="header"/>
    <w:aliases w:val="6_G"/>
    <w:basedOn w:val="Normal"/>
    <w:link w:val="HeaderChar"/>
    <w:uiPriority w:val="99"/>
    <w:unhideWhenUsed/>
    <w:qFormat/>
    <w:rsid w:val="00EF528C"/>
    <w:pPr>
      <w:tabs>
        <w:tab w:val="center" w:pos="4513"/>
        <w:tab w:val="right" w:pos="9026"/>
      </w:tabs>
      <w:spacing w:line="240" w:lineRule="auto"/>
    </w:pPr>
  </w:style>
  <w:style w:type="character" w:customStyle="1" w:styleId="HeaderChar">
    <w:name w:val="Header Char"/>
    <w:aliases w:val="6_G Char"/>
    <w:basedOn w:val="DefaultParagraphFont"/>
    <w:link w:val="Header"/>
    <w:uiPriority w:val="99"/>
    <w:rsid w:val="00EF528C"/>
    <w:rPr>
      <w:rFonts w:ascii="Times New Roman" w:eastAsia="Times New Roman" w:hAnsi="Times New Roman" w:cs="Times New Roman"/>
      <w:sz w:val="20"/>
      <w:szCs w:val="20"/>
      <w:lang w:eastAsia="en-US"/>
    </w:rPr>
  </w:style>
  <w:style w:type="character" w:customStyle="1" w:styleId="Heading1Char">
    <w:name w:val="Heading 1 Char"/>
    <w:basedOn w:val="DefaultParagraphFont"/>
    <w:link w:val="Heading1"/>
    <w:uiPriority w:val="9"/>
    <w:rsid w:val="00EF528C"/>
    <w:rPr>
      <w:rFonts w:ascii="Times New Roman" w:eastAsia="Times New Roman" w:hAnsi="Times New Roman" w:cs="Times New Roman"/>
      <w:b/>
      <w:color w:val="000000"/>
      <w:sz w:val="28"/>
      <w:lang w:val="fr-FR" w:eastAsia="fr-FR"/>
    </w:rPr>
  </w:style>
  <w:style w:type="paragraph" w:styleId="ListParagraph">
    <w:name w:val="List Paragraph"/>
    <w:basedOn w:val="Normal"/>
    <w:uiPriority w:val="34"/>
    <w:qFormat/>
    <w:rsid w:val="00EF528C"/>
    <w:pPr>
      <w:ind w:left="720"/>
      <w:contextualSpacing/>
    </w:pPr>
  </w:style>
  <w:style w:type="table" w:styleId="TableGrid">
    <w:name w:val="Table Grid"/>
    <w:basedOn w:val="TableNormal"/>
    <w:rsid w:val="00EF528C"/>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727DD8"/>
    <w:rPr>
      <w:color w:val="0563C1" w:themeColor="hyperlink"/>
      <w:u w:val="single"/>
    </w:rPr>
  </w:style>
  <w:style w:type="character" w:styleId="UnresolvedMention">
    <w:name w:val="Unresolved Mention"/>
    <w:basedOn w:val="DefaultParagraphFont"/>
    <w:uiPriority w:val="99"/>
    <w:semiHidden/>
    <w:unhideWhenUsed/>
    <w:rsid w:val="00727DD8"/>
    <w:rPr>
      <w:color w:val="605E5C"/>
      <w:shd w:val="clear" w:color="auto" w:fill="E1DFDD"/>
    </w:rPr>
  </w:style>
  <w:style w:type="paragraph" w:styleId="Revision">
    <w:name w:val="Revision"/>
    <w:hidden/>
    <w:uiPriority w:val="99"/>
    <w:semiHidden/>
    <w:rsid w:val="00E8759C"/>
    <w:pPr>
      <w:spacing w:after="0" w:line="240" w:lineRule="auto"/>
    </w:pPr>
    <w:rPr>
      <w:rFonts w:ascii="Times New Roman" w:eastAsia="Times New Roman" w:hAnsi="Times New Roman" w:cs="Times New Roman"/>
      <w:sz w:val="20"/>
      <w:szCs w:val="20"/>
      <w:lang w:eastAsia="en-US"/>
    </w:rPr>
  </w:style>
  <w:style w:type="character" w:styleId="FollowedHyperlink">
    <w:name w:val="FollowedHyperlink"/>
    <w:basedOn w:val="DefaultParagraphFont"/>
    <w:uiPriority w:val="99"/>
    <w:semiHidden/>
    <w:unhideWhenUsed/>
    <w:rsid w:val="00585BE7"/>
    <w:rPr>
      <w:color w:val="954F72" w:themeColor="followedHyperlink"/>
      <w:u w:val="single"/>
    </w:rPr>
  </w:style>
  <w:style w:type="character" w:customStyle="1" w:styleId="normaltextrun">
    <w:name w:val="normaltextrun"/>
    <w:basedOn w:val="DefaultParagraphFont"/>
    <w:rsid w:val="00F32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6795">
      <w:bodyDiv w:val="1"/>
      <w:marLeft w:val="0"/>
      <w:marRight w:val="0"/>
      <w:marTop w:val="0"/>
      <w:marBottom w:val="0"/>
      <w:divBdr>
        <w:top w:val="none" w:sz="0" w:space="0" w:color="auto"/>
        <w:left w:val="none" w:sz="0" w:space="0" w:color="auto"/>
        <w:bottom w:val="none" w:sz="0" w:space="0" w:color="auto"/>
        <w:right w:val="none" w:sz="0" w:space="0" w:color="auto"/>
      </w:divBdr>
    </w:div>
    <w:div w:id="418259266">
      <w:bodyDiv w:val="1"/>
      <w:marLeft w:val="0"/>
      <w:marRight w:val="0"/>
      <w:marTop w:val="0"/>
      <w:marBottom w:val="0"/>
      <w:divBdr>
        <w:top w:val="none" w:sz="0" w:space="0" w:color="auto"/>
        <w:left w:val="none" w:sz="0" w:space="0" w:color="auto"/>
        <w:bottom w:val="none" w:sz="0" w:space="0" w:color="auto"/>
        <w:right w:val="none" w:sz="0" w:space="0" w:color="auto"/>
      </w:divBdr>
    </w:div>
    <w:div w:id="452094614">
      <w:bodyDiv w:val="1"/>
      <w:marLeft w:val="0"/>
      <w:marRight w:val="0"/>
      <w:marTop w:val="0"/>
      <w:marBottom w:val="0"/>
      <w:divBdr>
        <w:top w:val="none" w:sz="0" w:space="0" w:color="auto"/>
        <w:left w:val="none" w:sz="0" w:space="0" w:color="auto"/>
        <w:bottom w:val="none" w:sz="0" w:space="0" w:color="auto"/>
        <w:right w:val="none" w:sz="0" w:space="0" w:color="auto"/>
      </w:divBdr>
    </w:div>
    <w:div w:id="661196861">
      <w:bodyDiv w:val="1"/>
      <w:marLeft w:val="0"/>
      <w:marRight w:val="0"/>
      <w:marTop w:val="0"/>
      <w:marBottom w:val="0"/>
      <w:divBdr>
        <w:top w:val="none" w:sz="0" w:space="0" w:color="auto"/>
        <w:left w:val="none" w:sz="0" w:space="0" w:color="auto"/>
        <w:bottom w:val="none" w:sz="0" w:space="0" w:color="auto"/>
        <w:right w:val="none" w:sz="0" w:space="0" w:color="auto"/>
      </w:divBdr>
    </w:div>
    <w:div w:id="721096379">
      <w:bodyDiv w:val="1"/>
      <w:marLeft w:val="0"/>
      <w:marRight w:val="0"/>
      <w:marTop w:val="0"/>
      <w:marBottom w:val="0"/>
      <w:divBdr>
        <w:top w:val="none" w:sz="0" w:space="0" w:color="auto"/>
        <w:left w:val="none" w:sz="0" w:space="0" w:color="auto"/>
        <w:bottom w:val="none" w:sz="0" w:space="0" w:color="auto"/>
        <w:right w:val="none" w:sz="0" w:space="0" w:color="auto"/>
      </w:divBdr>
    </w:div>
    <w:div w:id="926959160">
      <w:bodyDiv w:val="1"/>
      <w:marLeft w:val="0"/>
      <w:marRight w:val="0"/>
      <w:marTop w:val="0"/>
      <w:marBottom w:val="0"/>
      <w:divBdr>
        <w:top w:val="none" w:sz="0" w:space="0" w:color="auto"/>
        <w:left w:val="none" w:sz="0" w:space="0" w:color="auto"/>
        <w:bottom w:val="none" w:sz="0" w:space="0" w:color="auto"/>
        <w:right w:val="none" w:sz="0" w:space="0" w:color="auto"/>
      </w:divBdr>
    </w:div>
    <w:div w:id="1097216047">
      <w:bodyDiv w:val="1"/>
      <w:marLeft w:val="0"/>
      <w:marRight w:val="0"/>
      <w:marTop w:val="0"/>
      <w:marBottom w:val="0"/>
      <w:divBdr>
        <w:top w:val="none" w:sz="0" w:space="0" w:color="auto"/>
        <w:left w:val="none" w:sz="0" w:space="0" w:color="auto"/>
        <w:bottom w:val="none" w:sz="0" w:space="0" w:color="auto"/>
        <w:right w:val="none" w:sz="0" w:space="0" w:color="auto"/>
      </w:divBdr>
    </w:div>
    <w:div w:id="1362167313">
      <w:bodyDiv w:val="1"/>
      <w:marLeft w:val="0"/>
      <w:marRight w:val="0"/>
      <w:marTop w:val="0"/>
      <w:marBottom w:val="0"/>
      <w:divBdr>
        <w:top w:val="none" w:sz="0" w:space="0" w:color="auto"/>
        <w:left w:val="none" w:sz="0" w:space="0" w:color="auto"/>
        <w:bottom w:val="none" w:sz="0" w:space="0" w:color="auto"/>
        <w:right w:val="none" w:sz="0" w:space="0" w:color="auto"/>
      </w:divBdr>
    </w:div>
    <w:div w:id="158395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ao.int/environmental-protection/Pages/climate-change.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ce.org/sites/default/files/2023-05/GRVA-16-46e.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3D3CCE-F659-4BD9-B283-83A55256261D}">
  <ds:schemaRefs>
    <ds:schemaRef ds:uri="http://schemas.microsoft.com/sharepoint/v3/contenttype/forms"/>
  </ds:schemaRefs>
</ds:datastoreItem>
</file>

<file path=customXml/itemProps2.xml><?xml version="1.0" encoding="utf-8"?>
<ds:datastoreItem xmlns:ds="http://schemas.openxmlformats.org/officeDocument/2006/customXml" ds:itemID="{B8CE5E73-805B-4473-AA49-AD1911B260F0}">
  <ds:schemaRefs>
    <ds:schemaRef ds:uri="http://schemas.openxmlformats.org/officeDocument/2006/bibliography"/>
  </ds:schemaRefs>
</ds:datastoreItem>
</file>

<file path=customXml/itemProps3.xml><?xml version="1.0" encoding="utf-8"?>
<ds:datastoreItem xmlns:ds="http://schemas.openxmlformats.org/officeDocument/2006/customXml" ds:itemID="{62EF5C25-5960-4434-B47D-C86957E14E79}">
  <ds:schemaRefs>
    <ds:schemaRef ds:uri="http://schemas.openxmlformats.org/package/2006/metadata/core-properties"/>
    <ds:schemaRef ds:uri="http://schemas.microsoft.com/office/infopath/2007/PartnerControls"/>
    <ds:schemaRef ds:uri="http://www.w3.org/XML/1998/namespace"/>
    <ds:schemaRef ds:uri="http://purl.org/dc/terms/"/>
    <ds:schemaRef ds:uri="http://schemas.microsoft.com/office/2006/metadata/properties"/>
    <ds:schemaRef ds:uri="http://schemas.microsoft.com/office/2006/documentManagement/types"/>
    <ds:schemaRef ds:uri="4b4a1c0d-4a69-4996-a84a-fc699b9f49de"/>
    <ds:schemaRef ds:uri="http://purl.org/dc/elements/1.1/"/>
    <ds:schemaRef ds:uri="985ec44e-1bab-4c0b-9df0-6ba128686fc9"/>
    <ds:schemaRef ds:uri="acccb6d4-dbe5-46d2-b4d3-5733603d8cc6"/>
    <ds:schemaRef ds:uri="http://purl.org/dc/dcmitype/"/>
  </ds:schemaRefs>
</ds:datastoreItem>
</file>

<file path=customXml/itemProps4.xml><?xml version="1.0" encoding="utf-8"?>
<ds:datastoreItem xmlns:ds="http://schemas.openxmlformats.org/officeDocument/2006/customXml" ds:itemID="{DDEA42A2-F09D-4190-9E9B-E4734A349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914</Words>
  <Characters>5213</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Mueller;francois.guichard@un.org</dc:creator>
  <cp:keywords/>
  <dc:description/>
  <cp:lastModifiedBy>Laura Dotzauer</cp:lastModifiedBy>
  <cp:revision>8</cp:revision>
  <cp:lastPrinted>2023-06-21T15:42:00Z</cp:lastPrinted>
  <dcterms:created xsi:type="dcterms:W3CDTF">2023-09-21T10:40:00Z</dcterms:created>
  <dcterms:modified xsi:type="dcterms:W3CDTF">2023-09-21T10:46:00Z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