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537AE4D6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6EF0C82" w14:textId="77777777" w:rsidR="002D5AAC" w:rsidRDefault="002D5AAC" w:rsidP="00B51D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BBFBCF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5C1B648" w14:textId="29635B4B" w:rsidR="002D5AAC" w:rsidRDefault="00B51D02" w:rsidP="00B51D02">
            <w:pPr>
              <w:jc w:val="right"/>
            </w:pPr>
            <w:r w:rsidRPr="00B51D02">
              <w:rPr>
                <w:sz w:val="40"/>
              </w:rPr>
              <w:t>ECE</w:t>
            </w:r>
            <w:r>
              <w:t>/TRANS/WP.29/2023/130</w:t>
            </w:r>
          </w:p>
        </w:tc>
      </w:tr>
      <w:tr w:rsidR="002D5AAC" w:rsidRPr="0009546C" w14:paraId="5D217B7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CA9C92C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2D8E191" wp14:editId="155255C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8977840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28930EF" w14:textId="77777777" w:rsidR="0009546C" w:rsidRPr="0009546C" w:rsidRDefault="0009546C" w:rsidP="0009546C">
            <w:pPr>
              <w:spacing w:before="240" w:line="240" w:lineRule="exact"/>
              <w:rPr>
                <w:lang w:val="en-US"/>
              </w:rPr>
            </w:pPr>
            <w:r w:rsidRPr="0009546C">
              <w:rPr>
                <w:lang w:val="en-US"/>
              </w:rPr>
              <w:t>Distr.: General</w:t>
            </w:r>
          </w:p>
          <w:p w14:paraId="54271FAF" w14:textId="77777777" w:rsidR="0009546C" w:rsidRPr="0009546C" w:rsidRDefault="0009546C" w:rsidP="0009546C">
            <w:pPr>
              <w:spacing w:line="240" w:lineRule="exact"/>
              <w:rPr>
                <w:lang w:val="en-US"/>
              </w:rPr>
            </w:pPr>
            <w:r w:rsidRPr="0009546C">
              <w:rPr>
                <w:lang w:val="en-US"/>
              </w:rPr>
              <w:t>1 September 2023</w:t>
            </w:r>
          </w:p>
          <w:p w14:paraId="7BF754C3" w14:textId="359A2DA4" w:rsidR="0009546C" w:rsidRPr="0009546C" w:rsidRDefault="0009546C" w:rsidP="0009546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5ECEBDE" w14:textId="5A7BB506" w:rsidR="00B51D02" w:rsidRPr="0009546C" w:rsidRDefault="0009546C" w:rsidP="0009546C">
            <w:pPr>
              <w:spacing w:line="240" w:lineRule="exact"/>
              <w:rPr>
                <w:lang w:val="en-US"/>
              </w:rPr>
            </w:pPr>
            <w:r w:rsidRPr="0009546C">
              <w:rPr>
                <w:lang w:val="en-US"/>
              </w:rPr>
              <w:t>Original: English</w:t>
            </w:r>
          </w:p>
        </w:tc>
      </w:tr>
    </w:tbl>
    <w:p w14:paraId="688A5992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23DCE1E" w14:textId="77777777" w:rsidR="003067C6" w:rsidRPr="00F02A77" w:rsidRDefault="003067C6" w:rsidP="003067C6">
      <w:pPr>
        <w:spacing w:before="120"/>
        <w:rPr>
          <w:sz w:val="28"/>
          <w:szCs w:val="28"/>
        </w:rPr>
      </w:pPr>
      <w:r w:rsidRPr="00F02A77">
        <w:rPr>
          <w:sz w:val="28"/>
          <w:szCs w:val="28"/>
        </w:rPr>
        <w:t>Комитет по внутреннему транспорту</w:t>
      </w:r>
    </w:p>
    <w:p w14:paraId="48194597" w14:textId="77777777" w:rsidR="003067C6" w:rsidRPr="00F02A77" w:rsidRDefault="003067C6" w:rsidP="003067C6">
      <w:pPr>
        <w:spacing w:before="120"/>
        <w:rPr>
          <w:b/>
          <w:sz w:val="24"/>
          <w:szCs w:val="24"/>
        </w:rPr>
      </w:pPr>
      <w:r w:rsidRPr="00F02A77">
        <w:rPr>
          <w:b/>
          <w:bCs/>
          <w:sz w:val="24"/>
          <w:szCs w:val="24"/>
        </w:rPr>
        <w:t>Всемирный форум для согласования правил</w:t>
      </w:r>
      <w:r w:rsidRPr="00F02A77">
        <w:rPr>
          <w:b/>
          <w:bCs/>
          <w:sz w:val="24"/>
          <w:szCs w:val="24"/>
        </w:rPr>
        <w:br/>
        <w:t>в области транспортных средств</w:t>
      </w:r>
    </w:p>
    <w:p w14:paraId="0C8F92E4" w14:textId="77777777" w:rsidR="003067C6" w:rsidRPr="00F02A77" w:rsidRDefault="003067C6" w:rsidP="003067C6">
      <w:pPr>
        <w:spacing w:before="120"/>
        <w:rPr>
          <w:b/>
        </w:rPr>
      </w:pPr>
      <w:r w:rsidRPr="00F02A77">
        <w:rPr>
          <w:b/>
          <w:bCs/>
        </w:rPr>
        <w:t>Сто девяносто первая сессия</w:t>
      </w:r>
    </w:p>
    <w:p w14:paraId="7B02F0EB" w14:textId="77777777" w:rsidR="003067C6" w:rsidRPr="0025073F" w:rsidRDefault="003067C6" w:rsidP="003067C6">
      <w:r>
        <w:t>Женева, 14–16 ноября 2023 года</w:t>
      </w:r>
    </w:p>
    <w:p w14:paraId="3AE15B23" w14:textId="77777777" w:rsidR="003067C6" w:rsidRPr="0025073F" w:rsidRDefault="003067C6" w:rsidP="003067C6">
      <w:r>
        <w:t>Пункт 4.10.2 предварительной повестки дня</w:t>
      </w:r>
    </w:p>
    <w:p w14:paraId="7272199D" w14:textId="77777777" w:rsidR="003067C6" w:rsidRPr="0025073F" w:rsidRDefault="003067C6" w:rsidP="003067C6">
      <w:pPr>
        <w:rPr>
          <w:b/>
          <w:bCs/>
        </w:rPr>
      </w:pPr>
      <w:r>
        <w:rPr>
          <w:b/>
          <w:bCs/>
        </w:rPr>
        <w:t>Соглашение 1958 года:</w:t>
      </w:r>
    </w:p>
    <w:p w14:paraId="1E4D9C51" w14:textId="77777777" w:rsidR="003067C6" w:rsidRPr="0025073F" w:rsidRDefault="003067C6" w:rsidP="003067C6">
      <w:pPr>
        <w:rPr>
          <w:b/>
          <w:bCs/>
        </w:rPr>
      </w:pPr>
      <w:r>
        <w:rPr>
          <w:b/>
          <w:bCs/>
        </w:rPr>
        <w:t>Рассмотрение проектов поправок к существующим</w:t>
      </w:r>
    </w:p>
    <w:p w14:paraId="227281B4" w14:textId="77777777" w:rsidR="003067C6" w:rsidRPr="0025073F" w:rsidRDefault="003067C6" w:rsidP="003067C6">
      <w:pPr>
        <w:rPr>
          <w:b/>
          <w:bCs/>
        </w:rPr>
      </w:pPr>
      <w:r>
        <w:rPr>
          <w:b/>
          <w:bCs/>
        </w:rPr>
        <w:t>правилам ООН, представленных GRVA</w:t>
      </w:r>
    </w:p>
    <w:p w14:paraId="1DE6ABA9" w14:textId="3254C286" w:rsidR="003067C6" w:rsidRPr="00DE7245" w:rsidRDefault="003067C6" w:rsidP="003067C6">
      <w:pPr>
        <w:pStyle w:val="HChG"/>
      </w:pPr>
      <w:r>
        <w:tab/>
      </w:r>
      <w:r>
        <w:tab/>
        <w:t xml:space="preserve">Предложение по дополнению 11 к поправкам серии </w:t>
      </w:r>
      <w:r w:rsidRPr="003067C6">
        <w:t>02</w:t>
      </w:r>
      <w:r>
        <w:t xml:space="preserve"> </w:t>
      </w:r>
      <w:r>
        <w:br/>
      </w:r>
      <w:r>
        <w:t>к Правилам № 90 ООН (сменные тормозные накладки)</w:t>
      </w:r>
    </w:p>
    <w:p w14:paraId="355440FF" w14:textId="77777777" w:rsidR="003067C6" w:rsidRPr="0025073F" w:rsidRDefault="003067C6" w:rsidP="003067C6">
      <w:pPr>
        <w:pStyle w:val="H1G"/>
      </w:pPr>
      <w:r>
        <w:tab/>
      </w:r>
      <w:r>
        <w:tab/>
        <w:t>Представлено Рабочей группой по автоматизированным/ автономным и подключенным транспортным средствам</w:t>
      </w:r>
      <w:r w:rsidRPr="003067C6">
        <w:rPr>
          <w:b w:val="0"/>
          <w:bCs/>
          <w:sz w:val="20"/>
          <w:szCs w:val="16"/>
        </w:rPr>
        <w:t>*</w:t>
      </w:r>
    </w:p>
    <w:p w14:paraId="7C4E3EDD" w14:textId="627119B9" w:rsidR="003067C6" w:rsidRPr="0025073F" w:rsidRDefault="003067C6" w:rsidP="003067C6">
      <w:pPr>
        <w:pStyle w:val="SingleTxtG"/>
        <w:ind w:firstLine="567"/>
        <w:rPr>
          <w:rFonts w:asciiTheme="majorBidi" w:hAnsiTheme="majorBidi" w:cstheme="majorBidi"/>
        </w:rPr>
      </w:pPr>
      <w:r>
        <w:footnoteReference w:customMarkFollows="1" w:id="1"/>
        <w:t>Воспроизведенный ниже текст был принят Рабочей группой по автоматизированным/автономным и подключенным транспортным средствам (GRVA) на ее шестнадцатой сессии (см. ECE/TRANS/WP.29/GRVA/16, п</w:t>
      </w:r>
      <w:r w:rsidRPr="003067C6">
        <w:t>.</w:t>
      </w:r>
      <w:r>
        <w:t xml:space="preserve"> 122), и в его основу положен документ ECE/TRANS/WP.29/GRVA/2023/12 с поправками, содержащимися в GRVA-16-14.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2023 года.</w:t>
      </w:r>
    </w:p>
    <w:p w14:paraId="60CEA862" w14:textId="77777777" w:rsidR="003067C6" w:rsidRPr="0025073F" w:rsidRDefault="003067C6" w:rsidP="003067C6">
      <w:pPr>
        <w:suppressAutoHyphens w:val="0"/>
        <w:spacing w:line="240" w:lineRule="auto"/>
        <w:rPr>
          <w:b/>
          <w:sz w:val="28"/>
        </w:rPr>
      </w:pPr>
      <w:r w:rsidRPr="0025073F">
        <w:br w:type="page"/>
      </w:r>
    </w:p>
    <w:p w14:paraId="731E9A6E" w14:textId="77777777" w:rsidR="003067C6" w:rsidRPr="0025073F" w:rsidRDefault="003067C6" w:rsidP="003067C6">
      <w:pPr>
        <w:autoSpaceDE w:val="0"/>
        <w:autoSpaceDN w:val="0"/>
        <w:snapToGrid w:val="0"/>
        <w:spacing w:after="100" w:line="240" w:lineRule="auto"/>
        <w:ind w:left="1134"/>
      </w:pPr>
      <w:r>
        <w:rPr>
          <w:i/>
          <w:iCs/>
        </w:rPr>
        <w:lastRenderedPageBreak/>
        <w:t>Пункт 6.1.1</w:t>
      </w:r>
      <w:r>
        <w:t xml:space="preserve"> изменить следующим образом:</w:t>
      </w:r>
    </w:p>
    <w:p w14:paraId="78175E33" w14:textId="77777777" w:rsidR="003067C6" w:rsidRPr="003067C6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  <w:rPr>
          <w:spacing w:val="-2"/>
        </w:rPr>
      </w:pPr>
      <w:r>
        <w:rPr>
          <w:lang w:val="ru-RU"/>
        </w:rPr>
        <w:t>«6.1.1</w:t>
      </w:r>
      <w:r>
        <w:rPr>
          <w:lang w:val="ru-RU"/>
        </w:rPr>
        <w:tab/>
      </w:r>
      <w:r w:rsidRPr="003067C6">
        <w:rPr>
          <w:spacing w:val="-2"/>
          <w:lang w:val="ru-RU"/>
        </w:rPr>
        <w:t>Сменные тормозные накладки в сборе или сменные тормозные накладки барабанного тормоза, соответствующие типу, официально утвержденному на основании настоящих Правил, должны поставляться на рынок в комплектах на ось. В случае транспортных средств категории L они могут поставляться на рынок в комплектах на суппорты и/или барабаны».</w:t>
      </w:r>
      <w:bookmarkStart w:id="0" w:name="_Hlk124256741"/>
      <w:bookmarkEnd w:id="0"/>
    </w:p>
    <w:p w14:paraId="3385CEA1" w14:textId="77777777" w:rsidR="003067C6" w:rsidRPr="0025073F" w:rsidRDefault="003067C6" w:rsidP="003067C6">
      <w:pPr>
        <w:autoSpaceDE w:val="0"/>
        <w:autoSpaceDN w:val="0"/>
        <w:snapToGrid w:val="0"/>
        <w:spacing w:after="100" w:line="240" w:lineRule="auto"/>
        <w:ind w:left="1134" w:right="1134"/>
      </w:pPr>
      <w:r>
        <w:rPr>
          <w:i/>
          <w:iCs/>
        </w:rPr>
        <w:t>Пункт 6.1.2</w:t>
      </w:r>
      <w:r>
        <w:t xml:space="preserve"> изменить следующим образом:</w:t>
      </w:r>
    </w:p>
    <w:p w14:paraId="2F54B2F5" w14:textId="77777777" w:rsidR="003067C6" w:rsidRPr="00EB22BD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«6.1.2</w:t>
      </w:r>
      <w:r>
        <w:rPr>
          <w:lang w:val="ru-RU"/>
        </w:rPr>
        <w:tab/>
        <w:t>Каждый комплект на ось, суппорт или барабан должен содержаться в опечатанной упаковке, изготовленной таким образом, чтобы можно было обнаружить следы предыдущего вскрытия».</w:t>
      </w:r>
    </w:p>
    <w:p w14:paraId="5F622AE2" w14:textId="77777777" w:rsidR="003067C6" w:rsidRPr="0025073F" w:rsidRDefault="003067C6" w:rsidP="003067C6">
      <w:pPr>
        <w:autoSpaceDE w:val="0"/>
        <w:autoSpaceDN w:val="0"/>
        <w:snapToGrid w:val="0"/>
        <w:spacing w:after="100" w:line="240" w:lineRule="auto"/>
        <w:ind w:left="1134" w:right="1134"/>
        <w:rPr>
          <w:i/>
          <w:iCs/>
        </w:rPr>
      </w:pPr>
      <w:r>
        <w:rPr>
          <w:i/>
          <w:iCs/>
        </w:rPr>
        <w:t>Пункт 6.1.3.4</w:t>
      </w:r>
      <w:r>
        <w:t xml:space="preserve"> изменить следующим образом:</w:t>
      </w:r>
    </w:p>
    <w:p w14:paraId="5413FDB0" w14:textId="14C31079" w:rsidR="003067C6" w:rsidRPr="00753E83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«6.1.3.4</w:t>
      </w:r>
      <w:r>
        <w:rPr>
          <w:lang w:val="ru-RU"/>
        </w:rPr>
        <w:tab/>
        <w:t xml:space="preserve">Транспортные средства/оси/тормоза, для использования на которых содержимое упаковки имеет официальное утверждение. </w:t>
      </w:r>
      <w:r>
        <w:rPr>
          <w:lang w:val="ru-RU"/>
        </w:rPr>
        <w:br/>
      </w:r>
      <w:r>
        <w:rPr>
          <w:lang w:val="ru-RU"/>
        </w:rPr>
        <w:t>При необходимости допускается дополнить эту информацию кодом быстрого отклика (QR-кодом) или веб-ссылкой либо иным типом цифрового носителя, который должен быть размещен, напечатан или выгравирован на упаковке видимым, четким и нестираемым образом».</w:t>
      </w:r>
    </w:p>
    <w:p w14:paraId="1DF81DC2" w14:textId="77777777" w:rsidR="003067C6" w:rsidRPr="0025073F" w:rsidRDefault="003067C6" w:rsidP="003067C6">
      <w:pPr>
        <w:autoSpaceDE w:val="0"/>
        <w:autoSpaceDN w:val="0"/>
        <w:snapToGrid w:val="0"/>
        <w:spacing w:after="100" w:line="240" w:lineRule="auto"/>
        <w:ind w:left="1134" w:right="1134"/>
      </w:pPr>
      <w:r>
        <w:rPr>
          <w:i/>
          <w:iCs/>
        </w:rPr>
        <w:t xml:space="preserve">Включить новый пункт 6.1.3.4.1 </w:t>
      </w:r>
      <w:r>
        <w:t>следующего содержания:</w:t>
      </w:r>
    </w:p>
    <w:p w14:paraId="529A66A1" w14:textId="67C30255" w:rsidR="003067C6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«6.1.3.4.1</w:t>
      </w:r>
      <w:r>
        <w:rPr>
          <w:lang w:val="ru-RU"/>
        </w:rPr>
        <w:tab/>
        <w:t xml:space="preserve">Если используется цифровой носитель, то рядом с QR-кодом или </w:t>
      </w:r>
      <w:r w:rsidR="00F21C68">
        <w:rPr>
          <w:lang w:val="ru-RU"/>
        </w:rPr>
        <w:br/>
      </w:r>
      <w:r>
        <w:rPr>
          <w:lang w:val="ru-RU"/>
        </w:rPr>
        <w:t>веб-ссылкой либо иным цифровым носителем должна быть нанесена надпись: “Полный перечень официально утвержденных видов применения”. Цифровой перечень официально утвержденных видов применения должен быть подготовлен в подходящем для печати формате и доступен в течение всего срока службы изделия, по крайней мере в течение пяти лет с момента окончательного прекращения производства. Потребитель не должен быть обязан вводить какие-либо персональные данные для получения доступа к цифровому перечню официально утвержденных видов применения».</w:t>
      </w:r>
    </w:p>
    <w:p w14:paraId="08600F73" w14:textId="77777777" w:rsidR="003067C6" w:rsidRPr="00FD0E25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i/>
          <w:iCs/>
          <w:lang w:val="ru-RU"/>
        </w:rPr>
        <w:t xml:space="preserve">Включить новый пункт 6.2.1.5 </w:t>
      </w:r>
      <w:r>
        <w:rPr>
          <w:lang w:val="ru-RU"/>
        </w:rPr>
        <w:t>следующего содержания:</w:t>
      </w:r>
    </w:p>
    <w:p w14:paraId="683D63E6" w14:textId="77777777" w:rsidR="003067C6" w:rsidRPr="0025073F" w:rsidRDefault="003067C6" w:rsidP="003067C6">
      <w:pPr>
        <w:pStyle w:val="SingleTxtG"/>
        <w:tabs>
          <w:tab w:val="left" w:pos="8505"/>
        </w:tabs>
        <w:snapToGrid w:val="0"/>
        <w:spacing w:after="100" w:line="240" w:lineRule="auto"/>
        <w:ind w:left="2268" w:hanging="1134"/>
      </w:pPr>
      <w:r>
        <w:t xml:space="preserve">«6.2.1.5 </w:t>
      </w:r>
      <w:r>
        <w:tab/>
        <w:t>При необходимости допускается дополнить информацию, предусмотренную пунктами 6.2.1.2 и 6.2.1.3, с помощью QR-кода или веб-ссылки либо иного типа цифрового носителя, который должен быть размещен, напечатан или выгравирован на упаковке видимым, четким и нестираемым образом. Если используется цифровой носитель, то рядом с QR-кодом или веб-ссылкой либо иным цифровым носителем должна быть нанесена надпись: “Полный перечень официально утвержденных видов применения”. Цифровой перечень официально утвержденных видов применения должен быть подготовлен в подходящем для печати формате и доступен в течение всего срока службы изделия, по крайней мере в течение пяти лет с момента окончательного прекращения производства. Потребитель не должен быть обязан вводить какие-либо персональные данные для получения доступа к цифровому перечню официально утвержденных видов применения».</w:t>
      </w:r>
    </w:p>
    <w:p w14:paraId="162E6671" w14:textId="77777777" w:rsidR="003067C6" w:rsidRPr="0025073F" w:rsidRDefault="003067C6" w:rsidP="003067C6">
      <w:pPr>
        <w:pStyle w:val="SingleTxtG"/>
        <w:tabs>
          <w:tab w:val="left" w:pos="1134"/>
          <w:tab w:val="right" w:pos="8505"/>
        </w:tabs>
        <w:snapToGrid w:val="0"/>
        <w:spacing w:after="100" w:line="240" w:lineRule="auto"/>
        <w:ind w:right="0"/>
        <w:rPr>
          <w:i/>
        </w:rPr>
      </w:pPr>
      <w:r>
        <w:rPr>
          <w:i/>
          <w:iCs/>
        </w:rPr>
        <w:t>Включить новые пункты 6.3, 6.3.1, 6.3.2</w:t>
      </w:r>
      <w:r>
        <w:t xml:space="preserve"> </w:t>
      </w:r>
      <w:r>
        <w:rPr>
          <w:i/>
          <w:iCs/>
        </w:rPr>
        <w:t>и 6.3.3</w:t>
      </w:r>
      <w:r>
        <w:t xml:space="preserve"> следующего содержания:</w:t>
      </w:r>
    </w:p>
    <w:p w14:paraId="0D1CC882" w14:textId="1A5BBD1D" w:rsidR="003067C6" w:rsidRPr="006207AD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«6.3</w:t>
      </w:r>
      <w:r>
        <w:rPr>
          <w:lang w:val="ru-RU"/>
        </w:rPr>
        <w:tab/>
        <w:t xml:space="preserve">Инструкции по установке, предусмотренные пунктами 6.1.4–6.1.4.4 и пунктами 6.2.1.4–6.2.1.4.2, могут быть предоставлены с помощью </w:t>
      </w:r>
      <w:r>
        <w:rPr>
          <w:lang w:val="ru-RU"/>
        </w:rPr>
        <w:br/>
      </w:r>
      <w:r>
        <w:rPr>
          <w:lang w:val="ru-RU"/>
        </w:rPr>
        <w:t>QR-кода или веб-ссылки либо иного типа носителя цифровых данных, который должен быть размещен, напечатан или выгравирован на упаковке видимым, четким и нестираемым образом либо вложен в упаковку.</w:t>
      </w:r>
    </w:p>
    <w:p w14:paraId="68A81979" w14:textId="77777777" w:rsidR="003067C6" w:rsidRDefault="003067C6">
      <w:pPr>
        <w:suppressAutoHyphens w:val="0"/>
        <w:spacing w:line="240" w:lineRule="auto"/>
        <w:rPr>
          <w:rFonts w:eastAsia="Yu Mincho" w:cs="Times New Roman"/>
          <w:szCs w:val="20"/>
        </w:rPr>
      </w:pPr>
      <w:r>
        <w:br w:type="page"/>
      </w:r>
    </w:p>
    <w:p w14:paraId="2444D355" w14:textId="4C72BC21" w:rsidR="003067C6" w:rsidRPr="002D3A27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lastRenderedPageBreak/>
        <w:t>6.3.1</w:t>
      </w:r>
      <w:r>
        <w:rPr>
          <w:lang w:val="ru-RU"/>
        </w:rPr>
        <w:tab/>
        <w:t xml:space="preserve">Рядом с QR-кодом или веб-ссылкой либо иным носителем цифровых данных должны быть напечатаны или выгравированы видимым, четким и нестираемым образом надпись “Перед установкой ознакомьтесь с инструкциями” и условное обозначение ISO 2575 N.03 (“Руководство пользователя, инструкции по эксплуатации”): </w:t>
      </w:r>
    </w:p>
    <w:p w14:paraId="7F6C2EE1" w14:textId="77777777" w:rsidR="003067C6" w:rsidRPr="009F4BC9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  <w:ind w:right="0"/>
      </w:pPr>
      <w:r w:rsidRPr="009F4BC9">
        <w:tab/>
        <w:t xml:space="preserve">                                                     </w:t>
      </w:r>
      <w:r w:rsidRPr="009F4BC9">
        <w:rPr>
          <w:noProof/>
          <w:lang w:val="it-IT" w:eastAsia="it-IT"/>
        </w:rPr>
        <w:drawing>
          <wp:inline distT="0" distB="0" distL="0" distR="0" wp14:anchorId="672406B9" wp14:editId="6C22E2C3">
            <wp:extent cx="650296" cy="551330"/>
            <wp:effectExtent l="0" t="0" r="0" b="1270"/>
            <wp:docPr id="1791032613" name="Рисунок 17910326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7" cy="55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F671F" w14:textId="77777777" w:rsidR="003067C6" w:rsidRPr="002D3A27" w:rsidRDefault="003067C6" w:rsidP="003067C6">
      <w:pPr>
        <w:pStyle w:val="para"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6.3.2</w:t>
      </w:r>
      <w:r>
        <w:rPr>
          <w:lang w:val="ru-RU"/>
        </w:rPr>
        <w:tab/>
        <w:t xml:space="preserve">Цифровые инструкции должны быть подготовлены в подходящем для печати формате и доступы в течение всего срока службы изделия, по крайней мере в течение пяти лет с момента окончательного прекращения производства. К комплекту документации об официальном утверждении типа изготовитель должен приложить заявление с подтверждением, что данная информация будет доступна в течение по крайней мере пяти лет после прекращения производства. </w:t>
      </w:r>
    </w:p>
    <w:p w14:paraId="2533F3FE" w14:textId="77777777" w:rsidR="003067C6" w:rsidRDefault="003067C6" w:rsidP="003067C6">
      <w:pPr>
        <w:pStyle w:val="para"/>
        <w:keepNext/>
        <w:keepLines/>
        <w:tabs>
          <w:tab w:val="left" w:pos="1134"/>
          <w:tab w:val="left" w:pos="2268"/>
          <w:tab w:val="right" w:pos="8505"/>
        </w:tabs>
        <w:snapToGrid w:val="0"/>
        <w:spacing w:after="100" w:line="240" w:lineRule="auto"/>
      </w:pPr>
      <w:r>
        <w:rPr>
          <w:lang w:val="ru-RU"/>
        </w:rPr>
        <w:t>6.3.3</w:t>
      </w:r>
      <w:r>
        <w:rPr>
          <w:lang w:val="ru-RU"/>
        </w:rPr>
        <w:tab/>
        <w:t>Потребитель не должен быть обязан вводить какие-либо персональные данные для получения доступа к цифровым инструкциям по установке».</w:t>
      </w:r>
    </w:p>
    <w:p w14:paraId="7EDEF76C" w14:textId="7B9C9D24" w:rsidR="00E12C5F" w:rsidRPr="003067C6" w:rsidRDefault="003067C6" w:rsidP="003067C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3067C6" w:rsidSect="00B51D0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41E1" w14:textId="77777777" w:rsidR="00BE0E6B" w:rsidRPr="00A312BC" w:rsidRDefault="00BE0E6B" w:rsidP="00A312BC"/>
  </w:endnote>
  <w:endnote w:type="continuationSeparator" w:id="0">
    <w:p w14:paraId="1D58F9B9" w14:textId="77777777" w:rsidR="00BE0E6B" w:rsidRPr="00A312BC" w:rsidRDefault="00BE0E6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185" w14:textId="4FDB93FC" w:rsidR="00B51D02" w:rsidRPr="00B51D02" w:rsidRDefault="00B51D02">
    <w:pPr>
      <w:pStyle w:val="a8"/>
    </w:pPr>
    <w:r w:rsidRPr="00B51D02">
      <w:rPr>
        <w:b/>
        <w:sz w:val="18"/>
      </w:rPr>
      <w:fldChar w:fldCharType="begin"/>
    </w:r>
    <w:r w:rsidRPr="00B51D02">
      <w:rPr>
        <w:b/>
        <w:sz w:val="18"/>
      </w:rPr>
      <w:instrText xml:space="preserve"> PAGE  \* MERGEFORMAT </w:instrText>
    </w:r>
    <w:r w:rsidRPr="00B51D02">
      <w:rPr>
        <w:b/>
        <w:sz w:val="18"/>
      </w:rPr>
      <w:fldChar w:fldCharType="separate"/>
    </w:r>
    <w:r w:rsidRPr="00B51D02">
      <w:rPr>
        <w:b/>
        <w:noProof/>
        <w:sz w:val="18"/>
      </w:rPr>
      <w:t>2</w:t>
    </w:r>
    <w:r w:rsidRPr="00B51D02">
      <w:rPr>
        <w:b/>
        <w:sz w:val="18"/>
      </w:rPr>
      <w:fldChar w:fldCharType="end"/>
    </w:r>
    <w:r>
      <w:rPr>
        <w:b/>
        <w:sz w:val="18"/>
      </w:rPr>
      <w:tab/>
    </w:r>
    <w:r>
      <w:t>GE.23-16918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669B" w14:textId="0799AA48" w:rsidR="00B51D02" w:rsidRPr="00B51D02" w:rsidRDefault="00B51D02" w:rsidP="00B51D02">
    <w:pPr>
      <w:pStyle w:val="a8"/>
      <w:tabs>
        <w:tab w:val="clear" w:pos="9639"/>
        <w:tab w:val="right" w:pos="9638"/>
      </w:tabs>
      <w:rPr>
        <w:b/>
        <w:sz w:val="18"/>
      </w:rPr>
    </w:pPr>
    <w:r>
      <w:t>GE.23-16918</w:t>
    </w:r>
    <w:r>
      <w:tab/>
    </w:r>
    <w:r w:rsidRPr="00B51D02">
      <w:rPr>
        <w:b/>
        <w:sz w:val="18"/>
      </w:rPr>
      <w:fldChar w:fldCharType="begin"/>
    </w:r>
    <w:r w:rsidRPr="00B51D02">
      <w:rPr>
        <w:b/>
        <w:sz w:val="18"/>
      </w:rPr>
      <w:instrText xml:space="preserve"> PAGE  \* MERGEFORMAT </w:instrText>
    </w:r>
    <w:r w:rsidRPr="00B51D02">
      <w:rPr>
        <w:b/>
        <w:sz w:val="18"/>
      </w:rPr>
      <w:fldChar w:fldCharType="separate"/>
    </w:r>
    <w:r w:rsidRPr="00B51D02">
      <w:rPr>
        <w:b/>
        <w:noProof/>
        <w:sz w:val="18"/>
      </w:rPr>
      <w:t>3</w:t>
    </w:r>
    <w:r w:rsidRPr="00B51D0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96D" w14:textId="26A05075" w:rsidR="00042B72" w:rsidRPr="00B51D02" w:rsidRDefault="00B51D02" w:rsidP="00B51D02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51D6305" wp14:editId="1D647AA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23-16918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4C4E7DB" wp14:editId="142FFA1A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220923  280923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DF42" w14:textId="77777777" w:rsidR="00BE0E6B" w:rsidRPr="001075E9" w:rsidRDefault="00BE0E6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C41CEBD" w14:textId="77777777" w:rsidR="00BE0E6B" w:rsidRDefault="00BE0E6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16240D6" w14:textId="09303233" w:rsidR="003067C6" w:rsidRDefault="003067C6" w:rsidP="003067C6">
      <w:pPr>
        <w:pStyle w:val="ad"/>
      </w:pPr>
      <w:r>
        <w:tab/>
      </w:r>
      <w:r w:rsidRPr="003067C6">
        <w:rPr>
          <w:sz w:val="20"/>
          <w:szCs w:val="22"/>
        </w:rPr>
        <w:t>*</w:t>
      </w:r>
      <w:r>
        <w:tab/>
        <w:t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п</w:t>
      </w:r>
      <w:r w:rsidRPr="003067C6">
        <w:t>.</w:t>
      </w:r>
      <w:r>
        <w:t xml:space="preserve"> 20.6),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BD9A" w14:textId="6566DB98" w:rsidR="00B51D02" w:rsidRPr="00B51D02" w:rsidRDefault="00B51D02">
    <w:pPr>
      <w:pStyle w:val="a5"/>
    </w:pPr>
    <w:fldSimple w:instr=" TITLE  \* MERGEFORMAT ">
      <w:r w:rsidR="00342D59">
        <w:t>ECE/TRANS/WP.29/2023/130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6262" w14:textId="34E42F46" w:rsidR="00B51D02" w:rsidRPr="00B51D02" w:rsidRDefault="00B51D02" w:rsidP="00B51D02">
    <w:pPr>
      <w:pStyle w:val="a5"/>
      <w:jc w:val="right"/>
    </w:pPr>
    <w:fldSimple w:instr=" TITLE  \* MERGEFORMAT ">
      <w:r w:rsidR="00342D59">
        <w:t>ECE/TRANS/WP.29/2023/130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412555912">
    <w:abstractNumId w:val="1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6B"/>
    <w:rsid w:val="00033EE1"/>
    <w:rsid w:val="00042B72"/>
    <w:rsid w:val="000558BD"/>
    <w:rsid w:val="0009546C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67C6"/>
    <w:rsid w:val="00307FB6"/>
    <w:rsid w:val="00317339"/>
    <w:rsid w:val="00322004"/>
    <w:rsid w:val="003402C2"/>
    <w:rsid w:val="00342D59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056C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1D02"/>
    <w:rsid w:val="00B539E7"/>
    <w:rsid w:val="00B62458"/>
    <w:rsid w:val="00BC18B2"/>
    <w:rsid w:val="00BD33EE"/>
    <w:rsid w:val="00BE0E6B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717E"/>
    <w:rsid w:val="00E73F76"/>
    <w:rsid w:val="00EA2C9F"/>
    <w:rsid w:val="00EA420E"/>
    <w:rsid w:val="00ED0BDA"/>
    <w:rsid w:val="00EE142A"/>
    <w:rsid w:val="00EF1360"/>
    <w:rsid w:val="00EF3220"/>
    <w:rsid w:val="00F21C68"/>
    <w:rsid w:val="00F2523A"/>
    <w:rsid w:val="00F25E34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30F4C"/>
  <w15:docId w15:val="{4949CD99-DAE1-439F-80F8-EDC25A3F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-E Fußnotentext,footnote text,Fußnotentext Ursprung,Footnote Text Char Char Char Char,Footnote Text1,Footnote Text Char Char Char,Fußnotentext Char1,Fußnotentext Char Char,Fußnotentext Char2,Fußn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-E Fußnotentext Знак,footnote text Знак,Fußnotentext Ursprung Знак,Footnote Text Char Char Char Char Знак,Footnote Text1 Знак,Footnote Text Char Char Char Знак,Fußnotentext Char1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3067C6"/>
    <w:rPr>
      <w:lang w:val="ru-RU" w:eastAsia="en-US"/>
    </w:rPr>
  </w:style>
  <w:style w:type="paragraph" w:customStyle="1" w:styleId="Level1">
    <w:name w:val="Level 1"/>
    <w:basedOn w:val="a"/>
    <w:rsid w:val="003067C6"/>
    <w:pPr>
      <w:widowControl w:val="0"/>
      <w:numPr>
        <w:numId w:val="22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 w:cs="Times New Roman"/>
      <w:szCs w:val="20"/>
      <w:lang w:val="en-US" w:eastAsia="it-IT"/>
    </w:rPr>
  </w:style>
  <w:style w:type="character" w:customStyle="1" w:styleId="HChGChar">
    <w:name w:val="_ H _Ch_G Char"/>
    <w:link w:val="HChG"/>
    <w:qFormat/>
    <w:rsid w:val="003067C6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3067C6"/>
    <w:rPr>
      <w:b/>
      <w:sz w:val="24"/>
      <w:lang w:val="ru-RU" w:eastAsia="ru-RU"/>
    </w:rPr>
  </w:style>
  <w:style w:type="paragraph" w:customStyle="1" w:styleId="para">
    <w:name w:val="para"/>
    <w:basedOn w:val="SingleTxtG"/>
    <w:link w:val="paraChar"/>
    <w:qFormat/>
    <w:rsid w:val="003067C6"/>
    <w:pPr>
      <w:tabs>
        <w:tab w:val="clear" w:pos="1701"/>
        <w:tab w:val="clear" w:pos="2268"/>
        <w:tab w:val="clear" w:pos="2835"/>
      </w:tabs>
      <w:ind w:left="2268" w:hanging="1134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3067C6"/>
    <w:rPr>
      <w:rFonts w:eastAsia="Yu Mincho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0C60F-C39E-46A5-ABD0-D981A5CEF9D3}"/>
</file>

<file path=customXml/itemProps2.xml><?xml version="1.0" encoding="utf-8"?>
<ds:datastoreItem xmlns:ds="http://schemas.openxmlformats.org/officeDocument/2006/customXml" ds:itemID="{7DCD2505-65D7-446C-8FAA-1EEB29ACEE8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642</Words>
  <Characters>4441</Characters>
  <Application>Microsoft Office Word</Application>
  <DocSecurity>0</DocSecurity>
  <Lines>99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ECE/TRANS/WP.29/2023/130</dc:title>
  <dc:subject/>
  <dc:creator>Ekaterina SALYNSKAYA</dc:creator>
  <cp:keywords/>
  <cp:lastModifiedBy>Ekaterina Salynskaya</cp:lastModifiedBy>
  <cp:revision>3</cp:revision>
  <cp:lastPrinted>2023-09-28T08:33:00Z</cp:lastPrinted>
  <dcterms:created xsi:type="dcterms:W3CDTF">2023-09-28T08:32:00Z</dcterms:created>
  <dcterms:modified xsi:type="dcterms:W3CDTF">2023-09-28T08:33:00Z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