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562023F" w14:textId="77777777" w:rsidTr="00C97039">
        <w:trPr>
          <w:trHeight w:hRule="exact" w:val="851"/>
        </w:trPr>
        <w:tc>
          <w:tcPr>
            <w:tcW w:w="1276" w:type="dxa"/>
            <w:tcBorders>
              <w:bottom w:val="single" w:sz="4" w:space="0" w:color="auto"/>
            </w:tcBorders>
          </w:tcPr>
          <w:p w14:paraId="6F194DA1" w14:textId="77777777" w:rsidR="00F35BAF" w:rsidRPr="00DB58B5" w:rsidRDefault="00F35BAF" w:rsidP="003F6E6B"/>
        </w:tc>
        <w:tc>
          <w:tcPr>
            <w:tcW w:w="2268" w:type="dxa"/>
            <w:tcBorders>
              <w:bottom w:val="single" w:sz="4" w:space="0" w:color="auto"/>
            </w:tcBorders>
            <w:vAlign w:val="bottom"/>
          </w:tcPr>
          <w:p w14:paraId="38C413D9"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53A3722" w14:textId="7C832EE8" w:rsidR="00F35BAF" w:rsidRPr="00DB58B5" w:rsidRDefault="003F6E6B" w:rsidP="003F6E6B">
            <w:pPr>
              <w:jc w:val="right"/>
            </w:pPr>
            <w:r w:rsidRPr="003F6E6B">
              <w:rPr>
                <w:sz w:val="40"/>
              </w:rPr>
              <w:t>ECE</w:t>
            </w:r>
            <w:r>
              <w:t>/TRANS/WP.29/2023/130</w:t>
            </w:r>
          </w:p>
        </w:tc>
      </w:tr>
      <w:tr w:rsidR="00F35BAF" w:rsidRPr="00DB58B5" w14:paraId="38E21164" w14:textId="77777777" w:rsidTr="00C97039">
        <w:trPr>
          <w:trHeight w:hRule="exact" w:val="2835"/>
        </w:trPr>
        <w:tc>
          <w:tcPr>
            <w:tcW w:w="1276" w:type="dxa"/>
            <w:tcBorders>
              <w:top w:val="single" w:sz="4" w:space="0" w:color="auto"/>
              <w:bottom w:val="single" w:sz="12" w:space="0" w:color="auto"/>
            </w:tcBorders>
          </w:tcPr>
          <w:p w14:paraId="0BFCFE23" w14:textId="77777777" w:rsidR="00F35BAF" w:rsidRPr="00DB58B5" w:rsidRDefault="00F35BAF" w:rsidP="00C97039">
            <w:pPr>
              <w:spacing w:before="120"/>
              <w:jc w:val="center"/>
            </w:pPr>
            <w:r>
              <w:rPr>
                <w:noProof/>
                <w:lang w:eastAsia="fr-CH"/>
              </w:rPr>
              <w:drawing>
                <wp:inline distT="0" distB="0" distL="0" distR="0" wp14:anchorId="43C3856E" wp14:editId="3EE2AF3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3AE30A0"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206D9F5" w14:textId="77777777" w:rsidR="00F35BAF" w:rsidRDefault="003F6E6B" w:rsidP="00C97039">
            <w:pPr>
              <w:spacing w:before="240"/>
            </w:pPr>
            <w:proofErr w:type="spellStart"/>
            <w:r>
              <w:t>Distr</w:t>
            </w:r>
            <w:proofErr w:type="spellEnd"/>
            <w:r>
              <w:t>. générale</w:t>
            </w:r>
          </w:p>
          <w:p w14:paraId="3090CF32" w14:textId="79793035" w:rsidR="003F6E6B" w:rsidRDefault="003F6E6B" w:rsidP="003F6E6B">
            <w:pPr>
              <w:spacing w:line="240" w:lineRule="exact"/>
            </w:pPr>
            <w:r>
              <w:t>1</w:t>
            </w:r>
            <w:r w:rsidRPr="003F6E6B">
              <w:rPr>
                <w:vertAlign w:val="superscript"/>
              </w:rPr>
              <w:t>er</w:t>
            </w:r>
            <w:r>
              <w:t xml:space="preserve"> septembre 2023</w:t>
            </w:r>
          </w:p>
          <w:p w14:paraId="4416E334" w14:textId="77777777" w:rsidR="003F6E6B" w:rsidRDefault="003F6E6B" w:rsidP="003F6E6B">
            <w:pPr>
              <w:spacing w:line="240" w:lineRule="exact"/>
            </w:pPr>
            <w:r>
              <w:t>Français</w:t>
            </w:r>
          </w:p>
          <w:p w14:paraId="4C8C2E89" w14:textId="3AB2250E" w:rsidR="003F6E6B" w:rsidRPr="00DB58B5" w:rsidRDefault="003F6E6B" w:rsidP="003F6E6B">
            <w:pPr>
              <w:spacing w:line="240" w:lineRule="exact"/>
            </w:pPr>
            <w:r>
              <w:t>Original : anglais</w:t>
            </w:r>
          </w:p>
        </w:tc>
      </w:tr>
    </w:tbl>
    <w:p w14:paraId="53C1F814" w14:textId="77777777" w:rsidR="007F20FA" w:rsidRPr="000312C0" w:rsidRDefault="007F20FA" w:rsidP="007F20FA">
      <w:pPr>
        <w:spacing w:before="120"/>
        <w:rPr>
          <w:b/>
          <w:sz w:val="28"/>
          <w:szCs w:val="28"/>
        </w:rPr>
      </w:pPr>
      <w:r w:rsidRPr="000312C0">
        <w:rPr>
          <w:b/>
          <w:sz w:val="28"/>
          <w:szCs w:val="28"/>
        </w:rPr>
        <w:t>Commission économique pour l’Europe</w:t>
      </w:r>
    </w:p>
    <w:p w14:paraId="5356ED6F" w14:textId="77777777" w:rsidR="007F20FA" w:rsidRDefault="007F20FA" w:rsidP="007F20FA">
      <w:pPr>
        <w:spacing w:before="120"/>
        <w:rPr>
          <w:sz w:val="28"/>
          <w:szCs w:val="28"/>
        </w:rPr>
      </w:pPr>
      <w:r w:rsidRPr="00685843">
        <w:rPr>
          <w:sz w:val="28"/>
          <w:szCs w:val="28"/>
        </w:rPr>
        <w:t>Comité des transports intérieurs</w:t>
      </w:r>
    </w:p>
    <w:p w14:paraId="232688B3" w14:textId="77777777" w:rsidR="00753166" w:rsidRPr="008B0703" w:rsidRDefault="00753166" w:rsidP="00753166">
      <w:pPr>
        <w:spacing w:before="120"/>
        <w:rPr>
          <w:b/>
          <w:sz w:val="24"/>
          <w:szCs w:val="24"/>
          <w:lang w:val="fr-FR"/>
        </w:rPr>
      </w:pPr>
      <w:r w:rsidRPr="008B0703">
        <w:rPr>
          <w:b/>
          <w:bCs/>
          <w:sz w:val="24"/>
          <w:szCs w:val="24"/>
          <w:lang w:val="fr-FR"/>
        </w:rPr>
        <w:t>Forum mondial de l</w:t>
      </w:r>
      <w:r>
        <w:rPr>
          <w:b/>
          <w:bCs/>
          <w:sz w:val="24"/>
          <w:szCs w:val="24"/>
          <w:lang w:val="fr-FR"/>
        </w:rPr>
        <w:t>’</w:t>
      </w:r>
      <w:r w:rsidRPr="008B0703">
        <w:rPr>
          <w:b/>
          <w:bCs/>
          <w:sz w:val="24"/>
          <w:szCs w:val="24"/>
          <w:lang w:val="fr-FR"/>
        </w:rPr>
        <w:t xml:space="preserve">harmonisation des Règlements </w:t>
      </w:r>
      <w:r>
        <w:rPr>
          <w:b/>
          <w:bCs/>
          <w:sz w:val="24"/>
          <w:szCs w:val="24"/>
          <w:lang w:val="fr-FR"/>
        </w:rPr>
        <w:br/>
      </w:r>
      <w:r w:rsidRPr="008B0703">
        <w:rPr>
          <w:b/>
          <w:bCs/>
          <w:sz w:val="24"/>
          <w:szCs w:val="24"/>
          <w:lang w:val="fr-FR"/>
        </w:rPr>
        <w:t>concernant les véhicules</w:t>
      </w:r>
    </w:p>
    <w:p w14:paraId="1856F2B4" w14:textId="77777777" w:rsidR="00753166" w:rsidRPr="00E224D3" w:rsidRDefault="00753166" w:rsidP="00753166">
      <w:pPr>
        <w:spacing w:before="120"/>
        <w:rPr>
          <w:b/>
          <w:lang w:val="fr-FR"/>
        </w:rPr>
      </w:pPr>
      <w:r>
        <w:rPr>
          <w:b/>
          <w:bCs/>
          <w:lang w:val="fr-FR"/>
        </w:rPr>
        <w:t>191</w:t>
      </w:r>
      <w:r w:rsidRPr="001C1131">
        <w:rPr>
          <w:b/>
          <w:bCs/>
          <w:vertAlign w:val="superscript"/>
          <w:lang w:val="fr-FR"/>
        </w:rPr>
        <w:t>e</w:t>
      </w:r>
      <w:r>
        <w:rPr>
          <w:b/>
          <w:bCs/>
          <w:lang w:val="fr-FR"/>
        </w:rPr>
        <w:t xml:space="preserve"> </w:t>
      </w:r>
      <w:r w:rsidRPr="00E224D3">
        <w:rPr>
          <w:b/>
          <w:bCs/>
          <w:lang w:val="fr-FR"/>
        </w:rPr>
        <w:t>session</w:t>
      </w:r>
    </w:p>
    <w:p w14:paraId="5AA9954B" w14:textId="77777777" w:rsidR="00753166" w:rsidRPr="00E224D3" w:rsidRDefault="00753166" w:rsidP="00753166">
      <w:pPr>
        <w:rPr>
          <w:lang w:val="fr-FR"/>
        </w:rPr>
      </w:pPr>
      <w:r w:rsidRPr="00E224D3">
        <w:rPr>
          <w:lang w:val="fr-FR"/>
        </w:rPr>
        <w:t xml:space="preserve">Genève, </w:t>
      </w:r>
      <w:r>
        <w:rPr>
          <w:lang w:val="fr-FR"/>
        </w:rPr>
        <w:t>14-16 novembre</w:t>
      </w:r>
      <w:r w:rsidRPr="00E224D3">
        <w:rPr>
          <w:lang w:val="fr-FR"/>
        </w:rPr>
        <w:t xml:space="preserve"> 2023</w:t>
      </w:r>
    </w:p>
    <w:p w14:paraId="36D13709" w14:textId="77777777" w:rsidR="00753166" w:rsidRPr="00E224D3" w:rsidRDefault="00753166" w:rsidP="00753166">
      <w:pPr>
        <w:rPr>
          <w:lang w:val="fr-FR"/>
        </w:rPr>
      </w:pPr>
      <w:r w:rsidRPr="00E224D3">
        <w:rPr>
          <w:lang w:val="fr-FR"/>
        </w:rPr>
        <w:t xml:space="preserve">Point </w:t>
      </w:r>
      <w:r>
        <w:rPr>
          <w:lang w:val="fr-FR"/>
        </w:rPr>
        <w:t>4.10.2</w:t>
      </w:r>
      <w:r w:rsidRPr="00E224D3">
        <w:rPr>
          <w:lang w:val="fr-FR"/>
        </w:rPr>
        <w:t xml:space="preserve"> de l</w:t>
      </w:r>
      <w:r>
        <w:rPr>
          <w:lang w:val="fr-FR"/>
        </w:rPr>
        <w:t>’</w:t>
      </w:r>
      <w:r w:rsidRPr="00E224D3">
        <w:rPr>
          <w:lang w:val="fr-FR"/>
        </w:rPr>
        <w:t>ordre du jour provisoire</w:t>
      </w:r>
    </w:p>
    <w:p w14:paraId="151209AE" w14:textId="491F7DB4" w:rsidR="00753166" w:rsidRPr="00E224D3" w:rsidRDefault="00753166" w:rsidP="00753166">
      <w:pPr>
        <w:rPr>
          <w:b/>
          <w:bCs/>
          <w:lang w:val="fr-FR"/>
        </w:rPr>
      </w:pPr>
      <w:r>
        <w:rPr>
          <w:b/>
          <w:bCs/>
          <w:lang w:val="fr-FR"/>
        </w:rPr>
        <w:t>Accord de 1958 :</w:t>
      </w:r>
      <w:r>
        <w:rPr>
          <w:b/>
          <w:bCs/>
          <w:lang w:val="fr-FR"/>
        </w:rPr>
        <w:t xml:space="preserve"> </w:t>
      </w:r>
      <w:r w:rsidRPr="002321C5">
        <w:rPr>
          <w:b/>
          <w:bCs/>
          <w:lang w:val="fr-FR"/>
        </w:rPr>
        <w:t>Examen de projets d</w:t>
      </w:r>
      <w:r>
        <w:rPr>
          <w:b/>
          <w:bCs/>
          <w:lang w:val="fr-FR"/>
        </w:rPr>
        <w:t>’</w:t>
      </w:r>
      <w:r w:rsidRPr="002321C5">
        <w:rPr>
          <w:b/>
          <w:bCs/>
          <w:lang w:val="fr-FR"/>
        </w:rPr>
        <w:t xml:space="preserve">amendements </w:t>
      </w:r>
      <w:r>
        <w:rPr>
          <w:b/>
          <w:bCs/>
          <w:lang w:val="fr-FR"/>
        </w:rPr>
        <w:br/>
      </w:r>
      <w:r w:rsidRPr="002321C5">
        <w:rPr>
          <w:b/>
          <w:bCs/>
          <w:lang w:val="fr-FR"/>
        </w:rPr>
        <w:t>à des Règlements ONU existants, soumis par le GRVA</w:t>
      </w:r>
    </w:p>
    <w:p w14:paraId="700A2130" w14:textId="77777777" w:rsidR="00753166" w:rsidRPr="00E224D3" w:rsidRDefault="00753166" w:rsidP="00753166">
      <w:pPr>
        <w:pStyle w:val="HChG"/>
        <w:rPr>
          <w:lang w:val="fr-FR"/>
        </w:rPr>
      </w:pPr>
      <w:r w:rsidRPr="00E224D3">
        <w:rPr>
          <w:lang w:val="fr-FR"/>
        </w:rPr>
        <w:tab/>
      </w:r>
      <w:r w:rsidRPr="00E224D3">
        <w:rPr>
          <w:lang w:val="fr-FR"/>
        </w:rPr>
        <w:tab/>
        <w:t>Proposition de complément 11 à la série 02 d</w:t>
      </w:r>
      <w:r>
        <w:rPr>
          <w:lang w:val="fr-FR"/>
        </w:rPr>
        <w:t>’</w:t>
      </w:r>
      <w:r w:rsidRPr="00E224D3">
        <w:rPr>
          <w:lang w:val="fr-FR"/>
        </w:rPr>
        <w:t xml:space="preserve">amendements au Règlement ONU </w:t>
      </w:r>
      <w:r w:rsidRPr="00A910A0">
        <w:rPr>
          <w:rFonts w:eastAsia="MS Mincho"/>
          <w:lang w:val="fr-FR"/>
        </w:rPr>
        <w:t>n</w:t>
      </w:r>
      <w:r w:rsidRPr="00A910A0">
        <w:rPr>
          <w:rFonts w:eastAsia="MS Mincho"/>
          <w:vertAlign w:val="superscript"/>
          <w:lang w:val="fr-FR"/>
        </w:rPr>
        <w:t>o</w:t>
      </w:r>
      <w:r>
        <w:rPr>
          <w:lang w:val="fr-FR"/>
        </w:rPr>
        <w:t> </w:t>
      </w:r>
      <w:r w:rsidRPr="00E224D3">
        <w:rPr>
          <w:lang w:val="fr-FR"/>
        </w:rPr>
        <w:t>90 (Pièces de rechange pour systèmes de freinage)</w:t>
      </w:r>
      <w:bookmarkStart w:id="0" w:name="_Hlk61360315"/>
      <w:bookmarkEnd w:id="0"/>
    </w:p>
    <w:p w14:paraId="4FA82B7E" w14:textId="77777777" w:rsidR="00753166" w:rsidRPr="00E224D3" w:rsidRDefault="00753166" w:rsidP="00753166">
      <w:pPr>
        <w:pStyle w:val="H1G"/>
        <w:rPr>
          <w:szCs w:val="24"/>
          <w:lang w:val="fr-FR"/>
        </w:rPr>
      </w:pPr>
      <w:r w:rsidRPr="00E224D3">
        <w:rPr>
          <w:lang w:val="fr-FR"/>
        </w:rPr>
        <w:tab/>
      </w:r>
      <w:r w:rsidRPr="00E224D3">
        <w:rPr>
          <w:lang w:val="fr-FR"/>
        </w:rPr>
        <w:tab/>
        <w:t xml:space="preserve">Communication </w:t>
      </w:r>
      <w:r>
        <w:rPr>
          <w:lang w:val="fr-FR"/>
        </w:rPr>
        <w:t xml:space="preserve">du </w:t>
      </w:r>
      <w:r w:rsidRPr="003B2F9A">
        <w:rPr>
          <w:lang w:val="fr-FR"/>
        </w:rPr>
        <w:t>Groupe de travail des véhicules automatisés/autonomes et connectés</w:t>
      </w:r>
      <w:r w:rsidRPr="003B4AD4">
        <w:rPr>
          <w:rStyle w:val="Appelnotedebasdep"/>
          <w:b w:val="0"/>
          <w:bCs/>
          <w:sz w:val="20"/>
          <w:vertAlign w:val="baseline"/>
          <w:lang w:val="fr-FR"/>
        </w:rPr>
        <w:footnoteReference w:customMarkFollows="1" w:id="2"/>
        <w:t>*</w:t>
      </w:r>
    </w:p>
    <w:p w14:paraId="019960C3" w14:textId="2B3846B6" w:rsidR="00753166" w:rsidRPr="00E224D3" w:rsidRDefault="00753166" w:rsidP="00753166">
      <w:pPr>
        <w:pStyle w:val="SingleTxtG"/>
        <w:ind w:firstLine="567"/>
        <w:rPr>
          <w:lang w:val="fr-FR"/>
        </w:rPr>
      </w:pPr>
      <w:r>
        <w:rPr>
          <w:lang w:val="fr-FR"/>
        </w:rPr>
        <w:t>L</w:t>
      </w:r>
      <w:r w:rsidRPr="00E224D3">
        <w:rPr>
          <w:lang w:val="fr-FR"/>
        </w:rPr>
        <w:t xml:space="preserve">e texte ci-après, </w:t>
      </w:r>
      <w:r>
        <w:rPr>
          <w:lang w:val="fr-FR"/>
        </w:rPr>
        <w:t xml:space="preserve">adopté par le </w:t>
      </w:r>
      <w:r w:rsidRPr="003B2F9A">
        <w:rPr>
          <w:lang w:val="fr-FR"/>
        </w:rPr>
        <w:t xml:space="preserve">Groupe de travail des véhicules automatisés/autonomes et connectés </w:t>
      </w:r>
      <w:r>
        <w:rPr>
          <w:lang w:val="fr-FR"/>
        </w:rPr>
        <w:t xml:space="preserve">(GRVA) à sa seizième session </w:t>
      </w:r>
      <w:r w:rsidRPr="003B2F9A">
        <w:rPr>
          <w:lang w:val="fr-FR"/>
        </w:rPr>
        <w:t>(</w:t>
      </w:r>
      <w:r>
        <w:rPr>
          <w:lang w:val="fr-FR"/>
        </w:rPr>
        <w:t>voir</w:t>
      </w:r>
      <w:r w:rsidRPr="003B2F9A">
        <w:rPr>
          <w:lang w:val="fr-FR"/>
        </w:rPr>
        <w:t xml:space="preserve"> ECE/TRANS/</w:t>
      </w:r>
      <w:r w:rsidR="006C336E">
        <w:rPr>
          <w:lang w:val="fr-FR"/>
        </w:rPr>
        <w:t xml:space="preserve"> </w:t>
      </w:r>
      <w:r w:rsidRPr="003B2F9A">
        <w:rPr>
          <w:lang w:val="fr-FR"/>
        </w:rPr>
        <w:t>WP.29/GRVA/16, par.</w:t>
      </w:r>
      <w:r w:rsidR="006C336E">
        <w:rPr>
          <w:lang w:val="fr-FR"/>
        </w:rPr>
        <w:t> </w:t>
      </w:r>
      <w:r w:rsidRPr="003B2F9A">
        <w:rPr>
          <w:lang w:val="fr-FR"/>
        </w:rPr>
        <w:t>122)</w:t>
      </w:r>
      <w:r>
        <w:rPr>
          <w:lang w:val="fr-FR"/>
        </w:rPr>
        <w:t xml:space="preserve">, est fondé sur le document </w:t>
      </w:r>
      <w:r w:rsidRPr="003B2F9A">
        <w:rPr>
          <w:lang w:val="fr-FR"/>
        </w:rPr>
        <w:t>ECE/TRANS/WP.29/GRVA/</w:t>
      </w:r>
      <w:r w:rsidR="006C336E">
        <w:rPr>
          <w:lang w:val="fr-FR"/>
        </w:rPr>
        <w:t xml:space="preserve"> </w:t>
      </w:r>
      <w:r w:rsidRPr="003B2F9A">
        <w:rPr>
          <w:lang w:val="fr-FR"/>
        </w:rPr>
        <w:t xml:space="preserve">2023/12, </w:t>
      </w:r>
      <w:r>
        <w:rPr>
          <w:lang w:val="fr-FR"/>
        </w:rPr>
        <w:t>tel que modifié par le document</w:t>
      </w:r>
      <w:r w:rsidRPr="003B2F9A">
        <w:rPr>
          <w:lang w:val="fr-FR"/>
        </w:rPr>
        <w:t xml:space="preserve"> GRVA-16-14. Il est soumis au Forum mondial de l</w:t>
      </w:r>
      <w:r>
        <w:rPr>
          <w:lang w:val="fr-FR"/>
        </w:rPr>
        <w:t>’</w:t>
      </w:r>
      <w:r w:rsidRPr="003B2F9A">
        <w:rPr>
          <w:lang w:val="fr-FR"/>
        </w:rPr>
        <w:t>harmonisation des Règlements concernant les véhicules (WP.29) et au Comité d</w:t>
      </w:r>
      <w:r>
        <w:rPr>
          <w:lang w:val="fr-FR"/>
        </w:rPr>
        <w:t>’</w:t>
      </w:r>
      <w:r w:rsidRPr="003B2F9A">
        <w:rPr>
          <w:lang w:val="fr-FR"/>
        </w:rPr>
        <w:t>administration de l</w:t>
      </w:r>
      <w:r>
        <w:rPr>
          <w:lang w:val="fr-FR"/>
        </w:rPr>
        <w:t>’</w:t>
      </w:r>
      <w:r w:rsidRPr="003B2F9A">
        <w:rPr>
          <w:lang w:val="fr-FR"/>
        </w:rPr>
        <w:t xml:space="preserve">Accord de 1958 (AC.1) pour examen à leurs sessions de </w:t>
      </w:r>
      <w:r>
        <w:rPr>
          <w:lang w:val="fr-FR"/>
        </w:rPr>
        <w:t>novembre 2023.</w:t>
      </w:r>
    </w:p>
    <w:p w14:paraId="7421C019" w14:textId="77777777" w:rsidR="00753166" w:rsidRPr="00E224D3" w:rsidRDefault="00753166" w:rsidP="00753166">
      <w:pPr>
        <w:suppressAutoHyphens w:val="0"/>
        <w:spacing w:line="240" w:lineRule="auto"/>
        <w:rPr>
          <w:b/>
          <w:sz w:val="28"/>
          <w:lang w:val="fr-FR"/>
        </w:rPr>
      </w:pPr>
      <w:r w:rsidRPr="00E224D3">
        <w:rPr>
          <w:lang w:val="fr-FR"/>
        </w:rPr>
        <w:br w:type="page"/>
      </w:r>
    </w:p>
    <w:p w14:paraId="4DD3862E" w14:textId="77777777" w:rsidR="00753166" w:rsidRPr="00E224D3" w:rsidRDefault="00753166" w:rsidP="00753166">
      <w:pPr>
        <w:pStyle w:val="SingleTxtG"/>
        <w:keepNext/>
        <w:rPr>
          <w:lang w:val="fr-FR"/>
        </w:rPr>
      </w:pPr>
      <w:r w:rsidRPr="00A910A0">
        <w:rPr>
          <w:i/>
          <w:iCs/>
          <w:lang w:val="fr-FR"/>
        </w:rPr>
        <w:lastRenderedPageBreak/>
        <w:t>Paragraphe 6.1.1</w:t>
      </w:r>
      <w:r w:rsidRPr="00E224D3">
        <w:rPr>
          <w:lang w:val="fr-FR"/>
        </w:rPr>
        <w:t>, lire :</w:t>
      </w:r>
    </w:p>
    <w:p w14:paraId="46CF64E8" w14:textId="77777777" w:rsidR="00753166" w:rsidRPr="00E224D3" w:rsidRDefault="00753166" w:rsidP="00753166">
      <w:pPr>
        <w:pStyle w:val="SingleTxtG"/>
        <w:ind w:left="2268" w:hanging="1134"/>
        <w:rPr>
          <w:lang w:val="fr-FR"/>
        </w:rPr>
      </w:pPr>
      <w:r>
        <w:rPr>
          <w:lang w:val="fr-FR"/>
        </w:rPr>
        <w:t>« </w:t>
      </w:r>
      <w:r w:rsidRPr="00E224D3">
        <w:rPr>
          <w:lang w:val="fr-FR"/>
        </w:rPr>
        <w:t>6.1.1</w:t>
      </w:r>
      <w:r w:rsidRPr="00E224D3">
        <w:rPr>
          <w:lang w:val="fr-FR"/>
        </w:rPr>
        <w:tab/>
        <w:t>Les garnitures de frein assemblées de rechange ou garnitures de frein à tambour de rechange d</w:t>
      </w:r>
      <w:r>
        <w:rPr>
          <w:lang w:val="fr-FR"/>
        </w:rPr>
        <w:t>’</w:t>
      </w:r>
      <w:r w:rsidRPr="00E224D3">
        <w:rPr>
          <w:lang w:val="fr-FR"/>
        </w:rPr>
        <w:t xml:space="preserve">un type homologué en application du présent Règlement doivent être vendues par jeux pour essieu complet. </w:t>
      </w:r>
      <w:r w:rsidRPr="001C1131">
        <w:rPr>
          <w:lang w:val="fr-FR"/>
        </w:rPr>
        <w:t>Dans le cas des véhicules de la catégorie L, elles peuvent être vendues par jeux d</w:t>
      </w:r>
      <w:r>
        <w:rPr>
          <w:lang w:val="fr-FR"/>
        </w:rPr>
        <w:t>’</w:t>
      </w:r>
      <w:r w:rsidRPr="001C1131">
        <w:rPr>
          <w:lang w:val="fr-FR"/>
        </w:rPr>
        <w:t>étriers et/ou de tambours.</w:t>
      </w:r>
      <w:r w:rsidRPr="003B2F9A">
        <w:rPr>
          <w:lang w:val="fr-FR"/>
        </w:rPr>
        <w:t> ».</w:t>
      </w:r>
      <w:bookmarkStart w:id="1" w:name="_Hlk124256741"/>
      <w:bookmarkEnd w:id="1"/>
    </w:p>
    <w:p w14:paraId="1D5EFC17" w14:textId="77777777" w:rsidR="00753166" w:rsidRPr="00E224D3" w:rsidRDefault="00753166" w:rsidP="00753166">
      <w:pPr>
        <w:pStyle w:val="SingleTxtG"/>
        <w:keepNext/>
        <w:rPr>
          <w:lang w:val="fr-FR"/>
        </w:rPr>
      </w:pPr>
      <w:r w:rsidRPr="00E224D3">
        <w:rPr>
          <w:i/>
          <w:iCs/>
          <w:lang w:val="fr-FR"/>
        </w:rPr>
        <w:t>Paragraphe 6.1.2</w:t>
      </w:r>
      <w:r w:rsidRPr="00E224D3">
        <w:rPr>
          <w:lang w:val="fr-FR"/>
        </w:rPr>
        <w:t>, lire :</w:t>
      </w:r>
    </w:p>
    <w:p w14:paraId="5FF9AFBB" w14:textId="77777777" w:rsidR="00753166" w:rsidRPr="00E224D3" w:rsidRDefault="00753166" w:rsidP="00753166">
      <w:pPr>
        <w:pStyle w:val="SingleTxtG"/>
        <w:ind w:left="2268" w:hanging="1134"/>
        <w:rPr>
          <w:lang w:val="fr-FR"/>
        </w:rPr>
      </w:pPr>
      <w:r>
        <w:rPr>
          <w:lang w:val="fr-FR"/>
        </w:rPr>
        <w:t>« </w:t>
      </w:r>
      <w:r w:rsidRPr="00E224D3">
        <w:rPr>
          <w:lang w:val="fr-FR"/>
        </w:rPr>
        <w:t>6.1.2</w:t>
      </w:r>
      <w:r w:rsidRPr="00E224D3">
        <w:rPr>
          <w:lang w:val="fr-FR"/>
        </w:rPr>
        <w:tab/>
        <w:t xml:space="preserve">Chaque jeu pour essieu </w:t>
      </w:r>
      <w:r w:rsidRPr="003B2F9A">
        <w:rPr>
          <w:lang w:val="fr-FR"/>
        </w:rPr>
        <w:t xml:space="preserve">complet, </w:t>
      </w:r>
      <w:r w:rsidRPr="001C1131">
        <w:rPr>
          <w:lang w:val="fr-FR"/>
        </w:rPr>
        <w:t>jeu d</w:t>
      </w:r>
      <w:r>
        <w:rPr>
          <w:lang w:val="fr-FR"/>
        </w:rPr>
        <w:t>’</w:t>
      </w:r>
      <w:r w:rsidRPr="001C1131">
        <w:rPr>
          <w:lang w:val="fr-FR"/>
        </w:rPr>
        <w:t>étriers et jeu de tambours</w:t>
      </w:r>
      <w:r w:rsidRPr="00E224D3">
        <w:rPr>
          <w:b/>
          <w:bCs/>
          <w:lang w:val="fr-FR"/>
        </w:rPr>
        <w:t xml:space="preserve"> </w:t>
      </w:r>
      <w:r w:rsidRPr="00E224D3">
        <w:rPr>
          <w:lang w:val="fr-FR"/>
        </w:rPr>
        <w:t>doit être contenu dans un emballage fermé conçu pour révéler toute ouverture préalable.</w:t>
      </w:r>
      <w:r>
        <w:rPr>
          <w:lang w:val="fr-FR"/>
        </w:rPr>
        <w:t> »</w:t>
      </w:r>
      <w:r w:rsidRPr="00E224D3">
        <w:rPr>
          <w:lang w:val="fr-FR"/>
        </w:rPr>
        <w:t>.</w:t>
      </w:r>
    </w:p>
    <w:p w14:paraId="08D78DAD" w14:textId="77777777" w:rsidR="00753166" w:rsidRPr="00E224D3" w:rsidRDefault="00753166" w:rsidP="00753166">
      <w:pPr>
        <w:pStyle w:val="SingleTxtG"/>
        <w:keepNext/>
        <w:rPr>
          <w:i/>
          <w:iCs/>
          <w:lang w:val="fr-FR"/>
        </w:rPr>
      </w:pPr>
      <w:r w:rsidRPr="00E224D3">
        <w:rPr>
          <w:i/>
          <w:iCs/>
          <w:lang w:val="fr-FR"/>
        </w:rPr>
        <w:t>Paragraphe 6.1.3.4</w:t>
      </w:r>
      <w:r w:rsidRPr="00E224D3">
        <w:rPr>
          <w:lang w:val="fr-FR"/>
        </w:rPr>
        <w:t>, lire :</w:t>
      </w:r>
    </w:p>
    <w:p w14:paraId="5062D92C" w14:textId="5B248C6E" w:rsidR="00753166" w:rsidRPr="00E224D3" w:rsidRDefault="00753166" w:rsidP="00753166">
      <w:pPr>
        <w:pStyle w:val="SingleTxtG"/>
        <w:ind w:left="2268" w:hanging="1134"/>
        <w:rPr>
          <w:lang w:val="fr-FR"/>
        </w:rPr>
      </w:pPr>
      <w:r>
        <w:rPr>
          <w:lang w:val="fr-FR"/>
        </w:rPr>
        <w:t>« </w:t>
      </w:r>
      <w:r w:rsidRPr="00E224D3">
        <w:rPr>
          <w:lang w:val="fr-FR"/>
        </w:rPr>
        <w:t>6.1.3.4</w:t>
      </w:r>
      <w:r w:rsidRPr="00E224D3">
        <w:rPr>
          <w:lang w:val="fr-FR"/>
        </w:rPr>
        <w:tab/>
        <w:t>Véhicules/essieux/freins pour lesquels le contenu est homologué</w:t>
      </w:r>
      <w:r w:rsidRPr="003B2F9A">
        <w:rPr>
          <w:lang w:val="fr-FR"/>
        </w:rPr>
        <w:t xml:space="preserve">. </w:t>
      </w:r>
      <w:r w:rsidRPr="001C1131">
        <w:rPr>
          <w:lang w:val="fr-FR"/>
        </w:rPr>
        <w:t>Si nécessaire, il est permis de compléter ces informations au moyen d</w:t>
      </w:r>
      <w:r>
        <w:rPr>
          <w:lang w:val="fr-FR"/>
        </w:rPr>
        <w:t>’</w:t>
      </w:r>
      <w:r w:rsidRPr="001C1131">
        <w:rPr>
          <w:lang w:val="fr-FR"/>
        </w:rPr>
        <w:t>un code QR, d</w:t>
      </w:r>
      <w:r>
        <w:rPr>
          <w:lang w:val="fr-FR"/>
        </w:rPr>
        <w:t>’</w:t>
      </w:r>
      <w:r w:rsidRPr="001C1131">
        <w:rPr>
          <w:lang w:val="fr-FR"/>
        </w:rPr>
        <w:t>un lien Web ou d</w:t>
      </w:r>
      <w:r>
        <w:rPr>
          <w:lang w:val="fr-FR"/>
        </w:rPr>
        <w:t>’</w:t>
      </w:r>
      <w:r w:rsidRPr="001C1131">
        <w:rPr>
          <w:lang w:val="fr-FR"/>
        </w:rPr>
        <w:t>un autre type de support numérique qui doit être placé, imprimé ou gravé de manière visible, clairement lisible et indélébile sur l</w:t>
      </w:r>
      <w:r>
        <w:rPr>
          <w:lang w:val="fr-FR"/>
        </w:rPr>
        <w:t>’</w:t>
      </w:r>
      <w:r w:rsidRPr="001C1131">
        <w:rPr>
          <w:lang w:val="fr-FR"/>
        </w:rPr>
        <w:t>emballage.</w:t>
      </w:r>
      <w:r w:rsidRPr="003B2F9A">
        <w:rPr>
          <w:lang w:val="fr-FR"/>
        </w:rPr>
        <w:t> ».</w:t>
      </w:r>
    </w:p>
    <w:p w14:paraId="7B325714" w14:textId="77777777" w:rsidR="00753166" w:rsidRPr="00E224D3" w:rsidRDefault="00753166" w:rsidP="00753166">
      <w:pPr>
        <w:pStyle w:val="SingleTxtG"/>
        <w:keepNext/>
        <w:rPr>
          <w:lang w:val="fr-FR"/>
        </w:rPr>
      </w:pPr>
      <w:r w:rsidRPr="00E224D3">
        <w:rPr>
          <w:i/>
          <w:iCs/>
          <w:lang w:val="fr-FR"/>
        </w:rPr>
        <w:t>Ajouter le nouveau paragraphe 6.1.3.4.1</w:t>
      </w:r>
      <w:r w:rsidRPr="00E224D3">
        <w:rPr>
          <w:lang w:val="fr-FR"/>
        </w:rPr>
        <w:t>, libellé comme suit :</w:t>
      </w:r>
    </w:p>
    <w:p w14:paraId="5543A242" w14:textId="4EAB44A7" w:rsidR="00753166" w:rsidRDefault="00753166" w:rsidP="00753166">
      <w:pPr>
        <w:pStyle w:val="SingleTxtG"/>
        <w:ind w:left="2268" w:hanging="1134"/>
        <w:rPr>
          <w:lang w:val="fr-FR"/>
        </w:rPr>
      </w:pPr>
      <w:r w:rsidRPr="003B2F9A">
        <w:rPr>
          <w:lang w:val="fr-FR"/>
        </w:rPr>
        <w:t>« </w:t>
      </w:r>
      <w:r w:rsidRPr="001C1131">
        <w:rPr>
          <w:lang w:val="fr-FR"/>
        </w:rPr>
        <w:t>6.1.3.4.1</w:t>
      </w:r>
      <w:r w:rsidRPr="003B2F9A">
        <w:rPr>
          <w:lang w:val="fr-FR"/>
        </w:rPr>
        <w:tab/>
      </w:r>
      <w:r w:rsidRPr="001C1131">
        <w:rPr>
          <w:lang w:val="fr-FR"/>
        </w:rPr>
        <w:t>Si un support numérique est utilisé, la mention “Liste complète des modèles homologués” doit être imprimée à proximité du code QR, du lien Web ou de tout autre support numérique.</w:t>
      </w:r>
      <w:r w:rsidRPr="003B2F9A">
        <w:rPr>
          <w:lang w:val="fr-FR"/>
        </w:rPr>
        <w:t xml:space="preserve"> </w:t>
      </w:r>
      <w:r w:rsidRPr="001C1131">
        <w:rPr>
          <w:lang w:val="fr-FR"/>
        </w:rPr>
        <w:t xml:space="preserve">La version numérique de cette liste doit être proposée dans un format imprimable et doit être disponible pendant toute la durée de vie du produit, et au moins </w:t>
      </w:r>
      <w:r w:rsidR="00F00378">
        <w:rPr>
          <w:lang w:val="fr-FR"/>
        </w:rPr>
        <w:t>5</w:t>
      </w:r>
      <w:r w:rsidRPr="001C1131">
        <w:rPr>
          <w:lang w:val="fr-FR"/>
        </w:rPr>
        <w:t xml:space="preserve"> ans à compter du moment où la production est définitivement arrêtée.</w:t>
      </w:r>
      <w:r w:rsidRPr="003B2F9A">
        <w:rPr>
          <w:lang w:val="fr-FR"/>
        </w:rPr>
        <w:t xml:space="preserve"> </w:t>
      </w:r>
      <w:r w:rsidRPr="001C1131">
        <w:rPr>
          <w:lang w:val="fr-FR"/>
        </w:rPr>
        <w:t>Le consommateur ne doit pas avoir à communiquer des données personnelles avant de pouvoir accéder à la liste numérique.</w:t>
      </w:r>
      <w:r w:rsidRPr="003B2F9A">
        <w:rPr>
          <w:lang w:val="fr-FR"/>
        </w:rPr>
        <w:t> ».</w:t>
      </w:r>
    </w:p>
    <w:p w14:paraId="1EB4B1E5" w14:textId="77777777" w:rsidR="00753166" w:rsidRDefault="00753166" w:rsidP="00F00378">
      <w:pPr>
        <w:pStyle w:val="SingleTxtG"/>
        <w:keepNext/>
        <w:ind w:left="2268" w:hanging="1134"/>
        <w:rPr>
          <w:lang w:val="fr-FR"/>
        </w:rPr>
      </w:pPr>
      <w:r w:rsidRPr="001C1131">
        <w:rPr>
          <w:i/>
          <w:iCs/>
          <w:lang w:val="fr-FR"/>
        </w:rPr>
        <w:t>Ajouter le nouveau paragraphe 6.2.1.5</w:t>
      </w:r>
      <w:r>
        <w:rPr>
          <w:lang w:val="fr-FR"/>
        </w:rPr>
        <w:t>, libellé comme suit :</w:t>
      </w:r>
    </w:p>
    <w:p w14:paraId="15195198" w14:textId="2A55FB59" w:rsidR="00753166" w:rsidRPr="003B2F9A" w:rsidRDefault="00753166" w:rsidP="00753166">
      <w:pPr>
        <w:pStyle w:val="SingleTxtG"/>
        <w:ind w:left="2268" w:hanging="1134"/>
        <w:rPr>
          <w:lang w:val="fr-FR"/>
        </w:rPr>
      </w:pPr>
      <w:r>
        <w:rPr>
          <w:lang w:val="fr-FR"/>
        </w:rPr>
        <w:t>« 6.2.1.5</w:t>
      </w:r>
      <w:r>
        <w:rPr>
          <w:lang w:val="fr-FR"/>
        </w:rPr>
        <w:tab/>
        <w:t>Si nécessaire, il est permis de compléter les informations prescrites aux paragraphes</w:t>
      </w:r>
      <w:r w:rsidR="00F00378">
        <w:rPr>
          <w:lang w:val="fr-FR"/>
        </w:rPr>
        <w:t> </w:t>
      </w:r>
      <w:r>
        <w:rPr>
          <w:lang w:val="fr-FR"/>
        </w:rPr>
        <w:t xml:space="preserve">6.2.1.2 et 6.2.1.3 au moyen d’un code QR, d’un lien Web ou d’un autre type de support numérique </w:t>
      </w:r>
      <w:r w:rsidRPr="00EF5380">
        <w:rPr>
          <w:lang w:val="fr-FR"/>
        </w:rPr>
        <w:t>qui doit être placé, imprimé ou gravé de manière visible, clairement lisible et indélébile sur l</w:t>
      </w:r>
      <w:r>
        <w:rPr>
          <w:lang w:val="fr-FR"/>
        </w:rPr>
        <w:t>’</w:t>
      </w:r>
      <w:r w:rsidRPr="00EF5380">
        <w:rPr>
          <w:lang w:val="fr-FR"/>
        </w:rPr>
        <w:t>emballage</w:t>
      </w:r>
      <w:r>
        <w:rPr>
          <w:lang w:val="fr-FR"/>
        </w:rPr>
        <w:t xml:space="preserve">. </w:t>
      </w:r>
      <w:r w:rsidRPr="00EF5380">
        <w:rPr>
          <w:lang w:val="fr-FR"/>
        </w:rPr>
        <w:t xml:space="preserve">Si un support numérique est utilisé, la mention “Liste complète des modèles homologués” doit être imprimée à proximité du code QR, du lien Web ou de tout autre support numérique. La version numérique de cette liste doit être proposée dans un format imprimable et doit être disponible pendant toute la durée de vie du produit, et au moins </w:t>
      </w:r>
      <w:r w:rsidR="00F00378">
        <w:rPr>
          <w:lang w:val="fr-FR"/>
        </w:rPr>
        <w:t>5</w:t>
      </w:r>
      <w:r w:rsidRPr="00EF5380">
        <w:rPr>
          <w:lang w:val="fr-FR"/>
        </w:rPr>
        <w:t xml:space="preserve"> ans à compter du moment où la production est définitivement arrêtée. Le consommateur ne doit pas avoir à communiquer des données personnelles avant de pouvoir accéder à la liste numérique.</w:t>
      </w:r>
      <w:r>
        <w:rPr>
          <w:lang w:val="fr-FR"/>
        </w:rPr>
        <w:t> ».</w:t>
      </w:r>
    </w:p>
    <w:p w14:paraId="075BFEED" w14:textId="77777777" w:rsidR="00753166" w:rsidRPr="00E224D3" w:rsidRDefault="00753166" w:rsidP="00753166">
      <w:pPr>
        <w:pStyle w:val="SingleTxtG"/>
        <w:keepNext/>
        <w:rPr>
          <w:i/>
          <w:lang w:val="fr-FR"/>
        </w:rPr>
      </w:pPr>
      <w:r w:rsidRPr="00E224D3">
        <w:rPr>
          <w:i/>
          <w:iCs/>
          <w:lang w:val="fr-FR"/>
        </w:rPr>
        <w:t>Ajouter les nouveaux paragraphes 6.3, 6.3.1, 6.3.2</w:t>
      </w:r>
      <w:r w:rsidRPr="00E224D3">
        <w:rPr>
          <w:lang w:val="fr-FR"/>
        </w:rPr>
        <w:t xml:space="preserve"> </w:t>
      </w:r>
      <w:r w:rsidRPr="00E224D3">
        <w:rPr>
          <w:i/>
          <w:iCs/>
          <w:lang w:val="fr-FR"/>
        </w:rPr>
        <w:t>et 6.3.3</w:t>
      </w:r>
      <w:r w:rsidRPr="00E224D3">
        <w:rPr>
          <w:lang w:val="fr-FR"/>
        </w:rPr>
        <w:t>, libellés comme suit :</w:t>
      </w:r>
    </w:p>
    <w:p w14:paraId="6F4F813E" w14:textId="0A413641" w:rsidR="00753166" w:rsidRPr="00EF5380" w:rsidRDefault="00753166" w:rsidP="00753166">
      <w:pPr>
        <w:pStyle w:val="SingleTxtG"/>
        <w:ind w:left="2268" w:hanging="1134"/>
        <w:rPr>
          <w:lang w:val="fr-FR"/>
        </w:rPr>
      </w:pPr>
      <w:r w:rsidRPr="00EF5380">
        <w:rPr>
          <w:lang w:val="fr-FR"/>
        </w:rPr>
        <w:t>« </w:t>
      </w:r>
      <w:r w:rsidRPr="001C1131">
        <w:rPr>
          <w:lang w:val="fr-FR"/>
        </w:rPr>
        <w:t>6.3</w:t>
      </w:r>
      <w:r w:rsidRPr="00EF5380">
        <w:rPr>
          <w:lang w:val="fr-FR"/>
        </w:rPr>
        <w:tab/>
      </w:r>
      <w:r w:rsidRPr="001C1131">
        <w:rPr>
          <w:lang w:val="fr-FR"/>
        </w:rPr>
        <w:t>Les instructions de montage prescrites aux paragraphes</w:t>
      </w:r>
      <w:r w:rsidR="00F00378">
        <w:rPr>
          <w:lang w:val="fr-FR"/>
        </w:rPr>
        <w:t> </w:t>
      </w:r>
      <w:r w:rsidRPr="001C1131">
        <w:rPr>
          <w:lang w:val="fr-FR"/>
        </w:rPr>
        <w:t>6.1.4 à 6.1.4.4 et aux paragraphes</w:t>
      </w:r>
      <w:r w:rsidR="00F00378">
        <w:rPr>
          <w:lang w:val="fr-FR"/>
        </w:rPr>
        <w:t> </w:t>
      </w:r>
      <w:r w:rsidRPr="001C1131">
        <w:rPr>
          <w:lang w:val="fr-FR"/>
        </w:rPr>
        <w:t>6.2.1.4 à 6.2.1.4.2 peuvent être fournies au moyen d</w:t>
      </w:r>
      <w:r>
        <w:rPr>
          <w:lang w:val="fr-FR"/>
        </w:rPr>
        <w:t>’</w:t>
      </w:r>
      <w:r w:rsidRPr="001C1131">
        <w:rPr>
          <w:lang w:val="fr-FR"/>
        </w:rPr>
        <w:t>un code QR, d</w:t>
      </w:r>
      <w:r>
        <w:rPr>
          <w:lang w:val="fr-FR"/>
        </w:rPr>
        <w:t>’</w:t>
      </w:r>
      <w:r w:rsidRPr="001C1131">
        <w:rPr>
          <w:lang w:val="fr-FR"/>
        </w:rPr>
        <w:t>un lien Web ou d</w:t>
      </w:r>
      <w:r>
        <w:rPr>
          <w:lang w:val="fr-FR"/>
        </w:rPr>
        <w:t>’</w:t>
      </w:r>
      <w:r w:rsidRPr="001C1131">
        <w:rPr>
          <w:lang w:val="fr-FR"/>
        </w:rPr>
        <w:t>un autre type de support de données numérique qui doit être placé, imprimé ou gravé de manière visible, clairement lisible et indélébile sur l</w:t>
      </w:r>
      <w:r>
        <w:rPr>
          <w:lang w:val="fr-FR"/>
        </w:rPr>
        <w:t>’</w:t>
      </w:r>
      <w:r w:rsidRPr="001C1131">
        <w:rPr>
          <w:lang w:val="fr-FR"/>
        </w:rPr>
        <w:t>emballage ou se trouver à l</w:t>
      </w:r>
      <w:r>
        <w:rPr>
          <w:lang w:val="fr-FR"/>
        </w:rPr>
        <w:t>’</w:t>
      </w:r>
      <w:r w:rsidRPr="001C1131">
        <w:rPr>
          <w:lang w:val="fr-FR"/>
        </w:rPr>
        <w:t>intérieur du colis.</w:t>
      </w:r>
    </w:p>
    <w:p w14:paraId="581E1BBC" w14:textId="77777777" w:rsidR="00753166" w:rsidRPr="001C1131" w:rsidRDefault="00753166" w:rsidP="00753166">
      <w:pPr>
        <w:pStyle w:val="SingleTxtG"/>
        <w:ind w:left="2268" w:hanging="1134"/>
        <w:rPr>
          <w:lang w:val="fr-FR"/>
        </w:rPr>
      </w:pPr>
      <w:r w:rsidRPr="001C1131">
        <w:rPr>
          <w:lang w:val="fr-FR"/>
        </w:rPr>
        <w:t>6.3.1</w:t>
      </w:r>
      <w:r w:rsidRPr="00EF5380">
        <w:rPr>
          <w:lang w:val="fr-FR"/>
        </w:rPr>
        <w:tab/>
      </w:r>
      <w:r w:rsidRPr="001C1131">
        <w:rPr>
          <w:lang w:val="fr-FR"/>
        </w:rPr>
        <w:t>La mention “Lire d</w:t>
      </w:r>
      <w:r>
        <w:rPr>
          <w:lang w:val="fr-FR"/>
        </w:rPr>
        <w:t>’</w:t>
      </w:r>
      <w:r w:rsidRPr="001C1131">
        <w:rPr>
          <w:lang w:val="fr-FR"/>
        </w:rPr>
        <w:t>abord les instructions” doit être imprimée ou gravée de manière visible, clairement lisible et indélébile à proximité du code QR, du lien Web ou de tout autre support de données numérique, ainsi que le symbole N.03 (Manuel de l</w:t>
      </w:r>
      <w:r>
        <w:rPr>
          <w:lang w:val="fr-FR"/>
        </w:rPr>
        <w:t>’</w:t>
      </w:r>
      <w:r w:rsidRPr="001C1131">
        <w:rPr>
          <w:lang w:val="fr-FR"/>
        </w:rPr>
        <w:t>utilisateur, mode d</w:t>
      </w:r>
      <w:r>
        <w:rPr>
          <w:lang w:val="fr-FR"/>
        </w:rPr>
        <w:t>’</w:t>
      </w:r>
      <w:r w:rsidRPr="001C1131">
        <w:rPr>
          <w:lang w:val="fr-FR"/>
        </w:rPr>
        <w:t>emploi) de la norme ISO 2575 ci-après :</w:t>
      </w:r>
      <w:r w:rsidRPr="00EF5380">
        <w:rPr>
          <w:lang w:val="fr-FR"/>
        </w:rPr>
        <w:t xml:space="preserve"> </w:t>
      </w:r>
    </w:p>
    <w:p w14:paraId="161AF103" w14:textId="77777777" w:rsidR="00753166" w:rsidRPr="00E224D3" w:rsidRDefault="00753166" w:rsidP="00753166">
      <w:pPr>
        <w:pStyle w:val="para"/>
        <w:tabs>
          <w:tab w:val="left" w:pos="1134"/>
          <w:tab w:val="right" w:pos="8505"/>
        </w:tabs>
        <w:spacing w:line="240" w:lineRule="auto"/>
        <w:ind w:left="3402" w:right="0"/>
        <w:rPr>
          <w:lang w:val="fr-FR"/>
        </w:rPr>
      </w:pPr>
      <w:r w:rsidRPr="00E224D3">
        <w:rPr>
          <w:noProof/>
          <w:lang w:val="fr-FR" w:eastAsia="it-IT"/>
        </w:rPr>
        <w:drawing>
          <wp:inline distT="0" distB="0" distL="0" distR="0" wp14:anchorId="55F448B6" wp14:editId="17965A8B">
            <wp:extent cx="650296" cy="551330"/>
            <wp:effectExtent l="0" t="0" r="0" b="1270"/>
            <wp:docPr id="4"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07" cy="558207"/>
                    </a:xfrm>
                    <a:prstGeom prst="rect">
                      <a:avLst/>
                    </a:prstGeom>
                    <a:noFill/>
                    <a:ln>
                      <a:noFill/>
                    </a:ln>
                  </pic:spPr>
                </pic:pic>
              </a:graphicData>
            </a:graphic>
          </wp:inline>
        </w:drawing>
      </w:r>
    </w:p>
    <w:p w14:paraId="229CC148" w14:textId="61284857" w:rsidR="00753166" w:rsidRPr="001C1131" w:rsidRDefault="00753166" w:rsidP="00753166">
      <w:pPr>
        <w:pStyle w:val="SingleTxtG"/>
        <w:ind w:left="2268" w:hanging="1134"/>
        <w:rPr>
          <w:lang w:val="fr-FR"/>
        </w:rPr>
      </w:pPr>
      <w:r w:rsidRPr="001C1131">
        <w:rPr>
          <w:lang w:val="fr-FR"/>
        </w:rPr>
        <w:lastRenderedPageBreak/>
        <w:t>6.3.2</w:t>
      </w:r>
      <w:r w:rsidRPr="00842786">
        <w:rPr>
          <w:lang w:val="fr-FR"/>
        </w:rPr>
        <w:tab/>
      </w:r>
      <w:r w:rsidRPr="001C1131">
        <w:rPr>
          <w:lang w:val="fr-FR"/>
        </w:rPr>
        <w:t xml:space="preserve">Les instructions numériques doivent être proposées dans un format imprimable et doivent être disponibles pendant toute la durée de vie du produit, et au moins </w:t>
      </w:r>
      <w:r w:rsidR="005F6AF9">
        <w:rPr>
          <w:lang w:val="fr-FR"/>
        </w:rPr>
        <w:t>5 </w:t>
      </w:r>
      <w:r w:rsidRPr="001C1131">
        <w:rPr>
          <w:lang w:val="fr-FR"/>
        </w:rPr>
        <w:t>ans à compter du moment où la production est définitivement arrêtée.</w:t>
      </w:r>
      <w:r w:rsidRPr="00842786">
        <w:rPr>
          <w:lang w:val="fr-FR"/>
        </w:rPr>
        <w:t xml:space="preserve"> </w:t>
      </w:r>
      <w:r w:rsidRPr="001C1131">
        <w:rPr>
          <w:lang w:val="fr-FR"/>
        </w:rPr>
        <w:t>Une déclaration, annexée à la documentation relative à l</w:t>
      </w:r>
      <w:r>
        <w:rPr>
          <w:lang w:val="fr-FR"/>
        </w:rPr>
        <w:t>’</w:t>
      </w:r>
      <w:r w:rsidRPr="001C1131">
        <w:rPr>
          <w:lang w:val="fr-FR"/>
        </w:rPr>
        <w:t xml:space="preserve">homologation, confirmant que ces informations seront disponibles pendant au moins </w:t>
      </w:r>
      <w:r w:rsidR="005F6AF9">
        <w:rPr>
          <w:lang w:val="fr-FR"/>
        </w:rPr>
        <w:t>5</w:t>
      </w:r>
      <w:r w:rsidRPr="001C1131">
        <w:rPr>
          <w:lang w:val="fr-FR"/>
        </w:rPr>
        <w:t xml:space="preserve"> ans après l</w:t>
      </w:r>
      <w:r>
        <w:rPr>
          <w:lang w:val="fr-FR"/>
        </w:rPr>
        <w:t>’</w:t>
      </w:r>
      <w:r w:rsidRPr="001C1131">
        <w:rPr>
          <w:lang w:val="fr-FR"/>
        </w:rPr>
        <w:t>arrêt de la production, doit être fournie par le fabricant.</w:t>
      </w:r>
      <w:r w:rsidRPr="00842786">
        <w:rPr>
          <w:lang w:val="fr-FR"/>
        </w:rPr>
        <w:t xml:space="preserve"> </w:t>
      </w:r>
    </w:p>
    <w:p w14:paraId="72AF9BAE" w14:textId="77777777" w:rsidR="00753166" w:rsidRDefault="00753166" w:rsidP="00753166">
      <w:pPr>
        <w:pStyle w:val="SingleTxtG"/>
        <w:ind w:left="2268" w:hanging="1134"/>
        <w:rPr>
          <w:lang w:val="fr-FR"/>
        </w:rPr>
      </w:pPr>
      <w:r w:rsidRPr="001C1131">
        <w:rPr>
          <w:lang w:val="fr-FR"/>
        </w:rPr>
        <w:t>6.3.3</w:t>
      </w:r>
      <w:r w:rsidRPr="00842786">
        <w:rPr>
          <w:lang w:val="fr-FR"/>
        </w:rPr>
        <w:tab/>
      </w:r>
      <w:r w:rsidRPr="001C1131">
        <w:rPr>
          <w:lang w:val="fr-FR"/>
        </w:rPr>
        <w:t>Le consommateur ne doit pas avoir à communiquer des données personnelles avant de pouvoir accéder aux instructions de montage numériques.</w:t>
      </w:r>
      <w:r w:rsidRPr="00842786">
        <w:rPr>
          <w:lang w:val="fr-FR"/>
        </w:rPr>
        <w:t> ».</w:t>
      </w:r>
    </w:p>
    <w:p w14:paraId="1E05778A" w14:textId="5411EB97" w:rsidR="00F9573C" w:rsidRPr="00753166" w:rsidRDefault="00753166" w:rsidP="00753166">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F9573C" w:rsidRPr="00753166" w:rsidSect="003F6E6B">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C69D" w14:textId="77777777" w:rsidR="002A301F" w:rsidRDefault="002A301F" w:rsidP="00F95C08">
      <w:pPr>
        <w:spacing w:line="240" w:lineRule="auto"/>
      </w:pPr>
    </w:p>
  </w:endnote>
  <w:endnote w:type="continuationSeparator" w:id="0">
    <w:p w14:paraId="0F8BF406" w14:textId="77777777" w:rsidR="002A301F" w:rsidRPr="00AC3823" w:rsidRDefault="002A301F" w:rsidP="00AC3823">
      <w:pPr>
        <w:pStyle w:val="Pieddepage"/>
      </w:pPr>
    </w:p>
  </w:endnote>
  <w:endnote w:type="continuationNotice" w:id="1">
    <w:p w14:paraId="07AAE984" w14:textId="77777777" w:rsidR="002A301F" w:rsidRDefault="002A30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6801" w14:textId="1F8D4C16" w:rsidR="003F6E6B" w:rsidRPr="003F6E6B" w:rsidRDefault="003F6E6B" w:rsidP="003F6E6B">
    <w:pPr>
      <w:pStyle w:val="Pieddepage"/>
      <w:tabs>
        <w:tab w:val="right" w:pos="9638"/>
      </w:tabs>
    </w:pPr>
    <w:r w:rsidRPr="003F6E6B">
      <w:rPr>
        <w:b/>
        <w:sz w:val="18"/>
      </w:rPr>
      <w:fldChar w:fldCharType="begin"/>
    </w:r>
    <w:r w:rsidRPr="003F6E6B">
      <w:rPr>
        <w:b/>
        <w:sz w:val="18"/>
      </w:rPr>
      <w:instrText xml:space="preserve"> PAGE  \* MERGEFORMAT </w:instrText>
    </w:r>
    <w:r w:rsidRPr="003F6E6B">
      <w:rPr>
        <w:b/>
        <w:sz w:val="18"/>
      </w:rPr>
      <w:fldChar w:fldCharType="separate"/>
    </w:r>
    <w:r w:rsidRPr="003F6E6B">
      <w:rPr>
        <w:b/>
        <w:noProof/>
        <w:sz w:val="18"/>
      </w:rPr>
      <w:t>2</w:t>
    </w:r>
    <w:r w:rsidRPr="003F6E6B">
      <w:rPr>
        <w:b/>
        <w:sz w:val="18"/>
      </w:rPr>
      <w:fldChar w:fldCharType="end"/>
    </w:r>
    <w:r>
      <w:rPr>
        <w:b/>
        <w:sz w:val="18"/>
      </w:rPr>
      <w:tab/>
    </w:r>
    <w:r>
      <w:t>GE.23-16918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E42B" w14:textId="4B844A86" w:rsidR="003F6E6B" w:rsidRPr="003F6E6B" w:rsidRDefault="003F6E6B" w:rsidP="003F6E6B">
    <w:pPr>
      <w:pStyle w:val="Pieddepage"/>
      <w:tabs>
        <w:tab w:val="right" w:pos="9638"/>
      </w:tabs>
      <w:rPr>
        <w:b/>
        <w:sz w:val="18"/>
      </w:rPr>
    </w:pPr>
    <w:r>
      <w:t>GE.23-16918</w:t>
    </w:r>
    <w:r>
      <w:tab/>
    </w:r>
    <w:r w:rsidRPr="003F6E6B">
      <w:rPr>
        <w:b/>
        <w:sz w:val="18"/>
      </w:rPr>
      <w:fldChar w:fldCharType="begin"/>
    </w:r>
    <w:r w:rsidRPr="003F6E6B">
      <w:rPr>
        <w:b/>
        <w:sz w:val="18"/>
      </w:rPr>
      <w:instrText xml:space="preserve"> PAGE  \* MERGEFORMAT </w:instrText>
    </w:r>
    <w:r w:rsidRPr="003F6E6B">
      <w:rPr>
        <w:b/>
        <w:sz w:val="18"/>
      </w:rPr>
      <w:fldChar w:fldCharType="separate"/>
    </w:r>
    <w:r w:rsidRPr="003F6E6B">
      <w:rPr>
        <w:b/>
        <w:noProof/>
        <w:sz w:val="18"/>
      </w:rPr>
      <w:t>3</w:t>
    </w:r>
    <w:r w:rsidRPr="003F6E6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4D0B" w14:textId="2A36EEED" w:rsidR="007F20FA" w:rsidRPr="003F6E6B" w:rsidRDefault="003F6E6B" w:rsidP="003F6E6B">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CEC0B7D" wp14:editId="4619FFB1">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23-16918  (F)</w:t>
    </w:r>
    <w:r>
      <w:rPr>
        <w:noProof/>
        <w:sz w:val="20"/>
      </w:rPr>
      <w:drawing>
        <wp:anchor distT="0" distB="0" distL="114300" distR="114300" simplePos="0" relativeHeight="251660288" behindDoc="0" locked="0" layoutInCell="1" allowOverlap="1" wp14:anchorId="4E08DBF7" wp14:editId="42358111">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210923    250923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C9AA" w14:textId="77777777" w:rsidR="002A301F" w:rsidRPr="00AC3823" w:rsidRDefault="002A301F" w:rsidP="00AC3823">
      <w:pPr>
        <w:pStyle w:val="Pieddepage"/>
        <w:tabs>
          <w:tab w:val="right" w:pos="2155"/>
        </w:tabs>
        <w:spacing w:after="80" w:line="240" w:lineRule="atLeast"/>
        <w:ind w:left="680"/>
        <w:rPr>
          <w:u w:val="single"/>
        </w:rPr>
      </w:pPr>
      <w:r>
        <w:rPr>
          <w:u w:val="single"/>
        </w:rPr>
        <w:tab/>
      </w:r>
    </w:p>
  </w:footnote>
  <w:footnote w:type="continuationSeparator" w:id="0">
    <w:p w14:paraId="2B44BC51" w14:textId="77777777" w:rsidR="002A301F" w:rsidRPr="00AC3823" w:rsidRDefault="002A301F" w:rsidP="00AC3823">
      <w:pPr>
        <w:pStyle w:val="Pieddepage"/>
        <w:tabs>
          <w:tab w:val="right" w:pos="2155"/>
        </w:tabs>
        <w:spacing w:after="80" w:line="240" w:lineRule="atLeast"/>
        <w:ind w:left="680"/>
        <w:rPr>
          <w:u w:val="single"/>
        </w:rPr>
      </w:pPr>
      <w:r>
        <w:rPr>
          <w:u w:val="single"/>
        </w:rPr>
        <w:tab/>
      </w:r>
    </w:p>
  </w:footnote>
  <w:footnote w:type="continuationNotice" w:id="1">
    <w:p w14:paraId="20C23250" w14:textId="77777777" w:rsidR="002A301F" w:rsidRPr="00AC3823" w:rsidRDefault="002A301F">
      <w:pPr>
        <w:spacing w:line="240" w:lineRule="auto"/>
        <w:rPr>
          <w:sz w:val="2"/>
          <w:szCs w:val="2"/>
        </w:rPr>
      </w:pPr>
    </w:p>
  </w:footnote>
  <w:footnote w:id="2">
    <w:p w14:paraId="7E1C3399" w14:textId="3F3AE8D8" w:rsidR="00753166" w:rsidRDefault="00753166" w:rsidP="00753166">
      <w:pPr>
        <w:pStyle w:val="Notedebasdepage"/>
        <w:rPr>
          <w:lang w:val="fr-FR"/>
        </w:rPr>
      </w:pPr>
      <w:r>
        <w:rPr>
          <w:lang w:val="fr-FR"/>
        </w:rPr>
        <w:tab/>
      </w:r>
      <w:r w:rsidRPr="00A910A0">
        <w:rPr>
          <w:sz w:val="20"/>
          <w:lang w:val="fr-FR"/>
        </w:rPr>
        <w:t>*</w:t>
      </w:r>
      <w:r>
        <w:rPr>
          <w:lang w:val="fr-FR"/>
        </w:rPr>
        <w:tab/>
        <w:t>Conformément au programme de travail du Comité des transports intérieurs pour 2023 tel qu’il figure dans le projet de budget-programme pour 2023 (A/77/6 (Sect. 20), par. 20.6), le Forum mondial a pour mission d’élaborer, d’harmoniser et de mettre à jour les Règlements ONU en vue d’améliorer les caractéristiques fonctionnelles des véhicules. Le présent document est soumis en vertu de ce mandat.</w:t>
      </w:r>
    </w:p>
    <w:p w14:paraId="52037DC2" w14:textId="77777777" w:rsidR="00753166" w:rsidRPr="006C5434" w:rsidRDefault="00753166" w:rsidP="0075316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4594" w14:textId="19440A9E" w:rsidR="003F6E6B" w:rsidRPr="003F6E6B" w:rsidRDefault="003F6E6B">
    <w:pPr>
      <w:pStyle w:val="En-tte"/>
    </w:pPr>
    <w:fldSimple w:instr=" TITLE  \* MERGEFORMAT ">
      <w:r>
        <w:t>ECE/TRANS/WP.29/2023/130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E87" w14:textId="5C43E639" w:rsidR="003F6E6B" w:rsidRPr="003F6E6B" w:rsidRDefault="003F6E6B" w:rsidP="003F6E6B">
    <w:pPr>
      <w:pStyle w:val="En-tte"/>
      <w:jc w:val="right"/>
    </w:pPr>
    <w:fldSimple w:instr=" TITLE  \* MERGEFORMAT ">
      <w:r>
        <w:t>ECE/TRANS/WP.29/2023/130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973750499">
    <w:abstractNumId w:val="12"/>
  </w:num>
  <w:num w:numId="2" w16cid:durableId="849567790">
    <w:abstractNumId w:val="11"/>
  </w:num>
  <w:num w:numId="3" w16cid:durableId="1967928366">
    <w:abstractNumId w:val="10"/>
  </w:num>
  <w:num w:numId="4" w16cid:durableId="596988505">
    <w:abstractNumId w:val="8"/>
  </w:num>
  <w:num w:numId="5" w16cid:durableId="991643730">
    <w:abstractNumId w:val="3"/>
  </w:num>
  <w:num w:numId="6" w16cid:durableId="167714869">
    <w:abstractNumId w:val="2"/>
  </w:num>
  <w:num w:numId="7" w16cid:durableId="44110779">
    <w:abstractNumId w:val="1"/>
  </w:num>
  <w:num w:numId="8" w16cid:durableId="933586795">
    <w:abstractNumId w:val="0"/>
  </w:num>
  <w:num w:numId="9" w16cid:durableId="832767677">
    <w:abstractNumId w:val="9"/>
  </w:num>
  <w:num w:numId="10" w16cid:durableId="1121805689">
    <w:abstractNumId w:val="7"/>
  </w:num>
  <w:num w:numId="11" w16cid:durableId="455831383">
    <w:abstractNumId w:val="6"/>
  </w:num>
  <w:num w:numId="12" w16cid:durableId="1301496507">
    <w:abstractNumId w:val="5"/>
  </w:num>
  <w:num w:numId="13" w16cid:durableId="2038389698">
    <w:abstractNumId w:val="4"/>
  </w:num>
  <w:num w:numId="14" w16cid:durableId="1716079611">
    <w:abstractNumId w:val="12"/>
  </w:num>
  <w:num w:numId="15" w16cid:durableId="381949968">
    <w:abstractNumId w:val="11"/>
  </w:num>
  <w:num w:numId="16" w16cid:durableId="609748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1F"/>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A301F"/>
    <w:rsid w:val="002D7C93"/>
    <w:rsid w:val="00305801"/>
    <w:rsid w:val="003916DE"/>
    <w:rsid w:val="003F6E6B"/>
    <w:rsid w:val="00421996"/>
    <w:rsid w:val="00441C3B"/>
    <w:rsid w:val="00446FE5"/>
    <w:rsid w:val="00452396"/>
    <w:rsid w:val="00477EB2"/>
    <w:rsid w:val="004837D8"/>
    <w:rsid w:val="004E2EED"/>
    <w:rsid w:val="004E468C"/>
    <w:rsid w:val="005505B7"/>
    <w:rsid w:val="00573BE5"/>
    <w:rsid w:val="00586ED3"/>
    <w:rsid w:val="00596AA9"/>
    <w:rsid w:val="005F6AF9"/>
    <w:rsid w:val="006C336E"/>
    <w:rsid w:val="0071601D"/>
    <w:rsid w:val="00753166"/>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13BB9"/>
    <w:rsid w:val="00D3439C"/>
    <w:rsid w:val="00D7622E"/>
    <w:rsid w:val="00DB1831"/>
    <w:rsid w:val="00DD3BFD"/>
    <w:rsid w:val="00DF6678"/>
    <w:rsid w:val="00E0299A"/>
    <w:rsid w:val="00E575A8"/>
    <w:rsid w:val="00E85C74"/>
    <w:rsid w:val="00EA6547"/>
    <w:rsid w:val="00ED7237"/>
    <w:rsid w:val="00EF2E22"/>
    <w:rsid w:val="00F00378"/>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4010D"/>
  <w15:docId w15:val="{2B69BC12-6F7B-4E65-820B-E5BB7007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753166"/>
    <w:rPr>
      <w:rFonts w:ascii="Times New Roman" w:eastAsiaTheme="minorHAnsi" w:hAnsi="Times New Roman" w:cs="Times New Roman"/>
      <w:sz w:val="20"/>
      <w:szCs w:val="20"/>
      <w:lang w:eastAsia="en-US"/>
    </w:rPr>
  </w:style>
  <w:style w:type="character" w:customStyle="1" w:styleId="HChGChar">
    <w:name w:val="_ H _Ch_G Char"/>
    <w:link w:val="HChG"/>
    <w:qFormat/>
    <w:rsid w:val="00753166"/>
    <w:rPr>
      <w:rFonts w:ascii="Times New Roman" w:eastAsiaTheme="minorHAnsi" w:hAnsi="Times New Roman" w:cs="Times New Roman"/>
      <w:b/>
      <w:sz w:val="28"/>
      <w:szCs w:val="20"/>
      <w:lang w:eastAsia="en-US"/>
    </w:rPr>
  </w:style>
  <w:style w:type="character" w:customStyle="1" w:styleId="H1GChar">
    <w:name w:val="_ H_1_G Char"/>
    <w:link w:val="H1G"/>
    <w:rsid w:val="00753166"/>
    <w:rPr>
      <w:rFonts w:ascii="Times New Roman" w:eastAsiaTheme="minorHAnsi" w:hAnsi="Times New Roman" w:cs="Times New Roman"/>
      <w:b/>
      <w:sz w:val="24"/>
      <w:szCs w:val="20"/>
      <w:lang w:eastAsia="en-US"/>
    </w:rPr>
  </w:style>
  <w:style w:type="paragraph" w:customStyle="1" w:styleId="para">
    <w:name w:val="para"/>
    <w:basedOn w:val="SingleTxtG"/>
    <w:link w:val="paraChar"/>
    <w:qFormat/>
    <w:rsid w:val="00753166"/>
    <w:pPr>
      <w:tabs>
        <w:tab w:val="left" w:pos="1701"/>
        <w:tab w:val="left" w:pos="2268"/>
        <w:tab w:val="left" w:pos="2835"/>
      </w:tabs>
      <w:ind w:left="2268" w:hanging="1134"/>
    </w:pPr>
    <w:rPr>
      <w:rFonts w:eastAsia="Yu Mincho"/>
      <w:lang w:val="x-none"/>
    </w:rPr>
  </w:style>
  <w:style w:type="character" w:customStyle="1" w:styleId="paraChar">
    <w:name w:val="para Char"/>
    <w:link w:val="para"/>
    <w:locked/>
    <w:rsid w:val="00753166"/>
    <w:rPr>
      <w:rFonts w:ascii="Times New Roman" w:eastAsia="Yu Mincho"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D18B7-F339-4029-9B15-74EBC4BC7376}"/>
</file>

<file path=customXml/itemProps2.xml><?xml version="1.0" encoding="utf-8"?>
<ds:datastoreItem xmlns:ds="http://schemas.openxmlformats.org/officeDocument/2006/customXml" ds:itemID="{BC149140-F70C-4195-B0D2-85E895F5EB79}"/>
</file>

<file path=docProps/app.xml><?xml version="1.0" encoding="utf-8"?>
<Properties xmlns="http://schemas.openxmlformats.org/officeDocument/2006/extended-properties" xmlns:vt="http://schemas.openxmlformats.org/officeDocument/2006/docPropsVTypes">
  <Template>ECE_TRANS.dotm</Template>
  <TotalTime>0</TotalTime>
  <Pages>3</Pages>
  <Words>613</Words>
  <Characters>4297</Characters>
  <Application>Microsoft Office Word</Application>
  <DocSecurity>0</DocSecurity>
  <Lines>358</Lines>
  <Paragraphs>196</Paragraphs>
  <ScaleCrop>false</ScaleCrop>
  <HeadingPairs>
    <vt:vector size="2" baseType="variant">
      <vt:variant>
        <vt:lpstr>Titre</vt:lpstr>
      </vt:variant>
      <vt:variant>
        <vt:i4>1</vt:i4>
      </vt:variant>
    </vt:vector>
  </HeadingPairs>
  <TitlesOfParts>
    <vt:vector size="1" baseType="lpstr">
      <vt:lpstr>ECE/TRANS/WP.29/2023/130</vt:lpstr>
    </vt:vector>
  </TitlesOfParts>
  <Company>DCM</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ECE/TRANS/WP.29/2023/130</dc:title>
  <dc:subject/>
  <dc:creator>Nathalie VITTOZ</dc:creator>
  <cp:keywords/>
  <cp:lastModifiedBy>Nathalie Vittoz</cp:lastModifiedBy>
  <cp:revision>2</cp:revision>
  <cp:lastPrinted>2014-05-14T10:59:00Z</cp:lastPrinted>
  <dcterms:created xsi:type="dcterms:W3CDTF">2023-09-25T07:40:00Z</dcterms:created>
  <dcterms:modified xsi:type="dcterms:W3CDTF">2023-09-25T07:40:00Z</dcterms:modified>
</cp:coreProperties>
</file>