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4D71F4BE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02E5F324" w14:textId="77777777" w:rsidR="00F35BAF" w:rsidRPr="00DB58B5" w:rsidRDefault="00F35BAF" w:rsidP="00C26CD0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AAD5C8E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77C4A16E" w14:textId="747AE7F6" w:rsidR="00F35BAF" w:rsidRPr="00DB58B5" w:rsidRDefault="00C26CD0" w:rsidP="00C26CD0">
            <w:pPr>
              <w:jc w:val="right"/>
            </w:pPr>
            <w:r w:rsidRPr="00C26CD0">
              <w:rPr>
                <w:sz w:val="40"/>
              </w:rPr>
              <w:t>ECE</w:t>
            </w:r>
            <w:r>
              <w:t>/TRANS/WP.29/2023/126</w:t>
            </w:r>
          </w:p>
        </w:tc>
      </w:tr>
      <w:tr w:rsidR="00F35BAF" w:rsidRPr="00DB58B5" w14:paraId="58CEFD37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7C6F990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6524F1C4" wp14:editId="555BCE2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760C94E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1E90EA7" w14:textId="77777777" w:rsidR="00F35BAF" w:rsidRDefault="00C26CD0" w:rsidP="00C97039">
            <w:pPr>
              <w:spacing w:before="240"/>
            </w:pPr>
            <w:r>
              <w:t>Distr. générale</w:t>
            </w:r>
          </w:p>
          <w:p w14:paraId="3613951E" w14:textId="4C4010B5" w:rsidR="00C26CD0" w:rsidRDefault="00C26CD0" w:rsidP="00C26CD0">
            <w:pPr>
              <w:spacing w:line="240" w:lineRule="exact"/>
            </w:pPr>
            <w:r>
              <w:t>1</w:t>
            </w:r>
            <w:r w:rsidRPr="0067543D">
              <w:rPr>
                <w:vertAlign w:val="superscript"/>
              </w:rPr>
              <w:t>er</w:t>
            </w:r>
            <w:r>
              <w:t xml:space="preserve"> septembre 2023</w:t>
            </w:r>
          </w:p>
          <w:p w14:paraId="555C8164" w14:textId="77777777" w:rsidR="00C26CD0" w:rsidRDefault="00C26CD0" w:rsidP="00C26CD0">
            <w:pPr>
              <w:spacing w:line="240" w:lineRule="exact"/>
            </w:pPr>
            <w:r>
              <w:t>Français</w:t>
            </w:r>
          </w:p>
          <w:p w14:paraId="77176D74" w14:textId="26AFA056" w:rsidR="00C26CD0" w:rsidRPr="00DB58B5" w:rsidRDefault="00C26CD0" w:rsidP="00C26CD0">
            <w:pPr>
              <w:spacing w:line="240" w:lineRule="exact"/>
            </w:pPr>
            <w:r>
              <w:t>Original : anglais</w:t>
            </w:r>
          </w:p>
        </w:tc>
      </w:tr>
    </w:tbl>
    <w:p w14:paraId="17D50D69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6370343B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4CBD0142" w14:textId="32D0881D" w:rsidR="00C26CD0" w:rsidRDefault="00C26CD0" w:rsidP="00C26CD0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</w:t>
      </w:r>
      <w:r>
        <w:rPr>
          <w:b/>
          <w:sz w:val="24"/>
          <w:szCs w:val="24"/>
        </w:rPr>
        <w:t>’</w:t>
      </w:r>
      <w:r w:rsidRPr="00685843">
        <w:rPr>
          <w:b/>
          <w:sz w:val="24"/>
          <w:szCs w:val="24"/>
        </w:rPr>
        <w:t>harmonisation</w:t>
      </w:r>
      <w:r w:rsidR="0067543D"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="0067543D"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concernant les véhicules</w:t>
      </w:r>
    </w:p>
    <w:p w14:paraId="09E61247" w14:textId="77777777" w:rsidR="00C26CD0" w:rsidRDefault="00C26CD0" w:rsidP="00C26CD0">
      <w:pPr>
        <w:spacing w:before="120" w:line="240" w:lineRule="exact"/>
        <w:rPr>
          <w:b/>
        </w:rPr>
      </w:pPr>
      <w:r>
        <w:rPr>
          <w:b/>
          <w:bCs/>
          <w:lang w:val="fr-FR"/>
        </w:rPr>
        <w:t>191</w:t>
      </w:r>
      <w:r w:rsidRPr="00172BBC">
        <w:rPr>
          <w:b/>
          <w:bCs/>
          <w:vertAlign w:val="superscript"/>
          <w:lang w:val="fr-FR"/>
        </w:rPr>
        <w:t>e</w:t>
      </w:r>
      <w:r>
        <w:rPr>
          <w:b/>
          <w:bCs/>
          <w:lang w:val="fr-FR"/>
        </w:rPr>
        <w:t xml:space="preserve"> </w:t>
      </w:r>
      <w:r>
        <w:rPr>
          <w:b/>
        </w:rPr>
        <w:t>session</w:t>
      </w:r>
    </w:p>
    <w:p w14:paraId="5A57E457" w14:textId="1D2C5C5E" w:rsidR="00C26CD0" w:rsidRDefault="00C26CD0" w:rsidP="00C26CD0">
      <w:pPr>
        <w:spacing w:line="240" w:lineRule="exact"/>
      </w:pPr>
      <w:r>
        <w:t>Genève, 14-1</w:t>
      </w:r>
      <w:r w:rsidR="00D82DA0">
        <w:t>6</w:t>
      </w:r>
      <w:r>
        <w:t xml:space="preserve"> novembre</w:t>
      </w:r>
      <w:r w:rsidRPr="00C47E96">
        <w:rPr>
          <w:lang w:val="fr-FR"/>
        </w:rPr>
        <w:t xml:space="preserve"> 2023</w:t>
      </w:r>
    </w:p>
    <w:p w14:paraId="78DFC06F" w14:textId="77777777" w:rsidR="00C26CD0" w:rsidRDefault="00C26CD0" w:rsidP="00C26CD0">
      <w:pPr>
        <w:spacing w:line="240" w:lineRule="exact"/>
      </w:pPr>
      <w:r>
        <w:t>Point 4.9.1 de l’ordre du jour provisoire</w:t>
      </w:r>
    </w:p>
    <w:p w14:paraId="30FA626A" w14:textId="4EBEB4C8" w:rsidR="00C26CD0" w:rsidRPr="00C47E96" w:rsidRDefault="00C26CD0" w:rsidP="00C26CD0">
      <w:pPr>
        <w:rPr>
          <w:b/>
          <w:bCs/>
          <w:sz w:val="16"/>
          <w:lang w:val="fr-FR"/>
        </w:rPr>
      </w:pPr>
      <w:r>
        <w:rPr>
          <w:b/>
          <w:bCs/>
          <w:lang w:val="fr-FR"/>
        </w:rPr>
        <w:t>Accord de 1958 :</w:t>
      </w:r>
      <w:r w:rsidR="0067543D">
        <w:rPr>
          <w:b/>
          <w:bCs/>
          <w:lang w:val="fr-FR"/>
        </w:rPr>
        <w:t xml:space="preserve"> </w:t>
      </w:r>
      <w:r w:rsidRPr="005F7A9B">
        <w:rPr>
          <w:b/>
          <w:bCs/>
          <w:lang w:val="fr-FR"/>
        </w:rPr>
        <w:t>Examen de projets d</w:t>
      </w:r>
      <w:r>
        <w:rPr>
          <w:b/>
          <w:bCs/>
          <w:lang w:val="fr-FR"/>
        </w:rPr>
        <w:t>’</w:t>
      </w:r>
      <w:r w:rsidRPr="005F7A9B">
        <w:rPr>
          <w:b/>
          <w:bCs/>
          <w:lang w:val="fr-FR"/>
        </w:rPr>
        <w:t xml:space="preserve">amendements </w:t>
      </w:r>
      <w:r w:rsidR="0067543D">
        <w:rPr>
          <w:b/>
          <w:bCs/>
          <w:lang w:val="fr-FR"/>
        </w:rPr>
        <w:br/>
      </w:r>
      <w:r w:rsidRPr="005F7A9B">
        <w:rPr>
          <w:b/>
          <w:bCs/>
          <w:lang w:val="fr-FR"/>
        </w:rPr>
        <w:t>à des Règlements ONU existants, soumis par le GRPE</w:t>
      </w:r>
    </w:p>
    <w:p w14:paraId="109E38E7" w14:textId="18F55588" w:rsidR="00C26CD0" w:rsidRPr="001335AD" w:rsidRDefault="00C26CD0" w:rsidP="0067543D">
      <w:pPr>
        <w:pStyle w:val="HChG"/>
        <w:rPr>
          <w:lang w:val="fr-FR"/>
        </w:rPr>
      </w:pPr>
      <w:r w:rsidRPr="00C47E96">
        <w:rPr>
          <w:lang w:val="fr-FR"/>
        </w:rPr>
        <w:tab/>
      </w:r>
      <w:r w:rsidRPr="00C47E96">
        <w:rPr>
          <w:lang w:val="fr-FR"/>
        </w:rPr>
        <w:tab/>
      </w:r>
      <w:r w:rsidRPr="001335AD">
        <w:rPr>
          <w:lang w:val="fr-FR"/>
        </w:rPr>
        <w:t xml:space="preserve">Proposition de complément </w:t>
      </w:r>
      <w:r>
        <w:rPr>
          <w:lang w:val="fr-FR"/>
        </w:rPr>
        <w:t xml:space="preserve">11 </w:t>
      </w:r>
      <w:r w:rsidRPr="001335AD">
        <w:rPr>
          <w:lang w:val="fr-FR"/>
        </w:rPr>
        <w:t>à la série</w:t>
      </w:r>
      <w:r w:rsidR="005761DB">
        <w:rPr>
          <w:lang w:val="fr-FR"/>
        </w:rPr>
        <w:t xml:space="preserve"> </w:t>
      </w:r>
      <w:r w:rsidRPr="001335AD">
        <w:rPr>
          <w:lang w:val="fr-FR"/>
        </w:rPr>
        <w:t>03 d</w:t>
      </w:r>
      <w:r>
        <w:rPr>
          <w:lang w:val="fr-FR"/>
        </w:rPr>
        <w:t>’</w:t>
      </w:r>
      <w:r w:rsidRPr="001335AD">
        <w:rPr>
          <w:lang w:val="fr-FR"/>
        </w:rPr>
        <w:t>amendements au Règlement ONU n</w:t>
      </w:r>
      <w:r w:rsidRPr="001335AD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Pr="001335AD">
        <w:rPr>
          <w:lang w:val="fr-FR"/>
        </w:rPr>
        <w:t xml:space="preserve">24 (Émissions de polluants visibles, mesure de la puissance des moteurs à allumage </w:t>
      </w:r>
      <w:r w:rsidR="0067543D">
        <w:rPr>
          <w:lang w:val="fr-FR"/>
        </w:rPr>
        <w:br/>
      </w:r>
      <w:r w:rsidRPr="001335AD">
        <w:rPr>
          <w:lang w:val="fr-FR"/>
        </w:rPr>
        <w:t>par compression (fumées des moteurs diesel))</w:t>
      </w:r>
    </w:p>
    <w:p w14:paraId="20F9B8D5" w14:textId="77777777" w:rsidR="00C26CD0" w:rsidRPr="001335AD" w:rsidRDefault="00C26CD0" w:rsidP="008A6B8A">
      <w:pPr>
        <w:pStyle w:val="H1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1335AD">
        <w:rPr>
          <w:lang w:val="fr-FR"/>
        </w:rPr>
        <w:t xml:space="preserve">Communication </w:t>
      </w:r>
      <w:r>
        <w:rPr>
          <w:lang w:val="fr-FR"/>
        </w:rPr>
        <w:t xml:space="preserve">du </w:t>
      </w:r>
      <w:r w:rsidRPr="005F7A9B">
        <w:rPr>
          <w:lang w:val="fr-FR"/>
        </w:rPr>
        <w:t>Groupe de travail de la pollution et de l</w:t>
      </w:r>
      <w:r>
        <w:rPr>
          <w:lang w:val="fr-FR"/>
        </w:rPr>
        <w:t>’</w:t>
      </w:r>
      <w:r w:rsidRPr="005F7A9B">
        <w:rPr>
          <w:lang w:val="fr-FR"/>
        </w:rPr>
        <w:t>énergie</w:t>
      </w:r>
      <w:r w:rsidRPr="00E86B7E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27347EB9" w14:textId="086D3D3C" w:rsidR="00C26CD0" w:rsidRDefault="00C26CD0" w:rsidP="00C26CD0">
      <w:pPr>
        <w:pStyle w:val="SingleTxtG"/>
        <w:ind w:firstLine="567"/>
        <w:rPr>
          <w:lang w:val="fr-FR"/>
        </w:rPr>
      </w:pPr>
      <w:r w:rsidRPr="00C47E96">
        <w:rPr>
          <w:lang w:val="fr-FR"/>
        </w:rPr>
        <w:t xml:space="preserve">Le texte ci-après, </w:t>
      </w:r>
      <w:r>
        <w:rPr>
          <w:lang w:val="fr-FR"/>
        </w:rPr>
        <w:t xml:space="preserve">adopté par le </w:t>
      </w:r>
      <w:r w:rsidRPr="005F7A9B">
        <w:rPr>
          <w:lang w:val="fr-FR"/>
        </w:rPr>
        <w:t>Groupe de travail de la pollution et de l</w:t>
      </w:r>
      <w:r>
        <w:rPr>
          <w:lang w:val="fr-FR"/>
        </w:rPr>
        <w:t>’</w:t>
      </w:r>
      <w:r w:rsidRPr="005F7A9B">
        <w:rPr>
          <w:lang w:val="fr-FR"/>
        </w:rPr>
        <w:t xml:space="preserve">énergie </w:t>
      </w:r>
      <w:r>
        <w:rPr>
          <w:lang w:val="fr-FR"/>
        </w:rPr>
        <w:t xml:space="preserve">(GRPE) à sa quatre-vingt-neuvième session </w:t>
      </w:r>
      <w:r w:rsidRPr="005F7A9B">
        <w:rPr>
          <w:lang w:val="fr-FR"/>
        </w:rPr>
        <w:t>(ECE/TRANS/WP.29/GRPE/89, par.</w:t>
      </w:r>
      <w:r w:rsidR="008A6B8A">
        <w:rPr>
          <w:lang w:val="fr-FR"/>
        </w:rPr>
        <w:t> </w:t>
      </w:r>
      <w:r w:rsidRPr="005F7A9B">
        <w:rPr>
          <w:lang w:val="fr-FR"/>
        </w:rPr>
        <w:t>46)</w:t>
      </w:r>
      <w:r>
        <w:rPr>
          <w:lang w:val="fr-FR"/>
        </w:rPr>
        <w:t>, est fondé sur les documents</w:t>
      </w:r>
      <w:r w:rsidRPr="005F7A9B">
        <w:rPr>
          <w:lang w:val="fr-FR"/>
        </w:rPr>
        <w:t xml:space="preserve"> ECE/TRANS/WP.29/GRPE/2023/18</w:t>
      </w:r>
      <w:r>
        <w:rPr>
          <w:lang w:val="fr-FR"/>
        </w:rPr>
        <w:t xml:space="preserve"> et</w:t>
      </w:r>
      <w:r w:rsidRPr="005F7A9B">
        <w:rPr>
          <w:lang w:val="fr-FR"/>
        </w:rPr>
        <w:t xml:space="preserve"> GRPE-89-18 </w:t>
      </w:r>
      <w:r>
        <w:rPr>
          <w:lang w:val="fr-FR"/>
        </w:rPr>
        <w:t>tels que modifiés par l’a</w:t>
      </w:r>
      <w:r w:rsidRPr="005F7A9B">
        <w:rPr>
          <w:lang w:val="fr-FR"/>
        </w:rPr>
        <w:t>nnex</w:t>
      </w:r>
      <w:r>
        <w:rPr>
          <w:lang w:val="fr-FR"/>
        </w:rPr>
        <w:t>e</w:t>
      </w:r>
      <w:r w:rsidRPr="005F7A9B">
        <w:rPr>
          <w:lang w:val="fr-FR"/>
        </w:rPr>
        <w:t xml:space="preserve"> IV </w:t>
      </w:r>
      <w:r>
        <w:rPr>
          <w:lang w:val="fr-FR"/>
        </w:rPr>
        <w:t xml:space="preserve">du rapport. </w:t>
      </w:r>
      <w:r w:rsidRPr="005C5229">
        <w:rPr>
          <w:lang w:val="fr-FR"/>
        </w:rPr>
        <w:t>Il est soumis au Forum mondial de l</w:t>
      </w:r>
      <w:r>
        <w:rPr>
          <w:lang w:val="fr-FR"/>
        </w:rPr>
        <w:t>’</w:t>
      </w:r>
      <w:r w:rsidRPr="005C5229">
        <w:rPr>
          <w:lang w:val="fr-FR"/>
        </w:rPr>
        <w:t>harmonisation des Règlements concernant les véhicules (WP.29) et au Comité d</w:t>
      </w:r>
      <w:r>
        <w:rPr>
          <w:lang w:val="fr-FR"/>
        </w:rPr>
        <w:t>’</w:t>
      </w:r>
      <w:r w:rsidRPr="005C5229">
        <w:rPr>
          <w:lang w:val="fr-FR"/>
        </w:rPr>
        <w:t>administration de l</w:t>
      </w:r>
      <w:r>
        <w:rPr>
          <w:lang w:val="fr-FR"/>
        </w:rPr>
        <w:t>’</w:t>
      </w:r>
      <w:r w:rsidRPr="005C5229">
        <w:rPr>
          <w:lang w:val="fr-FR"/>
        </w:rPr>
        <w:t>Accord de 1958 (AC.1) pour examen à leurs sessions de novembre 2023.</w:t>
      </w:r>
    </w:p>
    <w:p w14:paraId="23EE53A7" w14:textId="77777777" w:rsidR="00C26CD0" w:rsidRDefault="00C26CD0" w:rsidP="00C26CD0">
      <w:pPr>
        <w:rPr>
          <w:lang w:val="fr-FR"/>
        </w:rPr>
      </w:pPr>
      <w:r>
        <w:rPr>
          <w:lang w:val="fr-FR"/>
        </w:rPr>
        <w:br w:type="page"/>
      </w:r>
    </w:p>
    <w:p w14:paraId="090BFC59" w14:textId="77777777" w:rsidR="00C26CD0" w:rsidRPr="00C47E96" w:rsidRDefault="00C26CD0" w:rsidP="008A6B8A">
      <w:pPr>
        <w:pStyle w:val="SingleTxtG"/>
        <w:keepNext/>
        <w:rPr>
          <w:lang w:val="fr-FR"/>
        </w:rPr>
      </w:pPr>
      <w:r w:rsidRPr="0066333D">
        <w:rPr>
          <w:i/>
          <w:iCs/>
          <w:lang w:val="fr-FR"/>
        </w:rPr>
        <w:lastRenderedPageBreak/>
        <w:t>Partie I, paragraphe 8.3.1</w:t>
      </w:r>
      <w:r w:rsidRPr="00C47E96">
        <w:rPr>
          <w:lang w:val="fr-FR"/>
        </w:rPr>
        <w:t>, lire</w:t>
      </w:r>
      <w:r>
        <w:rPr>
          <w:lang w:val="fr-FR"/>
        </w:rPr>
        <w:t> </w:t>
      </w:r>
      <w:r w:rsidRPr="00C47E96">
        <w:rPr>
          <w:lang w:val="fr-FR"/>
        </w:rPr>
        <w:t>:</w:t>
      </w:r>
    </w:p>
    <w:p w14:paraId="2BDC8B2B" w14:textId="77777777" w:rsidR="00C26CD0" w:rsidRPr="00C47E96" w:rsidRDefault="00C26CD0" w:rsidP="00C26CD0">
      <w:pPr>
        <w:pStyle w:val="SingleTxtG"/>
        <w:ind w:left="2268" w:hanging="1134"/>
        <w:rPr>
          <w:lang w:val="fr-FR"/>
        </w:rPr>
      </w:pPr>
      <w:r>
        <w:rPr>
          <w:lang w:val="fr-FR"/>
        </w:rPr>
        <w:t>« </w:t>
      </w:r>
      <w:r w:rsidRPr="00C47E96">
        <w:rPr>
          <w:lang w:val="fr-FR"/>
        </w:rPr>
        <w:t>8.3.1</w:t>
      </w:r>
      <w:r w:rsidRPr="00C47E96">
        <w:rPr>
          <w:lang w:val="fr-FR"/>
        </w:rPr>
        <w:tab/>
        <w:t>Un moteur qui n</w:t>
      </w:r>
      <w:r>
        <w:rPr>
          <w:lang w:val="fr-FR"/>
        </w:rPr>
        <w:t>’</w:t>
      </w:r>
      <w:r w:rsidRPr="00C47E96">
        <w:rPr>
          <w:lang w:val="fr-FR"/>
        </w:rPr>
        <w:t>a pas été rodé est soumis à l</w:t>
      </w:r>
      <w:r>
        <w:rPr>
          <w:lang w:val="fr-FR"/>
        </w:rPr>
        <w:t>’</w:t>
      </w:r>
      <w:r w:rsidRPr="00C47E96">
        <w:rPr>
          <w:lang w:val="fr-FR"/>
        </w:rPr>
        <w:t>essai en accélération libre prescrit à l</w:t>
      </w:r>
      <w:r>
        <w:rPr>
          <w:lang w:val="fr-FR"/>
        </w:rPr>
        <w:t>’</w:t>
      </w:r>
      <w:r w:rsidRPr="00C47E96">
        <w:rPr>
          <w:lang w:val="fr-FR"/>
        </w:rPr>
        <w:t>annexe 5 du présent Règlement.</w:t>
      </w:r>
    </w:p>
    <w:p w14:paraId="46D3CA3C" w14:textId="3492BAF1" w:rsidR="00C26CD0" w:rsidRPr="00C47E96" w:rsidRDefault="00C26CD0" w:rsidP="00C26CD0">
      <w:pPr>
        <w:pStyle w:val="SingleTxtG"/>
        <w:ind w:left="2268"/>
        <w:rPr>
          <w:lang w:val="fr-FR"/>
        </w:rPr>
      </w:pPr>
      <w:r w:rsidRPr="00C47E96">
        <w:rPr>
          <w:lang w:val="fr-FR"/>
        </w:rPr>
        <w:t>Le moteur est jugé conforme au type homologué si le coefficient d</w:t>
      </w:r>
      <w:r>
        <w:rPr>
          <w:lang w:val="fr-FR"/>
        </w:rPr>
        <w:t>’</w:t>
      </w:r>
      <w:r w:rsidRPr="00C47E96">
        <w:rPr>
          <w:lang w:val="fr-FR"/>
        </w:rPr>
        <w:t>absorption déterminé ne dépasse pas de plus de 0,5 m-1 le chiffre figurant sur la marque ou le document d</w:t>
      </w:r>
      <w:r>
        <w:rPr>
          <w:lang w:val="fr-FR"/>
        </w:rPr>
        <w:t>’</w:t>
      </w:r>
      <w:r w:rsidRPr="00C47E96">
        <w:rPr>
          <w:lang w:val="fr-FR"/>
        </w:rPr>
        <w:t>homologation pour ce moteur (voir par.</w:t>
      </w:r>
      <w:r w:rsidR="00D3751F">
        <w:rPr>
          <w:lang w:val="fr-FR"/>
        </w:rPr>
        <w:t> </w:t>
      </w:r>
      <w:r w:rsidRPr="00C47E96">
        <w:rPr>
          <w:lang w:val="fr-FR"/>
        </w:rPr>
        <w:t xml:space="preserve">8.1 ci-dessus). Si le constructeur en fait la demande, le carburant </w:t>
      </w:r>
      <w:r w:rsidRPr="00172BBC">
        <w:rPr>
          <w:lang w:val="fr-FR"/>
        </w:rPr>
        <w:t xml:space="preserve">disponible sur le marché </w:t>
      </w:r>
      <w:r w:rsidRPr="00230F96">
        <w:rPr>
          <w:lang w:val="fr-FR"/>
        </w:rPr>
        <w:t xml:space="preserve">peut être remplacé par </w:t>
      </w:r>
      <w:r w:rsidRPr="00172BBC">
        <w:rPr>
          <w:lang w:val="fr-FR"/>
        </w:rPr>
        <w:t>le carburant de référence</w:t>
      </w:r>
      <w:r w:rsidRPr="00FB3143">
        <w:rPr>
          <w:lang w:val="fr-FR"/>
        </w:rPr>
        <w:t>. »</w:t>
      </w:r>
      <w:r>
        <w:rPr>
          <w:lang w:val="fr-FR"/>
        </w:rPr>
        <w:t>.</w:t>
      </w:r>
    </w:p>
    <w:p w14:paraId="460242ED" w14:textId="77777777" w:rsidR="00C26CD0" w:rsidRPr="00C47E96" w:rsidRDefault="00C26CD0" w:rsidP="008A6B8A">
      <w:pPr>
        <w:pStyle w:val="SingleTxtG"/>
        <w:keepNext/>
        <w:rPr>
          <w:iCs/>
          <w:lang w:val="fr-FR"/>
        </w:rPr>
      </w:pPr>
      <w:r w:rsidRPr="00C47E96">
        <w:rPr>
          <w:i/>
          <w:iCs/>
          <w:lang w:val="fr-FR"/>
        </w:rPr>
        <w:t>Annexe 4, paragraphe 3.2</w:t>
      </w:r>
      <w:r w:rsidRPr="00C47E96">
        <w:rPr>
          <w:lang w:val="fr-FR"/>
        </w:rPr>
        <w:t>, lire</w:t>
      </w:r>
      <w:r>
        <w:rPr>
          <w:lang w:val="fr-FR"/>
        </w:rPr>
        <w:t> </w:t>
      </w:r>
      <w:r w:rsidRPr="00C47E96">
        <w:rPr>
          <w:lang w:val="fr-FR"/>
        </w:rPr>
        <w:t>:</w:t>
      </w:r>
    </w:p>
    <w:p w14:paraId="5FCE63D9" w14:textId="77777777" w:rsidR="00C26CD0" w:rsidRPr="00F11CB0" w:rsidRDefault="00C26CD0" w:rsidP="008A6B8A">
      <w:pPr>
        <w:pStyle w:val="SingleTxtG"/>
        <w:keepNext/>
        <w:ind w:left="2268" w:hanging="1134"/>
        <w:jc w:val="left"/>
        <w:rPr>
          <w:lang w:val="fr-FR"/>
        </w:rPr>
      </w:pPr>
      <w:r w:rsidRPr="00F11CB0">
        <w:rPr>
          <w:lang w:val="fr-FR"/>
        </w:rPr>
        <w:t>« 3.2</w:t>
      </w:r>
      <w:r w:rsidRPr="00F11CB0">
        <w:rPr>
          <w:lang w:val="fr-FR"/>
        </w:rPr>
        <w:tab/>
        <w:t>Carburant</w:t>
      </w:r>
    </w:p>
    <w:p w14:paraId="0BD96F4D" w14:textId="77777777" w:rsidR="00C26CD0" w:rsidRPr="00F11CB0" w:rsidRDefault="00C26CD0" w:rsidP="00C26CD0">
      <w:pPr>
        <w:pStyle w:val="SingleTxtG"/>
        <w:ind w:left="2268"/>
        <w:rPr>
          <w:lang w:val="fr-FR"/>
        </w:rPr>
      </w:pPr>
      <w:r w:rsidRPr="00F11CB0">
        <w:rPr>
          <w:lang w:val="fr-FR"/>
        </w:rPr>
        <w:t>Le carburant doit être le carburant de référence dont les spécifications sont données à l</w:t>
      </w:r>
      <w:r>
        <w:rPr>
          <w:lang w:val="fr-FR"/>
        </w:rPr>
        <w:t>’</w:t>
      </w:r>
      <w:r w:rsidRPr="00F11CB0">
        <w:rPr>
          <w:lang w:val="fr-FR"/>
        </w:rPr>
        <w:t>annexe 6 du présent Règlement.</w:t>
      </w:r>
    </w:p>
    <w:p w14:paraId="2F8F8CEE" w14:textId="77777777" w:rsidR="00C26CD0" w:rsidRPr="00F11CB0" w:rsidRDefault="00C26CD0" w:rsidP="00C26CD0">
      <w:pPr>
        <w:pStyle w:val="SingleTxtG"/>
        <w:ind w:left="2268"/>
        <w:rPr>
          <w:lang w:val="fr-FR"/>
        </w:rPr>
      </w:pPr>
      <w:r w:rsidRPr="00F11CB0">
        <w:rPr>
          <w:lang w:val="fr-FR"/>
        </w:rPr>
        <w:t xml:space="preserve">Dans les cas où les essais portant sur </w:t>
      </w:r>
      <w:r w:rsidRPr="00172BBC">
        <w:rPr>
          <w:lang w:val="fr-FR"/>
        </w:rPr>
        <w:t xml:space="preserve">la puissance du moteur </w:t>
      </w:r>
      <w:r w:rsidRPr="00F11CB0">
        <w:rPr>
          <w:lang w:val="fr-FR"/>
        </w:rPr>
        <w:t>conformément au</w:t>
      </w:r>
      <w:r w:rsidRPr="00172BBC">
        <w:rPr>
          <w:lang w:val="fr-FR"/>
        </w:rPr>
        <w:t xml:space="preserve"> </w:t>
      </w:r>
      <w:r w:rsidRPr="00F11CB0">
        <w:rPr>
          <w:lang w:val="fr-FR"/>
        </w:rPr>
        <w:t>Règlement ONU n</w:t>
      </w:r>
      <w:r w:rsidRPr="00F11CB0">
        <w:rPr>
          <w:vertAlign w:val="superscript"/>
          <w:lang w:val="fr-FR"/>
        </w:rPr>
        <w:t>o</w:t>
      </w:r>
      <w:r w:rsidRPr="00172BBC">
        <w:rPr>
          <w:vertAlign w:val="superscript"/>
          <w:lang w:val="fr-FR"/>
        </w:rPr>
        <w:t>s</w:t>
      </w:r>
      <w:r w:rsidRPr="00F11CB0">
        <w:rPr>
          <w:lang w:val="fr-FR"/>
        </w:rPr>
        <w:t xml:space="preserve"> 85 ou </w:t>
      </w:r>
      <w:r w:rsidRPr="00172BBC">
        <w:rPr>
          <w:lang w:val="fr-FR"/>
        </w:rPr>
        <w:t>sur les émissions de gaz polluants et de particules conformément au Règlement ONU n</w:t>
      </w:r>
      <w:r w:rsidRPr="00172BBC">
        <w:rPr>
          <w:vertAlign w:val="superscript"/>
          <w:lang w:val="fr-FR"/>
        </w:rPr>
        <w:t>o</w:t>
      </w:r>
      <w:r w:rsidRPr="00F11CB0">
        <w:rPr>
          <w:lang w:val="fr-FR"/>
        </w:rPr>
        <w:t> 49 sont menés en même temps que les essais relevant du présent Règlement, à la demande du constructeur, le carburant utilisé pour les essais portant sur les émissions de gaz polluants et de particules peut être utilisé pour les essais relevant du présent Règlement. ».</w:t>
      </w:r>
    </w:p>
    <w:p w14:paraId="311E4387" w14:textId="77777777" w:rsidR="00C26CD0" w:rsidRPr="00F11CB0" w:rsidRDefault="00C26CD0" w:rsidP="008A6B8A">
      <w:pPr>
        <w:pStyle w:val="SingleTxtG"/>
        <w:keepNext/>
        <w:rPr>
          <w:rFonts w:eastAsia="Times New Roman"/>
          <w:i/>
          <w:lang w:val="fr-FR"/>
        </w:rPr>
      </w:pPr>
      <w:r w:rsidRPr="00F11CB0">
        <w:rPr>
          <w:i/>
          <w:iCs/>
          <w:lang w:val="fr-FR"/>
        </w:rPr>
        <w:t>Annexe 5</w:t>
      </w:r>
      <w:r w:rsidRPr="00F11CB0">
        <w:rPr>
          <w:lang w:val="fr-FR"/>
        </w:rPr>
        <w:t>, ajouter le nouveau paragraphe 1.5, libellé comme suit :</w:t>
      </w:r>
    </w:p>
    <w:p w14:paraId="71116D4E" w14:textId="77777777" w:rsidR="00C26CD0" w:rsidRPr="00172BBC" w:rsidRDefault="00C26CD0" w:rsidP="008A6B8A">
      <w:pPr>
        <w:pStyle w:val="SingleTxtG"/>
        <w:keepNext/>
        <w:ind w:left="2268" w:hanging="1134"/>
        <w:jc w:val="left"/>
        <w:rPr>
          <w:rFonts w:eastAsia="Times New Roman"/>
          <w:lang w:val="fr-FR"/>
        </w:rPr>
      </w:pPr>
      <w:r w:rsidRPr="00F11CB0">
        <w:rPr>
          <w:lang w:val="fr-FR"/>
        </w:rPr>
        <w:t>« </w:t>
      </w:r>
      <w:r w:rsidRPr="00172BBC">
        <w:rPr>
          <w:lang w:val="fr-FR"/>
        </w:rPr>
        <w:t>1.5</w:t>
      </w:r>
      <w:r w:rsidRPr="00F11CB0">
        <w:rPr>
          <w:lang w:val="fr-FR"/>
        </w:rPr>
        <w:tab/>
      </w:r>
      <w:r w:rsidRPr="00172BBC">
        <w:rPr>
          <w:lang w:val="fr-FR"/>
        </w:rPr>
        <w:t>Carburant</w:t>
      </w:r>
    </w:p>
    <w:p w14:paraId="449B2C51" w14:textId="77777777" w:rsidR="00C26CD0" w:rsidRPr="00F11CB0" w:rsidRDefault="00C26CD0" w:rsidP="00C26CD0">
      <w:pPr>
        <w:pStyle w:val="SingleTxtG"/>
        <w:ind w:left="2268"/>
        <w:rPr>
          <w:rFonts w:eastAsia="Times New Roman"/>
          <w:i/>
          <w:lang w:val="fr-FR"/>
        </w:rPr>
      </w:pPr>
      <w:r w:rsidRPr="00172BBC">
        <w:rPr>
          <w:lang w:val="fr-FR"/>
        </w:rPr>
        <w:t>Le carburant utilisé doit être disponible sur le marché.</w:t>
      </w:r>
      <w:r w:rsidRPr="00F11CB0">
        <w:rPr>
          <w:lang w:val="fr-FR"/>
        </w:rPr>
        <w:t xml:space="preserve"> </w:t>
      </w:r>
      <w:r w:rsidRPr="00172BBC">
        <w:rPr>
          <w:lang w:val="fr-FR"/>
        </w:rPr>
        <w:t>En cas de contestation, le carburant doit être le carburant de référence dont les spécifications sont données à l</w:t>
      </w:r>
      <w:r>
        <w:rPr>
          <w:lang w:val="fr-FR"/>
        </w:rPr>
        <w:t>’</w:t>
      </w:r>
      <w:r w:rsidRPr="00172BBC">
        <w:rPr>
          <w:lang w:val="fr-FR"/>
        </w:rPr>
        <w:t>annexe 6 du présent Règlement.</w:t>
      </w:r>
      <w:r w:rsidRPr="00F11CB0">
        <w:rPr>
          <w:lang w:val="fr-FR"/>
        </w:rPr>
        <w:t> ».</w:t>
      </w:r>
    </w:p>
    <w:p w14:paraId="0FFFF752" w14:textId="77777777" w:rsidR="00C26CD0" w:rsidRPr="00F11CB0" w:rsidRDefault="00C26CD0" w:rsidP="008A6B8A">
      <w:pPr>
        <w:pStyle w:val="SingleTxtG"/>
        <w:keepNext/>
        <w:rPr>
          <w:rFonts w:eastAsia="Times New Roman"/>
          <w:i/>
          <w:lang w:val="fr-FR"/>
        </w:rPr>
      </w:pPr>
      <w:r w:rsidRPr="00F11CB0">
        <w:rPr>
          <w:i/>
          <w:iCs/>
          <w:lang w:val="fr-FR"/>
        </w:rPr>
        <w:t>Annexe 10, paragraphe 9.1</w:t>
      </w:r>
      <w:r w:rsidRPr="00F11CB0">
        <w:rPr>
          <w:lang w:val="fr-FR"/>
        </w:rPr>
        <w:t>, lire :</w:t>
      </w:r>
    </w:p>
    <w:p w14:paraId="16FA977F" w14:textId="3FBA2EFD" w:rsidR="00F9573C" w:rsidRDefault="00C26CD0" w:rsidP="00C26CD0">
      <w:pPr>
        <w:pStyle w:val="SingleTxtG"/>
        <w:ind w:left="2268" w:hanging="1134"/>
        <w:rPr>
          <w:lang w:val="fr-FR"/>
        </w:rPr>
      </w:pPr>
      <w:r w:rsidRPr="00F11CB0">
        <w:rPr>
          <w:lang w:val="fr-FR"/>
        </w:rPr>
        <w:t>« 9.1</w:t>
      </w:r>
      <w:r w:rsidRPr="00F11CB0">
        <w:rPr>
          <w:lang w:val="fr-FR"/>
        </w:rPr>
        <w:tab/>
      </w:r>
      <w:r w:rsidRPr="00172BBC">
        <w:rPr>
          <w:lang w:val="fr-FR"/>
        </w:rPr>
        <w:t xml:space="preserve">La puissance nette spécifiée par le constructeur peut différer de </w:t>
      </w:r>
      <w:r w:rsidR="00AC1735">
        <w:rPr>
          <w:lang w:val="fr-FR"/>
        </w:rPr>
        <w:sym w:font="Symbol" w:char="F0B1"/>
      </w:r>
      <w:r w:rsidRPr="00172BBC">
        <w:rPr>
          <w:lang w:val="fr-FR"/>
        </w:rPr>
        <w:t xml:space="preserve">2 % pour la puissance maximale et de </w:t>
      </w:r>
      <w:r w:rsidR="00AC1735">
        <w:rPr>
          <w:lang w:val="fr-FR"/>
        </w:rPr>
        <w:sym w:font="Symbol" w:char="F0B1"/>
      </w:r>
      <w:r w:rsidRPr="00172BBC">
        <w:rPr>
          <w:lang w:val="fr-FR"/>
        </w:rPr>
        <w:t xml:space="preserve">4 % aux autres points de mesure de la courbe, avec une tolérance de </w:t>
      </w:r>
      <w:r w:rsidR="00AC1735">
        <w:rPr>
          <w:lang w:val="fr-FR"/>
        </w:rPr>
        <w:sym w:font="Symbol" w:char="F0B1"/>
      </w:r>
      <w:r w:rsidRPr="00172BBC">
        <w:rPr>
          <w:lang w:val="fr-FR"/>
        </w:rPr>
        <w:t>2 % pour le régime-moteur ou pour des valeurs se situant dans la plage de régime-moteur (X1 min</w:t>
      </w:r>
      <w:r w:rsidRPr="00172BBC">
        <w:rPr>
          <w:vertAlign w:val="superscript"/>
          <w:lang w:val="fr-FR"/>
        </w:rPr>
        <w:t>-1</w:t>
      </w:r>
      <w:r w:rsidRPr="00172BBC">
        <w:rPr>
          <w:lang w:val="fr-FR"/>
        </w:rPr>
        <w:t xml:space="preserve"> – 2 %) à (X2 min</w:t>
      </w:r>
      <w:r w:rsidRPr="00172BBC">
        <w:rPr>
          <w:vertAlign w:val="superscript"/>
          <w:lang w:val="fr-FR"/>
        </w:rPr>
        <w:t xml:space="preserve">-1 </w:t>
      </w:r>
      <w:r w:rsidRPr="00172BBC">
        <w:rPr>
          <w:lang w:val="fr-FR"/>
        </w:rPr>
        <w:t>+2 %) (X1</w:t>
      </w:r>
      <w:r w:rsidR="00AC1735">
        <w:rPr>
          <w:lang w:val="fr-FR"/>
        </w:rPr>
        <w:t> </w:t>
      </w:r>
      <w:r w:rsidRPr="00172BBC">
        <w:rPr>
          <w:lang w:val="fr-FR"/>
        </w:rPr>
        <w:t>&lt;</w:t>
      </w:r>
      <w:r w:rsidR="00AC1735">
        <w:rPr>
          <w:lang w:val="fr-FR"/>
        </w:rPr>
        <w:t> </w:t>
      </w:r>
      <w:r w:rsidRPr="00172BBC">
        <w:rPr>
          <w:lang w:val="fr-FR"/>
        </w:rPr>
        <w:t>X2), par rapport aux valeurs mesurées par le service technique sur le moteur soumis à l</w:t>
      </w:r>
      <w:r>
        <w:rPr>
          <w:lang w:val="fr-FR"/>
        </w:rPr>
        <w:t>’</w:t>
      </w:r>
      <w:r w:rsidRPr="00172BBC">
        <w:rPr>
          <w:lang w:val="fr-FR"/>
        </w:rPr>
        <w:t>essai.</w:t>
      </w:r>
      <w:r w:rsidRPr="00F11CB0">
        <w:rPr>
          <w:lang w:val="fr-FR"/>
        </w:rPr>
        <w:t> ».</w:t>
      </w:r>
    </w:p>
    <w:p w14:paraId="151FF528" w14:textId="3227AF49" w:rsidR="00C26CD0" w:rsidRPr="00C26CD0" w:rsidRDefault="00C26CD0" w:rsidP="00C26CD0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26CD0" w:rsidRPr="00C26CD0" w:rsidSect="00C26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C501" w14:textId="77777777" w:rsidR="0005536A" w:rsidRDefault="0005536A" w:rsidP="00F95C08">
      <w:pPr>
        <w:spacing w:line="240" w:lineRule="auto"/>
      </w:pPr>
    </w:p>
  </w:endnote>
  <w:endnote w:type="continuationSeparator" w:id="0">
    <w:p w14:paraId="77F7D363" w14:textId="77777777" w:rsidR="0005536A" w:rsidRPr="00AC3823" w:rsidRDefault="0005536A" w:rsidP="00AC3823">
      <w:pPr>
        <w:pStyle w:val="Pieddepage"/>
      </w:pPr>
    </w:p>
  </w:endnote>
  <w:endnote w:type="continuationNotice" w:id="1">
    <w:p w14:paraId="2C2FF936" w14:textId="77777777" w:rsidR="0005536A" w:rsidRDefault="000553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7600" w14:textId="62421706" w:rsidR="00C26CD0" w:rsidRPr="00C26CD0" w:rsidRDefault="00C26CD0" w:rsidP="00C26CD0">
    <w:pPr>
      <w:pStyle w:val="Pieddepage"/>
      <w:tabs>
        <w:tab w:val="right" w:pos="9638"/>
      </w:tabs>
    </w:pPr>
    <w:r w:rsidRPr="00C26CD0">
      <w:rPr>
        <w:b/>
        <w:sz w:val="18"/>
      </w:rPr>
      <w:fldChar w:fldCharType="begin"/>
    </w:r>
    <w:r w:rsidRPr="00C26CD0">
      <w:rPr>
        <w:b/>
        <w:sz w:val="18"/>
      </w:rPr>
      <w:instrText xml:space="preserve"> PAGE  \* MERGEFORMAT </w:instrText>
    </w:r>
    <w:r w:rsidRPr="00C26CD0">
      <w:rPr>
        <w:b/>
        <w:sz w:val="18"/>
      </w:rPr>
      <w:fldChar w:fldCharType="separate"/>
    </w:r>
    <w:r w:rsidRPr="00C26CD0">
      <w:rPr>
        <w:b/>
        <w:noProof/>
        <w:sz w:val="18"/>
      </w:rPr>
      <w:t>2</w:t>
    </w:r>
    <w:r w:rsidRPr="00C26CD0">
      <w:rPr>
        <w:b/>
        <w:sz w:val="18"/>
      </w:rPr>
      <w:fldChar w:fldCharType="end"/>
    </w:r>
    <w:r>
      <w:rPr>
        <w:b/>
        <w:sz w:val="18"/>
      </w:rPr>
      <w:tab/>
    </w:r>
    <w:r>
      <w:t>GE.23-16873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2021" w14:textId="5F41D411" w:rsidR="00C26CD0" w:rsidRPr="00C26CD0" w:rsidRDefault="00C26CD0" w:rsidP="00C26CD0">
    <w:pPr>
      <w:pStyle w:val="Pieddepage"/>
      <w:tabs>
        <w:tab w:val="right" w:pos="9638"/>
      </w:tabs>
      <w:rPr>
        <w:b/>
        <w:sz w:val="18"/>
      </w:rPr>
    </w:pPr>
    <w:r>
      <w:t>GE.23-16873</w:t>
    </w:r>
    <w:r>
      <w:tab/>
    </w:r>
    <w:r w:rsidRPr="00C26CD0">
      <w:rPr>
        <w:b/>
        <w:sz w:val="18"/>
      </w:rPr>
      <w:fldChar w:fldCharType="begin"/>
    </w:r>
    <w:r w:rsidRPr="00C26CD0">
      <w:rPr>
        <w:b/>
        <w:sz w:val="18"/>
      </w:rPr>
      <w:instrText xml:space="preserve"> PAGE  \* MERGEFORMAT </w:instrText>
    </w:r>
    <w:r w:rsidRPr="00C26CD0">
      <w:rPr>
        <w:b/>
        <w:sz w:val="18"/>
      </w:rPr>
      <w:fldChar w:fldCharType="separate"/>
    </w:r>
    <w:r w:rsidRPr="00C26CD0">
      <w:rPr>
        <w:b/>
        <w:noProof/>
        <w:sz w:val="18"/>
      </w:rPr>
      <w:t>3</w:t>
    </w:r>
    <w:r w:rsidRPr="00C26CD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918F" w14:textId="6231CB01" w:rsidR="007F20FA" w:rsidRPr="00C26CD0" w:rsidRDefault="00C26CD0" w:rsidP="00C26CD0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22EEB103" wp14:editId="5A518274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23-16873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7CD516F" wp14:editId="725C6E3D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220923    2</w:t>
    </w:r>
    <w:r w:rsidR="00D82DA0">
      <w:rPr>
        <w:sz w:val="20"/>
      </w:rPr>
      <w:t>6</w:t>
    </w:r>
    <w:r>
      <w:rPr>
        <w:sz w:val="20"/>
      </w:rPr>
      <w:t>0923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FD7B4" w14:textId="77777777" w:rsidR="0005536A" w:rsidRPr="00AC3823" w:rsidRDefault="0005536A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6F387B6" w14:textId="77777777" w:rsidR="0005536A" w:rsidRPr="00AC3823" w:rsidRDefault="0005536A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A609B16" w14:textId="77777777" w:rsidR="0005536A" w:rsidRPr="00AC3823" w:rsidRDefault="0005536A">
      <w:pPr>
        <w:spacing w:line="240" w:lineRule="auto"/>
        <w:rPr>
          <w:sz w:val="2"/>
          <w:szCs w:val="2"/>
        </w:rPr>
      </w:pPr>
    </w:p>
  </w:footnote>
  <w:footnote w:id="2">
    <w:p w14:paraId="7B6BB61B" w14:textId="61D2D04E" w:rsidR="00C26CD0" w:rsidRDefault="00C26CD0" w:rsidP="00C26CD0">
      <w:pPr>
        <w:pStyle w:val="Notedebasdepage"/>
        <w:rPr>
          <w:lang w:val="fr-FR"/>
        </w:rPr>
      </w:pPr>
      <w:r>
        <w:rPr>
          <w:rStyle w:val="Appelnotedebasdep"/>
        </w:rPr>
        <w:tab/>
      </w:r>
      <w:r w:rsidRPr="00E86B7E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 xml:space="preserve">Conformément au programme de travail du Comité des transports intérieurs </w:t>
      </w:r>
      <w:r w:rsidRPr="008B259F">
        <w:rPr>
          <w:lang w:val="fr-FR"/>
        </w:rPr>
        <w:t>pour 2023 tel</w:t>
      </w:r>
      <w:r>
        <w:rPr>
          <w:lang w:val="fr-FR"/>
        </w:rPr>
        <w:t xml:space="preserve"> qu’il figure dans le projet de budget-programme pour 2023 (A/77/6 (Sect. 20), tableau 20.6), le Forum mondial a pour mission d’élaborer, d’harmoniser et de mettre à jour les Règlements ONU en vue d’améliorer les caractéristiques fonctionnelles des véhicules. Le présent document est soumis en vertu de ce mandat.</w:t>
      </w:r>
    </w:p>
    <w:p w14:paraId="6F8E324D" w14:textId="77777777" w:rsidR="008A6B8A" w:rsidRPr="00E86B7E" w:rsidRDefault="008A6B8A" w:rsidP="00C26CD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83B7" w14:textId="0B9BB658" w:rsidR="00C26CD0" w:rsidRPr="00C26CD0" w:rsidRDefault="00D82DA0">
    <w:pPr>
      <w:pStyle w:val="En-tte"/>
    </w:pPr>
    <w:r>
      <w:fldChar w:fldCharType="begin"/>
    </w:r>
    <w:r>
      <w:instrText xml:space="preserve"> TITLE  \* MERGEFORMAT </w:instrText>
    </w:r>
    <w:r>
      <w:fldChar w:fldCharType="separate"/>
    </w:r>
    <w:r w:rsidR="00C26CD0">
      <w:t>ECE/TRANS/WP.29/2023/126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FAF9" w14:textId="7DDDD4C2" w:rsidR="00C26CD0" w:rsidRPr="00C26CD0" w:rsidRDefault="00D82DA0" w:rsidP="00C26CD0">
    <w:pPr>
      <w:pStyle w:val="En-tte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C26CD0">
      <w:t>ECE/TRANS/WP.29/2023/126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364B" w14:textId="77777777" w:rsidR="00D82DA0" w:rsidRDefault="00D82D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974824722">
    <w:abstractNumId w:val="12"/>
  </w:num>
  <w:num w:numId="2" w16cid:durableId="701325990">
    <w:abstractNumId w:val="11"/>
  </w:num>
  <w:num w:numId="3" w16cid:durableId="758596501">
    <w:abstractNumId w:val="10"/>
  </w:num>
  <w:num w:numId="4" w16cid:durableId="1119759732">
    <w:abstractNumId w:val="8"/>
  </w:num>
  <w:num w:numId="5" w16cid:durableId="1889611847">
    <w:abstractNumId w:val="3"/>
  </w:num>
  <w:num w:numId="6" w16cid:durableId="1283996621">
    <w:abstractNumId w:val="2"/>
  </w:num>
  <w:num w:numId="7" w16cid:durableId="1217815245">
    <w:abstractNumId w:val="1"/>
  </w:num>
  <w:num w:numId="8" w16cid:durableId="536355791">
    <w:abstractNumId w:val="0"/>
  </w:num>
  <w:num w:numId="9" w16cid:durableId="413013465">
    <w:abstractNumId w:val="9"/>
  </w:num>
  <w:num w:numId="10" w16cid:durableId="1225792502">
    <w:abstractNumId w:val="7"/>
  </w:num>
  <w:num w:numId="11" w16cid:durableId="1302534521">
    <w:abstractNumId w:val="6"/>
  </w:num>
  <w:num w:numId="12" w16cid:durableId="1487631119">
    <w:abstractNumId w:val="5"/>
  </w:num>
  <w:num w:numId="13" w16cid:durableId="1826315039">
    <w:abstractNumId w:val="4"/>
  </w:num>
  <w:num w:numId="14" w16cid:durableId="1821464484">
    <w:abstractNumId w:val="12"/>
  </w:num>
  <w:num w:numId="15" w16cid:durableId="1690645631">
    <w:abstractNumId w:val="11"/>
  </w:num>
  <w:num w:numId="16" w16cid:durableId="1245720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6A"/>
    <w:rsid w:val="00017F94"/>
    <w:rsid w:val="00023842"/>
    <w:rsid w:val="000334F9"/>
    <w:rsid w:val="00045FEB"/>
    <w:rsid w:val="0005536A"/>
    <w:rsid w:val="0007796D"/>
    <w:rsid w:val="000B7790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761DB"/>
    <w:rsid w:val="00586ED3"/>
    <w:rsid w:val="00596AA9"/>
    <w:rsid w:val="0067543D"/>
    <w:rsid w:val="006C32ED"/>
    <w:rsid w:val="0071601D"/>
    <w:rsid w:val="007A62E6"/>
    <w:rsid w:val="007F20FA"/>
    <w:rsid w:val="0080684C"/>
    <w:rsid w:val="00871C75"/>
    <w:rsid w:val="008776DC"/>
    <w:rsid w:val="008A6B8A"/>
    <w:rsid w:val="008D5EF9"/>
    <w:rsid w:val="009446C0"/>
    <w:rsid w:val="009705C8"/>
    <w:rsid w:val="009C1CF4"/>
    <w:rsid w:val="009F6B74"/>
    <w:rsid w:val="00A3029F"/>
    <w:rsid w:val="00A30353"/>
    <w:rsid w:val="00AC1735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26CD0"/>
    <w:rsid w:val="00C97039"/>
    <w:rsid w:val="00D3439C"/>
    <w:rsid w:val="00D3751F"/>
    <w:rsid w:val="00D7622E"/>
    <w:rsid w:val="00D82DA0"/>
    <w:rsid w:val="00DB1831"/>
    <w:rsid w:val="00DD3BFD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F75FFC"/>
  <w15:docId w15:val="{B17B7099-9CDF-4B7D-B8F5-2F5BF919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H1GChar">
    <w:name w:val="_ H_1_G Char"/>
    <w:link w:val="H1G"/>
    <w:rsid w:val="00C26CD0"/>
    <w:rPr>
      <w:rFonts w:ascii="Times New Roman" w:eastAsiaTheme="minorHAnsi" w:hAnsi="Times New Roman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2</Pages>
  <Words>387</Words>
  <Characters>2713</Characters>
  <Application>Microsoft Office Word</Application>
  <DocSecurity>0</DocSecurity>
  <Lines>226</Lines>
  <Paragraphs>123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ECE/TRANS/WP.29/2023/126</vt:lpstr>
    </vt:vector>
  </TitlesOfParts>
  <Company>DCM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ECE/TRANS/WP.29/2023/126</dc:title>
  <dc:subject/>
  <dc:creator>Nathalie VITTOZ</dc:creator>
  <cp:keywords/>
  <cp:lastModifiedBy>Nathalie Vittoz</cp:lastModifiedBy>
  <cp:revision>3</cp:revision>
  <cp:lastPrinted>2014-05-14T10:59:00Z</cp:lastPrinted>
  <dcterms:created xsi:type="dcterms:W3CDTF">2023-09-25T14:39:00Z</dcterms:created>
  <dcterms:modified xsi:type="dcterms:W3CDTF">2023-09-26T12:41:00Z</dcterms:modified>
</cp:coreProperties>
</file>