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369458B2" w14:textId="77777777" w:rsidTr="00387CD4">
        <w:trPr>
          <w:trHeight w:hRule="exact" w:val="851"/>
        </w:trPr>
        <w:tc>
          <w:tcPr>
            <w:tcW w:w="142" w:type="dxa"/>
            <w:tcBorders>
              <w:bottom w:val="single" w:sz="4" w:space="0" w:color="auto"/>
            </w:tcBorders>
          </w:tcPr>
          <w:p w14:paraId="748BCB86" w14:textId="77777777" w:rsidR="002D5AAC" w:rsidRDefault="002D5AAC" w:rsidP="00042831">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320BDB14"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0BE04A70" w14:textId="2C97B453" w:rsidR="002D5AAC" w:rsidRDefault="00042831" w:rsidP="00042831">
            <w:pPr>
              <w:jc w:val="right"/>
            </w:pPr>
            <w:r w:rsidRPr="00042831">
              <w:rPr>
                <w:sz w:val="40"/>
              </w:rPr>
              <w:t>ECE</w:t>
            </w:r>
            <w:r>
              <w:t>/TRANS/WP.29/2023/120</w:t>
            </w:r>
          </w:p>
        </w:tc>
      </w:tr>
      <w:tr w:rsidR="002D5AAC" w:rsidRPr="00042831" w14:paraId="47BAAB0D" w14:textId="77777777" w:rsidTr="00387CD4">
        <w:trPr>
          <w:trHeight w:hRule="exact" w:val="2835"/>
        </w:trPr>
        <w:tc>
          <w:tcPr>
            <w:tcW w:w="1280" w:type="dxa"/>
            <w:gridSpan w:val="2"/>
            <w:tcBorders>
              <w:top w:val="single" w:sz="4" w:space="0" w:color="auto"/>
              <w:bottom w:val="single" w:sz="12" w:space="0" w:color="auto"/>
            </w:tcBorders>
          </w:tcPr>
          <w:p w14:paraId="741B6C5E" w14:textId="77777777" w:rsidR="002D5AAC" w:rsidRDefault="002E5067" w:rsidP="00387CD4">
            <w:pPr>
              <w:spacing w:before="120"/>
              <w:jc w:val="center"/>
            </w:pPr>
            <w:r>
              <w:rPr>
                <w:noProof/>
                <w:lang w:val="fr-CH" w:eastAsia="fr-CH"/>
              </w:rPr>
              <w:drawing>
                <wp:inline distT="0" distB="0" distL="0" distR="0" wp14:anchorId="613F613F" wp14:editId="57828600">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B194BD5"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010AE290" w14:textId="77777777" w:rsidR="002D5AAC" w:rsidRDefault="00042831" w:rsidP="00387CD4">
            <w:pPr>
              <w:spacing w:before="240"/>
              <w:rPr>
                <w:lang w:val="en-US"/>
              </w:rPr>
            </w:pPr>
            <w:r>
              <w:rPr>
                <w:lang w:val="en-US"/>
              </w:rPr>
              <w:t>Distr.: General</w:t>
            </w:r>
          </w:p>
          <w:p w14:paraId="59CEE28E" w14:textId="338B9AE5" w:rsidR="00042831" w:rsidRDefault="00042831" w:rsidP="00042831">
            <w:pPr>
              <w:spacing w:line="240" w:lineRule="exact"/>
              <w:rPr>
                <w:lang w:val="en-US"/>
              </w:rPr>
            </w:pPr>
            <w:r>
              <w:rPr>
                <w:lang w:val="en-US"/>
              </w:rPr>
              <w:t>30 August 2023</w:t>
            </w:r>
          </w:p>
          <w:p w14:paraId="0141C203" w14:textId="77777777" w:rsidR="00042831" w:rsidRDefault="00042831" w:rsidP="00042831">
            <w:pPr>
              <w:spacing w:line="240" w:lineRule="exact"/>
              <w:rPr>
                <w:lang w:val="en-US"/>
              </w:rPr>
            </w:pPr>
            <w:r>
              <w:rPr>
                <w:lang w:val="en-US"/>
              </w:rPr>
              <w:t>Russian</w:t>
            </w:r>
          </w:p>
          <w:p w14:paraId="747F039E" w14:textId="26BF6B00" w:rsidR="00042831" w:rsidRPr="008D53B6" w:rsidRDefault="00042831" w:rsidP="00042831">
            <w:pPr>
              <w:spacing w:line="240" w:lineRule="exact"/>
              <w:rPr>
                <w:lang w:val="en-US"/>
              </w:rPr>
            </w:pPr>
            <w:r>
              <w:rPr>
                <w:lang w:val="en-US"/>
              </w:rPr>
              <w:t>Original: English</w:t>
            </w:r>
          </w:p>
        </w:tc>
      </w:tr>
    </w:tbl>
    <w:p w14:paraId="5F40E5DE"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6EE034F5" w14:textId="77777777" w:rsidR="00427AD2" w:rsidRPr="00427AD2" w:rsidRDefault="00427AD2" w:rsidP="00427AD2">
      <w:pPr>
        <w:spacing w:before="120"/>
        <w:rPr>
          <w:sz w:val="28"/>
          <w:szCs w:val="28"/>
        </w:rPr>
      </w:pPr>
      <w:r w:rsidRPr="00427AD2">
        <w:rPr>
          <w:sz w:val="28"/>
          <w:szCs w:val="28"/>
        </w:rPr>
        <w:t>Комитет по внутреннему транспорту</w:t>
      </w:r>
    </w:p>
    <w:p w14:paraId="2A5C8E18" w14:textId="2359F5DB" w:rsidR="00427AD2" w:rsidRPr="00427AD2" w:rsidRDefault="00427AD2" w:rsidP="00427AD2">
      <w:pPr>
        <w:spacing w:before="120"/>
        <w:rPr>
          <w:b/>
          <w:bCs/>
          <w:sz w:val="24"/>
          <w:szCs w:val="24"/>
        </w:rPr>
      </w:pPr>
      <w:r w:rsidRPr="00427AD2">
        <w:rPr>
          <w:b/>
          <w:bCs/>
          <w:sz w:val="24"/>
          <w:szCs w:val="24"/>
        </w:rPr>
        <w:t xml:space="preserve">Всемирный форум для согласования правил </w:t>
      </w:r>
      <w:r>
        <w:rPr>
          <w:b/>
          <w:bCs/>
          <w:sz w:val="24"/>
          <w:szCs w:val="24"/>
        </w:rPr>
        <w:br/>
      </w:r>
      <w:r w:rsidRPr="00427AD2">
        <w:rPr>
          <w:b/>
          <w:bCs/>
          <w:sz w:val="24"/>
          <w:szCs w:val="24"/>
        </w:rPr>
        <w:t>в области транспортных средств</w:t>
      </w:r>
    </w:p>
    <w:p w14:paraId="3BC4088F" w14:textId="77777777" w:rsidR="00427AD2" w:rsidRPr="00A72E22" w:rsidRDefault="00427AD2" w:rsidP="00427AD2">
      <w:pPr>
        <w:spacing w:before="120"/>
        <w:rPr>
          <w:b/>
          <w:bCs/>
        </w:rPr>
      </w:pPr>
      <w:r w:rsidRPr="00A72E22">
        <w:rPr>
          <w:b/>
          <w:bCs/>
        </w:rPr>
        <w:t>Рабочая группа по пассивной безопасности</w:t>
      </w:r>
    </w:p>
    <w:p w14:paraId="6A89279E" w14:textId="77777777" w:rsidR="00427AD2" w:rsidRPr="00354EA5" w:rsidRDefault="00427AD2" w:rsidP="00427AD2">
      <w:pPr>
        <w:spacing w:before="120"/>
        <w:rPr>
          <w:b/>
        </w:rPr>
      </w:pPr>
      <w:r>
        <w:rPr>
          <w:b/>
          <w:bCs/>
        </w:rPr>
        <w:t>Сто девяносто первая сессия</w:t>
      </w:r>
    </w:p>
    <w:p w14:paraId="2AC1D827" w14:textId="6E90C947" w:rsidR="00427AD2" w:rsidRPr="00354EA5" w:rsidRDefault="00427AD2" w:rsidP="00427AD2">
      <w:r>
        <w:t>Женева, 14</w:t>
      </w:r>
      <w:r w:rsidRPr="00974E77">
        <w:t>–</w:t>
      </w:r>
      <w:r>
        <w:t>1</w:t>
      </w:r>
      <w:r w:rsidR="00C85EF0">
        <w:rPr>
          <w:lang w:val="en-US"/>
        </w:rPr>
        <w:t>6</w:t>
      </w:r>
      <w:r>
        <w:t xml:space="preserve"> ноября 2023 года</w:t>
      </w:r>
    </w:p>
    <w:p w14:paraId="698E1E64" w14:textId="77777777" w:rsidR="00427AD2" w:rsidRPr="00354EA5" w:rsidRDefault="00427AD2" w:rsidP="00427AD2">
      <w:r>
        <w:t>Пункт 4.8.16 предварительной повестки дня</w:t>
      </w:r>
    </w:p>
    <w:p w14:paraId="4852E564" w14:textId="505E9F2B" w:rsidR="00427AD2" w:rsidRPr="00C31D40" w:rsidRDefault="00427AD2" w:rsidP="00427AD2">
      <w:pPr>
        <w:rPr>
          <w:b/>
          <w:bCs/>
        </w:rPr>
      </w:pPr>
      <w:r>
        <w:rPr>
          <w:b/>
          <w:bCs/>
        </w:rPr>
        <w:t>Соглашение 1958 года:</w:t>
      </w:r>
      <w:r w:rsidR="00893FB9" w:rsidRPr="00893FB9">
        <w:rPr>
          <w:b/>
          <w:bCs/>
        </w:rPr>
        <w:t xml:space="preserve"> </w:t>
      </w:r>
      <w:r w:rsidR="00893FB9" w:rsidRPr="00893FB9">
        <w:rPr>
          <w:b/>
          <w:bCs/>
        </w:rPr>
        <w:br/>
      </w:r>
      <w:r w:rsidRPr="00C31D40">
        <w:rPr>
          <w:b/>
          <w:bCs/>
        </w:rPr>
        <w:t xml:space="preserve">Рассмотрение проектов поправок к существующим </w:t>
      </w:r>
      <w:r w:rsidR="00893FB9">
        <w:rPr>
          <w:b/>
          <w:bCs/>
        </w:rPr>
        <w:br/>
      </w:r>
      <w:r w:rsidRPr="00C31D40">
        <w:rPr>
          <w:b/>
          <w:bCs/>
        </w:rPr>
        <w:t>правилам ООН, представленных GRSP</w:t>
      </w:r>
    </w:p>
    <w:p w14:paraId="2F370E36" w14:textId="30636752" w:rsidR="00427AD2" w:rsidRPr="00893FB9" w:rsidRDefault="00427AD2" w:rsidP="00893FB9">
      <w:pPr>
        <w:pStyle w:val="HChG"/>
      </w:pPr>
      <w:r w:rsidRPr="00893FB9">
        <w:tab/>
      </w:r>
      <w:r w:rsidRPr="00893FB9">
        <w:tab/>
        <w:t>Предложение по дополнению 10 к поправкам серии 03 к</w:t>
      </w:r>
      <w:r w:rsidR="00893FB9">
        <w:rPr>
          <w:lang w:val="en-US"/>
        </w:rPr>
        <w:t> </w:t>
      </w:r>
      <w:r w:rsidRPr="00893FB9">
        <w:t xml:space="preserve">Правилам № 129 ООН (усовершенствованные детские удерживающие системы) </w:t>
      </w:r>
    </w:p>
    <w:p w14:paraId="6E290222" w14:textId="4ECB90C4" w:rsidR="00427AD2" w:rsidRPr="00893FB9" w:rsidRDefault="00427AD2" w:rsidP="00893FB9">
      <w:pPr>
        <w:pStyle w:val="H1G"/>
      </w:pPr>
      <w:r w:rsidRPr="00893FB9">
        <w:tab/>
      </w:r>
      <w:r w:rsidRPr="00893FB9">
        <w:tab/>
        <w:t>Представлено Рабочей группой по пассивной безопасности</w:t>
      </w:r>
      <w:r w:rsidRPr="00893FB9">
        <w:rPr>
          <w:b w:val="0"/>
          <w:bCs/>
          <w:sz w:val="20"/>
        </w:rPr>
        <w:t>*</w:t>
      </w:r>
    </w:p>
    <w:p w14:paraId="3643CE5C" w14:textId="0142B2BE" w:rsidR="00427AD2" w:rsidRPr="00354EA5" w:rsidRDefault="00427AD2" w:rsidP="00427AD2">
      <w:pPr>
        <w:pStyle w:val="SingleTxtG"/>
        <w:ind w:firstLine="567"/>
        <w:rPr>
          <w:sz w:val="24"/>
          <w:szCs w:val="24"/>
        </w:rPr>
      </w:pPr>
      <w:r>
        <w:footnoteReference w:customMarkFollows="1" w:id="1"/>
        <w:t>Воспроизведенный ниже текст был принят Рабочей группой по пассивной безопасности (GRSP) на ее семьдесят третьей сессии (ECE/TRANS/WP.29/GRSP/73, пункт 34). В его основу положены документ ECE/TRANS/WP.29/GRSP/2023/11 с</w:t>
      </w:r>
      <w:r w:rsidR="00893FB9">
        <w:rPr>
          <w:lang w:val="en-US"/>
        </w:rPr>
        <w:t> </w:t>
      </w:r>
      <w:r>
        <w:t>поправками, содержащимися в приложении VIII к докладу, а также документ ECE/TRANS/WP.29/GRSP/2023/14 с поправками, указанными в пункте 35 доклада. Этот текст представляется Всемирному форуму для согласования правил в области транспортных средств (WP.29) и Административному комитету (AC.1) для рассмотрения на их сессиях в ноябре 2023 года.</w:t>
      </w:r>
    </w:p>
    <w:p w14:paraId="629D43CD" w14:textId="0A3CE71D" w:rsidR="00893FB9" w:rsidRDefault="00893FB9">
      <w:pPr>
        <w:suppressAutoHyphens w:val="0"/>
        <w:spacing w:line="240" w:lineRule="auto"/>
        <w:rPr>
          <w:rFonts w:eastAsia="Times New Roman" w:cs="Times New Roman"/>
          <w:szCs w:val="20"/>
        </w:rPr>
      </w:pPr>
      <w:r>
        <w:br w:type="page"/>
      </w:r>
    </w:p>
    <w:p w14:paraId="3BD2B388" w14:textId="77777777" w:rsidR="00893FB9" w:rsidRPr="00354EA5" w:rsidRDefault="00893FB9" w:rsidP="00893FB9">
      <w:pPr>
        <w:pStyle w:val="SingleTxtG"/>
      </w:pPr>
      <w:r>
        <w:rPr>
          <w:i/>
          <w:iCs/>
        </w:rPr>
        <w:lastRenderedPageBreak/>
        <w:t>Пункт 3.2.2</w:t>
      </w:r>
      <w:r>
        <w:t xml:space="preserve"> изменить следующим образом:</w:t>
      </w:r>
    </w:p>
    <w:p w14:paraId="1D3E3C41" w14:textId="7B1DB6DE" w:rsidR="00893FB9" w:rsidRPr="00354EA5" w:rsidRDefault="005E3EC5" w:rsidP="00893FB9">
      <w:pPr>
        <w:spacing w:after="120"/>
        <w:ind w:left="2268" w:right="851" w:hanging="1134"/>
        <w:jc w:val="both"/>
      </w:pPr>
      <w:bookmarkStart w:id="0" w:name="_Hlk111114823"/>
      <w:r>
        <w:t>«</w:t>
      </w:r>
      <w:r w:rsidR="00893FB9">
        <w:t xml:space="preserve">3.2.2 </w:t>
      </w:r>
      <w:r w:rsidR="00893FB9">
        <w:tab/>
        <w:t>заявитель указывает вид заявки:</w:t>
      </w:r>
    </w:p>
    <w:p w14:paraId="779A46E7" w14:textId="77777777" w:rsidR="00893FB9" w:rsidRPr="00354EA5" w:rsidRDefault="00893FB9" w:rsidP="00893FB9">
      <w:pPr>
        <w:spacing w:after="120"/>
        <w:ind w:left="2835" w:right="851" w:hanging="567"/>
        <w:jc w:val="both"/>
      </w:pPr>
      <w:r>
        <w:t>a)</w:t>
      </w:r>
      <w:r>
        <w:tab/>
        <w:t xml:space="preserve">заявка на усовершенствованные детские удерживающие системы размера i, или  </w:t>
      </w:r>
    </w:p>
    <w:p w14:paraId="749EFC15" w14:textId="77777777" w:rsidR="00893FB9" w:rsidRPr="00354EA5" w:rsidRDefault="00893FB9" w:rsidP="00893FB9">
      <w:pPr>
        <w:spacing w:after="120"/>
        <w:ind w:left="2835" w:right="1134" w:hanging="567"/>
        <w:jc w:val="both"/>
      </w:pPr>
      <w:r>
        <w:t>b)</w:t>
      </w:r>
      <w:r>
        <w:tab/>
        <w:t xml:space="preserve">заявка на усовершенствованные детские удерживающие системы “ISOFIX для конкретного транспортного средства”, или </w:t>
      </w:r>
    </w:p>
    <w:p w14:paraId="1239AEB0" w14:textId="77777777" w:rsidR="00893FB9" w:rsidRPr="00354EA5" w:rsidRDefault="00893FB9" w:rsidP="00893FB9">
      <w:pPr>
        <w:spacing w:after="120"/>
        <w:ind w:left="2835" w:right="1134" w:hanging="567"/>
        <w:jc w:val="both"/>
      </w:pPr>
      <w:r>
        <w:t>c)</w:t>
      </w:r>
      <w:r>
        <w:tab/>
        <w:t xml:space="preserve">заявка на усовершенствованные детские удерживающие системы типа “бустерное сиденье размера i”, или </w:t>
      </w:r>
    </w:p>
    <w:p w14:paraId="49EF4F8F" w14:textId="77777777" w:rsidR="00893FB9" w:rsidRPr="00354EA5" w:rsidRDefault="00893FB9" w:rsidP="00893FB9">
      <w:pPr>
        <w:spacing w:after="120"/>
        <w:ind w:left="2835" w:right="1134" w:hanging="567"/>
        <w:jc w:val="both"/>
      </w:pPr>
      <w:r>
        <w:t>d)</w:t>
      </w:r>
      <w:r>
        <w:tab/>
        <w:t xml:space="preserve">заявка на усовершенствованные детские удерживающие системы типа “бустерное сиденье для конкретного транспортного средства”, или </w:t>
      </w:r>
    </w:p>
    <w:p w14:paraId="7CCBEE92" w14:textId="42BEFCAA" w:rsidR="00893FB9" w:rsidRPr="00354EA5" w:rsidRDefault="00893FB9" w:rsidP="00893FB9">
      <w:pPr>
        <w:pStyle w:val="SingleTxtG"/>
        <w:ind w:left="2835" w:hanging="567"/>
        <w:rPr>
          <w:iCs/>
        </w:rPr>
      </w:pPr>
      <w:r>
        <w:t>e)</w:t>
      </w:r>
      <w:r>
        <w:tab/>
        <w:t xml:space="preserve">заявка на усовершенствованные детские удерживающие системы с ремнем, или </w:t>
      </w:r>
    </w:p>
    <w:p w14:paraId="368C5E23" w14:textId="33EFE242" w:rsidR="00893FB9" w:rsidRPr="00354EA5" w:rsidRDefault="00893FB9" w:rsidP="00893FB9">
      <w:pPr>
        <w:suppressAutoHyphens w:val="0"/>
        <w:autoSpaceDE w:val="0"/>
        <w:autoSpaceDN w:val="0"/>
        <w:adjustRightInd w:val="0"/>
        <w:spacing w:after="120" w:line="240" w:lineRule="auto"/>
        <w:ind w:left="2835" w:right="1134" w:hanging="567"/>
        <w:jc w:val="both"/>
      </w:pPr>
      <w:r>
        <w:t>f)</w:t>
      </w:r>
      <w:r>
        <w:tab/>
        <w:t xml:space="preserve">заявка на усовершенствованные детские удерживающие системы с ремнем для конкретного транспортного средства, или </w:t>
      </w:r>
    </w:p>
    <w:p w14:paraId="42042B5F" w14:textId="77777777" w:rsidR="00893FB9" w:rsidRPr="00354EA5" w:rsidRDefault="00893FB9" w:rsidP="00893FB9">
      <w:pPr>
        <w:spacing w:after="120"/>
        <w:ind w:left="2835" w:right="1134" w:hanging="567"/>
        <w:jc w:val="both"/>
        <w:rPr>
          <w:bCs/>
        </w:rPr>
      </w:pPr>
      <w:r>
        <w:t>g)</w:t>
      </w:r>
      <w:r>
        <w:tab/>
        <w:t xml:space="preserve">заявка на усовершенствованные детские удерживающие системы типа “универсальная бустерная подушка”, или </w:t>
      </w:r>
    </w:p>
    <w:p w14:paraId="3500C05E" w14:textId="77777777" w:rsidR="00893FB9" w:rsidRPr="00354EA5" w:rsidRDefault="00893FB9" w:rsidP="00893FB9">
      <w:pPr>
        <w:spacing w:after="120"/>
        <w:ind w:left="2835" w:right="1134" w:hanging="567"/>
        <w:jc w:val="both"/>
        <w:rPr>
          <w:bCs/>
        </w:rPr>
      </w:pPr>
      <w:r>
        <w:t>h)</w:t>
      </w:r>
      <w:r>
        <w:tab/>
        <w:t xml:space="preserve">заявка на усовершенствованные детские удерживающие системы типа “бустерная подушка для конкретного транспортного средства”, или </w:t>
      </w:r>
    </w:p>
    <w:p w14:paraId="78E09C5A" w14:textId="77777777" w:rsidR="00893FB9" w:rsidRPr="00354EA5" w:rsidRDefault="00893FB9" w:rsidP="00893FB9">
      <w:pPr>
        <w:spacing w:after="120"/>
        <w:ind w:left="2835" w:right="1134" w:hanging="567"/>
        <w:jc w:val="both"/>
        <w:rPr>
          <w:bCs/>
        </w:rPr>
      </w:pPr>
      <w:r>
        <w:t>i)</w:t>
      </w:r>
      <w:r>
        <w:tab/>
        <w:t>любое сочетание вариантов а), b), с), d), g) и h) в той мере, в какой они удовлетворяют требованиям пунктов 5.4.2.2, 6.1.2 и 6.1.3, при наличии только одного направления движения ремня</w:t>
      </w:r>
      <w:r w:rsidRPr="00B26F33">
        <w:rPr>
          <w:rStyle w:val="aa"/>
          <w:b/>
          <w:lang w:eastAsia="de-DE"/>
        </w:rPr>
        <w:footnoteReference w:customMarkFollows="1" w:id="2"/>
        <w:t>2</w:t>
      </w:r>
      <w:r>
        <w:t xml:space="preserve">, или </w:t>
      </w:r>
    </w:p>
    <w:p w14:paraId="5BDB3077" w14:textId="77777777" w:rsidR="00893FB9" w:rsidRPr="00354EA5" w:rsidRDefault="00893FB9" w:rsidP="00893FB9">
      <w:pPr>
        <w:spacing w:after="120"/>
        <w:ind w:left="2835" w:right="1134" w:hanging="567"/>
        <w:jc w:val="both"/>
        <w:rPr>
          <w:b/>
          <w:bCs/>
        </w:rPr>
      </w:pPr>
      <w:r>
        <w:t>j)</w:t>
      </w:r>
      <w:r>
        <w:tab/>
        <w:t>любое сочетание вариантов с), d), e), f), g) и h) в той мере, в какой они удовлетворяют требованиям пунктов 5.4.2.2, 6.1.2 и 6.1.3, при наличии только одного направления движения ремня</w:t>
      </w:r>
      <w:r>
        <w:rPr>
          <w:vertAlign w:val="superscript"/>
        </w:rPr>
        <w:t>2</w:t>
      </w:r>
      <w:r>
        <w:t xml:space="preserve"> и при условии, что бустерное сиденье и бустерная подушка не оснащены соединителями ISOFIX». </w:t>
      </w:r>
    </w:p>
    <w:p w14:paraId="02DF242B" w14:textId="77777777" w:rsidR="00893FB9" w:rsidRPr="00354EA5" w:rsidRDefault="00893FB9" w:rsidP="00893FB9">
      <w:pPr>
        <w:spacing w:after="120"/>
        <w:ind w:left="1134" w:right="1134"/>
        <w:jc w:val="both"/>
        <w:rPr>
          <w:bCs/>
        </w:rPr>
      </w:pPr>
      <w:r>
        <w:rPr>
          <w:i/>
          <w:iCs/>
        </w:rPr>
        <w:t>Включить новый пункт 3.5</w:t>
      </w:r>
      <w:r>
        <w:t xml:space="preserve"> следующего содержания:</w:t>
      </w:r>
    </w:p>
    <w:p w14:paraId="457B3E6B" w14:textId="77777777" w:rsidR="00893FB9" w:rsidRPr="00354EA5" w:rsidRDefault="00893FB9" w:rsidP="0066426F">
      <w:pPr>
        <w:spacing w:after="120"/>
        <w:ind w:left="2268" w:right="1134" w:hanging="1134"/>
        <w:jc w:val="both"/>
        <w:rPr>
          <w:bCs/>
        </w:rPr>
      </w:pPr>
      <w:r>
        <w:t>«3.5</w:t>
      </w:r>
      <w:r>
        <w:tab/>
        <w:t>на УДУС не должно наноситься больше одного номера официального утверждения. Это положение не применяется для целей официального утверждения модуля как составной части различных УДУС».</w:t>
      </w:r>
    </w:p>
    <w:p w14:paraId="24165C93" w14:textId="77777777" w:rsidR="00893FB9" w:rsidRPr="00354EA5" w:rsidRDefault="00893FB9" w:rsidP="00893FB9">
      <w:pPr>
        <w:pStyle w:val="para"/>
        <w:rPr>
          <w:lang w:val="ru-RU"/>
        </w:rPr>
      </w:pPr>
      <w:r>
        <w:rPr>
          <w:i/>
          <w:iCs/>
          <w:lang w:val="ru-RU"/>
        </w:rPr>
        <w:t xml:space="preserve">Включить новый пункт 4.6.4 </w:t>
      </w:r>
      <w:r>
        <w:rPr>
          <w:lang w:val="ru-RU"/>
        </w:rPr>
        <w:t>следующего содержания:</w:t>
      </w:r>
    </w:p>
    <w:p w14:paraId="08EA4BBF" w14:textId="77777777" w:rsidR="00893FB9" w:rsidRPr="00354EA5" w:rsidRDefault="00893FB9" w:rsidP="00893FB9">
      <w:pPr>
        <w:spacing w:after="120"/>
        <w:ind w:left="2160" w:right="1089" w:hanging="1026"/>
        <w:jc w:val="both"/>
      </w:pPr>
      <w:r>
        <w:t>«4.6.4</w:t>
      </w:r>
      <w:r>
        <w:tab/>
        <w:t>На УДУС должны наноситься только официально утвержденные по типу указатели направления движения ремня. Эти официально утвержденные по типу указатели направления движения ремня должны быть зеленого цвета, использование для них любого иного цвета не допускается. Не допускается никаких иных указателей направления движения ремня».</w:t>
      </w:r>
    </w:p>
    <w:p w14:paraId="1F6897C9" w14:textId="77777777" w:rsidR="00893FB9" w:rsidRPr="00C40D84" w:rsidRDefault="00893FB9" w:rsidP="00893FB9">
      <w:pPr>
        <w:pStyle w:val="SingleTxtG"/>
        <w:ind w:left="1701" w:hanging="567"/>
        <w:rPr>
          <w:iCs/>
        </w:rPr>
      </w:pPr>
      <w:r>
        <w:rPr>
          <w:i/>
          <w:iCs/>
        </w:rPr>
        <w:t xml:space="preserve">Пункт 5.4.1.1, ссылка на сноску </w:t>
      </w:r>
      <w:r>
        <w:rPr>
          <w:i/>
          <w:iCs/>
          <w:vertAlign w:val="superscript"/>
        </w:rPr>
        <w:t>2</w:t>
      </w:r>
      <w:r>
        <w:t xml:space="preserve">, пронумеровать как сноску </w:t>
      </w:r>
      <w:r>
        <w:rPr>
          <w:vertAlign w:val="superscript"/>
        </w:rPr>
        <w:t>3</w:t>
      </w:r>
      <w:r>
        <w:t>.</w:t>
      </w:r>
    </w:p>
    <w:p w14:paraId="0A93B2BE" w14:textId="77777777" w:rsidR="00893FB9" w:rsidRPr="00C40D84" w:rsidRDefault="00893FB9" w:rsidP="00893FB9">
      <w:pPr>
        <w:pStyle w:val="SingleTxtG"/>
        <w:ind w:left="1701" w:hanging="567"/>
        <w:rPr>
          <w:iCs/>
        </w:rPr>
      </w:pPr>
      <w:r>
        <w:rPr>
          <w:i/>
          <w:iCs/>
        </w:rPr>
        <w:t xml:space="preserve">Пункт 6.1.3.6, ссылка на сноску </w:t>
      </w:r>
      <w:r>
        <w:rPr>
          <w:i/>
          <w:iCs/>
          <w:vertAlign w:val="superscript"/>
        </w:rPr>
        <w:t>3</w:t>
      </w:r>
      <w:r>
        <w:t xml:space="preserve">, пронумеровать как сноску </w:t>
      </w:r>
      <w:r>
        <w:rPr>
          <w:vertAlign w:val="superscript"/>
        </w:rPr>
        <w:t>4</w:t>
      </w:r>
      <w:r w:rsidRPr="00C40D84">
        <w:rPr>
          <w:iCs/>
        </w:rPr>
        <w:t>.</w:t>
      </w:r>
    </w:p>
    <w:p w14:paraId="5F3CE9C1" w14:textId="77777777" w:rsidR="00893FB9" w:rsidRPr="00C40D84" w:rsidRDefault="00893FB9" w:rsidP="00CD2C62">
      <w:pPr>
        <w:pStyle w:val="SingleTxtG"/>
        <w:keepNext/>
        <w:keepLines/>
        <w:ind w:left="1701" w:hanging="567"/>
        <w:rPr>
          <w:iCs/>
        </w:rPr>
      </w:pPr>
      <w:r>
        <w:rPr>
          <w:i/>
          <w:iCs/>
        </w:rPr>
        <w:lastRenderedPageBreak/>
        <w:t xml:space="preserve">Пункт 6.3.5, ссылка на сноску </w:t>
      </w:r>
      <w:r>
        <w:rPr>
          <w:i/>
          <w:iCs/>
          <w:vertAlign w:val="superscript"/>
        </w:rPr>
        <w:t>4</w:t>
      </w:r>
      <w:r>
        <w:t xml:space="preserve">, пронумеровать как сноску </w:t>
      </w:r>
      <w:r>
        <w:rPr>
          <w:vertAlign w:val="superscript"/>
        </w:rPr>
        <w:t>5</w:t>
      </w:r>
      <w:r>
        <w:t>.</w:t>
      </w:r>
    </w:p>
    <w:p w14:paraId="3EE07CEF" w14:textId="77777777" w:rsidR="00893FB9" w:rsidRPr="00CD2C62" w:rsidRDefault="00893FB9" w:rsidP="00CD2C62">
      <w:pPr>
        <w:pStyle w:val="SingleTxtG"/>
        <w:keepNext/>
        <w:keepLines/>
        <w:ind w:left="1701" w:hanging="567"/>
        <w:rPr>
          <w:iCs/>
        </w:rPr>
      </w:pPr>
      <w:r>
        <w:rPr>
          <w:i/>
          <w:iCs/>
        </w:rPr>
        <w:t xml:space="preserve">Пункт 7.2.4.3.4, ссылка на сноску </w:t>
      </w:r>
      <w:r>
        <w:rPr>
          <w:i/>
          <w:iCs/>
          <w:vertAlign w:val="superscript"/>
        </w:rPr>
        <w:t>5</w:t>
      </w:r>
      <w:r>
        <w:t xml:space="preserve">, пронумеровать как сноску </w:t>
      </w:r>
      <w:r>
        <w:rPr>
          <w:vertAlign w:val="superscript"/>
        </w:rPr>
        <w:t>6</w:t>
      </w:r>
      <w:r>
        <w:t>.</w:t>
      </w:r>
    </w:p>
    <w:bookmarkEnd w:id="0"/>
    <w:p w14:paraId="4525C546" w14:textId="77777777" w:rsidR="00893FB9" w:rsidRPr="00354EA5" w:rsidRDefault="00893FB9" w:rsidP="00893FB9">
      <w:pPr>
        <w:spacing w:before="240"/>
        <w:jc w:val="center"/>
        <w:rPr>
          <w:u w:val="single"/>
        </w:rPr>
      </w:pPr>
      <w:r w:rsidRPr="00354EA5">
        <w:rPr>
          <w:u w:val="single"/>
        </w:rPr>
        <w:tab/>
      </w:r>
      <w:r w:rsidRPr="00354EA5">
        <w:rPr>
          <w:u w:val="single"/>
        </w:rPr>
        <w:tab/>
      </w:r>
      <w:r w:rsidRPr="00354EA5">
        <w:rPr>
          <w:u w:val="single"/>
        </w:rPr>
        <w:tab/>
      </w:r>
    </w:p>
    <w:sectPr w:rsidR="00893FB9" w:rsidRPr="00354EA5" w:rsidSect="0004283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315A" w14:textId="77777777" w:rsidR="00B2319B" w:rsidRPr="00A312BC" w:rsidRDefault="00B2319B" w:rsidP="00A312BC"/>
  </w:endnote>
  <w:endnote w:type="continuationSeparator" w:id="0">
    <w:p w14:paraId="381F2C6F" w14:textId="77777777" w:rsidR="00B2319B" w:rsidRPr="00A312BC" w:rsidRDefault="00B2319B"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1C81" w14:textId="02D961DD" w:rsidR="00042831" w:rsidRPr="00042831" w:rsidRDefault="00042831">
    <w:pPr>
      <w:pStyle w:val="a8"/>
    </w:pPr>
    <w:r w:rsidRPr="00042831">
      <w:rPr>
        <w:b/>
        <w:sz w:val="18"/>
      </w:rPr>
      <w:fldChar w:fldCharType="begin"/>
    </w:r>
    <w:r w:rsidRPr="00042831">
      <w:rPr>
        <w:b/>
        <w:sz w:val="18"/>
      </w:rPr>
      <w:instrText xml:space="preserve"> PAGE  \* MERGEFORMAT </w:instrText>
    </w:r>
    <w:r w:rsidRPr="00042831">
      <w:rPr>
        <w:b/>
        <w:sz w:val="18"/>
      </w:rPr>
      <w:fldChar w:fldCharType="separate"/>
    </w:r>
    <w:r w:rsidRPr="00042831">
      <w:rPr>
        <w:b/>
        <w:noProof/>
        <w:sz w:val="18"/>
      </w:rPr>
      <w:t>2</w:t>
    </w:r>
    <w:r w:rsidRPr="00042831">
      <w:rPr>
        <w:b/>
        <w:sz w:val="18"/>
      </w:rPr>
      <w:fldChar w:fldCharType="end"/>
    </w:r>
    <w:r>
      <w:rPr>
        <w:b/>
        <w:sz w:val="18"/>
      </w:rPr>
      <w:tab/>
    </w:r>
    <w:r>
      <w:t>GE.23-16759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307F" w14:textId="064527F9" w:rsidR="00042831" w:rsidRPr="00042831" w:rsidRDefault="00042831" w:rsidP="00042831">
    <w:pPr>
      <w:pStyle w:val="a8"/>
      <w:tabs>
        <w:tab w:val="clear" w:pos="9639"/>
        <w:tab w:val="right" w:pos="9638"/>
      </w:tabs>
      <w:rPr>
        <w:b/>
        <w:sz w:val="18"/>
      </w:rPr>
    </w:pPr>
    <w:r>
      <w:t>GE.23-16759</w:t>
    </w:r>
    <w:r>
      <w:tab/>
    </w:r>
    <w:r w:rsidRPr="00042831">
      <w:rPr>
        <w:b/>
        <w:sz w:val="18"/>
      </w:rPr>
      <w:fldChar w:fldCharType="begin"/>
    </w:r>
    <w:r w:rsidRPr="00042831">
      <w:rPr>
        <w:b/>
        <w:sz w:val="18"/>
      </w:rPr>
      <w:instrText xml:space="preserve"> PAGE  \* MERGEFORMAT </w:instrText>
    </w:r>
    <w:r w:rsidRPr="00042831">
      <w:rPr>
        <w:b/>
        <w:sz w:val="18"/>
      </w:rPr>
      <w:fldChar w:fldCharType="separate"/>
    </w:r>
    <w:r w:rsidRPr="00042831">
      <w:rPr>
        <w:b/>
        <w:noProof/>
        <w:sz w:val="18"/>
      </w:rPr>
      <w:t>3</w:t>
    </w:r>
    <w:r w:rsidRPr="0004283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8B6F" w14:textId="17EEED74" w:rsidR="00042B72" w:rsidRPr="00042831" w:rsidRDefault="00042831" w:rsidP="00042831">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6A74ECC8" wp14:editId="70A3F657">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w:t>
    </w:r>
    <w:proofErr w:type="gramStart"/>
    <w:r>
      <w:t>16759  (</w:t>
    </w:r>
    <w:proofErr w:type="gramEnd"/>
    <w:r>
      <w:t>R)</w:t>
    </w:r>
    <w:r>
      <w:rPr>
        <w:noProof/>
      </w:rPr>
      <w:drawing>
        <wp:anchor distT="0" distB="0" distL="114300" distR="114300" simplePos="0" relativeHeight="251659264" behindDoc="0" locked="0" layoutInCell="1" allowOverlap="1" wp14:anchorId="6A42667E" wp14:editId="74DDBF56">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250923  280923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9F37" w14:textId="77777777" w:rsidR="00B2319B" w:rsidRPr="001075E9" w:rsidRDefault="00B2319B" w:rsidP="001075E9">
      <w:pPr>
        <w:tabs>
          <w:tab w:val="right" w:pos="2155"/>
        </w:tabs>
        <w:spacing w:after="80" w:line="240" w:lineRule="auto"/>
        <w:ind w:left="680"/>
        <w:rPr>
          <w:u w:val="single"/>
        </w:rPr>
      </w:pPr>
      <w:r>
        <w:rPr>
          <w:u w:val="single"/>
        </w:rPr>
        <w:tab/>
      </w:r>
    </w:p>
  </w:footnote>
  <w:footnote w:type="continuationSeparator" w:id="0">
    <w:p w14:paraId="5035FD92" w14:textId="77777777" w:rsidR="00B2319B" w:rsidRDefault="00B2319B" w:rsidP="00407B78">
      <w:pPr>
        <w:tabs>
          <w:tab w:val="right" w:pos="2155"/>
        </w:tabs>
        <w:spacing w:after="80"/>
        <w:ind w:left="680"/>
        <w:rPr>
          <w:u w:val="single"/>
        </w:rPr>
      </w:pPr>
      <w:r>
        <w:rPr>
          <w:u w:val="single"/>
        </w:rPr>
        <w:tab/>
      </w:r>
    </w:p>
  </w:footnote>
  <w:footnote w:id="1">
    <w:p w14:paraId="62506A93" w14:textId="6C6EEC11" w:rsidR="00427AD2" w:rsidRPr="00354EA5" w:rsidRDefault="00427AD2" w:rsidP="00437630">
      <w:pPr>
        <w:pStyle w:val="ad"/>
      </w:pPr>
      <w:r w:rsidRPr="00437630">
        <w:rPr>
          <w:sz w:val="20"/>
        </w:rPr>
        <w:tab/>
        <w:t>*</w:t>
      </w:r>
      <w:r w:rsidRPr="00437630">
        <w:rPr>
          <w:sz w:val="20"/>
        </w:rPr>
        <w:tab/>
      </w:r>
      <w:r>
        <w:t>В соответствии с программой работы Комитета по внутреннему транспорту на 2023 год, изложенной в предлагаемом бюджете по программам на 2023 год (A/77/6 (разд. 20), таблица</w:t>
      </w:r>
      <w:r>
        <w:rPr>
          <w:lang w:val="en-US"/>
        </w:rPr>
        <w:t> </w:t>
      </w:r>
      <w:r>
        <w:t>20.6), Всемирный форум будет разрабатывать, согласовывать и обновлять правила</w:t>
      </w:r>
      <w:r w:rsidR="009A406D">
        <w:t> </w:t>
      </w:r>
      <w:r>
        <w:t>ООН в целях улучшения характеристик транспортных средств. Настоящий документ</w:t>
      </w:r>
      <w:r w:rsidR="009A406D">
        <w:t> </w:t>
      </w:r>
      <w:r>
        <w:t>представлен в соответствии с этим мандатом.</w:t>
      </w:r>
    </w:p>
  </w:footnote>
  <w:footnote w:id="2">
    <w:p w14:paraId="550DF036" w14:textId="0FA278EF" w:rsidR="00893FB9" w:rsidRPr="00C40D84" w:rsidRDefault="00893FB9" w:rsidP="00893FB9">
      <w:pPr>
        <w:pStyle w:val="ad"/>
      </w:pPr>
      <w:r w:rsidRPr="00C40D84">
        <w:tab/>
      </w:r>
      <w:r w:rsidRPr="00C40D84">
        <w:rPr>
          <w:vertAlign w:val="superscript"/>
        </w:rPr>
        <w:t>2</w:t>
      </w:r>
      <w:r w:rsidRPr="00C40D84">
        <w:t xml:space="preserve"> </w:t>
      </w:r>
      <w:r w:rsidRPr="00C40D84">
        <w:tab/>
        <w:t>Одно направление движения ремня применяется во всем ростовом диапазоне независимо от</w:t>
      </w:r>
      <w:r w:rsidR="00C40D84">
        <w:t> </w:t>
      </w:r>
      <w:r w:rsidRPr="00C40D84">
        <w:t>различных конфигураций использования, для которых официально утверждена УДУС: в</w:t>
      </w:r>
      <w:r w:rsidR="00C40D84">
        <w:t> </w:t>
      </w:r>
      <w:r w:rsidRPr="00C40D84">
        <w:t xml:space="preserve">случае УДУС, которая допускает установку в направлении движения и против направления движения, для обеих конфигураций должно использоваться только одно направление движения ремня. То же самое относится к УДУС, которая сочетает конфигурации цельной системы и системы </w:t>
      </w:r>
      <w:proofErr w:type="spellStart"/>
      <w:r w:rsidRPr="00C40D84">
        <w:t>нецельной</w:t>
      </w:r>
      <w:proofErr w:type="spellEnd"/>
      <w:r w:rsidRPr="00C40D84">
        <w:t xml:space="preserve"> конструкции или допускает любое иное сочетание, разрешенное данным пунктом.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3CD0" w14:textId="139027B4" w:rsidR="00042831" w:rsidRPr="00042831" w:rsidRDefault="00022706">
    <w:pPr>
      <w:pStyle w:val="a5"/>
    </w:pPr>
    <w:r>
      <w:fldChar w:fldCharType="begin"/>
    </w:r>
    <w:r>
      <w:instrText xml:space="preserve"> TITLE  \* MERGEFORMAT </w:instrText>
    </w:r>
    <w:r>
      <w:fldChar w:fldCharType="separate"/>
    </w:r>
    <w:r w:rsidR="00042831">
      <w:t>ECE/TRANS/WP.29/2023/120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E2B7" w14:textId="332C3F6B" w:rsidR="00042831" w:rsidRPr="00042831" w:rsidRDefault="00022706" w:rsidP="00042831">
    <w:pPr>
      <w:pStyle w:val="a5"/>
      <w:jc w:val="right"/>
    </w:pPr>
    <w:r>
      <w:fldChar w:fldCharType="begin"/>
    </w:r>
    <w:r>
      <w:instrText xml:space="preserve"> TITLE  \* MERGEFORMAT </w:instrText>
    </w:r>
    <w:r>
      <w:fldChar w:fldCharType="separate"/>
    </w:r>
    <w:r w:rsidR="00042831">
      <w:t>ECE/TRANS/WP.29/2023/120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A94D" w14:textId="77777777" w:rsidR="00042831" w:rsidRDefault="00042831" w:rsidP="0004283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972AE"/>
    <w:multiLevelType w:val="hybridMultilevel"/>
    <w:tmpl w:val="D35293FE"/>
    <w:lvl w:ilvl="0" w:tplc="2918FFEE">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2"/>
  </w:num>
  <w:num w:numId="3" w16cid:durableId="1816291531">
    <w:abstractNumId w:val="11"/>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89019126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9B"/>
    <w:rsid w:val="00033EE1"/>
    <w:rsid w:val="0004283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27AD2"/>
    <w:rsid w:val="00437630"/>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E3EC5"/>
    <w:rsid w:val="005F0B42"/>
    <w:rsid w:val="00617A43"/>
    <w:rsid w:val="006233EF"/>
    <w:rsid w:val="006345DB"/>
    <w:rsid w:val="00640F49"/>
    <w:rsid w:val="0066426F"/>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3FB9"/>
    <w:rsid w:val="00894693"/>
    <w:rsid w:val="008A08D7"/>
    <w:rsid w:val="008A37C8"/>
    <w:rsid w:val="008B6909"/>
    <w:rsid w:val="008D53B6"/>
    <w:rsid w:val="008F7609"/>
    <w:rsid w:val="00906890"/>
    <w:rsid w:val="00911BE4"/>
    <w:rsid w:val="00951972"/>
    <w:rsid w:val="009608F3"/>
    <w:rsid w:val="009A24AC"/>
    <w:rsid w:val="009A406D"/>
    <w:rsid w:val="009C59D7"/>
    <w:rsid w:val="009C6FE6"/>
    <w:rsid w:val="009D7E7D"/>
    <w:rsid w:val="00A14DA8"/>
    <w:rsid w:val="00A312BC"/>
    <w:rsid w:val="00A84021"/>
    <w:rsid w:val="00A84D35"/>
    <w:rsid w:val="00A917B3"/>
    <w:rsid w:val="00AB4B51"/>
    <w:rsid w:val="00B10CC7"/>
    <w:rsid w:val="00B2319B"/>
    <w:rsid w:val="00B36DF7"/>
    <w:rsid w:val="00B539E7"/>
    <w:rsid w:val="00B62458"/>
    <w:rsid w:val="00BC18B2"/>
    <w:rsid w:val="00BD33EE"/>
    <w:rsid w:val="00BE1CC7"/>
    <w:rsid w:val="00C106D6"/>
    <w:rsid w:val="00C119AE"/>
    <w:rsid w:val="00C40D84"/>
    <w:rsid w:val="00C60F0C"/>
    <w:rsid w:val="00C71E84"/>
    <w:rsid w:val="00C805C9"/>
    <w:rsid w:val="00C85EF0"/>
    <w:rsid w:val="00C92939"/>
    <w:rsid w:val="00CA1679"/>
    <w:rsid w:val="00CB151C"/>
    <w:rsid w:val="00CD2C62"/>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A2C9F"/>
    <w:rsid w:val="00EA420E"/>
    <w:rsid w:val="00ED0BDA"/>
    <w:rsid w:val="00EE142A"/>
    <w:rsid w:val="00EF1360"/>
    <w:rsid w:val="00EF3220"/>
    <w:rsid w:val="00F143AA"/>
    <w:rsid w:val="00F2523A"/>
    <w:rsid w:val="00F43903"/>
    <w:rsid w:val="00F73C9D"/>
    <w:rsid w:val="00F94155"/>
    <w:rsid w:val="00F9783F"/>
    <w:rsid w:val="00FB111A"/>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F763B"/>
  <w15:docId w15:val="{B07AA99A-B33C-4BEF-B924-7F980765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4_GR,Fußnotenzeichen"/>
    <w:basedOn w:val="a0"/>
    <w:uiPriority w:val="99"/>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uiPriority w:val="99"/>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rsid w:val="00427AD2"/>
    <w:rPr>
      <w:b/>
      <w:sz w:val="28"/>
      <w:lang w:val="ru-RU" w:eastAsia="ru-RU"/>
    </w:rPr>
  </w:style>
  <w:style w:type="character" w:customStyle="1" w:styleId="SingleTxtGChar">
    <w:name w:val="_ Single Txt_G Char"/>
    <w:link w:val="SingleTxtG"/>
    <w:qFormat/>
    <w:rsid w:val="00427AD2"/>
    <w:rPr>
      <w:lang w:val="ru-RU" w:eastAsia="en-US"/>
    </w:rPr>
  </w:style>
  <w:style w:type="paragraph" w:customStyle="1" w:styleId="para">
    <w:name w:val="para"/>
    <w:basedOn w:val="a"/>
    <w:link w:val="paraChar"/>
    <w:qFormat/>
    <w:rsid w:val="00893FB9"/>
    <w:pPr>
      <w:suppressAutoHyphens w:val="0"/>
      <w:spacing w:after="120"/>
      <w:ind w:left="2268" w:right="1134" w:hanging="1134"/>
      <w:jc w:val="both"/>
    </w:pPr>
    <w:rPr>
      <w:rFonts w:eastAsia="Yu Mincho" w:cs="Times New Roman"/>
      <w:snapToGrid w:val="0"/>
      <w:szCs w:val="20"/>
      <w:lang w:val="fr-FR"/>
    </w:rPr>
  </w:style>
  <w:style w:type="character" w:customStyle="1" w:styleId="paraChar">
    <w:name w:val="para Char"/>
    <w:link w:val="para"/>
    <w:rsid w:val="00893FB9"/>
    <w:rPr>
      <w:rFonts w:eastAsia="Yu Mincho"/>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FA85-8392-4F0A-83CE-CA98E0034719}"/>
</file>

<file path=customXml/itemProps2.xml><?xml version="1.0" encoding="utf-8"?>
<ds:datastoreItem xmlns:ds="http://schemas.openxmlformats.org/officeDocument/2006/customXml" ds:itemID="{8BAAE1B9-D5A9-491B-A2CA-A56F4611ACA2}"/>
</file>

<file path=docProps/app.xml><?xml version="1.0" encoding="utf-8"?>
<Properties xmlns="http://schemas.openxmlformats.org/officeDocument/2006/extended-properties" xmlns:vt="http://schemas.openxmlformats.org/officeDocument/2006/docPropsVTypes">
  <Template>ECE.dotm</Template>
  <TotalTime>0</TotalTime>
  <Pages>3</Pages>
  <Words>469</Words>
  <Characters>3112</Characters>
  <Application>Microsoft Office Word</Application>
  <DocSecurity>0</DocSecurity>
  <Lines>77</Lines>
  <Paragraphs>43</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ECE/TRANS/WP.29/2023/120</dc:title>
  <dc:subject/>
  <dc:creator>Shuvalova NATALIA</dc:creator>
  <cp:keywords/>
  <cp:lastModifiedBy>Natalia Shuvalova</cp:lastModifiedBy>
  <cp:revision>2</cp:revision>
  <cp:lastPrinted>2008-01-15T07:58:00Z</cp:lastPrinted>
  <dcterms:created xsi:type="dcterms:W3CDTF">2023-09-28T11:07:00Z</dcterms:created>
  <dcterms:modified xsi:type="dcterms:W3CDTF">2023-09-28T11:07:00Z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