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B8B448D" w14:textId="77777777" w:rsidTr="00C97039">
        <w:trPr>
          <w:trHeight w:hRule="exact" w:val="851"/>
        </w:trPr>
        <w:tc>
          <w:tcPr>
            <w:tcW w:w="1276" w:type="dxa"/>
            <w:tcBorders>
              <w:bottom w:val="single" w:sz="4" w:space="0" w:color="auto"/>
            </w:tcBorders>
          </w:tcPr>
          <w:p w14:paraId="5BF364B8" w14:textId="77777777" w:rsidR="00F35BAF" w:rsidRPr="00DB58B5" w:rsidRDefault="00F35BAF" w:rsidP="00145F95"/>
        </w:tc>
        <w:tc>
          <w:tcPr>
            <w:tcW w:w="2268" w:type="dxa"/>
            <w:tcBorders>
              <w:bottom w:val="single" w:sz="4" w:space="0" w:color="auto"/>
            </w:tcBorders>
            <w:vAlign w:val="bottom"/>
          </w:tcPr>
          <w:p w14:paraId="236BD5B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AF386E7" w14:textId="6F6B444B" w:rsidR="00F35BAF" w:rsidRPr="00DB58B5" w:rsidRDefault="00145F95" w:rsidP="00145F95">
            <w:pPr>
              <w:jc w:val="right"/>
            </w:pPr>
            <w:r w:rsidRPr="00145F95">
              <w:rPr>
                <w:sz w:val="40"/>
              </w:rPr>
              <w:t>ECE</w:t>
            </w:r>
            <w:r>
              <w:t>/TRANS/WP.29/2023/120</w:t>
            </w:r>
          </w:p>
        </w:tc>
      </w:tr>
      <w:tr w:rsidR="00F35BAF" w:rsidRPr="00DB58B5" w14:paraId="4B77FF09" w14:textId="77777777" w:rsidTr="00C97039">
        <w:trPr>
          <w:trHeight w:hRule="exact" w:val="2835"/>
        </w:trPr>
        <w:tc>
          <w:tcPr>
            <w:tcW w:w="1276" w:type="dxa"/>
            <w:tcBorders>
              <w:top w:val="single" w:sz="4" w:space="0" w:color="auto"/>
              <w:bottom w:val="single" w:sz="12" w:space="0" w:color="auto"/>
            </w:tcBorders>
          </w:tcPr>
          <w:p w14:paraId="58D1C025" w14:textId="77777777" w:rsidR="00F35BAF" w:rsidRPr="00DB58B5" w:rsidRDefault="00F35BAF" w:rsidP="00C97039">
            <w:pPr>
              <w:spacing w:before="120"/>
              <w:jc w:val="center"/>
            </w:pPr>
            <w:r>
              <w:rPr>
                <w:noProof/>
                <w:lang w:eastAsia="fr-CH"/>
              </w:rPr>
              <w:drawing>
                <wp:inline distT="0" distB="0" distL="0" distR="0" wp14:anchorId="3FF478DB" wp14:editId="20CD419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1C52D14"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604EC44" w14:textId="77777777" w:rsidR="00F35BAF" w:rsidRDefault="00145F95" w:rsidP="00C97039">
            <w:pPr>
              <w:spacing w:before="240"/>
            </w:pPr>
            <w:proofErr w:type="spellStart"/>
            <w:r>
              <w:t>Distr</w:t>
            </w:r>
            <w:proofErr w:type="spellEnd"/>
            <w:r>
              <w:t>. générale</w:t>
            </w:r>
          </w:p>
          <w:p w14:paraId="3EE8102F" w14:textId="7999E0D6" w:rsidR="00145F95" w:rsidRDefault="00145F95" w:rsidP="00145F95">
            <w:pPr>
              <w:spacing w:line="240" w:lineRule="exact"/>
            </w:pPr>
            <w:r>
              <w:t>30 août 2023</w:t>
            </w:r>
          </w:p>
          <w:p w14:paraId="218E4367" w14:textId="77777777" w:rsidR="00145F95" w:rsidRDefault="00145F95" w:rsidP="00145F95">
            <w:pPr>
              <w:spacing w:line="240" w:lineRule="exact"/>
            </w:pPr>
            <w:r>
              <w:t>Français</w:t>
            </w:r>
          </w:p>
          <w:p w14:paraId="045EFF62" w14:textId="0306C50B" w:rsidR="00145F95" w:rsidRPr="00DB58B5" w:rsidRDefault="00145F95" w:rsidP="00145F95">
            <w:pPr>
              <w:spacing w:line="240" w:lineRule="exact"/>
            </w:pPr>
            <w:r>
              <w:t>Original : anglais</w:t>
            </w:r>
          </w:p>
        </w:tc>
      </w:tr>
    </w:tbl>
    <w:p w14:paraId="557FE216" w14:textId="656218FC" w:rsidR="007F20FA" w:rsidRPr="000312C0" w:rsidRDefault="007F20FA" w:rsidP="007F20FA">
      <w:pPr>
        <w:spacing w:before="120"/>
        <w:rPr>
          <w:b/>
          <w:sz w:val="28"/>
          <w:szCs w:val="28"/>
        </w:rPr>
      </w:pPr>
      <w:r w:rsidRPr="000312C0">
        <w:rPr>
          <w:b/>
          <w:sz w:val="28"/>
          <w:szCs w:val="28"/>
        </w:rPr>
        <w:t>Commission économique pour l</w:t>
      </w:r>
      <w:r w:rsidR="00145F95">
        <w:rPr>
          <w:b/>
          <w:sz w:val="28"/>
          <w:szCs w:val="28"/>
        </w:rPr>
        <w:t>’</w:t>
      </w:r>
      <w:r w:rsidRPr="000312C0">
        <w:rPr>
          <w:b/>
          <w:sz w:val="28"/>
          <w:szCs w:val="28"/>
        </w:rPr>
        <w:t>Europe</w:t>
      </w:r>
    </w:p>
    <w:p w14:paraId="26115124" w14:textId="77777777" w:rsidR="007F20FA" w:rsidRDefault="007F20FA" w:rsidP="007F20FA">
      <w:pPr>
        <w:spacing w:before="120"/>
        <w:rPr>
          <w:sz w:val="28"/>
          <w:szCs w:val="28"/>
        </w:rPr>
      </w:pPr>
      <w:r w:rsidRPr="00685843">
        <w:rPr>
          <w:sz w:val="28"/>
          <w:szCs w:val="28"/>
        </w:rPr>
        <w:t>Comité des transports intérieurs</w:t>
      </w:r>
    </w:p>
    <w:p w14:paraId="2CC58C5E" w14:textId="4CF6D23B" w:rsidR="00145F95" w:rsidRDefault="00145F95" w:rsidP="00AF0CB5">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sidR="00354F4E">
        <w:rPr>
          <w:b/>
          <w:sz w:val="24"/>
          <w:szCs w:val="24"/>
        </w:rPr>
        <w:t xml:space="preserve"> </w:t>
      </w:r>
      <w:r w:rsidRPr="00685843">
        <w:rPr>
          <w:b/>
          <w:sz w:val="24"/>
          <w:szCs w:val="24"/>
        </w:rPr>
        <w:t>des Règlements</w:t>
      </w:r>
      <w:r>
        <w:rPr>
          <w:b/>
          <w:sz w:val="24"/>
          <w:szCs w:val="24"/>
        </w:rPr>
        <w:t xml:space="preserve"> </w:t>
      </w:r>
      <w:r w:rsidR="00354F4E">
        <w:rPr>
          <w:b/>
          <w:sz w:val="24"/>
          <w:szCs w:val="24"/>
        </w:rPr>
        <w:br/>
      </w:r>
      <w:r w:rsidRPr="00685843">
        <w:rPr>
          <w:b/>
          <w:sz w:val="24"/>
          <w:szCs w:val="24"/>
        </w:rPr>
        <w:t>concernant les véhicules</w:t>
      </w:r>
    </w:p>
    <w:p w14:paraId="31A6BB0E" w14:textId="04916499" w:rsidR="00145F95" w:rsidRDefault="00145F95" w:rsidP="00AF0CB5">
      <w:pPr>
        <w:spacing w:before="120" w:line="240" w:lineRule="exact"/>
        <w:rPr>
          <w:b/>
        </w:rPr>
      </w:pPr>
      <w:r>
        <w:rPr>
          <w:b/>
        </w:rPr>
        <w:t>191</w:t>
      </w:r>
      <w:r w:rsidRPr="00145F95">
        <w:rPr>
          <w:b/>
          <w:vertAlign w:val="superscript"/>
        </w:rPr>
        <w:t>e</w:t>
      </w:r>
      <w:r>
        <w:rPr>
          <w:b/>
        </w:rPr>
        <w:t> session</w:t>
      </w:r>
    </w:p>
    <w:p w14:paraId="6462D7CF" w14:textId="151E4C56" w:rsidR="00145F95" w:rsidRDefault="00145F95" w:rsidP="00AF0CB5">
      <w:pPr>
        <w:spacing w:line="240" w:lineRule="exact"/>
      </w:pPr>
      <w:r>
        <w:t>Genève, 14-16 novembre 2023</w:t>
      </w:r>
    </w:p>
    <w:p w14:paraId="3EFE043B" w14:textId="37B320F8" w:rsidR="00145F95" w:rsidRDefault="00145F95" w:rsidP="00AF0CB5">
      <w:pPr>
        <w:spacing w:line="240" w:lineRule="exact"/>
      </w:pPr>
      <w:r>
        <w:t>Point 4.8.16 de l’ordre du jour provisoire</w:t>
      </w:r>
    </w:p>
    <w:p w14:paraId="0B1523AC" w14:textId="1587B94C" w:rsidR="00145F95" w:rsidRPr="00BE032F" w:rsidRDefault="00145F95" w:rsidP="00145F95">
      <w:pPr>
        <w:rPr>
          <w:b/>
          <w:bCs/>
        </w:rPr>
      </w:pPr>
      <w:r>
        <w:rPr>
          <w:b/>
          <w:bCs/>
          <w:lang w:val="fr-FR"/>
        </w:rPr>
        <w:t>Accord de 1958</w:t>
      </w:r>
      <w:r>
        <w:rPr>
          <w:b/>
          <w:bCs/>
          <w:lang w:val="fr-FR"/>
        </w:rPr>
        <w:t> </w:t>
      </w:r>
      <w:r>
        <w:rPr>
          <w:b/>
          <w:bCs/>
          <w:lang w:val="fr-FR"/>
        </w:rPr>
        <w:t>:</w:t>
      </w:r>
      <w:r w:rsidR="00354F4E">
        <w:rPr>
          <w:b/>
          <w:bCs/>
          <w:lang w:val="fr-FR"/>
        </w:rPr>
        <w:t xml:space="preserve"> </w:t>
      </w:r>
      <w:r>
        <w:rPr>
          <w:b/>
          <w:bCs/>
          <w:lang w:val="fr-FR"/>
        </w:rPr>
        <w:t>Examen de projets d</w:t>
      </w:r>
      <w:r>
        <w:rPr>
          <w:b/>
          <w:bCs/>
          <w:lang w:val="fr-FR"/>
        </w:rPr>
        <w:t>’</w:t>
      </w:r>
      <w:r>
        <w:rPr>
          <w:b/>
          <w:bCs/>
          <w:lang w:val="fr-FR"/>
        </w:rPr>
        <w:t xml:space="preserve">amendements </w:t>
      </w:r>
      <w:r w:rsidR="00354F4E">
        <w:rPr>
          <w:b/>
          <w:bCs/>
          <w:lang w:val="fr-FR"/>
        </w:rPr>
        <w:br/>
      </w:r>
      <w:r>
        <w:rPr>
          <w:b/>
          <w:bCs/>
          <w:lang w:val="fr-FR"/>
        </w:rPr>
        <w:t>à des Règlements ONU existants,</w:t>
      </w:r>
      <w:r w:rsidR="00354F4E">
        <w:rPr>
          <w:b/>
          <w:bCs/>
          <w:lang w:val="fr-FR"/>
        </w:rPr>
        <w:t xml:space="preserve"> </w:t>
      </w:r>
      <w:r>
        <w:rPr>
          <w:b/>
          <w:bCs/>
          <w:lang w:val="fr-FR"/>
        </w:rPr>
        <w:t>soumis par le GRSP</w:t>
      </w:r>
    </w:p>
    <w:p w14:paraId="45064724" w14:textId="7062E786" w:rsidR="00145F95" w:rsidRPr="00BE032F" w:rsidRDefault="00145F95" w:rsidP="00145F95">
      <w:pPr>
        <w:pStyle w:val="HChG"/>
      </w:pPr>
      <w:r>
        <w:rPr>
          <w:lang w:val="fr-FR"/>
        </w:rPr>
        <w:tab/>
      </w:r>
      <w:r>
        <w:rPr>
          <w:lang w:val="fr-FR"/>
        </w:rPr>
        <w:tab/>
        <w:t>Proposition de complément 10 à la série 03 d</w:t>
      </w:r>
      <w:r>
        <w:rPr>
          <w:lang w:val="fr-FR"/>
        </w:rPr>
        <w:t>’</w:t>
      </w:r>
      <w:r>
        <w:rPr>
          <w:lang w:val="fr-FR"/>
        </w:rPr>
        <w:t>amendements au Règlement ONU n</w:t>
      </w:r>
      <w:r w:rsidRPr="00145F95">
        <w:rPr>
          <w:vertAlign w:val="superscript"/>
          <w:lang w:val="fr-FR"/>
        </w:rPr>
        <w:t>o</w:t>
      </w:r>
      <w:r>
        <w:rPr>
          <w:lang w:val="fr-FR"/>
        </w:rPr>
        <w:t> </w:t>
      </w:r>
      <w:r>
        <w:rPr>
          <w:lang w:val="fr-FR"/>
        </w:rPr>
        <w:t>129 (Systèmes améliorés de retenue pour enfants)</w:t>
      </w:r>
    </w:p>
    <w:p w14:paraId="796B32B1" w14:textId="524A92D6" w:rsidR="00F9573C" w:rsidRDefault="00145F95" w:rsidP="00145F95">
      <w:pPr>
        <w:pStyle w:val="H1G"/>
      </w:pPr>
      <w:r>
        <w:rPr>
          <w:lang w:val="fr-FR"/>
        </w:rPr>
        <w:tab/>
      </w:r>
      <w:r>
        <w:rPr>
          <w:lang w:val="fr-FR"/>
        </w:rPr>
        <w:tab/>
        <w:t>Communication du Groupe de travail de la sécurité passive</w:t>
      </w:r>
      <w:r w:rsidRPr="00145F95">
        <w:rPr>
          <w:rStyle w:val="Appelnotedebasdep"/>
          <w:b w:val="0"/>
          <w:bCs/>
          <w:sz w:val="20"/>
          <w:vertAlign w:val="baseline"/>
        </w:rPr>
        <w:footnoteReference w:customMarkFollows="1" w:id="2"/>
        <w:t>*</w:t>
      </w:r>
    </w:p>
    <w:p w14:paraId="4FF2EABA" w14:textId="307DFA56" w:rsidR="00145F95" w:rsidRDefault="00145F95" w:rsidP="00145F95">
      <w:pPr>
        <w:pStyle w:val="SingleTxtG"/>
        <w:ind w:firstLine="567"/>
        <w:rPr>
          <w:lang w:val="fr-FR"/>
        </w:rPr>
      </w:pPr>
      <w:r>
        <w:t xml:space="preserve">Le texte </w:t>
      </w:r>
      <w:r>
        <w:rPr>
          <w:lang w:val="fr-FR"/>
        </w:rPr>
        <w:t>ci-après, adopté par le Groupe de travail de la sécurité passive (GRSP) à sa soixante-treizième session (ECE/TRANS/WP.29/GRSP/73, par.</w:t>
      </w:r>
      <w:r w:rsidR="00962C5C">
        <w:rPr>
          <w:lang w:val="fr-FR"/>
        </w:rPr>
        <w:t> </w:t>
      </w:r>
      <w:r>
        <w:rPr>
          <w:lang w:val="fr-FR"/>
        </w:rPr>
        <w:t>34), est fondé sur le document ECE/TRANS/WP.29/GRSP/2023/11 tel que modifié par l</w:t>
      </w:r>
      <w:r>
        <w:rPr>
          <w:lang w:val="fr-FR"/>
        </w:rPr>
        <w:t>’</w:t>
      </w:r>
      <w:r>
        <w:rPr>
          <w:lang w:val="fr-FR"/>
        </w:rPr>
        <w:t>annexe VIII du rapport et sur le document ECE/TRANS/WP.29/GRSP/2023/14 tel que modifié par le paragraphe</w:t>
      </w:r>
      <w:r w:rsidR="00962C5C">
        <w:rPr>
          <w:lang w:val="fr-FR"/>
        </w:rPr>
        <w:t> </w:t>
      </w:r>
      <w:r>
        <w:rPr>
          <w:lang w:val="fr-FR"/>
        </w:rPr>
        <w:t>35 du rapport. Il est soumis au Forum mondial de l</w:t>
      </w:r>
      <w:r>
        <w:rPr>
          <w:lang w:val="fr-FR"/>
        </w:rPr>
        <w:t>’</w:t>
      </w:r>
      <w:r>
        <w:rPr>
          <w:lang w:val="fr-FR"/>
        </w:rPr>
        <w:t>harmonisation des Règlements concernant les véhicules (WP.29) et au Comité d</w:t>
      </w:r>
      <w:r>
        <w:rPr>
          <w:lang w:val="fr-FR"/>
        </w:rPr>
        <w:t>’</w:t>
      </w:r>
      <w:r>
        <w:rPr>
          <w:lang w:val="fr-FR"/>
        </w:rPr>
        <w:t>administration de l</w:t>
      </w:r>
      <w:r>
        <w:rPr>
          <w:lang w:val="fr-FR"/>
        </w:rPr>
        <w:t>’</w:t>
      </w:r>
      <w:r>
        <w:rPr>
          <w:lang w:val="fr-FR"/>
        </w:rPr>
        <w:t>Accord de 1958 (AC.1) pour examen à leurs sessions de novembre 2023.</w:t>
      </w:r>
    </w:p>
    <w:p w14:paraId="70127244" w14:textId="0A1D392D" w:rsidR="00145F95" w:rsidRDefault="00145F95" w:rsidP="00145F95">
      <w:pPr>
        <w:rPr>
          <w:lang w:val="fr-FR"/>
        </w:rPr>
      </w:pPr>
      <w:r>
        <w:rPr>
          <w:lang w:val="fr-FR"/>
        </w:rPr>
        <w:br w:type="page"/>
      </w:r>
    </w:p>
    <w:p w14:paraId="5EFADEF8" w14:textId="3C5CFB68" w:rsidR="00145F95" w:rsidRPr="00BE032F" w:rsidRDefault="00145F95" w:rsidP="00145F95">
      <w:pPr>
        <w:pStyle w:val="SingleTxtG"/>
      </w:pPr>
      <w:r w:rsidRPr="00145F95">
        <w:rPr>
          <w:i/>
          <w:iCs/>
          <w:lang w:val="fr-FR"/>
        </w:rPr>
        <w:lastRenderedPageBreak/>
        <w:t>Paragraphe 3.2.2</w:t>
      </w:r>
      <w:r w:rsidRPr="00145F95">
        <w:rPr>
          <w:lang w:val="fr-FR"/>
        </w:rPr>
        <w:t>,</w:t>
      </w:r>
      <w:r>
        <w:rPr>
          <w:lang w:val="fr-FR"/>
        </w:rPr>
        <w:t xml:space="preserve"> lire</w:t>
      </w:r>
      <w:r>
        <w:rPr>
          <w:lang w:val="fr-FR"/>
        </w:rPr>
        <w:t> </w:t>
      </w:r>
      <w:r>
        <w:rPr>
          <w:lang w:val="fr-FR"/>
        </w:rPr>
        <w:t>:</w:t>
      </w:r>
    </w:p>
    <w:p w14:paraId="5948BE16" w14:textId="6EAB4AAF" w:rsidR="00145F95" w:rsidRPr="00BE032F" w:rsidRDefault="00145F95" w:rsidP="00145F95">
      <w:pPr>
        <w:pStyle w:val="SingleTxtG"/>
        <w:ind w:left="2268" w:hanging="1134"/>
      </w:pPr>
      <w:r>
        <w:rPr>
          <w:lang w:val="fr-FR"/>
        </w:rPr>
        <w:t>« 3.2.2</w:t>
      </w:r>
      <w:r>
        <w:rPr>
          <w:lang w:val="fr-FR"/>
        </w:rPr>
        <w:tab/>
        <w:t>Le demandeur doit préciser la nature de sa demande, à savoir s</w:t>
      </w:r>
      <w:r>
        <w:rPr>
          <w:lang w:val="fr-FR"/>
        </w:rPr>
        <w:t>’</w:t>
      </w:r>
      <w:r>
        <w:rPr>
          <w:lang w:val="fr-FR"/>
        </w:rPr>
        <w:t>il s</w:t>
      </w:r>
      <w:r>
        <w:rPr>
          <w:lang w:val="fr-FR"/>
        </w:rPr>
        <w:t>’</w:t>
      </w:r>
      <w:r>
        <w:rPr>
          <w:lang w:val="fr-FR"/>
        </w:rPr>
        <w:t>agit :</w:t>
      </w:r>
    </w:p>
    <w:p w14:paraId="56B144B5" w14:textId="2F38EC67" w:rsidR="00145F95" w:rsidRPr="00BE032F" w:rsidRDefault="00145F95" w:rsidP="00145F95">
      <w:pPr>
        <w:pStyle w:val="SingleTxtG"/>
        <w:ind w:left="2835" w:hanging="567"/>
      </w:pPr>
      <w:r>
        <w:rPr>
          <w:lang w:val="fr-FR"/>
        </w:rPr>
        <w:t>a)</w:t>
      </w:r>
      <w:r>
        <w:rPr>
          <w:lang w:val="fr-FR"/>
        </w:rPr>
        <w:tab/>
        <w:t>D</w:t>
      </w:r>
      <w:r>
        <w:rPr>
          <w:lang w:val="fr-FR"/>
        </w:rPr>
        <w:t>’</w:t>
      </w:r>
      <w:r>
        <w:rPr>
          <w:lang w:val="fr-FR"/>
        </w:rPr>
        <w:t xml:space="preserve">une demande relative à un système amélioré de retenue pour enfants i-Size ; ou </w:t>
      </w:r>
    </w:p>
    <w:p w14:paraId="69A5B11D" w14:textId="5268E5F2" w:rsidR="00145F95" w:rsidRPr="00BE032F" w:rsidRDefault="00145F95" w:rsidP="00145F95">
      <w:pPr>
        <w:pStyle w:val="SingleTxtG"/>
        <w:ind w:left="2835" w:hanging="567"/>
      </w:pPr>
      <w:r>
        <w:rPr>
          <w:lang w:val="fr-FR"/>
        </w:rPr>
        <w:t>b)</w:t>
      </w:r>
      <w:r>
        <w:rPr>
          <w:lang w:val="fr-FR"/>
        </w:rPr>
        <w:tab/>
        <w:t>D</w:t>
      </w:r>
      <w:r>
        <w:rPr>
          <w:lang w:val="fr-FR"/>
        </w:rPr>
        <w:t>’</w:t>
      </w:r>
      <w:r>
        <w:rPr>
          <w:lang w:val="fr-FR"/>
        </w:rPr>
        <w:t>une demande relative à un système amélioré de retenue pour enfants ISOFIX spécifique à un véhicule ; ou</w:t>
      </w:r>
    </w:p>
    <w:p w14:paraId="14888BD1" w14:textId="46A514D2" w:rsidR="00145F95" w:rsidRPr="00BE032F" w:rsidRDefault="00145F95" w:rsidP="00145F95">
      <w:pPr>
        <w:pStyle w:val="SingleTxtG"/>
        <w:ind w:left="2835" w:hanging="567"/>
      </w:pPr>
      <w:r>
        <w:rPr>
          <w:lang w:val="fr-FR"/>
        </w:rPr>
        <w:t>c)</w:t>
      </w:r>
      <w:r>
        <w:rPr>
          <w:lang w:val="fr-FR"/>
        </w:rPr>
        <w:tab/>
        <w:t>D</w:t>
      </w:r>
      <w:r>
        <w:rPr>
          <w:lang w:val="fr-FR"/>
        </w:rPr>
        <w:t>’</w:t>
      </w:r>
      <w:r>
        <w:rPr>
          <w:lang w:val="fr-FR"/>
        </w:rPr>
        <w:t>une demande relative à un système amélioré de retenue pour enfants de type siège rehausseur i-Size ; ou</w:t>
      </w:r>
    </w:p>
    <w:p w14:paraId="55688214" w14:textId="50D80BBF" w:rsidR="00145F95" w:rsidRPr="00BE032F" w:rsidRDefault="00145F95" w:rsidP="00145F95">
      <w:pPr>
        <w:pStyle w:val="SingleTxtG"/>
        <w:ind w:left="2835" w:hanging="567"/>
      </w:pPr>
      <w:r>
        <w:rPr>
          <w:lang w:val="fr-FR"/>
        </w:rPr>
        <w:t>d)</w:t>
      </w:r>
      <w:r>
        <w:rPr>
          <w:lang w:val="fr-FR"/>
        </w:rPr>
        <w:tab/>
        <w:t>D</w:t>
      </w:r>
      <w:r>
        <w:rPr>
          <w:lang w:val="fr-FR"/>
        </w:rPr>
        <w:t>’</w:t>
      </w:r>
      <w:r>
        <w:rPr>
          <w:lang w:val="fr-FR"/>
        </w:rPr>
        <w:t>une demande relative à un système amélioré de retenue pour enfants de type siège rehausseur spécifique à un véhicule ; ou</w:t>
      </w:r>
    </w:p>
    <w:p w14:paraId="2553191A" w14:textId="51F8826E" w:rsidR="00145F95" w:rsidRPr="00BE032F" w:rsidRDefault="00145F95" w:rsidP="00145F95">
      <w:pPr>
        <w:pStyle w:val="SingleTxtG"/>
        <w:ind w:left="2835" w:hanging="567"/>
        <w:rPr>
          <w:iCs/>
        </w:rPr>
      </w:pPr>
      <w:r>
        <w:rPr>
          <w:lang w:val="fr-FR"/>
        </w:rPr>
        <w:t>e)</w:t>
      </w:r>
      <w:r>
        <w:rPr>
          <w:lang w:val="fr-FR"/>
        </w:rPr>
        <w:tab/>
        <w:t>D</w:t>
      </w:r>
      <w:r>
        <w:rPr>
          <w:lang w:val="fr-FR"/>
        </w:rPr>
        <w:t>’</w:t>
      </w:r>
      <w:r>
        <w:rPr>
          <w:lang w:val="fr-FR"/>
        </w:rPr>
        <w:t>une demande relative à un système amélioré de retenue pour enfants universel à ceinture ; ou</w:t>
      </w:r>
    </w:p>
    <w:p w14:paraId="7FF6BA21" w14:textId="2058CADB" w:rsidR="00145F95" w:rsidRPr="00BE032F" w:rsidRDefault="00145F95" w:rsidP="00145F95">
      <w:pPr>
        <w:pStyle w:val="SingleTxtG"/>
        <w:ind w:left="2835" w:hanging="567"/>
      </w:pPr>
      <w:r>
        <w:rPr>
          <w:lang w:val="fr-FR"/>
        </w:rPr>
        <w:t>f)</w:t>
      </w:r>
      <w:r>
        <w:rPr>
          <w:lang w:val="fr-FR"/>
        </w:rPr>
        <w:tab/>
        <w:t>D</w:t>
      </w:r>
      <w:r>
        <w:rPr>
          <w:lang w:val="fr-FR"/>
        </w:rPr>
        <w:t>’</w:t>
      </w:r>
      <w:r>
        <w:rPr>
          <w:lang w:val="fr-FR"/>
        </w:rPr>
        <w:t xml:space="preserve">une demande relative à un système amélioré de retenue pour enfants à ceinture spécifique à un véhicule ; ou </w:t>
      </w:r>
    </w:p>
    <w:p w14:paraId="374F9354" w14:textId="5B69EDB5" w:rsidR="00145F95" w:rsidRPr="00BE032F" w:rsidRDefault="00145F95" w:rsidP="00145F95">
      <w:pPr>
        <w:pStyle w:val="SingleTxtG"/>
        <w:ind w:left="2835" w:hanging="567"/>
        <w:rPr>
          <w:bCs/>
        </w:rPr>
      </w:pPr>
      <w:r>
        <w:rPr>
          <w:lang w:val="fr-FR"/>
        </w:rPr>
        <w:t>g)</w:t>
      </w:r>
      <w:r>
        <w:rPr>
          <w:lang w:val="fr-FR"/>
        </w:rPr>
        <w:tab/>
        <w:t>D</w:t>
      </w:r>
      <w:r>
        <w:rPr>
          <w:lang w:val="fr-FR"/>
        </w:rPr>
        <w:t>’</w:t>
      </w:r>
      <w:r>
        <w:rPr>
          <w:lang w:val="fr-FR"/>
        </w:rPr>
        <w:t>une demande relative à un système amélioré de retenue pour enfants de type coussin d</w:t>
      </w:r>
      <w:r>
        <w:rPr>
          <w:lang w:val="fr-FR"/>
        </w:rPr>
        <w:t>’</w:t>
      </w:r>
      <w:r>
        <w:rPr>
          <w:lang w:val="fr-FR"/>
        </w:rPr>
        <w:t>appoint universel ; ou</w:t>
      </w:r>
    </w:p>
    <w:p w14:paraId="02D3C36E" w14:textId="5E429961" w:rsidR="00145F95" w:rsidRPr="00BE032F" w:rsidRDefault="00145F95" w:rsidP="00145F95">
      <w:pPr>
        <w:pStyle w:val="SingleTxtG"/>
        <w:ind w:left="2835" w:hanging="567"/>
        <w:rPr>
          <w:bCs/>
        </w:rPr>
      </w:pPr>
      <w:r>
        <w:rPr>
          <w:lang w:val="fr-FR"/>
        </w:rPr>
        <w:t>h)</w:t>
      </w:r>
      <w:r>
        <w:rPr>
          <w:lang w:val="fr-FR"/>
        </w:rPr>
        <w:tab/>
        <w:t>D</w:t>
      </w:r>
      <w:r>
        <w:rPr>
          <w:lang w:val="fr-FR"/>
        </w:rPr>
        <w:t>’</w:t>
      </w:r>
      <w:r>
        <w:rPr>
          <w:lang w:val="fr-FR"/>
        </w:rPr>
        <w:t>une demande relative à un système amélioré de retenue pour enfants de type coussin d</w:t>
      </w:r>
      <w:r>
        <w:rPr>
          <w:lang w:val="fr-FR"/>
        </w:rPr>
        <w:t>’</w:t>
      </w:r>
      <w:r>
        <w:rPr>
          <w:lang w:val="fr-FR"/>
        </w:rPr>
        <w:t>appoint spécifique à un véhicule ; ou</w:t>
      </w:r>
    </w:p>
    <w:p w14:paraId="10FCF222" w14:textId="0ACE9159" w:rsidR="00145F95" w:rsidRPr="00BE032F" w:rsidRDefault="00145F95" w:rsidP="00145F95">
      <w:pPr>
        <w:pStyle w:val="SingleTxtG"/>
        <w:ind w:left="2835" w:hanging="567"/>
        <w:rPr>
          <w:bCs/>
        </w:rPr>
      </w:pPr>
      <w:r>
        <w:rPr>
          <w:lang w:val="fr-FR"/>
        </w:rPr>
        <w:t>i)</w:t>
      </w:r>
      <w:r>
        <w:rPr>
          <w:lang w:val="fr-FR"/>
        </w:rPr>
        <w:tab/>
        <w:t>De toute combinaison des alinéas a), b), c), d), g) et h), pour autant qu</w:t>
      </w:r>
      <w:r>
        <w:rPr>
          <w:lang w:val="fr-FR"/>
        </w:rPr>
        <w:t>’</w:t>
      </w:r>
      <w:r>
        <w:rPr>
          <w:lang w:val="fr-FR"/>
        </w:rPr>
        <w:t>elle soit conforme aux dispositions des paragraphes 5.4.2.2, 6.1.2 et 6.1.3 s</w:t>
      </w:r>
      <w:r>
        <w:rPr>
          <w:lang w:val="fr-FR"/>
        </w:rPr>
        <w:t>’</w:t>
      </w:r>
      <w:r>
        <w:rPr>
          <w:lang w:val="fr-FR"/>
        </w:rPr>
        <w:t>il n</w:t>
      </w:r>
      <w:r>
        <w:rPr>
          <w:lang w:val="fr-FR"/>
        </w:rPr>
        <w:t>’</w:t>
      </w:r>
      <w:r>
        <w:rPr>
          <w:lang w:val="fr-FR"/>
        </w:rPr>
        <w:t>existe qu</w:t>
      </w:r>
      <w:r>
        <w:rPr>
          <w:lang w:val="fr-FR"/>
        </w:rPr>
        <w:t>’</w:t>
      </w:r>
      <w:r>
        <w:rPr>
          <w:lang w:val="fr-FR"/>
        </w:rPr>
        <w:t>un seul trajet de la ceinture</w:t>
      </w:r>
      <w:r>
        <w:rPr>
          <w:rStyle w:val="Appelnotedebasdep"/>
        </w:rPr>
        <w:footnoteReference w:id="3"/>
      </w:r>
      <w:r>
        <w:rPr>
          <w:lang w:val="fr-FR"/>
        </w:rPr>
        <w:t> </w:t>
      </w:r>
      <w:r>
        <w:rPr>
          <w:lang w:val="fr-FR"/>
        </w:rPr>
        <w:t>; ou</w:t>
      </w:r>
    </w:p>
    <w:p w14:paraId="52E1CB68" w14:textId="2FE19B61" w:rsidR="00145F95" w:rsidRPr="00BE032F" w:rsidRDefault="00145F95" w:rsidP="00145F95">
      <w:pPr>
        <w:pStyle w:val="SingleTxtG"/>
        <w:ind w:left="2835" w:hanging="567"/>
        <w:rPr>
          <w:b/>
          <w:bCs/>
        </w:rPr>
      </w:pPr>
      <w:r>
        <w:rPr>
          <w:lang w:val="fr-FR"/>
        </w:rPr>
        <w:t>j)</w:t>
      </w:r>
      <w:r>
        <w:rPr>
          <w:lang w:val="fr-FR"/>
        </w:rPr>
        <w:tab/>
        <w:t>De toute combinaison des alinéas c), d), e), f), g) et h), pour autant qu</w:t>
      </w:r>
      <w:r>
        <w:rPr>
          <w:lang w:val="fr-FR"/>
        </w:rPr>
        <w:t>’</w:t>
      </w:r>
      <w:r>
        <w:rPr>
          <w:lang w:val="fr-FR"/>
        </w:rPr>
        <w:t>elle soit conforme aux dispositions des paragraphes 5.4.2.2, 6.1.2 et 6.1.3 s</w:t>
      </w:r>
      <w:r>
        <w:rPr>
          <w:lang w:val="fr-FR"/>
        </w:rPr>
        <w:t>’</w:t>
      </w:r>
      <w:r>
        <w:rPr>
          <w:lang w:val="fr-FR"/>
        </w:rPr>
        <w:t>il n</w:t>
      </w:r>
      <w:r>
        <w:rPr>
          <w:lang w:val="fr-FR"/>
        </w:rPr>
        <w:t>’</w:t>
      </w:r>
      <w:r>
        <w:rPr>
          <w:lang w:val="fr-FR"/>
        </w:rPr>
        <w:t>existe qu</w:t>
      </w:r>
      <w:r>
        <w:rPr>
          <w:lang w:val="fr-FR"/>
        </w:rPr>
        <w:t>’</w:t>
      </w:r>
      <w:r>
        <w:rPr>
          <w:lang w:val="fr-FR"/>
        </w:rPr>
        <w:t>un seul trajet de la ceinture et que le siège rehausseur ou coussin d</w:t>
      </w:r>
      <w:r>
        <w:rPr>
          <w:lang w:val="fr-FR"/>
        </w:rPr>
        <w:t>’</w:t>
      </w:r>
      <w:r>
        <w:rPr>
          <w:lang w:val="fr-FR"/>
        </w:rPr>
        <w:t>appoint n</w:t>
      </w:r>
      <w:r>
        <w:rPr>
          <w:lang w:val="fr-FR"/>
        </w:rPr>
        <w:t>’</w:t>
      </w:r>
      <w:r>
        <w:rPr>
          <w:lang w:val="fr-FR"/>
        </w:rPr>
        <w:t>est pas équipé d</w:t>
      </w:r>
      <w:r>
        <w:rPr>
          <w:lang w:val="fr-FR"/>
        </w:rPr>
        <w:t>’</w:t>
      </w:r>
      <w:r>
        <w:rPr>
          <w:lang w:val="fr-FR"/>
        </w:rPr>
        <w:t xml:space="preserve">attaches ISOFIX. ». </w:t>
      </w:r>
    </w:p>
    <w:p w14:paraId="3B454972" w14:textId="7DFD2BD1" w:rsidR="00145F95" w:rsidRPr="00BE032F" w:rsidRDefault="00145F95" w:rsidP="00145F95">
      <w:pPr>
        <w:pStyle w:val="SingleTxtG"/>
        <w:rPr>
          <w:bCs/>
        </w:rPr>
      </w:pPr>
      <w:r>
        <w:rPr>
          <w:i/>
          <w:iCs/>
          <w:lang w:val="fr-FR"/>
        </w:rPr>
        <w:t>Ajouter le nouveau paragraphe 3.5</w:t>
      </w:r>
      <w:r>
        <w:rPr>
          <w:lang w:val="fr-FR"/>
        </w:rPr>
        <w:t>, libellé comme suit</w:t>
      </w:r>
      <w:r>
        <w:rPr>
          <w:lang w:val="fr-FR"/>
        </w:rPr>
        <w:t> </w:t>
      </w:r>
      <w:r>
        <w:rPr>
          <w:lang w:val="fr-FR"/>
        </w:rPr>
        <w:t>:</w:t>
      </w:r>
    </w:p>
    <w:p w14:paraId="6C1F6D22" w14:textId="2EF55707" w:rsidR="00145F95" w:rsidRPr="00BE032F" w:rsidRDefault="00145F95" w:rsidP="00145F95">
      <w:pPr>
        <w:pStyle w:val="SingleTxtG"/>
        <w:ind w:left="2268" w:hanging="1134"/>
        <w:rPr>
          <w:bCs/>
        </w:rPr>
      </w:pPr>
      <w:r>
        <w:rPr>
          <w:lang w:val="fr-FR"/>
        </w:rPr>
        <w:t>« 3.5</w:t>
      </w:r>
      <w:r>
        <w:rPr>
          <w:lang w:val="fr-FR"/>
        </w:rPr>
        <w:tab/>
        <w:t>Un système amélioré de retenue pour enfants ne doit pas porter plus d</w:t>
      </w:r>
      <w:r>
        <w:rPr>
          <w:lang w:val="fr-FR"/>
        </w:rPr>
        <w:t>’</w:t>
      </w:r>
      <w:r>
        <w:rPr>
          <w:lang w:val="fr-FR"/>
        </w:rPr>
        <w:t>un numéro d</w:t>
      </w:r>
      <w:r>
        <w:rPr>
          <w:lang w:val="fr-FR"/>
        </w:rPr>
        <w:t>’</w:t>
      </w:r>
      <w:r>
        <w:rPr>
          <w:lang w:val="fr-FR"/>
        </w:rPr>
        <w:t>homologation. Cette disposition ne s</w:t>
      </w:r>
      <w:r>
        <w:rPr>
          <w:lang w:val="fr-FR"/>
        </w:rPr>
        <w:t>’</w:t>
      </w:r>
      <w:r>
        <w:rPr>
          <w:lang w:val="fr-FR"/>
        </w:rPr>
        <w:t>applique pas dans le cas d</w:t>
      </w:r>
      <w:r>
        <w:rPr>
          <w:lang w:val="fr-FR"/>
        </w:rPr>
        <w:t>’</w:t>
      </w:r>
      <w:r>
        <w:rPr>
          <w:lang w:val="fr-FR"/>
        </w:rPr>
        <w:t>un module qui serait homologué pour plusieurs systèmes améliorés de retenue pour enfants. ».</w:t>
      </w:r>
    </w:p>
    <w:p w14:paraId="0CAA9F93" w14:textId="74CF73E9" w:rsidR="00145F95" w:rsidRDefault="00145F95" w:rsidP="00145F95">
      <w:pPr>
        <w:pStyle w:val="SingleTxtG"/>
      </w:pPr>
      <w:r>
        <w:rPr>
          <w:i/>
          <w:iCs/>
        </w:rPr>
        <w:t>Ajouter le nouveau paragraphe 4.6.4</w:t>
      </w:r>
      <w:r>
        <w:t>, libellé comme suit</w:t>
      </w:r>
      <w:r>
        <w:t> </w:t>
      </w:r>
      <w:r>
        <w:t>:</w:t>
      </w:r>
    </w:p>
    <w:p w14:paraId="08B88560" w14:textId="5625AAE8" w:rsidR="00145F95" w:rsidRPr="00BE032F" w:rsidRDefault="00145F95" w:rsidP="00145F95">
      <w:pPr>
        <w:pStyle w:val="SingleTxtG"/>
        <w:ind w:left="2268" w:hanging="1134"/>
      </w:pPr>
      <w:r>
        <w:rPr>
          <w:lang w:val="fr-FR"/>
        </w:rPr>
        <w:t>« 4.6.4</w:t>
      </w:r>
      <w:r>
        <w:rPr>
          <w:lang w:val="fr-FR"/>
        </w:rPr>
        <w:tab/>
        <w:t>Seuls les trajets de la ceinture homologués doivent figurer sur le système amélioré de retenue pour enfants. Ils doivent obligatoirement être de couleur verte. Aucun autre trajet de la ceinture ne doit être indiqué. ».</w:t>
      </w:r>
    </w:p>
    <w:p w14:paraId="29E1657B" w14:textId="66599318" w:rsidR="00145F95" w:rsidRPr="00BE032F" w:rsidRDefault="00145F95" w:rsidP="00145F95">
      <w:pPr>
        <w:pStyle w:val="SingleTxtG"/>
        <w:rPr>
          <w:iCs/>
          <w:vertAlign w:val="superscript"/>
        </w:rPr>
      </w:pPr>
      <w:r w:rsidRPr="00A8270C">
        <w:rPr>
          <w:i/>
          <w:iCs/>
          <w:lang w:val="fr-FR"/>
        </w:rPr>
        <w:t xml:space="preserve">Paragraphe 5.4.1.1, la note </w:t>
      </w:r>
      <w:r w:rsidRPr="00145F95">
        <w:rPr>
          <w:i/>
          <w:iCs/>
        </w:rPr>
        <w:t>de</w:t>
      </w:r>
      <w:r w:rsidRPr="00A8270C">
        <w:rPr>
          <w:i/>
          <w:iCs/>
          <w:lang w:val="fr-FR"/>
        </w:rPr>
        <w:t xml:space="preserve"> bas de page 2</w:t>
      </w:r>
      <w:r>
        <w:rPr>
          <w:lang w:val="fr-FR"/>
        </w:rPr>
        <w:t xml:space="preserve"> devient la note 3 et l</w:t>
      </w:r>
      <w:r>
        <w:rPr>
          <w:lang w:val="fr-FR"/>
        </w:rPr>
        <w:t>’</w:t>
      </w:r>
      <w:r>
        <w:rPr>
          <w:lang w:val="fr-FR"/>
        </w:rPr>
        <w:t>appel de note est modifié en conséquence.</w:t>
      </w:r>
    </w:p>
    <w:p w14:paraId="46FEDC9A" w14:textId="0D83E1DF" w:rsidR="00145F95" w:rsidRPr="00BE032F" w:rsidRDefault="00145F95" w:rsidP="00145F95">
      <w:pPr>
        <w:pStyle w:val="SingleTxtG"/>
        <w:rPr>
          <w:iCs/>
          <w:vertAlign w:val="superscript"/>
        </w:rPr>
      </w:pPr>
      <w:r w:rsidRPr="00A8270C">
        <w:rPr>
          <w:i/>
          <w:iCs/>
          <w:lang w:val="fr-FR"/>
        </w:rPr>
        <w:t xml:space="preserve">Paragraphe 6.1.3.6, la note de bas de page 3 </w:t>
      </w:r>
      <w:r>
        <w:rPr>
          <w:lang w:val="fr-FR"/>
        </w:rPr>
        <w:t>devient la note 4 et l</w:t>
      </w:r>
      <w:r>
        <w:rPr>
          <w:lang w:val="fr-FR"/>
        </w:rPr>
        <w:t>’</w:t>
      </w:r>
      <w:r>
        <w:rPr>
          <w:lang w:val="fr-FR"/>
        </w:rPr>
        <w:t>appel de note est modifié en conséquence.</w:t>
      </w:r>
    </w:p>
    <w:p w14:paraId="3A61CD46" w14:textId="2E5BA0CC" w:rsidR="00145F95" w:rsidRPr="00BE032F" w:rsidRDefault="00145F95" w:rsidP="00145F95">
      <w:pPr>
        <w:pStyle w:val="SingleTxtG"/>
        <w:rPr>
          <w:iCs/>
          <w:vertAlign w:val="superscript"/>
        </w:rPr>
      </w:pPr>
      <w:r w:rsidRPr="00A8270C">
        <w:rPr>
          <w:i/>
          <w:iCs/>
          <w:lang w:val="fr-FR"/>
        </w:rPr>
        <w:t xml:space="preserve">Paragraphe 6.3.5, la note de </w:t>
      </w:r>
      <w:r w:rsidRPr="00145F95">
        <w:rPr>
          <w:i/>
          <w:iCs/>
        </w:rPr>
        <w:t>bas</w:t>
      </w:r>
      <w:r w:rsidRPr="00A8270C">
        <w:rPr>
          <w:i/>
          <w:iCs/>
          <w:lang w:val="fr-FR"/>
        </w:rPr>
        <w:t xml:space="preserve"> de page 4 </w:t>
      </w:r>
      <w:r>
        <w:rPr>
          <w:lang w:val="fr-FR"/>
        </w:rPr>
        <w:t>devient la note 5 et l</w:t>
      </w:r>
      <w:r>
        <w:rPr>
          <w:lang w:val="fr-FR"/>
        </w:rPr>
        <w:t>’</w:t>
      </w:r>
      <w:r>
        <w:rPr>
          <w:lang w:val="fr-FR"/>
        </w:rPr>
        <w:t>appel de note est modifié en conséquence.</w:t>
      </w:r>
    </w:p>
    <w:p w14:paraId="1E272673" w14:textId="530447D3" w:rsidR="00145F95" w:rsidRDefault="00145F95" w:rsidP="00145F95">
      <w:pPr>
        <w:pStyle w:val="SingleTxtG"/>
        <w:rPr>
          <w:lang w:val="fr-FR"/>
        </w:rPr>
      </w:pPr>
      <w:r w:rsidRPr="00A8270C">
        <w:rPr>
          <w:i/>
          <w:iCs/>
          <w:lang w:val="fr-FR"/>
        </w:rPr>
        <w:t xml:space="preserve">Paragraphe 7.2.4.3.4, la note </w:t>
      </w:r>
      <w:r w:rsidRPr="00145F95">
        <w:rPr>
          <w:i/>
          <w:iCs/>
        </w:rPr>
        <w:t>de</w:t>
      </w:r>
      <w:r w:rsidRPr="00A8270C">
        <w:rPr>
          <w:i/>
          <w:iCs/>
          <w:lang w:val="fr-FR"/>
        </w:rPr>
        <w:t xml:space="preserve"> bas de page 5</w:t>
      </w:r>
      <w:r>
        <w:rPr>
          <w:lang w:val="fr-FR"/>
        </w:rPr>
        <w:t xml:space="preserve"> devient la note 6 et l</w:t>
      </w:r>
      <w:r>
        <w:rPr>
          <w:lang w:val="fr-FR"/>
        </w:rPr>
        <w:t>’</w:t>
      </w:r>
      <w:r>
        <w:rPr>
          <w:lang w:val="fr-FR"/>
        </w:rPr>
        <w:t>appel de note est modifié en conséquence.</w:t>
      </w:r>
    </w:p>
    <w:p w14:paraId="6B66649F" w14:textId="2B609062" w:rsidR="00145F95" w:rsidRPr="00145F95" w:rsidRDefault="00145F95" w:rsidP="00145F95">
      <w:pPr>
        <w:pStyle w:val="SingleTxtG"/>
        <w:spacing w:before="240" w:after="0"/>
        <w:jc w:val="center"/>
        <w:rPr>
          <w:u w:val="single"/>
        </w:rPr>
      </w:pPr>
      <w:r>
        <w:rPr>
          <w:u w:val="single"/>
        </w:rPr>
        <w:tab/>
      </w:r>
      <w:r>
        <w:rPr>
          <w:u w:val="single"/>
        </w:rPr>
        <w:tab/>
      </w:r>
      <w:r>
        <w:rPr>
          <w:u w:val="single"/>
        </w:rPr>
        <w:tab/>
      </w:r>
      <w:r>
        <w:rPr>
          <w:u w:val="single"/>
        </w:rPr>
        <w:tab/>
      </w:r>
    </w:p>
    <w:sectPr w:rsidR="00145F95" w:rsidRPr="00145F95" w:rsidSect="00145F95">
      <w:headerReference w:type="even" r:id="rId8"/>
      <w:headerReference w:type="default" r:id="rId9"/>
      <w:footerReference w:type="even" r:id="rId10"/>
      <w:footerReference w:type="default" r:id="rId11"/>
      <w:footerReference w:type="first" r:id="rId12"/>
      <w:footnotePr>
        <w:numStart w:val="2"/>
      </w:footnotePr>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7EFC" w14:textId="77777777" w:rsidR="004F5570" w:rsidRDefault="004F5570" w:rsidP="00F95C08">
      <w:pPr>
        <w:spacing w:line="240" w:lineRule="auto"/>
      </w:pPr>
    </w:p>
  </w:endnote>
  <w:endnote w:type="continuationSeparator" w:id="0">
    <w:p w14:paraId="63527998" w14:textId="77777777" w:rsidR="004F5570" w:rsidRPr="00AC3823" w:rsidRDefault="004F5570" w:rsidP="00AC3823">
      <w:pPr>
        <w:pStyle w:val="Pieddepage"/>
      </w:pPr>
    </w:p>
  </w:endnote>
  <w:endnote w:type="continuationNotice" w:id="1">
    <w:p w14:paraId="6C0CF4CB" w14:textId="77777777" w:rsidR="004F5570" w:rsidRDefault="004F55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A41C" w14:textId="50C8AABC" w:rsidR="00145F95" w:rsidRPr="00145F95" w:rsidRDefault="00145F95" w:rsidP="00145F95">
    <w:pPr>
      <w:pStyle w:val="Pieddepage"/>
      <w:tabs>
        <w:tab w:val="right" w:pos="9638"/>
      </w:tabs>
    </w:pPr>
    <w:r w:rsidRPr="00145F95">
      <w:rPr>
        <w:b/>
        <w:sz w:val="18"/>
      </w:rPr>
      <w:fldChar w:fldCharType="begin"/>
    </w:r>
    <w:r w:rsidRPr="00145F95">
      <w:rPr>
        <w:b/>
        <w:sz w:val="18"/>
      </w:rPr>
      <w:instrText xml:space="preserve"> PAGE  \* MERGEFORMAT </w:instrText>
    </w:r>
    <w:r w:rsidRPr="00145F95">
      <w:rPr>
        <w:b/>
        <w:sz w:val="18"/>
      </w:rPr>
      <w:fldChar w:fldCharType="separate"/>
    </w:r>
    <w:r w:rsidRPr="00145F95">
      <w:rPr>
        <w:b/>
        <w:noProof/>
        <w:sz w:val="18"/>
      </w:rPr>
      <w:t>2</w:t>
    </w:r>
    <w:r w:rsidRPr="00145F95">
      <w:rPr>
        <w:b/>
        <w:sz w:val="18"/>
      </w:rPr>
      <w:fldChar w:fldCharType="end"/>
    </w:r>
    <w:r>
      <w:rPr>
        <w:b/>
        <w:sz w:val="18"/>
      </w:rPr>
      <w:tab/>
    </w:r>
    <w:r>
      <w:t>GE.23-16759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8E6A" w14:textId="13879F0A" w:rsidR="00145F95" w:rsidRPr="00145F95" w:rsidRDefault="00145F95" w:rsidP="00145F95">
    <w:pPr>
      <w:pStyle w:val="Pieddepage"/>
      <w:tabs>
        <w:tab w:val="right" w:pos="9638"/>
      </w:tabs>
      <w:rPr>
        <w:b/>
        <w:sz w:val="18"/>
      </w:rPr>
    </w:pPr>
    <w:r>
      <w:t>GE.23-16759</w:t>
    </w:r>
    <w:r>
      <w:tab/>
    </w:r>
    <w:r w:rsidRPr="00145F95">
      <w:rPr>
        <w:b/>
        <w:sz w:val="18"/>
      </w:rPr>
      <w:fldChar w:fldCharType="begin"/>
    </w:r>
    <w:r w:rsidRPr="00145F95">
      <w:rPr>
        <w:b/>
        <w:sz w:val="18"/>
      </w:rPr>
      <w:instrText xml:space="preserve"> PAGE  \* MERGEFORMAT </w:instrText>
    </w:r>
    <w:r w:rsidRPr="00145F95">
      <w:rPr>
        <w:b/>
        <w:sz w:val="18"/>
      </w:rPr>
      <w:fldChar w:fldCharType="separate"/>
    </w:r>
    <w:r w:rsidRPr="00145F95">
      <w:rPr>
        <w:b/>
        <w:noProof/>
        <w:sz w:val="18"/>
      </w:rPr>
      <w:t>3</w:t>
    </w:r>
    <w:r w:rsidRPr="00145F9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0D49" w14:textId="24C26C73" w:rsidR="007F20FA" w:rsidRPr="00145F95" w:rsidRDefault="00145F95" w:rsidP="00145F9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E8B8CF1" wp14:editId="1E66AEE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23-16759  (F)</w:t>
    </w:r>
    <w:r>
      <w:rPr>
        <w:noProof/>
        <w:sz w:val="20"/>
      </w:rPr>
      <w:drawing>
        <wp:anchor distT="0" distB="0" distL="114300" distR="114300" simplePos="0" relativeHeight="251660288" behindDoc="0" locked="0" layoutInCell="1" allowOverlap="1" wp14:anchorId="5275871C" wp14:editId="34551CED">
          <wp:simplePos x="0" y="0"/>
          <wp:positionH relativeFrom="margin">
            <wp:posOffset>5489575</wp:posOffset>
          </wp:positionH>
          <wp:positionV relativeFrom="margin">
            <wp:posOffset>8891905</wp:posOffset>
          </wp:positionV>
          <wp:extent cx="638175" cy="638175"/>
          <wp:effectExtent l="0" t="0" r="9525" b="9525"/>
          <wp:wrapNone/>
          <wp:docPr id="15692024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804A" w14:textId="77777777" w:rsidR="004F5570" w:rsidRPr="00AC3823" w:rsidRDefault="004F5570" w:rsidP="00AC3823">
      <w:pPr>
        <w:pStyle w:val="Pieddepage"/>
        <w:tabs>
          <w:tab w:val="right" w:pos="2155"/>
        </w:tabs>
        <w:spacing w:after="80" w:line="240" w:lineRule="atLeast"/>
        <w:ind w:left="680"/>
        <w:rPr>
          <w:u w:val="single"/>
        </w:rPr>
      </w:pPr>
      <w:r>
        <w:rPr>
          <w:u w:val="single"/>
        </w:rPr>
        <w:tab/>
      </w:r>
    </w:p>
  </w:footnote>
  <w:footnote w:type="continuationSeparator" w:id="0">
    <w:p w14:paraId="44D70126" w14:textId="77777777" w:rsidR="004F5570" w:rsidRPr="00AC3823" w:rsidRDefault="004F5570" w:rsidP="00AC3823">
      <w:pPr>
        <w:pStyle w:val="Pieddepage"/>
        <w:tabs>
          <w:tab w:val="right" w:pos="2155"/>
        </w:tabs>
        <w:spacing w:after="80" w:line="240" w:lineRule="atLeast"/>
        <w:ind w:left="680"/>
        <w:rPr>
          <w:u w:val="single"/>
        </w:rPr>
      </w:pPr>
      <w:r>
        <w:rPr>
          <w:u w:val="single"/>
        </w:rPr>
        <w:tab/>
      </w:r>
    </w:p>
  </w:footnote>
  <w:footnote w:type="continuationNotice" w:id="1">
    <w:p w14:paraId="374D87EB" w14:textId="77777777" w:rsidR="004F5570" w:rsidRPr="00AC3823" w:rsidRDefault="004F5570">
      <w:pPr>
        <w:spacing w:line="240" w:lineRule="auto"/>
        <w:rPr>
          <w:sz w:val="2"/>
          <w:szCs w:val="2"/>
        </w:rPr>
      </w:pPr>
    </w:p>
  </w:footnote>
  <w:footnote w:id="2">
    <w:p w14:paraId="11EFEEC4" w14:textId="31FA11A3" w:rsidR="00145F95" w:rsidRPr="00145F95" w:rsidRDefault="00145F95">
      <w:pPr>
        <w:pStyle w:val="Notedebasdepage"/>
      </w:pPr>
      <w:r>
        <w:rPr>
          <w:rStyle w:val="Appelnotedebasdep"/>
        </w:rPr>
        <w:tab/>
      </w:r>
      <w:r w:rsidRPr="00145F95">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2023 tel qu</w:t>
      </w:r>
      <w:r>
        <w:rPr>
          <w:lang w:val="fr-FR"/>
        </w:rPr>
        <w:t>’</w:t>
      </w:r>
      <w:r>
        <w:rPr>
          <w:lang w:val="fr-FR"/>
        </w:rPr>
        <w:t>il figure dans le projet de budget-programme pour 2023 (A/77/6 (Sect. 20), tableau 20.6), le Forum mondial a pour mission d</w:t>
      </w:r>
      <w:r>
        <w:rPr>
          <w:lang w:val="fr-FR"/>
        </w:rPr>
        <w:t>’</w:t>
      </w:r>
      <w:r>
        <w:rPr>
          <w:lang w:val="fr-FR"/>
        </w:rPr>
        <w:t>élaborer, d</w:t>
      </w:r>
      <w:r>
        <w:rPr>
          <w:lang w:val="fr-FR"/>
        </w:rPr>
        <w:t>’</w:t>
      </w:r>
      <w:r>
        <w:rPr>
          <w:lang w:val="fr-FR"/>
        </w:rPr>
        <w:t>harmoniser et de mettre à jour les Règlements ONU en vue d</w:t>
      </w:r>
      <w:r>
        <w:rPr>
          <w:lang w:val="fr-FR"/>
        </w:rPr>
        <w:t>’</w:t>
      </w:r>
      <w:r>
        <w:rPr>
          <w:lang w:val="fr-FR"/>
        </w:rPr>
        <w:t>améliorer les caractéristiques fonctionnelles des véhicules. Le présent document est soumis en vertu de ce mandat.</w:t>
      </w:r>
    </w:p>
  </w:footnote>
  <w:footnote w:id="3">
    <w:p w14:paraId="05647E14" w14:textId="705F4375" w:rsidR="00145F95" w:rsidRDefault="00145F95">
      <w:pPr>
        <w:pStyle w:val="Notedebasdepage"/>
      </w:pPr>
      <w:r>
        <w:tab/>
      </w:r>
      <w:r>
        <w:rPr>
          <w:rStyle w:val="Appelnotedebasdep"/>
        </w:rPr>
        <w:footnoteRef/>
      </w:r>
      <w:r>
        <w:tab/>
      </w:r>
      <w:r>
        <w:rPr>
          <w:lang w:val="fr-FR"/>
        </w:rPr>
        <w:t>Cette disposition est applicable à toute la gamme de tailles, quelle que soit la configuration dans laquelle le système amélioré de retenue pour enfants sera homologué</w:t>
      </w:r>
      <w:r>
        <w:rPr>
          <w:lang w:val="fr-FR"/>
        </w:rPr>
        <w:t> </w:t>
      </w:r>
      <w:r>
        <w:rPr>
          <w:lang w:val="fr-FR"/>
        </w:rPr>
        <w:t>: un seul trajet de la ceinture doit être utilisé, que le système soit installé face vers l</w:t>
      </w:r>
      <w:r>
        <w:rPr>
          <w:lang w:val="fr-FR"/>
        </w:rPr>
        <w:t>’</w:t>
      </w:r>
      <w:r>
        <w:rPr>
          <w:lang w:val="fr-FR"/>
        </w:rPr>
        <w:t>avant ou face vers l</w:t>
      </w:r>
      <w:r>
        <w:rPr>
          <w:lang w:val="fr-FR"/>
        </w:rPr>
        <w:t>’</w:t>
      </w:r>
      <w:r>
        <w:rPr>
          <w:lang w:val="fr-FR"/>
        </w:rPr>
        <w:t>arrière. Il en va de même pour les systèmes améliorés de retenue pour enfants permettant des configurations intégrales et non intégrales combinées ou pour toute autre combinaison autorisée par le présent paragraphe.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40B2" w14:textId="0D856B1F" w:rsidR="00145F95" w:rsidRPr="00145F95" w:rsidRDefault="00145F95">
    <w:pPr>
      <w:pStyle w:val="En-tte"/>
    </w:pPr>
    <w:fldSimple w:instr=" TITLE  \* MERGEFORMAT ">
      <w:r w:rsidR="00336128">
        <w:t>ECE/TRANS/WP.29/2023/120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4548" w14:textId="7526AC43" w:rsidR="00145F95" w:rsidRPr="00145F95" w:rsidRDefault="00145F95" w:rsidP="00145F95">
    <w:pPr>
      <w:pStyle w:val="En-tte"/>
      <w:jc w:val="right"/>
    </w:pPr>
    <w:fldSimple w:instr=" TITLE  \* MERGEFORMAT ">
      <w:r w:rsidR="00336128">
        <w:t>ECE/TRANS/WP.29/2023/120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43146766">
    <w:abstractNumId w:val="12"/>
  </w:num>
  <w:num w:numId="2" w16cid:durableId="274677589">
    <w:abstractNumId w:val="11"/>
  </w:num>
  <w:num w:numId="3" w16cid:durableId="1645888537">
    <w:abstractNumId w:val="10"/>
  </w:num>
  <w:num w:numId="4" w16cid:durableId="1027413269">
    <w:abstractNumId w:val="8"/>
  </w:num>
  <w:num w:numId="5" w16cid:durableId="915819278">
    <w:abstractNumId w:val="3"/>
  </w:num>
  <w:num w:numId="6" w16cid:durableId="1396128353">
    <w:abstractNumId w:val="2"/>
  </w:num>
  <w:num w:numId="7" w16cid:durableId="1200163550">
    <w:abstractNumId w:val="1"/>
  </w:num>
  <w:num w:numId="8" w16cid:durableId="950207228">
    <w:abstractNumId w:val="0"/>
  </w:num>
  <w:num w:numId="9" w16cid:durableId="1130823723">
    <w:abstractNumId w:val="9"/>
  </w:num>
  <w:num w:numId="10" w16cid:durableId="1754888551">
    <w:abstractNumId w:val="7"/>
  </w:num>
  <w:num w:numId="11" w16cid:durableId="1567374850">
    <w:abstractNumId w:val="6"/>
  </w:num>
  <w:num w:numId="12" w16cid:durableId="2115512291">
    <w:abstractNumId w:val="5"/>
  </w:num>
  <w:num w:numId="13" w16cid:durableId="333652762">
    <w:abstractNumId w:val="4"/>
  </w:num>
  <w:num w:numId="14" w16cid:durableId="616184735">
    <w:abstractNumId w:val="12"/>
  </w:num>
  <w:num w:numId="15" w16cid:durableId="1933665666">
    <w:abstractNumId w:val="11"/>
  </w:num>
  <w:num w:numId="16" w16cid:durableId="1642612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567"/>
  <w:hyphenationZone w:val="425"/>
  <w:evenAndOddHeaders/>
  <w:characterSpacingControl w:val="doNotCompress"/>
  <w:hdrShapeDefaults>
    <o:shapedefaults v:ext="edit" spidmax="2050"/>
  </w:hdrShapeDefaults>
  <w:footnotePr>
    <w:numStart w:val="2"/>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70"/>
    <w:rsid w:val="00017F94"/>
    <w:rsid w:val="00023842"/>
    <w:rsid w:val="000334F9"/>
    <w:rsid w:val="00045FEB"/>
    <w:rsid w:val="0007796D"/>
    <w:rsid w:val="000B7790"/>
    <w:rsid w:val="00111F2F"/>
    <w:rsid w:val="0014365E"/>
    <w:rsid w:val="00143C66"/>
    <w:rsid w:val="00145F95"/>
    <w:rsid w:val="00176178"/>
    <w:rsid w:val="001F525A"/>
    <w:rsid w:val="00201148"/>
    <w:rsid w:val="00223272"/>
    <w:rsid w:val="0024779E"/>
    <w:rsid w:val="00257168"/>
    <w:rsid w:val="002744B8"/>
    <w:rsid w:val="002832AC"/>
    <w:rsid w:val="002D7C93"/>
    <w:rsid w:val="00305801"/>
    <w:rsid w:val="00336128"/>
    <w:rsid w:val="00354F4E"/>
    <w:rsid w:val="003916DE"/>
    <w:rsid w:val="00421996"/>
    <w:rsid w:val="00441C3B"/>
    <w:rsid w:val="00446FE5"/>
    <w:rsid w:val="00452396"/>
    <w:rsid w:val="00477EB2"/>
    <w:rsid w:val="004837D8"/>
    <w:rsid w:val="004E2EED"/>
    <w:rsid w:val="004E468C"/>
    <w:rsid w:val="004F5570"/>
    <w:rsid w:val="005505B7"/>
    <w:rsid w:val="00573BE5"/>
    <w:rsid w:val="00586ED3"/>
    <w:rsid w:val="00596AA9"/>
    <w:rsid w:val="0071601D"/>
    <w:rsid w:val="007A62E6"/>
    <w:rsid w:val="007F20FA"/>
    <w:rsid w:val="0080684C"/>
    <w:rsid w:val="00871C75"/>
    <w:rsid w:val="008776DC"/>
    <w:rsid w:val="008D5EF9"/>
    <w:rsid w:val="00912129"/>
    <w:rsid w:val="009446C0"/>
    <w:rsid w:val="00962C5C"/>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279D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FD45"/>
  <w15:docId w15:val="{43E57EC0-7259-4A01-AAFC-54C43926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342FA-EB3C-46BC-BFD3-EC0AAFE2029C}"/>
</file>

<file path=customXml/itemProps2.xml><?xml version="1.0" encoding="utf-8"?>
<ds:datastoreItem xmlns:ds="http://schemas.openxmlformats.org/officeDocument/2006/customXml" ds:itemID="{6FE2FB39-E8FA-4CA2-9F80-2B2B576B6B21}"/>
</file>

<file path=docProps/app.xml><?xml version="1.0" encoding="utf-8"?>
<Properties xmlns="http://schemas.openxmlformats.org/officeDocument/2006/extended-properties" xmlns:vt="http://schemas.openxmlformats.org/officeDocument/2006/docPropsVTypes">
  <Template>ECE_TRANS.dotm</Template>
  <TotalTime>0</TotalTime>
  <Pages>2</Pages>
  <Words>464</Words>
  <Characters>3249</Characters>
  <Application>Microsoft Office Word</Application>
  <DocSecurity>0</DocSecurity>
  <Lines>270</Lines>
  <Paragraphs>148</Paragraphs>
  <ScaleCrop>false</ScaleCrop>
  <HeadingPairs>
    <vt:vector size="2" baseType="variant">
      <vt:variant>
        <vt:lpstr>Titre</vt:lpstr>
      </vt:variant>
      <vt:variant>
        <vt:i4>1</vt:i4>
      </vt:variant>
    </vt:vector>
  </HeadingPairs>
  <TitlesOfParts>
    <vt:vector size="1" baseType="lpstr">
      <vt:lpstr>ECE/TRANS/WP.29/2023/120</vt:lpstr>
    </vt:vector>
  </TitlesOfParts>
  <Company>DCM</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ECE/TRANS/WP.29/2023/120</dc:title>
  <dc:subject/>
  <dc:creator>Julien OKRZESIK</dc:creator>
  <cp:keywords/>
  <cp:lastModifiedBy>Julien Okrzesik</cp:lastModifiedBy>
  <cp:revision>3</cp:revision>
  <cp:lastPrinted>2023-09-28T10:27:00Z</cp:lastPrinted>
  <dcterms:created xsi:type="dcterms:W3CDTF">2023-09-28T10:27:00Z</dcterms:created>
  <dcterms:modified xsi:type="dcterms:W3CDTF">2023-09-28T10:29:00Z</dcterms:modified>
</cp:coreProperties>
</file>